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B1EBD0B"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4CFC381F" wp14:editId="6A251777">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774CE1A2" wp14:editId="471E2E62">
            <wp:simplePos x="0" y="0"/>
            <wp:positionH relativeFrom="page">
              <wp:posOffset>-23495</wp:posOffset>
            </wp:positionH>
            <wp:positionV relativeFrom="page">
              <wp:posOffset>130175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3546F2E3" w14:textId="77777777" w:rsidR="003D352D" w:rsidRDefault="003D352D" w:rsidP="00D146A2"/>
    <w:p w14:paraId="7DE0C886" w14:textId="77777777" w:rsidR="003D352D" w:rsidRDefault="003D352D" w:rsidP="00D146A2"/>
    <w:p w14:paraId="3379C99F" w14:textId="77777777" w:rsidR="003D352D" w:rsidRDefault="003D352D" w:rsidP="00D146A2"/>
    <w:p w14:paraId="6238A5DC" w14:textId="77777777" w:rsidR="003D352D" w:rsidRDefault="003D352D" w:rsidP="00D146A2"/>
    <w:p w14:paraId="323FE59B" w14:textId="77777777" w:rsidR="003D352D" w:rsidRDefault="003D352D" w:rsidP="00D146A2"/>
    <w:p w14:paraId="58582860" w14:textId="77777777" w:rsidR="003D352D" w:rsidRDefault="003D352D" w:rsidP="00D146A2"/>
    <w:p w14:paraId="4911C623" w14:textId="77777777" w:rsidR="003D352D" w:rsidRDefault="003D352D" w:rsidP="00D146A2"/>
    <w:p w14:paraId="49EB0FB2" w14:textId="77777777" w:rsidR="003D352D" w:rsidRDefault="003D352D" w:rsidP="00D146A2"/>
    <w:p w14:paraId="59C5F77B" w14:textId="77777777" w:rsidR="003D352D" w:rsidRDefault="003D352D" w:rsidP="00D146A2"/>
    <w:p w14:paraId="1AB3FF08" w14:textId="77777777" w:rsidR="003D352D" w:rsidRDefault="003D352D" w:rsidP="00D146A2"/>
    <w:p w14:paraId="064B851D" w14:textId="77777777" w:rsidR="003D352D" w:rsidRDefault="003D352D" w:rsidP="00D146A2"/>
    <w:p w14:paraId="1A3E6DA6" w14:textId="77777777" w:rsidR="003D352D" w:rsidRDefault="003D352D" w:rsidP="00D146A2"/>
    <w:p w14:paraId="6801310D" w14:textId="77777777" w:rsidR="003D352D" w:rsidRDefault="003D352D" w:rsidP="00D146A2"/>
    <w:p w14:paraId="10C39EF6" w14:textId="77777777" w:rsidR="003D352D" w:rsidRDefault="003D352D" w:rsidP="00D146A2"/>
    <w:p w14:paraId="3BB5F1AC" w14:textId="77777777" w:rsidR="003D352D" w:rsidRDefault="003D352D" w:rsidP="00D146A2"/>
    <w:p w14:paraId="4E053710" w14:textId="77777777" w:rsidR="003D352D" w:rsidRPr="0059146A" w:rsidRDefault="003D352D" w:rsidP="0059146A"/>
    <w:p w14:paraId="391E4A03" w14:textId="77777777" w:rsidR="003D352D" w:rsidRPr="0059146A" w:rsidRDefault="003D352D" w:rsidP="0059146A"/>
    <w:p w14:paraId="5A0A2FD4" w14:textId="77777777" w:rsidR="003D352D" w:rsidRPr="0059146A" w:rsidRDefault="003D352D" w:rsidP="0059146A"/>
    <w:p w14:paraId="53D9B094" w14:textId="77777777" w:rsidR="003D352D" w:rsidRPr="0059146A" w:rsidRDefault="003D352D" w:rsidP="0059146A"/>
    <w:p w14:paraId="6158126D" w14:textId="77777777" w:rsidR="003D352D" w:rsidRPr="0059146A" w:rsidRDefault="003D352D" w:rsidP="0059146A"/>
    <w:p w14:paraId="0AC7D8AF" w14:textId="77777777" w:rsidR="003D352D" w:rsidRPr="0059146A" w:rsidRDefault="003D352D" w:rsidP="0059146A"/>
    <w:p w14:paraId="2FD0796F" w14:textId="77777777" w:rsidR="00A56F14" w:rsidRPr="0059146A" w:rsidRDefault="00A56F14" w:rsidP="00A56F14"/>
    <w:p w14:paraId="6BCF5237" w14:textId="77777777" w:rsidR="00A56F14" w:rsidRPr="0059146A" w:rsidRDefault="00A56F14" w:rsidP="0059146A"/>
    <w:p w14:paraId="0B91FF58" w14:textId="77777777" w:rsidR="00A56F14" w:rsidRDefault="00A56F14" w:rsidP="0059146A"/>
    <w:p w14:paraId="7AFD9414" w14:textId="77777777" w:rsidR="0059146A" w:rsidRDefault="0059146A" w:rsidP="0059146A"/>
    <w:p w14:paraId="6D26BD8C" w14:textId="77777777" w:rsidR="0059146A" w:rsidRDefault="0059146A" w:rsidP="0059146A"/>
    <w:p w14:paraId="02428E7D" w14:textId="77777777" w:rsidR="0059146A" w:rsidRDefault="0059146A" w:rsidP="0059146A"/>
    <w:p w14:paraId="4E60F0CE" w14:textId="77777777" w:rsidR="0059146A" w:rsidRPr="0059146A" w:rsidRDefault="0059146A" w:rsidP="0059146A"/>
    <w:p w14:paraId="7802ECCC"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14:paraId="23433669" w14:textId="333219E6" w:rsidR="0059146A" w:rsidRDefault="00E341AB"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Palestinian Territories</w:t>
      </w:r>
      <w:r w:rsidR="0059146A">
        <w:rPr>
          <w:sz w:val="40"/>
        </w:rPr>
        <w:br/>
      </w:r>
      <w:r w:rsidR="00436782">
        <w:rPr>
          <w:sz w:val="24"/>
        </w:rPr>
        <w:t xml:space="preserve">13 </w:t>
      </w:r>
      <w:r w:rsidR="008E6E16">
        <w:rPr>
          <w:sz w:val="24"/>
        </w:rPr>
        <w:t>September 2</w:t>
      </w:r>
      <w:r w:rsidR="00436782">
        <w:rPr>
          <w:sz w:val="24"/>
        </w:rPr>
        <w:t>017</w:t>
      </w:r>
    </w:p>
    <w:p w14:paraId="648B2DFD" w14:textId="77777777" w:rsidR="005B5769" w:rsidRPr="00B438D3" w:rsidRDefault="00E341AB" w:rsidP="00B438D3">
      <w:pPr>
        <w:pStyle w:val="Title"/>
      </w:pPr>
      <w:r>
        <w:lastRenderedPageBreak/>
        <w:t>Palestinian Territories</w:t>
      </w:r>
      <w:r w:rsidR="005B5769" w:rsidRPr="00B438D3">
        <w:t xml:space="preserve"> Aid Program Performance Information 201</w:t>
      </w:r>
      <w:r w:rsidR="003E305C">
        <w:t>6</w:t>
      </w:r>
      <w:r w:rsidR="005B5769" w:rsidRPr="00B438D3">
        <w:t>-1</w:t>
      </w:r>
      <w:r w:rsidR="003E305C">
        <w:t>7</w:t>
      </w:r>
    </w:p>
    <w:p w14:paraId="4A702691" w14:textId="77777777" w:rsidR="005B5769" w:rsidRPr="00C4114C" w:rsidRDefault="005B5769" w:rsidP="00B438D3">
      <w:pPr>
        <w:pStyle w:val="Subtitle"/>
      </w:pPr>
      <w:r w:rsidRPr="00C4114C">
        <w:t>Summary</w:t>
      </w:r>
    </w:p>
    <w:p w14:paraId="34469B48" w14:textId="3FFBB6C8" w:rsidR="00193EAE" w:rsidRPr="00193EAE" w:rsidRDefault="00CD1652" w:rsidP="00193EAE">
      <w:r w:rsidRPr="00AE5CB8">
        <w:t xml:space="preserve">This report summarises the performance of Australia’s aid program in </w:t>
      </w:r>
      <w:r w:rsidR="00E341AB" w:rsidRPr="00AE5CB8">
        <w:t>the Palestinian Territories</w:t>
      </w:r>
      <w:r w:rsidR="00193EAE">
        <w:t xml:space="preserve"> (PT</w:t>
      </w:r>
      <w:r w:rsidR="006F0B9D">
        <w:t>s</w:t>
      </w:r>
      <w:r w:rsidR="00193EAE">
        <w:t>)</w:t>
      </w:r>
      <w:r w:rsidRPr="00AE5CB8">
        <w:t xml:space="preserve"> from July 2016 to June 2017 against the </w:t>
      </w:r>
      <w:r w:rsidR="00193EAE">
        <w:t>objectives articulated in the PTs</w:t>
      </w:r>
      <w:r w:rsidRPr="00AE5CB8">
        <w:t xml:space="preserve"> Aid Investment Plan </w:t>
      </w:r>
      <w:r w:rsidR="00193EAE">
        <w:t>(</w:t>
      </w:r>
      <w:r w:rsidR="00E341AB" w:rsidRPr="00AE5CB8">
        <w:t>2015-2019</w:t>
      </w:r>
      <w:r w:rsidR="00193EAE">
        <w:t>)</w:t>
      </w:r>
      <w:r w:rsidR="00E341AB" w:rsidRPr="00AE5CB8">
        <w:t>.</w:t>
      </w:r>
      <w:r w:rsidR="00193EAE">
        <w:t xml:space="preserve">  The PTs</w:t>
      </w:r>
      <w:r w:rsidR="006D1BCC" w:rsidRPr="00AE5CB8">
        <w:t>, consisting of the West Bank and the</w:t>
      </w:r>
      <w:r w:rsidR="00AE5CB8" w:rsidRPr="00AE5CB8">
        <w:t xml:space="preserve"> Gaza Strip, remain one of the poo</w:t>
      </w:r>
      <w:r w:rsidR="002B3853">
        <w:t>r</w:t>
      </w:r>
      <w:r w:rsidR="00193EAE">
        <w:t xml:space="preserve">est regions in the Middle East.  </w:t>
      </w:r>
      <w:r w:rsidR="00193EAE" w:rsidRPr="00AE5CB8">
        <w:rPr>
          <w:rFonts w:cs="Helvetica"/>
          <w:lang w:val="en"/>
        </w:rPr>
        <w:t>The 2016 United Nations Human Development Index, which ranks key dimensions of social and economi</w:t>
      </w:r>
      <w:r w:rsidR="00193EAE">
        <w:rPr>
          <w:rFonts w:cs="Helvetica"/>
          <w:lang w:val="en"/>
        </w:rPr>
        <w:t>c development, rated the PTs 114</w:t>
      </w:r>
      <w:r w:rsidR="00207D72">
        <w:rPr>
          <w:rFonts w:cs="Helvetica"/>
          <w:lang w:val="en"/>
        </w:rPr>
        <w:t xml:space="preserve"> out of 188 territories.</w:t>
      </w:r>
      <w:r w:rsidR="00DF70EF">
        <w:rPr>
          <w:rFonts w:cs="Helvetica"/>
          <w:lang w:val="en"/>
        </w:rPr>
        <w:t xml:space="preserve">  </w:t>
      </w:r>
    </w:p>
    <w:p w14:paraId="4F224B68" w14:textId="1BB107A9" w:rsidR="00193EAE" w:rsidRDefault="006D1BCC" w:rsidP="00193EAE">
      <w:pPr>
        <w:rPr>
          <w:rFonts w:cs="Helvetica"/>
          <w:lang w:val="en"/>
        </w:rPr>
      </w:pPr>
      <w:r w:rsidRPr="00AE5CB8">
        <w:rPr>
          <w:rFonts w:cs="Helvetica"/>
          <w:lang w:val="en"/>
        </w:rPr>
        <w:t xml:space="preserve">The </w:t>
      </w:r>
      <w:r w:rsidR="00436782">
        <w:rPr>
          <w:rFonts w:cs="Helvetica"/>
          <w:lang w:val="en"/>
        </w:rPr>
        <w:t>lack of progress</w:t>
      </w:r>
      <w:r w:rsidRPr="00AE5CB8">
        <w:rPr>
          <w:rFonts w:cs="Helvetica"/>
          <w:lang w:val="en"/>
        </w:rPr>
        <w:t xml:space="preserve"> </w:t>
      </w:r>
      <w:r w:rsidR="00AE5CB8" w:rsidRPr="00AE5CB8">
        <w:rPr>
          <w:rFonts w:cs="Helvetica"/>
          <w:lang w:val="en"/>
        </w:rPr>
        <w:t>at the political level</w:t>
      </w:r>
      <w:r w:rsidR="00BD54E6">
        <w:rPr>
          <w:rFonts w:cs="Helvetica"/>
          <w:lang w:val="en"/>
        </w:rPr>
        <w:t xml:space="preserve"> </w:t>
      </w:r>
      <w:r w:rsidR="004665C7">
        <w:rPr>
          <w:rFonts w:cs="Helvetica"/>
          <w:lang w:val="en"/>
        </w:rPr>
        <w:t xml:space="preserve">between Israel and the Palestinians </w:t>
      </w:r>
      <w:r w:rsidR="00BD54E6">
        <w:rPr>
          <w:rFonts w:cs="Helvetica"/>
          <w:lang w:val="en"/>
        </w:rPr>
        <w:t>and the lack of reco</w:t>
      </w:r>
      <w:r w:rsidR="00436782">
        <w:rPr>
          <w:rFonts w:cs="Helvetica"/>
          <w:lang w:val="en"/>
        </w:rPr>
        <w:t xml:space="preserve">nciliation between </w:t>
      </w:r>
      <w:r w:rsidR="00BD54E6">
        <w:rPr>
          <w:rFonts w:cs="Helvetica"/>
          <w:lang w:val="en"/>
        </w:rPr>
        <w:t>P</w:t>
      </w:r>
      <w:r w:rsidR="004665C7">
        <w:rPr>
          <w:rFonts w:cs="Helvetica"/>
          <w:lang w:val="en"/>
        </w:rPr>
        <w:t xml:space="preserve">alestinian </w:t>
      </w:r>
      <w:r w:rsidR="00BD54E6">
        <w:rPr>
          <w:rFonts w:cs="Helvetica"/>
          <w:lang w:val="en"/>
        </w:rPr>
        <w:t>A</w:t>
      </w:r>
      <w:r w:rsidR="004665C7">
        <w:rPr>
          <w:rFonts w:cs="Helvetica"/>
          <w:lang w:val="en"/>
        </w:rPr>
        <w:t>uthority</w:t>
      </w:r>
      <w:r w:rsidR="0014664D">
        <w:rPr>
          <w:rFonts w:cs="Helvetica"/>
          <w:lang w:val="en"/>
        </w:rPr>
        <w:t xml:space="preserve"> (PA)</w:t>
      </w:r>
      <w:r w:rsidRPr="00AE5CB8">
        <w:rPr>
          <w:rFonts w:cs="Helvetica"/>
          <w:lang w:val="en"/>
        </w:rPr>
        <w:t xml:space="preserve"> </w:t>
      </w:r>
      <w:r w:rsidR="00193EAE">
        <w:rPr>
          <w:rFonts w:cs="Helvetica"/>
          <w:lang w:val="en"/>
        </w:rPr>
        <w:t xml:space="preserve">and Hamas </w:t>
      </w:r>
      <w:r w:rsidRPr="00AE5CB8">
        <w:rPr>
          <w:rFonts w:cs="Helvetica"/>
          <w:lang w:val="en"/>
        </w:rPr>
        <w:t>has created considerable constraints to economic developm</w:t>
      </w:r>
      <w:r w:rsidR="006C59EB">
        <w:rPr>
          <w:rFonts w:cs="Helvetica"/>
          <w:lang w:val="en"/>
        </w:rPr>
        <w:t>ent</w:t>
      </w:r>
      <w:r w:rsidR="00193EAE">
        <w:rPr>
          <w:rFonts w:cs="Helvetica"/>
          <w:lang w:val="en"/>
        </w:rPr>
        <w:t xml:space="preserve"> in the PTs</w:t>
      </w:r>
      <w:r w:rsidR="006C59EB">
        <w:rPr>
          <w:rFonts w:cs="Helvetica"/>
          <w:lang w:val="en"/>
        </w:rPr>
        <w:t>.</w:t>
      </w:r>
      <w:r w:rsidR="00193EAE">
        <w:rPr>
          <w:rFonts w:cs="Helvetica"/>
          <w:lang w:val="en"/>
        </w:rPr>
        <w:t xml:space="preserve">  </w:t>
      </w:r>
      <w:r w:rsidR="004C10D7">
        <w:rPr>
          <w:rFonts w:cs="Helvetica"/>
          <w:lang w:val="en"/>
        </w:rPr>
        <w:t xml:space="preserve">These constraints </w:t>
      </w:r>
      <w:r w:rsidR="00EC09F6">
        <w:rPr>
          <w:rFonts w:cs="Helvetica"/>
          <w:lang w:val="en"/>
        </w:rPr>
        <w:t>include</w:t>
      </w:r>
      <w:r w:rsidR="004C10D7">
        <w:rPr>
          <w:rFonts w:cs="Helvetica"/>
          <w:lang w:val="en"/>
        </w:rPr>
        <w:t xml:space="preserve"> continued conflict and instability, restrictions on the movement of goods and people</w:t>
      </w:r>
      <w:r w:rsidR="0014664D">
        <w:rPr>
          <w:rFonts w:cs="Helvetica"/>
          <w:lang w:val="en"/>
        </w:rPr>
        <w:t>,</w:t>
      </w:r>
      <w:r w:rsidR="00436782">
        <w:rPr>
          <w:rFonts w:cs="Helvetica"/>
          <w:lang w:val="en"/>
        </w:rPr>
        <w:t xml:space="preserve"> and a lack of certainty</w:t>
      </w:r>
      <w:r w:rsidR="004C10D7">
        <w:rPr>
          <w:rFonts w:cs="Helvetica"/>
          <w:lang w:val="en"/>
        </w:rPr>
        <w:t xml:space="preserve"> over territorial borders and natural resources such as land and water.</w:t>
      </w:r>
      <w:r w:rsidR="00193EAE">
        <w:rPr>
          <w:rFonts w:cs="Helvetica"/>
          <w:lang w:val="en"/>
        </w:rPr>
        <w:t xml:space="preserve">  </w:t>
      </w:r>
      <w:r w:rsidR="00BD54E6">
        <w:rPr>
          <w:rFonts w:cs="Helvetica"/>
          <w:lang w:val="en"/>
        </w:rPr>
        <w:t>Further, the decline in foreign assistance</w:t>
      </w:r>
      <w:r w:rsidR="00F1610C">
        <w:rPr>
          <w:rFonts w:cs="Helvetica"/>
          <w:lang w:val="en"/>
        </w:rPr>
        <w:t xml:space="preserve"> to th</w:t>
      </w:r>
      <w:r w:rsidR="00436782">
        <w:rPr>
          <w:rFonts w:cs="Helvetica"/>
          <w:lang w:val="en"/>
        </w:rPr>
        <w:t xml:space="preserve">e PTs as donors </w:t>
      </w:r>
      <w:r w:rsidR="000D0CB4">
        <w:rPr>
          <w:rFonts w:cs="Helvetica"/>
          <w:lang w:val="en"/>
        </w:rPr>
        <w:t>prioritize</w:t>
      </w:r>
      <w:r w:rsidR="00436782">
        <w:rPr>
          <w:rFonts w:cs="Helvetica"/>
          <w:lang w:val="en"/>
        </w:rPr>
        <w:t xml:space="preserve"> </w:t>
      </w:r>
      <w:r w:rsidR="009701DD">
        <w:rPr>
          <w:rFonts w:cs="Helvetica"/>
          <w:lang w:val="en"/>
        </w:rPr>
        <w:t>neighboring</w:t>
      </w:r>
      <w:r w:rsidR="00F1610C">
        <w:rPr>
          <w:rFonts w:cs="Helvetica"/>
          <w:lang w:val="en"/>
        </w:rPr>
        <w:t xml:space="preserve"> humanitarian crises such as </w:t>
      </w:r>
      <w:r w:rsidR="00436782">
        <w:rPr>
          <w:rFonts w:cs="Helvetica"/>
          <w:lang w:val="en"/>
        </w:rPr>
        <w:t xml:space="preserve">in </w:t>
      </w:r>
      <w:r w:rsidR="00F1610C">
        <w:rPr>
          <w:rFonts w:cs="Helvetica"/>
          <w:lang w:val="en"/>
        </w:rPr>
        <w:t>Syria, Iraq and Yemen, has further exacerbated the constraints to economic growth</w:t>
      </w:r>
      <w:r w:rsidR="00792D46">
        <w:rPr>
          <w:rFonts w:cs="Helvetica"/>
          <w:lang w:val="en"/>
        </w:rPr>
        <w:t>.</w:t>
      </w:r>
      <w:r w:rsidR="00193EAE">
        <w:rPr>
          <w:rFonts w:cs="Helvetica"/>
          <w:lang w:val="en"/>
        </w:rPr>
        <w:t xml:space="preserve">  T</w:t>
      </w:r>
      <w:r w:rsidR="00193EAE" w:rsidRPr="00AE5CB8">
        <w:rPr>
          <w:rFonts w:cs="Helvetica"/>
          <w:lang w:val="en"/>
        </w:rPr>
        <w:t>he unemp</w:t>
      </w:r>
      <w:r w:rsidR="00193EAE">
        <w:rPr>
          <w:rFonts w:cs="Helvetica"/>
          <w:lang w:val="en"/>
        </w:rPr>
        <w:t>loyment rate remains high at 42 per cent in Gaza and 18 per cent</w:t>
      </w:r>
      <w:r w:rsidR="00193EAE" w:rsidRPr="00AE5CB8">
        <w:rPr>
          <w:rFonts w:cs="Helvetica"/>
          <w:lang w:val="en"/>
        </w:rPr>
        <w:t xml:space="preserve"> in </w:t>
      </w:r>
      <w:r w:rsidR="00193EAE">
        <w:rPr>
          <w:rFonts w:cs="Helvetica"/>
          <w:lang w:val="en"/>
        </w:rPr>
        <w:t>the West Bank</w:t>
      </w:r>
      <w:r w:rsidR="00193EAE" w:rsidRPr="00AE5CB8">
        <w:rPr>
          <w:rFonts w:cs="Helvetica"/>
          <w:lang w:val="en"/>
        </w:rPr>
        <w:t xml:space="preserve">. </w:t>
      </w:r>
    </w:p>
    <w:p w14:paraId="468CF932" w14:textId="4918E898" w:rsidR="00193EAE" w:rsidRDefault="00407DDA" w:rsidP="007447CC">
      <w:pPr>
        <w:rPr>
          <w:rFonts w:cs="Helvetica"/>
          <w:lang w:val="en"/>
        </w:rPr>
      </w:pPr>
      <w:r w:rsidRPr="0047593D">
        <w:rPr>
          <w:rFonts w:cs="Helvetica"/>
          <w:lang w:val="en"/>
        </w:rPr>
        <w:t xml:space="preserve">The </w:t>
      </w:r>
      <w:r w:rsidR="00436782">
        <w:rPr>
          <w:rFonts w:cs="Helvetica"/>
          <w:lang w:val="en"/>
        </w:rPr>
        <w:t>challenge</w:t>
      </w:r>
      <w:r w:rsidR="00905E07">
        <w:rPr>
          <w:rFonts w:cs="Helvetica"/>
          <w:lang w:val="en"/>
        </w:rPr>
        <w:t>s to social</w:t>
      </w:r>
      <w:r w:rsidR="004C10D7">
        <w:rPr>
          <w:rFonts w:cs="Helvetica"/>
          <w:lang w:val="en"/>
        </w:rPr>
        <w:t xml:space="preserve"> and economic</w:t>
      </w:r>
      <w:r w:rsidRPr="0047593D">
        <w:rPr>
          <w:rFonts w:cs="Helvetica"/>
          <w:lang w:val="en"/>
        </w:rPr>
        <w:t xml:space="preserve"> develop</w:t>
      </w:r>
      <w:r w:rsidR="002B3853" w:rsidRPr="0047593D">
        <w:rPr>
          <w:rFonts w:cs="Helvetica"/>
          <w:lang w:val="en"/>
        </w:rPr>
        <w:t>ment</w:t>
      </w:r>
      <w:r w:rsidRPr="0047593D">
        <w:rPr>
          <w:rFonts w:cs="Helvetica"/>
          <w:lang w:val="en"/>
        </w:rPr>
        <w:t xml:space="preserve"> are </w:t>
      </w:r>
      <w:r w:rsidR="0047593D">
        <w:rPr>
          <w:rFonts w:cs="Times New Roman"/>
          <w:lang w:val="en-AU"/>
        </w:rPr>
        <w:t>particularly acute in Gaza</w:t>
      </w:r>
      <w:r w:rsidR="00763659">
        <w:rPr>
          <w:rFonts w:cs="Helvetica"/>
          <w:color w:val="auto"/>
          <w:lang w:val="en"/>
        </w:rPr>
        <w:t xml:space="preserve"> </w:t>
      </w:r>
      <w:r w:rsidR="00763659" w:rsidRPr="00763659">
        <w:rPr>
          <w:rFonts w:cs="Helvetica"/>
          <w:lang w:val="en"/>
        </w:rPr>
        <w:t xml:space="preserve">where the </w:t>
      </w:r>
      <w:r w:rsidR="00905E07">
        <w:rPr>
          <w:rFonts w:cs="Helvetica"/>
          <w:lang w:val="en"/>
        </w:rPr>
        <w:t xml:space="preserve">effects from the </w:t>
      </w:r>
      <w:r w:rsidR="00AF7675" w:rsidRPr="00AE5CB8">
        <w:rPr>
          <w:rFonts w:cs="Helvetica"/>
          <w:lang w:val="en"/>
        </w:rPr>
        <w:t xml:space="preserve">2014 </w:t>
      </w:r>
      <w:r w:rsidR="007D2B47">
        <w:rPr>
          <w:rFonts w:cs="Helvetica"/>
          <w:lang w:val="en"/>
        </w:rPr>
        <w:t>conflict</w:t>
      </w:r>
      <w:r w:rsidR="00905E07">
        <w:rPr>
          <w:rFonts w:cs="Helvetica"/>
          <w:lang w:val="en"/>
        </w:rPr>
        <w:t xml:space="preserve"> continue </w:t>
      </w:r>
      <w:r w:rsidR="00193EAE">
        <w:rPr>
          <w:rFonts w:cs="Helvetica"/>
          <w:lang w:val="en"/>
        </w:rPr>
        <w:t>to be felt</w:t>
      </w:r>
      <w:r w:rsidR="00905E07">
        <w:rPr>
          <w:rFonts w:cs="Helvetica"/>
          <w:lang w:val="en"/>
        </w:rPr>
        <w:t>.</w:t>
      </w:r>
      <w:r w:rsidR="00193EAE">
        <w:rPr>
          <w:rFonts w:cs="Helvetica"/>
          <w:lang w:val="en"/>
        </w:rPr>
        <w:t xml:space="preserve">  T</w:t>
      </w:r>
      <w:r w:rsidR="00193EAE" w:rsidRPr="00792D46">
        <w:rPr>
          <w:rFonts w:cs="Helvetica"/>
          <w:lang w:val="en"/>
        </w:rPr>
        <w:t>he worsen</w:t>
      </w:r>
      <w:r w:rsidR="00193EAE">
        <w:rPr>
          <w:rFonts w:cs="Helvetica"/>
          <w:lang w:val="en"/>
        </w:rPr>
        <w:t>ing water and electricity situation</w:t>
      </w:r>
      <w:r w:rsidR="00193EAE" w:rsidRPr="00792D46">
        <w:rPr>
          <w:rFonts w:cs="Helvetica"/>
          <w:lang w:val="en"/>
        </w:rPr>
        <w:t xml:space="preserve"> in Gaza further </w:t>
      </w:r>
      <w:r w:rsidR="00193EAE">
        <w:rPr>
          <w:rFonts w:cs="Helvetica"/>
          <w:lang w:val="en"/>
        </w:rPr>
        <w:t>impacts</w:t>
      </w:r>
      <w:r w:rsidR="00193EAE" w:rsidRPr="00792D46">
        <w:rPr>
          <w:rFonts w:cs="Helvetica"/>
          <w:lang w:val="en"/>
        </w:rPr>
        <w:t xml:space="preserve"> economic growth and increases the potential for instability</w:t>
      </w:r>
      <w:r w:rsidR="00193EAE">
        <w:rPr>
          <w:rFonts w:cs="Helvetica"/>
          <w:lang w:val="en"/>
        </w:rPr>
        <w:t>.</w:t>
      </w:r>
      <w:r w:rsidR="00193EAE" w:rsidRPr="00792D46">
        <w:rPr>
          <w:rFonts w:cs="Helvetica"/>
          <w:lang w:val="en"/>
        </w:rPr>
        <w:t xml:space="preserve"> </w:t>
      </w:r>
    </w:p>
    <w:p w14:paraId="0B39D90E" w14:textId="606B3754" w:rsidR="001F3402" w:rsidRDefault="00AE5CB8" w:rsidP="007447CC">
      <w:pPr>
        <w:rPr>
          <w:rFonts w:cs="Helvetica"/>
          <w:lang w:val="en"/>
        </w:rPr>
      </w:pPr>
      <w:r w:rsidRPr="00AE5CB8">
        <w:rPr>
          <w:rFonts w:cs="Helvetica"/>
          <w:lang w:val="en"/>
        </w:rPr>
        <w:t>Australia provided $</w:t>
      </w:r>
      <w:r w:rsidR="00BB06BF">
        <w:rPr>
          <w:rFonts w:cs="Helvetica"/>
          <w:lang w:val="en"/>
        </w:rPr>
        <w:t>43</w:t>
      </w:r>
      <w:r w:rsidRPr="00AE5CB8">
        <w:rPr>
          <w:rFonts w:cs="Helvetica"/>
          <w:lang w:val="en"/>
        </w:rPr>
        <w:t xml:space="preserve"> million in development as</w:t>
      </w:r>
      <w:r w:rsidR="00905E07">
        <w:rPr>
          <w:rFonts w:cs="Helvetica"/>
          <w:lang w:val="en"/>
        </w:rPr>
        <w:t xml:space="preserve">sistance to the PTs in 2016-17, which is a </w:t>
      </w:r>
      <w:r w:rsidR="00905E07">
        <w:rPr>
          <w:lang w:val="en-US"/>
        </w:rPr>
        <w:t xml:space="preserve">tangible demonstration of our long-standing support for the Middle East peace process. </w:t>
      </w:r>
      <w:r w:rsidR="001F3402">
        <w:rPr>
          <w:lang w:val="en-US"/>
        </w:rPr>
        <w:t xml:space="preserve"> </w:t>
      </w:r>
      <w:r w:rsidR="006F0B9D">
        <w:rPr>
          <w:lang w:val="en-US"/>
        </w:rPr>
        <w:t>The aid program</w:t>
      </w:r>
      <w:r w:rsidR="00905E07">
        <w:rPr>
          <w:lang w:val="en-US"/>
        </w:rPr>
        <w:t xml:space="preserve"> is helping to strengthen the economic and social foundations of a future Palestinian </w:t>
      </w:r>
      <w:r w:rsidR="00EC09F6">
        <w:rPr>
          <w:lang w:val="en-US"/>
        </w:rPr>
        <w:t>state that</w:t>
      </w:r>
      <w:r w:rsidR="00905E07">
        <w:rPr>
          <w:lang w:val="en-US"/>
        </w:rPr>
        <w:t xml:space="preserve"> can provide jobs and services for its people. </w:t>
      </w:r>
      <w:r w:rsidR="001F3402">
        <w:rPr>
          <w:lang w:val="en-US"/>
        </w:rPr>
        <w:t xml:space="preserve"> </w:t>
      </w:r>
      <w:r w:rsidR="006F0B9D">
        <w:rPr>
          <w:rFonts w:cs="Helvetica"/>
          <w:lang w:val="en"/>
        </w:rPr>
        <w:t xml:space="preserve">This </w:t>
      </w:r>
      <w:r w:rsidR="00BB06BF">
        <w:rPr>
          <w:rFonts w:cs="Helvetica"/>
          <w:lang w:val="en"/>
        </w:rPr>
        <w:t>contribut</w:t>
      </w:r>
      <w:r w:rsidR="00EC09F6">
        <w:rPr>
          <w:rFonts w:cs="Helvetica"/>
          <w:lang w:val="en"/>
        </w:rPr>
        <w:t xml:space="preserve">ion equates to less than </w:t>
      </w:r>
      <w:r w:rsidR="00207D72">
        <w:rPr>
          <w:rFonts w:cs="Helvetica"/>
          <w:lang w:val="en"/>
        </w:rPr>
        <w:t xml:space="preserve">a </w:t>
      </w:r>
      <w:r w:rsidR="00EC09F6">
        <w:rPr>
          <w:rFonts w:cs="Helvetica"/>
          <w:lang w:val="en"/>
        </w:rPr>
        <w:t xml:space="preserve">half </w:t>
      </w:r>
      <w:r w:rsidR="00E347BD">
        <w:rPr>
          <w:rFonts w:cs="Helvetica"/>
          <w:lang w:val="en"/>
        </w:rPr>
        <w:t xml:space="preserve">of one </w:t>
      </w:r>
      <w:r w:rsidR="00BB06BF">
        <w:rPr>
          <w:rFonts w:cs="Helvetica"/>
          <w:lang w:val="en"/>
        </w:rPr>
        <w:t>per</w:t>
      </w:r>
      <w:r w:rsidR="0014664D">
        <w:rPr>
          <w:rFonts w:cs="Helvetica"/>
          <w:lang w:val="en"/>
        </w:rPr>
        <w:t xml:space="preserve"> </w:t>
      </w:r>
      <w:r w:rsidR="00BB06BF">
        <w:rPr>
          <w:rFonts w:cs="Helvetica"/>
          <w:lang w:val="en"/>
        </w:rPr>
        <w:t xml:space="preserve">cent of the PTs Gross Domestic Product (GDP) </w:t>
      </w:r>
      <w:r w:rsidR="00436782">
        <w:rPr>
          <w:rFonts w:cs="Helvetica"/>
          <w:lang w:val="en"/>
        </w:rPr>
        <w:t xml:space="preserve">so Australia aligns </w:t>
      </w:r>
      <w:r w:rsidR="00BD54E6">
        <w:rPr>
          <w:rFonts w:cs="Helvetica"/>
          <w:lang w:val="en"/>
        </w:rPr>
        <w:t xml:space="preserve">our support with the </w:t>
      </w:r>
      <w:r w:rsidR="0014664D">
        <w:rPr>
          <w:rFonts w:cs="Helvetica"/>
          <w:lang w:val="en"/>
        </w:rPr>
        <w:t>PA</w:t>
      </w:r>
      <w:r w:rsidR="00436782">
        <w:rPr>
          <w:rFonts w:cs="Helvetica"/>
          <w:lang w:val="en"/>
        </w:rPr>
        <w:t>’s</w:t>
      </w:r>
      <w:r w:rsidR="00BD54E6">
        <w:rPr>
          <w:rFonts w:cs="Helvetica"/>
          <w:lang w:val="en"/>
        </w:rPr>
        <w:t xml:space="preserve"> objectives and other donors for maximum impact.</w:t>
      </w:r>
      <w:r w:rsidR="004665C7">
        <w:rPr>
          <w:rFonts w:cs="Helvetica"/>
          <w:lang w:val="en"/>
        </w:rPr>
        <w:t xml:space="preserve"> </w:t>
      </w:r>
    </w:p>
    <w:p w14:paraId="2E5D0F4D" w14:textId="0C3683B6" w:rsidR="006C59EB" w:rsidRPr="00905E07" w:rsidRDefault="006F0B9D" w:rsidP="007447CC">
      <w:pPr>
        <w:rPr>
          <w:rFonts w:cs="Helvetica"/>
          <w:lang w:val="en"/>
        </w:rPr>
      </w:pPr>
      <w:r>
        <w:rPr>
          <w:rFonts w:cs="Helvetica"/>
          <w:lang w:val="en"/>
        </w:rPr>
        <w:t xml:space="preserve">Australia’s </w:t>
      </w:r>
      <w:r w:rsidR="00AE5CB8" w:rsidRPr="00AE5CB8">
        <w:rPr>
          <w:rFonts w:cs="Helvetica"/>
          <w:lang w:val="en"/>
        </w:rPr>
        <w:t xml:space="preserve">objectives as set out </w:t>
      </w:r>
      <w:r w:rsidR="001F3402">
        <w:rPr>
          <w:rFonts w:cs="Helvetica"/>
          <w:lang w:val="en"/>
        </w:rPr>
        <w:t>in the Aid Investment Plan</w:t>
      </w:r>
      <w:r w:rsidR="00AE5CB8" w:rsidRPr="00AE5CB8">
        <w:rPr>
          <w:rFonts w:cs="Helvetica"/>
          <w:lang w:val="en"/>
        </w:rPr>
        <w:t xml:space="preserve"> are to </w:t>
      </w:r>
      <w:r w:rsidR="00EC09F6">
        <w:rPr>
          <w:rFonts w:cs="Helvetica"/>
          <w:lang w:val="en"/>
        </w:rPr>
        <w:t>s</w:t>
      </w:r>
      <w:r w:rsidR="00AE5CB8" w:rsidRPr="00AE5CB8">
        <w:rPr>
          <w:rFonts w:cs="Helvetica"/>
          <w:lang w:val="en"/>
        </w:rPr>
        <w:t>upport improved public</w:t>
      </w:r>
      <w:r w:rsidR="001F3402">
        <w:rPr>
          <w:rFonts w:eastAsia="Times New Roman" w:cs="Times New Roman"/>
          <w:iCs/>
          <w:szCs w:val="17"/>
          <w:lang w:val="en-AU"/>
        </w:rPr>
        <w:t xml:space="preserve"> </w:t>
      </w:r>
      <w:r w:rsidR="00AE5CB8" w:rsidRPr="00AE5CB8">
        <w:rPr>
          <w:rFonts w:eastAsia="Times New Roman" w:cs="Times New Roman"/>
          <w:iCs/>
          <w:szCs w:val="17"/>
          <w:lang w:val="en-AU"/>
        </w:rPr>
        <w:t xml:space="preserve">financial management and a more competitive agricultural economy; and </w:t>
      </w:r>
      <w:r w:rsidR="00EC09F6">
        <w:rPr>
          <w:rFonts w:eastAsia="Times New Roman" w:cs="Times New Roman"/>
          <w:iCs/>
          <w:szCs w:val="17"/>
          <w:lang w:val="en-AU"/>
        </w:rPr>
        <w:t>t</w:t>
      </w:r>
      <w:r w:rsidR="00AE5CB8" w:rsidRPr="00AE5CB8">
        <w:rPr>
          <w:rFonts w:eastAsia="Times New Roman" w:cs="Times New Roman"/>
          <w:iCs/>
          <w:szCs w:val="17"/>
          <w:lang w:val="en-AU"/>
        </w:rPr>
        <w:t xml:space="preserve">o support Palestinian refugees in the PTs and across the region </w:t>
      </w:r>
      <w:r w:rsidR="00207D72">
        <w:rPr>
          <w:rFonts w:eastAsia="Times New Roman" w:cs="Times New Roman"/>
          <w:iCs/>
          <w:szCs w:val="17"/>
          <w:lang w:val="en-AU"/>
        </w:rPr>
        <w:t xml:space="preserve">to </w:t>
      </w:r>
      <w:r w:rsidR="00AE5CB8" w:rsidRPr="00AE5CB8">
        <w:rPr>
          <w:rFonts w:eastAsia="Times New Roman" w:cs="Times New Roman"/>
          <w:iCs/>
          <w:szCs w:val="17"/>
          <w:lang w:val="en-AU"/>
        </w:rPr>
        <w:t>access quality basic services</w:t>
      </w:r>
      <w:r w:rsidR="00AE5CB8">
        <w:rPr>
          <w:rFonts w:eastAsia="Times New Roman" w:cs="Times New Roman"/>
          <w:iCs/>
          <w:szCs w:val="17"/>
          <w:lang w:val="en-AU"/>
        </w:rPr>
        <w:t xml:space="preserve">. </w:t>
      </w:r>
      <w:r w:rsidR="001F3402">
        <w:rPr>
          <w:rFonts w:eastAsia="Times New Roman" w:cs="Times New Roman"/>
          <w:iCs/>
          <w:szCs w:val="17"/>
          <w:lang w:val="en-AU"/>
        </w:rPr>
        <w:t xml:space="preserve"> </w:t>
      </w:r>
      <w:r w:rsidR="00AE5CB8">
        <w:rPr>
          <w:rFonts w:eastAsia="Times New Roman" w:cs="Times New Roman"/>
          <w:iCs/>
          <w:szCs w:val="17"/>
          <w:lang w:val="en-AU"/>
        </w:rPr>
        <w:t>Australia</w:t>
      </w:r>
      <w:r w:rsidR="00207D72">
        <w:rPr>
          <w:rFonts w:eastAsia="Times New Roman" w:cs="Times New Roman"/>
          <w:iCs/>
          <w:szCs w:val="17"/>
          <w:lang w:val="en-AU"/>
        </w:rPr>
        <w:t xml:space="preserve"> </w:t>
      </w:r>
      <w:r w:rsidR="00967305">
        <w:rPr>
          <w:rFonts w:eastAsia="Times New Roman" w:cs="Times New Roman"/>
          <w:iCs/>
          <w:szCs w:val="17"/>
          <w:lang w:val="en-AU"/>
        </w:rPr>
        <w:t>implement</w:t>
      </w:r>
      <w:r w:rsidR="00207D72">
        <w:rPr>
          <w:rFonts w:eastAsia="Times New Roman" w:cs="Times New Roman"/>
          <w:iCs/>
          <w:szCs w:val="17"/>
          <w:lang w:val="en-AU"/>
        </w:rPr>
        <w:t>s</w:t>
      </w:r>
      <w:r w:rsidR="00967305">
        <w:rPr>
          <w:rFonts w:eastAsia="Times New Roman" w:cs="Times New Roman"/>
          <w:iCs/>
          <w:szCs w:val="17"/>
          <w:lang w:val="en-AU"/>
        </w:rPr>
        <w:t xml:space="preserve"> the</w:t>
      </w:r>
      <w:r w:rsidR="007447CC">
        <w:rPr>
          <w:rFonts w:eastAsia="Times New Roman" w:cs="Times New Roman"/>
          <w:iCs/>
          <w:szCs w:val="17"/>
          <w:lang w:val="en-AU"/>
        </w:rPr>
        <w:t>se</w:t>
      </w:r>
      <w:r w:rsidR="00967305">
        <w:rPr>
          <w:rFonts w:eastAsia="Times New Roman" w:cs="Times New Roman"/>
          <w:iCs/>
          <w:szCs w:val="17"/>
          <w:lang w:val="en-AU"/>
        </w:rPr>
        <w:t xml:space="preserve"> objectives through a number of targeted investments.</w:t>
      </w:r>
    </w:p>
    <w:p w14:paraId="0D962C8F" w14:textId="63BD3A4E" w:rsidR="001F3402" w:rsidRDefault="00967305" w:rsidP="007447CC">
      <w:pPr>
        <w:rPr>
          <w:rFonts w:eastAsia="Times New Roman" w:cs="Times New Roman"/>
          <w:iCs/>
          <w:szCs w:val="17"/>
          <w:lang w:val="en-AU"/>
        </w:rPr>
      </w:pPr>
      <w:r>
        <w:rPr>
          <w:rFonts w:eastAsia="Times New Roman" w:cs="Times New Roman"/>
          <w:iCs/>
          <w:szCs w:val="17"/>
          <w:lang w:val="en-AU"/>
        </w:rPr>
        <w:t xml:space="preserve">In 2016-17, Australia </w:t>
      </w:r>
      <w:r w:rsidR="006F0B9D">
        <w:rPr>
          <w:rFonts w:eastAsia="Times New Roman" w:cs="Times New Roman"/>
          <w:iCs/>
          <w:szCs w:val="17"/>
          <w:lang w:val="en-AU"/>
        </w:rPr>
        <w:t xml:space="preserve">gave continued </w:t>
      </w:r>
      <w:r>
        <w:rPr>
          <w:rFonts w:eastAsia="Times New Roman" w:cs="Times New Roman"/>
          <w:iCs/>
          <w:szCs w:val="17"/>
          <w:lang w:val="en-AU"/>
        </w:rPr>
        <w:t xml:space="preserve">support to the United Nations Relief </w:t>
      </w:r>
      <w:r w:rsidR="001F3402">
        <w:rPr>
          <w:rFonts w:eastAsia="Times New Roman" w:cs="Times New Roman"/>
          <w:iCs/>
          <w:szCs w:val="17"/>
          <w:lang w:val="en-AU"/>
        </w:rPr>
        <w:t xml:space="preserve">and </w:t>
      </w:r>
      <w:r>
        <w:rPr>
          <w:rFonts w:eastAsia="Times New Roman" w:cs="Times New Roman"/>
          <w:iCs/>
          <w:szCs w:val="17"/>
          <w:lang w:val="en-AU"/>
        </w:rPr>
        <w:t>Works Agency (UNRWA) to provide</w:t>
      </w:r>
      <w:r w:rsidR="00865EBA">
        <w:rPr>
          <w:rFonts w:eastAsia="Times New Roman" w:cs="Times New Roman"/>
          <w:iCs/>
          <w:szCs w:val="17"/>
          <w:lang w:val="en-AU"/>
        </w:rPr>
        <w:t xml:space="preserve"> health, </w:t>
      </w:r>
      <w:r w:rsidR="0020575E">
        <w:rPr>
          <w:rFonts w:eastAsia="Times New Roman" w:cs="Times New Roman"/>
          <w:iCs/>
          <w:szCs w:val="17"/>
          <w:lang w:val="en-AU"/>
        </w:rPr>
        <w:t xml:space="preserve">education </w:t>
      </w:r>
      <w:r w:rsidR="00865EBA">
        <w:rPr>
          <w:rFonts w:eastAsia="Times New Roman" w:cs="Times New Roman"/>
          <w:iCs/>
          <w:szCs w:val="17"/>
          <w:lang w:val="en-AU"/>
        </w:rPr>
        <w:t xml:space="preserve">and protection </w:t>
      </w:r>
      <w:r>
        <w:rPr>
          <w:rFonts w:eastAsia="Times New Roman" w:cs="Times New Roman"/>
          <w:iCs/>
          <w:szCs w:val="17"/>
          <w:lang w:val="en-AU"/>
        </w:rPr>
        <w:t xml:space="preserve">services to Palestinian refugees in the PTs and the region. </w:t>
      </w:r>
      <w:r w:rsidR="001F3402">
        <w:rPr>
          <w:rFonts w:eastAsia="Times New Roman" w:cs="Times New Roman"/>
          <w:iCs/>
          <w:szCs w:val="17"/>
          <w:lang w:val="en-AU"/>
        </w:rPr>
        <w:t xml:space="preserve"> </w:t>
      </w:r>
      <w:r w:rsidR="00BB06BF">
        <w:rPr>
          <w:rFonts w:eastAsia="Times New Roman" w:cs="Times New Roman"/>
          <w:iCs/>
          <w:szCs w:val="17"/>
          <w:lang w:val="en-AU"/>
        </w:rPr>
        <w:t>We continue</w:t>
      </w:r>
      <w:r w:rsidR="002B3853">
        <w:rPr>
          <w:rFonts w:eastAsia="Times New Roman" w:cs="Times New Roman"/>
          <w:iCs/>
          <w:szCs w:val="17"/>
          <w:lang w:val="en-AU"/>
        </w:rPr>
        <w:t>d</w:t>
      </w:r>
      <w:r w:rsidR="00BB06BF">
        <w:rPr>
          <w:rFonts w:eastAsia="Times New Roman" w:cs="Times New Roman"/>
          <w:iCs/>
          <w:szCs w:val="17"/>
          <w:lang w:val="en-AU"/>
        </w:rPr>
        <w:t xml:space="preserve"> </w:t>
      </w:r>
      <w:r>
        <w:rPr>
          <w:rFonts w:eastAsia="Times New Roman" w:cs="Times New Roman"/>
          <w:iCs/>
          <w:szCs w:val="17"/>
          <w:lang w:val="en-AU"/>
        </w:rPr>
        <w:t xml:space="preserve">to </w:t>
      </w:r>
      <w:r w:rsidR="00BB06BF">
        <w:rPr>
          <w:rFonts w:eastAsia="Times New Roman" w:cs="Times New Roman"/>
          <w:iCs/>
          <w:szCs w:val="17"/>
          <w:lang w:val="en-AU"/>
        </w:rPr>
        <w:t xml:space="preserve">support </w:t>
      </w:r>
      <w:r>
        <w:rPr>
          <w:rFonts w:eastAsia="Times New Roman" w:cs="Times New Roman"/>
          <w:iCs/>
          <w:szCs w:val="17"/>
          <w:lang w:val="en-AU"/>
        </w:rPr>
        <w:t xml:space="preserve">the third phase of the Australian Middle East NGO </w:t>
      </w:r>
      <w:r w:rsidR="0006292A">
        <w:rPr>
          <w:rFonts w:eastAsia="Times New Roman" w:cs="Times New Roman"/>
          <w:iCs/>
          <w:szCs w:val="17"/>
          <w:lang w:val="en-AU"/>
        </w:rPr>
        <w:t xml:space="preserve">Cooperation </w:t>
      </w:r>
      <w:r>
        <w:rPr>
          <w:rFonts w:eastAsia="Times New Roman" w:cs="Times New Roman"/>
          <w:iCs/>
          <w:szCs w:val="17"/>
          <w:lang w:val="en-AU"/>
        </w:rPr>
        <w:t>Agreement (AMENCA 3)</w:t>
      </w:r>
      <w:r w:rsidR="00EC09F6">
        <w:rPr>
          <w:rFonts w:eastAsia="Times New Roman" w:cs="Times New Roman"/>
          <w:iCs/>
          <w:szCs w:val="17"/>
          <w:lang w:val="en-AU"/>
        </w:rPr>
        <w:t xml:space="preserve">. </w:t>
      </w:r>
      <w:r w:rsidR="001F3402">
        <w:rPr>
          <w:rFonts w:eastAsia="Times New Roman" w:cs="Times New Roman"/>
          <w:iCs/>
          <w:szCs w:val="17"/>
          <w:lang w:val="en-AU"/>
        </w:rPr>
        <w:t xml:space="preserve"> </w:t>
      </w:r>
      <w:r w:rsidR="00EC09F6">
        <w:rPr>
          <w:rFonts w:eastAsia="Times New Roman" w:cs="Times New Roman"/>
          <w:iCs/>
          <w:szCs w:val="17"/>
          <w:lang w:val="en-AU"/>
        </w:rPr>
        <w:t>This investment</w:t>
      </w:r>
      <w:r>
        <w:rPr>
          <w:rFonts w:eastAsia="Times New Roman" w:cs="Times New Roman"/>
          <w:iCs/>
          <w:szCs w:val="17"/>
          <w:lang w:val="en-AU"/>
        </w:rPr>
        <w:t xml:space="preserve"> </w:t>
      </w:r>
      <w:r w:rsidR="00E6654B">
        <w:rPr>
          <w:rFonts w:eastAsia="Times New Roman" w:cs="Times New Roman"/>
          <w:iCs/>
          <w:szCs w:val="17"/>
          <w:lang w:val="en-AU"/>
        </w:rPr>
        <w:t xml:space="preserve">seeks to increase </w:t>
      </w:r>
      <w:r w:rsidR="00436782">
        <w:rPr>
          <w:rFonts w:eastAsia="Times New Roman" w:cs="Times New Roman"/>
          <w:iCs/>
          <w:szCs w:val="17"/>
          <w:lang w:val="en-AU"/>
        </w:rPr>
        <w:t>livelihood opportunities</w:t>
      </w:r>
      <w:r w:rsidR="007447CC">
        <w:rPr>
          <w:rFonts w:eastAsia="Times New Roman" w:cs="Times New Roman"/>
          <w:iCs/>
          <w:szCs w:val="17"/>
          <w:lang w:val="en-AU"/>
        </w:rPr>
        <w:t xml:space="preserve"> for Palestinian farming communities</w:t>
      </w:r>
      <w:r w:rsidR="00436782">
        <w:rPr>
          <w:rFonts w:eastAsia="Times New Roman" w:cs="Times New Roman"/>
          <w:iCs/>
          <w:szCs w:val="17"/>
          <w:lang w:val="en-AU"/>
        </w:rPr>
        <w:t>, including women and youth, though increasing</w:t>
      </w:r>
      <w:r w:rsidR="007447CC">
        <w:rPr>
          <w:rFonts w:eastAsia="Times New Roman" w:cs="Times New Roman"/>
          <w:iCs/>
          <w:szCs w:val="17"/>
          <w:lang w:val="en-AU"/>
        </w:rPr>
        <w:t xml:space="preserve"> </w:t>
      </w:r>
      <w:r w:rsidR="00E6654B">
        <w:rPr>
          <w:rFonts w:eastAsia="Times New Roman" w:cs="Times New Roman"/>
          <w:iCs/>
          <w:szCs w:val="17"/>
          <w:lang w:val="en-AU"/>
        </w:rPr>
        <w:t xml:space="preserve">productivity in the </w:t>
      </w:r>
      <w:r w:rsidR="00436782">
        <w:rPr>
          <w:rFonts w:eastAsia="Times New Roman" w:cs="Times New Roman"/>
          <w:iCs/>
          <w:szCs w:val="17"/>
          <w:lang w:val="en-AU"/>
        </w:rPr>
        <w:t>agriculture sector</w:t>
      </w:r>
      <w:r w:rsidR="006C59EB">
        <w:rPr>
          <w:rFonts w:eastAsia="Times New Roman" w:cs="Times New Roman"/>
          <w:iCs/>
          <w:szCs w:val="17"/>
          <w:lang w:val="en-AU"/>
        </w:rPr>
        <w:t>.</w:t>
      </w:r>
      <w:r w:rsidR="00E6654B">
        <w:rPr>
          <w:rFonts w:eastAsia="Times New Roman" w:cs="Times New Roman"/>
          <w:iCs/>
          <w:szCs w:val="17"/>
          <w:lang w:val="en-AU"/>
        </w:rPr>
        <w:t xml:space="preserve"> </w:t>
      </w:r>
      <w:r w:rsidR="001F3402">
        <w:rPr>
          <w:rFonts w:eastAsia="Times New Roman" w:cs="Times New Roman"/>
          <w:iCs/>
          <w:szCs w:val="17"/>
          <w:lang w:val="en-AU"/>
        </w:rPr>
        <w:t xml:space="preserve"> Australia </w:t>
      </w:r>
      <w:r w:rsidR="00BB06BF">
        <w:rPr>
          <w:rFonts w:eastAsia="Times New Roman" w:cs="Times New Roman"/>
          <w:iCs/>
          <w:szCs w:val="17"/>
          <w:lang w:val="en-AU"/>
        </w:rPr>
        <w:t xml:space="preserve">supported the PA through the World Bank’s </w:t>
      </w:r>
      <w:r w:rsidR="00D23895">
        <w:rPr>
          <w:rFonts w:eastAsia="Times New Roman" w:cs="Times New Roman"/>
          <w:iCs/>
          <w:szCs w:val="17"/>
          <w:lang w:val="en-AU"/>
        </w:rPr>
        <w:t>‘</w:t>
      </w:r>
      <w:r w:rsidR="00BB06BF">
        <w:rPr>
          <w:rFonts w:eastAsia="Times New Roman" w:cs="Times New Roman"/>
          <w:iCs/>
          <w:szCs w:val="17"/>
          <w:lang w:val="en-AU"/>
        </w:rPr>
        <w:t>Palestine Reform and Development Plan</w:t>
      </w:r>
      <w:r w:rsidR="001F3402">
        <w:rPr>
          <w:rFonts w:eastAsia="Times New Roman" w:cs="Times New Roman"/>
          <w:iCs/>
          <w:szCs w:val="17"/>
          <w:lang w:val="en-AU"/>
        </w:rPr>
        <w:t>’</w:t>
      </w:r>
      <w:r w:rsidR="00BB06BF">
        <w:rPr>
          <w:rFonts w:eastAsia="Times New Roman" w:cs="Times New Roman"/>
          <w:iCs/>
          <w:szCs w:val="17"/>
          <w:lang w:val="en-AU"/>
        </w:rPr>
        <w:t xml:space="preserve"> Multi-Donor Trust </w:t>
      </w:r>
      <w:r w:rsidR="00EC09F6">
        <w:rPr>
          <w:rFonts w:eastAsia="Times New Roman" w:cs="Times New Roman"/>
          <w:iCs/>
          <w:szCs w:val="17"/>
          <w:lang w:val="en-AU"/>
        </w:rPr>
        <w:t>Fund that</w:t>
      </w:r>
      <w:r w:rsidR="00BB06BF">
        <w:rPr>
          <w:rFonts w:eastAsia="Times New Roman" w:cs="Times New Roman"/>
          <w:iCs/>
          <w:szCs w:val="17"/>
          <w:lang w:val="en-AU"/>
        </w:rPr>
        <w:t xml:space="preserve"> works to improve public financial</w:t>
      </w:r>
      <w:r w:rsidR="00436782">
        <w:rPr>
          <w:rFonts w:eastAsia="Times New Roman" w:cs="Times New Roman"/>
          <w:iCs/>
          <w:szCs w:val="17"/>
          <w:lang w:val="en-AU"/>
        </w:rPr>
        <w:t xml:space="preserve"> management capacity of the PA.</w:t>
      </w:r>
      <w:r w:rsidR="00D30765">
        <w:rPr>
          <w:rFonts w:eastAsia="Times New Roman" w:cs="Times New Roman"/>
          <w:iCs/>
          <w:szCs w:val="17"/>
          <w:lang w:val="en-AU"/>
        </w:rPr>
        <w:t xml:space="preserve"> </w:t>
      </w:r>
    </w:p>
    <w:p w14:paraId="4320D5EA" w14:textId="312A8630" w:rsidR="00AE5CB8" w:rsidRDefault="00BB06BF" w:rsidP="007447CC">
      <w:pPr>
        <w:rPr>
          <w:rFonts w:eastAsia="Times New Roman" w:cs="Times New Roman"/>
          <w:iCs/>
          <w:szCs w:val="17"/>
          <w:lang w:val="en-AU"/>
        </w:rPr>
      </w:pPr>
      <w:r>
        <w:rPr>
          <w:rFonts w:eastAsia="Times New Roman" w:cs="Times New Roman"/>
          <w:iCs/>
          <w:szCs w:val="17"/>
          <w:lang w:val="en-AU"/>
        </w:rPr>
        <w:t xml:space="preserve">Australia provided support to the United Nations </w:t>
      </w:r>
      <w:r w:rsidR="0045271C">
        <w:rPr>
          <w:rFonts w:eastAsia="Times New Roman" w:cs="Times New Roman"/>
          <w:iCs/>
          <w:szCs w:val="17"/>
          <w:lang w:val="en-AU"/>
        </w:rPr>
        <w:t>Children’s</w:t>
      </w:r>
      <w:r>
        <w:rPr>
          <w:rFonts w:eastAsia="Times New Roman" w:cs="Times New Roman"/>
          <w:iCs/>
          <w:szCs w:val="17"/>
          <w:lang w:val="en-AU"/>
        </w:rPr>
        <w:t xml:space="preserve"> Fund (UNICEF) for water, sanitation and hygiene (WASH) services in Palestinian school</w:t>
      </w:r>
      <w:r w:rsidR="007447CC">
        <w:rPr>
          <w:rFonts w:eastAsia="Times New Roman" w:cs="Times New Roman"/>
          <w:iCs/>
          <w:szCs w:val="17"/>
          <w:lang w:val="en-AU"/>
        </w:rPr>
        <w:t>s</w:t>
      </w:r>
      <w:r>
        <w:rPr>
          <w:rFonts w:eastAsia="Times New Roman" w:cs="Times New Roman"/>
          <w:iCs/>
          <w:szCs w:val="17"/>
          <w:lang w:val="en-AU"/>
        </w:rPr>
        <w:t xml:space="preserve">. </w:t>
      </w:r>
      <w:r w:rsidR="001F3402">
        <w:rPr>
          <w:rFonts w:eastAsia="Times New Roman" w:cs="Times New Roman"/>
          <w:iCs/>
          <w:szCs w:val="17"/>
          <w:lang w:val="en-AU"/>
        </w:rPr>
        <w:t xml:space="preserve"> </w:t>
      </w:r>
      <w:r>
        <w:rPr>
          <w:rFonts w:eastAsia="Times New Roman" w:cs="Times New Roman"/>
          <w:iCs/>
          <w:szCs w:val="17"/>
          <w:lang w:val="en-AU"/>
        </w:rPr>
        <w:t>Au</w:t>
      </w:r>
      <w:r w:rsidR="0045271C">
        <w:rPr>
          <w:rFonts w:eastAsia="Times New Roman" w:cs="Times New Roman"/>
          <w:iCs/>
          <w:szCs w:val="17"/>
          <w:lang w:val="en-AU"/>
        </w:rPr>
        <w:t xml:space="preserve">stralia provided support </w:t>
      </w:r>
      <w:r w:rsidR="006F0B9D">
        <w:rPr>
          <w:rFonts w:eastAsia="Times New Roman" w:cs="Times New Roman"/>
          <w:iCs/>
          <w:szCs w:val="17"/>
          <w:lang w:val="en-AU"/>
        </w:rPr>
        <w:t xml:space="preserve">through the </w:t>
      </w:r>
      <w:r w:rsidR="0045271C">
        <w:rPr>
          <w:rFonts w:eastAsia="Times New Roman" w:cs="Times New Roman"/>
          <w:iCs/>
          <w:szCs w:val="17"/>
          <w:lang w:val="en-AU"/>
        </w:rPr>
        <w:t>UN Office for Project Services (UNOPS) for the Access Coordination Unit and the</w:t>
      </w:r>
      <w:r w:rsidR="001F3402">
        <w:rPr>
          <w:rFonts w:eastAsia="Times New Roman" w:cs="Times New Roman"/>
          <w:iCs/>
          <w:szCs w:val="17"/>
          <w:lang w:val="en-AU"/>
        </w:rPr>
        <w:t xml:space="preserve"> Materials Monitoring Unit, which</w:t>
      </w:r>
      <w:r w:rsidR="007447CC">
        <w:rPr>
          <w:rFonts w:eastAsia="Times New Roman" w:cs="Times New Roman"/>
          <w:iCs/>
          <w:szCs w:val="17"/>
          <w:lang w:val="en-AU"/>
        </w:rPr>
        <w:t xml:space="preserve"> facilitate access for humanitarian acto</w:t>
      </w:r>
      <w:r w:rsidR="001F3402">
        <w:rPr>
          <w:rFonts w:eastAsia="Times New Roman" w:cs="Times New Roman"/>
          <w:iCs/>
          <w:szCs w:val="17"/>
          <w:lang w:val="en-AU"/>
        </w:rPr>
        <w:t>rs across the PTs</w:t>
      </w:r>
      <w:r w:rsidR="007447CC">
        <w:rPr>
          <w:rFonts w:eastAsia="Times New Roman" w:cs="Times New Roman"/>
          <w:iCs/>
          <w:szCs w:val="17"/>
          <w:lang w:val="en-AU"/>
        </w:rPr>
        <w:t>, and goods and services to help</w:t>
      </w:r>
      <w:r w:rsidR="00436782">
        <w:rPr>
          <w:rFonts w:eastAsia="Times New Roman" w:cs="Times New Roman"/>
          <w:iCs/>
          <w:szCs w:val="17"/>
          <w:lang w:val="en-AU"/>
        </w:rPr>
        <w:t xml:space="preserve"> the</w:t>
      </w:r>
      <w:r w:rsidR="007447CC">
        <w:rPr>
          <w:rFonts w:eastAsia="Times New Roman" w:cs="Times New Roman"/>
          <w:iCs/>
          <w:szCs w:val="17"/>
          <w:lang w:val="en-AU"/>
        </w:rPr>
        <w:t xml:space="preserve"> Gaza reconstructio</w:t>
      </w:r>
      <w:r w:rsidR="00207D72">
        <w:rPr>
          <w:rFonts w:eastAsia="Times New Roman" w:cs="Times New Roman"/>
          <w:iCs/>
          <w:szCs w:val="17"/>
          <w:lang w:val="en-AU"/>
        </w:rPr>
        <w:t xml:space="preserve">n efforts.  </w:t>
      </w:r>
      <w:r w:rsidR="0045271C">
        <w:rPr>
          <w:rFonts w:eastAsia="Times New Roman" w:cs="Times New Roman"/>
          <w:iCs/>
          <w:szCs w:val="17"/>
          <w:lang w:val="en-AU"/>
        </w:rPr>
        <w:t xml:space="preserve">Australia </w:t>
      </w:r>
      <w:r w:rsidR="00E57BF9">
        <w:rPr>
          <w:rFonts w:eastAsia="Times New Roman" w:cs="Times New Roman"/>
          <w:iCs/>
          <w:szCs w:val="17"/>
          <w:lang w:val="en-AU"/>
        </w:rPr>
        <w:t xml:space="preserve">also provided nine </w:t>
      </w:r>
      <w:r w:rsidR="0045271C">
        <w:rPr>
          <w:rFonts w:eastAsia="Times New Roman" w:cs="Times New Roman"/>
          <w:iCs/>
          <w:szCs w:val="17"/>
          <w:lang w:val="en-AU"/>
        </w:rPr>
        <w:t>Austr</w:t>
      </w:r>
      <w:r w:rsidR="00207D72">
        <w:rPr>
          <w:rFonts w:eastAsia="Times New Roman" w:cs="Times New Roman"/>
          <w:iCs/>
          <w:szCs w:val="17"/>
          <w:lang w:val="en-AU"/>
        </w:rPr>
        <w:t>alian Award s</w:t>
      </w:r>
      <w:r w:rsidR="002B3853">
        <w:rPr>
          <w:rFonts w:eastAsia="Times New Roman" w:cs="Times New Roman"/>
          <w:iCs/>
          <w:szCs w:val="17"/>
          <w:lang w:val="en-AU"/>
        </w:rPr>
        <w:t xml:space="preserve">cholarships </w:t>
      </w:r>
      <w:r w:rsidR="00E57BF9">
        <w:rPr>
          <w:rFonts w:eastAsia="Times New Roman" w:cs="Times New Roman"/>
          <w:iCs/>
          <w:szCs w:val="17"/>
          <w:lang w:val="en-AU"/>
        </w:rPr>
        <w:t>to</w:t>
      </w:r>
      <w:r w:rsidR="002B3853">
        <w:rPr>
          <w:rFonts w:eastAsia="Times New Roman" w:cs="Times New Roman"/>
          <w:iCs/>
          <w:szCs w:val="17"/>
          <w:lang w:val="en-AU"/>
        </w:rPr>
        <w:t xml:space="preserve"> </w:t>
      </w:r>
      <w:r w:rsidR="006C59EB">
        <w:rPr>
          <w:rFonts w:eastAsia="Times New Roman" w:cs="Times New Roman"/>
          <w:iCs/>
          <w:szCs w:val="17"/>
          <w:lang w:val="en-AU"/>
        </w:rPr>
        <w:t>support</w:t>
      </w:r>
      <w:r w:rsidR="002B3853">
        <w:rPr>
          <w:rFonts w:eastAsia="Times New Roman" w:cs="Times New Roman"/>
          <w:iCs/>
          <w:szCs w:val="17"/>
          <w:lang w:val="en-AU"/>
        </w:rPr>
        <w:t xml:space="preserve"> future</w:t>
      </w:r>
      <w:r w:rsidR="00763659">
        <w:rPr>
          <w:rFonts w:eastAsia="Times New Roman" w:cs="Times New Roman"/>
          <w:iCs/>
          <w:szCs w:val="17"/>
          <w:lang w:val="en-AU"/>
        </w:rPr>
        <w:t xml:space="preserve"> Palestinian leaders.</w:t>
      </w:r>
    </w:p>
    <w:p w14:paraId="046EE7EB" w14:textId="77777777" w:rsidR="00BD54E6" w:rsidRDefault="00BD54E6"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4E850545" w14:textId="77777777" w:rsidR="00BD54E6" w:rsidRDefault="00BD54E6"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5DBB3CC9" w14:textId="2493D8EF" w:rsidR="00184F1E" w:rsidRPr="002A51CA" w:rsidRDefault="00184F1E"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14:paraId="7317CF7F" w14:textId="2D4FB828"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307F72">
        <w:rPr>
          <w:b/>
          <w:noProof/>
          <w:sz w:val="24"/>
        </w:rPr>
        <w:t>1</w:t>
      </w:r>
      <w:r w:rsidRPr="008C2F58">
        <w:rPr>
          <w:b/>
          <w:noProof/>
          <w:sz w:val="24"/>
        </w:rPr>
        <w:fldChar w:fldCharType="end"/>
      </w:r>
      <w:r w:rsidRPr="008C2F58">
        <w:rPr>
          <w:b/>
          <w:sz w:val="24"/>
        </w:rPr>
        <w:t xml:space="preserve"> Total ODA Expenditure in FY 201</w:t>
      </w:r>
      <w:r>
        <w:rPr>
          <w:b/>
          <w:sz w:val="24"/>
        </w:rPr>
        <w:t>6</w:t>
      </w:r>
      <w:r w:rsidRPr="008C2F58">
        <w:rPr>
          <w:b/>
          <w:sz w:val="24"/>
        </w:rPr>
        <w:t>-1</w:t>
      </w:r>
      <w:r>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14:paraId="7DAAE092" w14:textId="77777777" w:rsidTr="00CD1652">
        <w:tc>
          <w:tcPr>
            <w:tcW w:w="6374" w:type="dxa"/>
          </w:tcPr>
          <w:p w14:paraId="73802B3A" w14:textId="77777777" w:rsidR="00CD1652" w:rsidRDefault="00CD1652" w:rsidP="002F59DF">
            <w:pPr>
              <w:rPr>
                <w:b/>
                <w:sz w:val="24"/>
              </w:rPr>
            </w:pPr>
            <w:r w:rsidRPr="00BE6C6D">
              <w:rPr>
                <w:sz w:val="20"/>
              </w:rPr>
              <w:t>Objective</w:t>
            </w:r>
          </w:p>
        </w:tc>
        <w:tc>
          <w:tcPr>
            <w:tcW w:w="1423" w:type="dxa"/>
          </w:tcPr>
          <w:p w14:paraId="17074616" w14:textId="77777777" w:rsidR="00CD1652" w:rsidRDefault="00CD1652" w:rsidP="002F59DF">
            <w:pPr>
              <w:jc w:val="center"/>
              <w:rPr>
                <w:b/>
                <w:sz w:val="24"/>
              </w:rPr>
            </w:pPr>
            <w:r w:rsidRPr="00BE6C6D">
              <w:rPr>
                <w:sz w:val="20"/>
              </w:rPr>
              <w:t>A$ million</w:t>
            </w:r>
          </w:p>
        </w:tc>
        <w:tc>
          <w:tcPr>
            <w:tcW w:w="1417" w:type="dxa"/>
          </w:tcPr>
          <w:p w14:paraId="0D1870C5" w14:textId="77777777" w:rsidR="00CD1652" w:rsidRDefault="00CD1652" w:rsidP="002F59DF">
            <w:pPr>
              <w:jc w:val="center"/>
              <w:rPr>
                <w:b/>
                <w:sz w:val="24"/>
              </w:rPr>
            </w:pPr>
            <w:r w:rsidRPr="00BE6C6D">
              <w:rPr>
                <w:sz w:val="20"/>
              </w:rPr>
              <w:t>% of total ODA</w:t>
            </w:r>
          </w:p>
        </w:tc>
      </w:tr>
      <w:tr w:rsidR="00CD1652" w14:paraId="2CC756E0" w14:textId="77777777" w:rsidTr="00CD1652">
        <w:tc>
          <w:tcPr>
            <w:tcW w:w="6374" w:type="dxa"/>
          </w:tcPr>
          <w:p w14:paraId="1F764B49" w14:textId="77777777" w:rsidR="00CD1652" w:rsidRPr="00E341AB" w:rsidRDefault="00CD1652" w:rsidP="002F59DF">
            <w:pPr>
              <w:rPr>
                <w:b/>
                <w:sz w:val="20"/>
                <w:szCs w:val="20"/>
              </w:rPr>
            </w:pPr>
            <w:r w:rsidRPr="00E341AB">
              <w:rPr>
                <w:sz w:val="20"/>
                <w:szCs w:val="20"/>
              </w:rPr>
              <w:t>Objective 1</w:t>
            </w:r>
            <w:r w:rsidR="00E341AB" w:rsidRPr="00E341AB">
              <w:rPr>
                <w:sz w:val="20"/>
                <w:szCs w:val="20"/>
              </w:rPr>
              <w:t xml:space="preserve"> – Improved public financial management and a more competitive agricultural economy in the PTs</w:t>
            </w:r>
          </w:p>
        </w:tc>
        <w:tc>
          <w:tcPr>
            <w:tcW w:w="1423" w:type="dxa"/>
          </w:tcPr>
          <w:p w14:paraId="1832E7F1" w14:textId="77777777" w:rsidR="00CD1652" w:rsidRDefault="00902D07" w:rsidP="002F59DF">
            <w:pPr>
              <w:rPr>
                <w:b/>
                <w:sz w:val="24"/>
              </w:rPr>
            </w:pPr>
            <w:r>
              <w:rPr>
                <w:b/>
                <w:sz w:val="24"/>
              </w:rPr>
              <w:t>17.35</w:t>
            </w:r>
          </w:p>
        </w:tc>
        <w:tc>
          <w:tcPr>
            <w:tcW w:w="1417" w:type="dxa"/>
          </w:tcPr>
          <w:p w14:paraId="73F8D9C5" w14:textId="4D080685" w:rsidR="00CD1652" w:rsidRDefault="00207D72" w:rsidP="002F59DF">
            <w:pPr>
              <w:rPr>
                <w:b/>
                <w:sz w:val="24"/>
              </w:rPr>
            </w:pPr>
            <w:r>
              <w:rPr>
                <w:b/>
                <w:sz w:val="24"/>
              </w:rPr>
              <w:t>40.3</w:t>
            </w:r>
            <w:r w:rsidR="00902D07">
              <w:rPr>
                <w:b/>
                <w:sz w:val="24"/>
              </w:rPr>
              <w:t>%</w:t>
            </w:r>
          </w:p>
        </w:tc>
      </w:tr>
      <w:tr w:rsidR="00CD1652" w14:paraId="4260FD49" w14:textId="77777777" w:rsidTr="00CD1652">
        <w:tc>
          <w:tcPr>
            <w:tcW w:w="6374" w:type="dxa"/>
          </w:tcPr>
          <w:p w14:paraId="765C9009" w14:textId="77777777" w:rsidR="00CD1652" w:rsidRPr="00E341AB" w:rsidRDefault="00CD1652" w:rsidP="002F59DF">
            <w:pPr>
              <w:rPr>
                <w:b/>
                <w:sz w:val="20"/>
                <w:szCs w:val="20"/>
              </w:rPr>
            </w:pPr>
            <w:r w:rsidRPr="00E341AB">
              <w:rPr>
                <w:sz w:val="20"/>
                <w:szCs w:val="20"/>
              </w:rPr>
              <w:t>Objective 2</w:t>
            </w:r>
            <w:r w:rsidR="00E341AB" w:rsidRPr="00E341AB">
              <w:rPr>
                <w:sz w:val="20"/>
                <w:szCs w:val="20"/>
              </w:rPr>
              <w:t xml:space="preserve"> - Palestinian refugees in the PTs and across the region are able to access quality basic services</w:t>
            </w:r>
          </w:p>
        </w:tc>
        <w:tc>
          <w:tcPr>
            <w:tcW w:w="1423" w:type="dxa"/>
          </w:tcPr>
          <w:p w14:paraId="580EA01B" w14:textId="77777777" w:rsidR="00CD1652" w:rsidRDefault="00902D07" w:rsidP="002F59DF">
            <w:pPr>
              <w:rPr>
                <w:b/>
                <w:sz w:val="24"/>
              </w:rPr>
            </w:pPr>
            <w:r>
              <w:rPr>
                <w:b/>
                <w:sz w:val="24"/>
              </w:rPr>
              <w:t>23.75</w:t>
            </w:r>
          </w:p>
        </w:tc>
        <w:tc>
          <w:tcPr>
            <w:tcW w:w="1417" w:type="dxa"/>
          </w:tcPr>
          <w:p w14:paraId="442108F2" w14:textId="29E23C01" w:rsidR="00CD1652" w:rsidRDefault="00207D72" w:rsidP="002F59DF">
            <w:pPr>
              <w:rPr>
                <w:b/>
                <w:sz w:val="24"/>
              </w:rPr>
            </w:pPr>
            <w:r>
              <w:rPr>
                <w:b/>
                <w:sz w:val="24"/>
              </w:rPr>
              <w:t>55.3</w:t>
            </w:r>
            <w:r w:rsidR="00F93F88">
              <w:rPr>
                <w:b/>
                <w:sz w:val="24"/>
              </w:rPr>
              <w:t>%</w:t>
            </w:r>
          </w:p>
        </w:tc>
      </w:tr>
      <w:tr w:rsidR="00CD1652" w14:paraId="1E7B97A5" w14:textId="77777777" w:rsidTr="00CD1652">
        <w:tc>
          <w:tcPr>
            <w:tcW w:w="6374" w:type="dxa"/>
          </w:tcPr>
          <w:p w14:paraId="1DE1BD67" w14:textId="77777777" w:rsidR="00CD1652" w:rsidRDefault="00CD1652" w:rsidP="002F59DF">
            <w:pPr>
              <w:rPr>
                <w:b/>
                <w:sz w:val="24"/>
              </w:rPr>
            </w:pPr>
            <w:r w:rsidRPr="00BE6C6D">
              <w:rPr>
                <w:sz w:val="20"/>
              </w:rPr>
              <w:t>Sub-Total Bilateral</w:t>
            </w:r>
          </w:p>
        </w:tc>
        <w:tc>
          <w:tcPr>
            <w:tcW w:w="1423" w:type="dxa"/>
          </w:tcPr>
          <w:p w14:paraId="782BD0C3" w14:textId="13229A28" w:rsidR="00CD1652" w:rsidRDefault="00D30765" w:rsidP="002F59DF">
            <w:pPr>
              <w:rPr>
                <w:b/>
                <w:sz w:val="24"/>
              </w:rPr>
            </w:pPr>
            <w:r>
              <w:rPr>
                <w:b/>
                <w:sz w:val="24"/>
              </w:rPr>
              <w:t xml:space="preserve">  </w:t>
            </w:r>
            <w:r w:rsidR="00902D07">
              <w:rPr>
                <w:b/>
                <w:sz w:val="24"/>
              </w:rPr>
              <w:t>41.1</w:t>
            </w:r>
          </w:p>
        </w:tc>
        <w:tc>
          <w:tcPr>
            <w:tcW w:w="1417" w:type="dxa"/>
          </w:tcPr>
          <w:p w14:paraId="43F4B975" w14:textId="67775830" w:rsidR="00CD1652" w:rsidRDefault="00E347BD" w:rsidP="002F59DF">
            <w:pPr>
              <w:rPr>
                <w:b/>
                <w:sz w:val="24"/>
              </w:rPr>
            </w:pPr>
            <w:r>
              <w:rPr>
                <w:b/>
                <w:sz w:val="24"/>
              </w:rPr>
              <w:t>95.6</w:t>
            </w:r>
            <w:r w:rsidR="00F93F88">
              <w:rPr>
                <w:b/>
                <w:sz w:val="24"/>
              </w:rPr>
              <w:t>%</w:t>
            </w:r>
          </w:p>
        </w:tc>
      </w:tr>
      <w:tr w:rsidR="00CD1652" w14:paraId="2EA2A305" w14:textId="77777777" w:rsidTr="00CD1652">
        <w:tc>
          <w:tcPr>
            <w:tcW w:w="6374" w:type="dxa"/>
          </w:tcPr>
          <w:p w14:paraId="06755C21" w14:textId="77777777" w:rsidR="00CD1652" w:rsidRDefault="00CD1652" w:rsidP="002F59DF">
            <w:pPr>
              <w:rPr>
                <w:b/>
                <w:sz w:val="24"/>
              </w:rPr>
            </w:pPr>
            <w:r w:rsidRPr="00BE6C6D">
              <w:rPr>
                <w:sz w:val="20"/>
              </w:rPr>
              <w:t>Regional and Global</w:t>
            </w:r>
          </w:p>
        </w:tc>
        <w:tc>
          <w:tcPr>
            <w:tcW w:w="1423" w:type="dxa"/>
          </w:tcPr>
          <w:p w14:paraId="5F5C0087" w14:textId="2DBDF2CF" w:rsidR="00CD1652" w:rsidRDefault="00D30765" w:rsidP="002F59DF">
            <w:pPr>
              <w:rPr>
                <w:b/>
                <w:sz w:val="24"/>
              </w:rPr>
            </w:pPr>
            <w:r>
              <w:rPr>
                <w:b/>
                <w:sz w:val="24"/>
              </w:rPr>
              <w:t xml:space="preserve">    </w:t>
            </w:r>
            <w:r w:rsidR="00261BEE">
              <w:rPr>
                <w:b/>
                <w:sz w:val="24"/>
              </w:rPr>
              <w:t>1.9</w:t>
            </w:r>
          </w:p>
        </w:tc>
        <w:tc>
          <w:tcPr>
            <w:tcW w:w="1417" w:type="dxa"/>
          </w:tcPr>
          <w:p w14:paraId="678D3121" w14:textId="7F17C93D" w:rsidR="00CD1652" w:rsidRDefault="00207D72" w:rsidP="002F59DF">
            <w:pPr>
              <w:rPr>
                <w:b/>
                <w:sz w:val="24"/>
              </w:rPr>
            </w:pPr>
            <w:r>
              <w:rPr>
                <w:b/>
                <w:sz w:val="24"/>
              </w:rPr>
              <w:t>4.4</w:t>
            </w:r>
            <w:r w:rsidR="00F93F88">
              <w:rPr>
                <w:b/>
                <w:sz w:val="24"/>
              </w:rPr>
              <w:t>%</w:t>
            </w:r>
          </w:p>
        </w:tc>
      </w:tr>
      <w:tr w:rsidR="00CD1652" w14:paraId="0882C9F7" w14:textId="77777777" w:rsidTr="00CD1652">
        <w:tc>
          <w:tcPr>
            <w:tcW w:w="6374" w:type="dxa"/>
          </w:tcPr>
          <w:p w14:paraId="3054BD1A" w14:textId="77777777" w:rsidR="00CD1652" w:rsidRDefault="00CD1652" w:rsidP="002F59DF">
            <w:pPr>
              <w:rPr>
                <w:b/>
                <w:sz w:val="24"/>
              </w:rPr>
            </w:pPr>
            <w:r w:rsidRPr="00BE6C6D">
              <w:rPr>
                <w:sz w:val="20"/>
              </w:rPr>
              <w:t>Other Government Departments</w:t>
            </w:r>
          </w:p>
        </w:tc>
        <w:tc>
          <w:tcPr>
            <w:tcW w:w="1423" w:type="dxa"/>
          </w:tcPr>
          <w:p w14:paraId="3DE75075" w14:textId="77777777" w:rsidR="00CD1652" w:rsidRDefault="00F93F88" w:rsidP="002F59DF">
            <w:pPr>
              <w:rPr>
                <w:b/>
                <w:sz w:val="24"/>
              </w:rPr>
            </w:pPr>
            <w:r>
              <w:rPr>
                <w:b/>
                <w:sz w:val="24"/>
              </w:rPr>
              <w:t xml:space="preserve">     </w:t>
            </w:r>
            <w:r w:rsidR="006D1BCC">
              <w:rPr>
                <w:b/>
                <w:sz w:val="24"/>
              </w:rPr>
              <w:t xml:space="preserve">  -</w:t>
            </w:r>
          </w:p>
        </w:tc>
        <w:tc>
          <w:tcPr>
            <w:tcW w:w="1417" w:type="dxa"/>
          </w:tcPr>
          <w:p w14:paraId="6E067351" w14:textId="77777777" w:rsidR="00CD1652" w:rsidRDefault="00F93F88" w:rsidP="002F59DF">
            <w:pPr>
              <w:rPr>
                <w:b/>
                <w:sz w:val="24"/>
              </w:rPr>
            </w:pPr>
            <w:r>
              <w:rPr>
                <w:b/>
                <w:sz w:val="24"/>
              </w:rPr>
              <w:t xml:space="preserve">   </w:t>
            </w:r>
            <w:r w:rsidR="006D1BCC">
              <w:rPr>
                <w:b/>
                <w:sz w:val="24"/>
              </w:rPr>
              <w:t>-</w:t>
            </w:r>
          </w:p>
        </w:tc>
      </w:tr>
      <w:tr w:rsidR="00CD1652" w14:paraId="359A2676" w14:textId="77777777" w:rsidTr="00CD1652">
        <w:tc>
          <w:tcPr>
            <w:tcW w:w="6374" w:type="dxa"/>
          </w:tcPr>
          <w:p w14:paraId="1C8AACA0" w14:textId="77777777" w:rsidR="00CD1652" w:rsidRDefault="00CD1652" w:rsidP="002F59DF">
            <w:pPr>
              <w:rPr>
                <w:b/>
                <w:sz w:val="24"/>
              </w:rPr>
            </w:pPr>
            <w:r w:rsidRPr="00BE6C6D">
              <w:rPr>
                <w:sz w:val="20"/>
              </w:rPr>
              <w:t>Total ODA Expenditure</w:t>
            </w:r>
          </w:p>
        </w:tc>
        <w:tc>
          <w:tcPr>
            <w:tcW w:w="1423" w:type="dxa"/>
          </w:tcPr>
          <w:p w14:paraId="0F0D29D4" w14:textId="129D435A" w:rsidR="00CD1652" w:rsidRDefault="00E347BD" w:rsidP="002F59DF">
            <w:pPr>
              <w:rPr>
                <w:b/>
                <w:sz w:val="24"/>
              </w:rPr>
            </w:pPr>
            <w:r>
              <w:rPr>
                <w:b/>
                <w:sz w:val="24"/>
              </w:rPr>
              <w:t>43.0</w:t>
            </w:r>
          </w:p>
        </w:tc>
        <w:tc>
          <w:tcPr>
            <w:tcW w:w="1417" w:type="dxa"/>
          </w:tcPr>
          <w:p w14:paraId="070A6A3C" w14:textId="77777777" w:rsidR="00CD1652" w:rsidRDefault="00F93F88" w:rsidP="002F59DF">
            <w:pPr>
              <w:rPr>
                <w:b/>
                <w:sz w:val="24"/>
              </w:rPr>
            </w:pPr>
            <w:r>
              <w:rPr>
                <w:b/>
                <w:sz w:val="24"/>
              </w:rPr>
              <w:t>100%</w:t>
            </w:r>
          </w:p>
        </w:tc>
      </w:tr>
    </w:tbl>
    <w:p w14:paraId="75C24C37" w14:textId="77777777"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1"/>
        <w:tblW w:w="5000" w:type="pct"/>
        <w:tblLook w:val="0000" w:firstRow="0" w:lastRow="0" w:firstColumn="0" w:lastColumn="0" w:noHBand="0" w:noVBand="0"/>
      </w:tblPr>
      <w:tblGrid>
        <w:gridCol w:w="6785"/>
        <w:gridCol w:w="1157"/>
        <w:gridCol w:w="468"/>
        <w:gridCol w:w="1228"/>
      </w:tblGrid>
      <w:tr w:rsidR="00D44388" w:rsidRPr="00D44388" w14:paraId="6CA53013" w14:textId="77777777" w:rsidTr="002F59DF">
        <w:trPr>
          <w:cnfStyle w:val="000000010000" w:firstRow="0" w:lastRow="0" w:firstColumn="0" w:lastColumn="0" w:oddVBand="0" w:evenVBand="0" w:oddHBand="0" w:evenHBand="1" w:firstRowFirstColumn="0" w:firstRowLastColumn="0" w:lastRowFirstColumn="0" w:lastRowLastColumn="0"/>
          <w:trHeight w:val="651"/>
        </w:trPr>
        <w:tc>
          <w:tcPr>
            <w:tcW w:w="7004" w:type="dxa"/>
          </w:tcPr>
          <w:p w14:paraId="39F2C188" w14:textId="77777777" w:rsidR="00D44388" w:rsidRPr="00D44388" w:rsidRDefault="00D44388" w:rsidP="00D44388">
            <w:pPr>
              <w:keepLines/>
              <w:suppressAutoHyphens w:val="0"/>
              <w:spacing w:before="80" w:after="80" w:line="200" w:lineRule="atLeast"/>
              <w:rPr>
                <w:rFonts w:asciiTheme="minorHAnsi" w:eastAsia="Times New Roman" w:hAnsiTheme="minorHAnsi" w:cs="Times New Roman"/>
                <w:b/>
                <w:iCs/>
                <w:color w:val="auto"/>
                <w:szCs w:val="17"/>
                <w:lang w:val="en-AU"/>
              </w:rPr>
            </w:pPr>
            <w:r w:rsidRPr="00D44388">
              <w:rPr>
                <w:rFonts w:eastAsia="Times New Roman" w:cs="Times New Roman"/>
                <w:b/>
                <w:iCs/>
                <w:noProof/>
                <w:color w:val="auto"/>
                <w:szCs w:val="17"/>
                <w:lang w:val="en-AU"/>
              </w:rPr>
              <w:drawing>
                <wp:anchor distT="0" distB="0" distL="114300" distR="114300" simplePos="0" relativeHeight="251674624" behindDoc="0" locked="0" layoutInCell="1" allowOverlap="1" wp14:anchorId="4BEB3DC7" wp14:editId="682EC4D8">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388">
              <w:rPr>
                <w:rFonts w:asciiTheme="minorHAnsi" w:eastAsia="Times New Roman" w:hAnsiTheme="minorHAnsi" w:cs="Times New Roman"/>
                <w:b/>
                <w:iCs/>
                <w:color w:val="auto"/>
                <w:szCs w:val="17"/>
                <w:lang w:val="en-AU"/>
              </w:rPr>
              <w:t>Objective</w:t>
            </w:r>
          </w:p>
        </w:tc>
        <w:tc>
          <w:tcPr>
            <w:tcW w:w="1129" w:type="dxa"/>
          </w:tcPr>
          <w:p w14:paraId="30F75972" w14:textId="77777777" w:rsidR="00D44388" w:rsidRPr="00D44388" w:rsidRDefault="00D44388" w:rsidP="00D44388">
            <w:pPr>
              <w:keepLines/>
              <w:suppressAutoHyphens w:val="0"/>
              <w:spacing w:before="80" w:after="80" w:line="200" w:lineRule="atLeast"/>
              <w:rPr>
                <w:rFonts w:asciiTheme="minorHAnsi" w:eastAsia="Times New Roman" w:hAnsiTheme="minorHAnsi" w:cs="Times New Roman"/>
                <w:b/>
                <w:iCs/>
                <w:color w:val="auto"/>
                <w:szCs w:val="17"/>
                <w:lang w:val="en-AU"/>
              </w:rPr>
            </w:pPr>
            <w:r w:rsidRPr="00D44388">
              <w:rPr>
                <w:rFonts w:asciiTheme="minorHAnsi" w:eastAsia="Times New Roman" w:hAnsiTheme="minorHAnsi" w:cs="Times New Roman"/>
                <w:b/>
                <w:iCs/>
                <w:color w:val="auto"/>
                <w:szCs w:val="17"/>
                <w:lang w:val="en-AU"/>
              </w:rPr>
              <w:t>Previous Rating</w:t>
            </w:r>
          </w:p>
        </w:tc>
        <w:tc>
          <w:tcPr>
            <w:tcW w:w="451" w:type="dxa"/>
          </w:tcPr>
          <w:p w14:paraId="1C2F387E" w14:textId="77777777" w:rsidR="00D44388" w:rsidRPr="00D44388" w:rsidRDefault="00D44388" w:rsidP="00D44388">
            <w:pPr>
              <w:keepLines/>
              <w:suppressAutoHyphens w:val="0"/>
              <w:spacing w:before="80" w:after="80" w:line="200" w:lineRule="atLeast"/>
              <w:rPr>
                <w:rFonts w:asciiTheme="minorHAnsi" w:eastAsia="Times New Roman" w:hAnsiTheme="minorHAnsi" w:cs="Times New Roman"/>
                <w:b/>
                <w:iCs/>
                <w:color w:val="auto"/>
                <w:szCs w:val="17"/>
                <w:lang w:val="en-AU"/>
              </w:rPr>
            </w:pPr>
          </w:p>
        </w:tc>
        <w:tc>
          <w:tcPr>
            <w:tcW w:w="1186" w:type="dxa"/>
          </w:tcPr>
          <w:p w14:paraId="5A96F797" w14:textId="77777777" w:rsidR="00D44388" w:rsidRPr="00D44388" w:rsidRDefault="00D44388" w:rsidP="00D44388">
            <w:pPr>
              <w:keepLines/>
              <w:suppressAutoHyphens w:val="0"/>
              <w:spacing w:before="80" w:after="80" w:line="200" w:lineRule="atLeast"/>
              <w:rPr>
                <w:rFonts w:asciiTheme="minorHAnsi" w:eastAsia="Times New Roman" w:hAnsiTheme="minorHAnsi" w:cs="Times New Roman"/>
                <w:b/>
                <w:iCs/>
                <w:color w:val="auto"/>
                <w:szCs w:val="17"/>
                <w:lang w:val="en-AU"/>
              </w:rPr>
            </w:pPr>
            <w:r w:rsidRPr="00D44388">
              <w:rPr>
                <w:rFonts w:asciiTheme="minorHAnsi" w:eastAsia="Times New Roman" w:hAnsiTheme="minorHAnsi" w:cs="Times New Roman"/>
                <w:b/>
                <w:iCs/>
                <w:color w:val="auto"/>
                <w:szCs w:val="17"/>
                <w:lang w:val="en-AU"/>
              </w:rPr>
              <w:t>Current Rating</w:t>
            </w:r>
          </w:p>
        </w:tc>
      </w:tr>
      <w:tr w:rsidR="00D44388" w:rsidRPr="00D44388" w14:paraId="44101903" w14:textId="77777777" w:rsidTr="00341097">
        <w:trPr>
          <w:cnfStyle w:val="000000010000" w:firstRow="0" w:lastRow="0" w:firstColumn="0" w:lastColumn="0" w:oddVBand="0" w:evenVBand="0" w:oddHBand="0" w:evenHBand="1" w:firstRowFirstColumn="0" w:firstRowLastColumn="0" w:lastRowFirstColumn="0" w:lastRowLastColumn="0"/>
        </w:trPr>
        <w:tc>
          <w:tcPr>
            <w:tcW w:w="7004" w:type="dxa"/>
          </w:tcPr>
          <w:p w14:paraId="1832290A" w14:textId="77777777" w:rsidR="00D44388" w:rsidRPr="00D44388" w:rsidRDefault="00D44388" w:rsidP="00D44388">
            <w:pPr>
              <w:keepLines/>
              <w:numPr>
                <w:ilvl w:val="0"/>
                <w:numId w:val="37"/>
              </w:numPr>
              <w:suppressAutoHyphens w:val="0"/>
              <w:spacing w:before="40" w:after="40" w:line="200" w:lineRule="atLeast"/>
              <w:rPr>
                <w:rFonts w:asciiTheme="minorHAnsi" w:eastAsia="Times New Roman" w:hAnsiTheme="minorHAnsi" w:cs="Times New Roman"/>
                <w:iCs/>
                <w:color w:val="auto"/>
                <w:szCs w:val="17"/>
                <w:lang w:val="en-AU"/>
              </w:rPr>
            </w:pPr>
            <w:r w:rsidRPr="00D44388">
              <w:rPr>
                <w:rFonts w:asciiTheme="minorHAnsi" w:eastAsia="Times New Roman" w:hAnsiTheme="minorHAnsi" w:cs="Times New Roman"/>
                <w:iCs/>
                <w:color w:val="auto"/>
                <w:szCs w:val="17"/>
                <w:lang w:val="en-AU"/>
              </w:rPr>
              <w:t>Improved public financial management and a more competitive agricultural economy in the PTs</w:t>
            </w:r>
          </w:p>
        </w:tc>
        <w:tc>
          <w:tcPr>
            <w:tcW w:w="1129" w:type="dxa"/>
            <w:shd w:val="clear" w:color="auto" w:fill="72AF50"/>
            <w:noWrap/>
          </w:tcPr>
          <w:p w14:paraId="575D19E8" w14:textId="77777777" w:rsidR="00D44388" w:rsidRPr="00D44388" w:rsidRDefault="00D44388" w:rsidP="00D44388">
            <w:pPr>
              <w:keepLines/>
              <w:suppressAutoHyphens w:val="0"/>
              <w:spacing w:before="40" w:after="40" w:line="200" w:lineRule="atLeast"/>
              <w:jc w:val="center"/>
              <w:rPr>
                <w:rFonts w:asciiTheme="minorHAnsi" w:eastAsia="Times New Roman" w:hAnsiTheme="minorHAnsi" w:cs="Times New Roman"/>
                <w:iCs/>
                <w:color w:val="FFFFFF" w:themeColor="background1"/>
                <w:szCs w:val="17"/>
                <w:lang w:val="en-AU"/>
              </w:rPr>
            </w:pPr>
            <w:r w:rsidRPr="00D44388">
              <w:rPr>
                <w:rFonts w:asciiTheme="minorHAnsi" w:eastAsia="Times New Roman" w:hAnsiTheme="minorHAnsi" w:cs="Times New Roman"/>
                <w:iCs/>
                <w:color w:val="FFFFFF" w:themeColor="background1"/>
                <w:szCs w:val="17"/>
                <w:lang w:val="en-AU"/>
              </w:rPr>
              <w:t>Green</w:t>
            </w:r>
          </w:p>
        </w:tc>
        <w:tc>
          <w:tcPr>
            <w:tcW w:w="451" w:type="dxa"/>
            <w:shd w:val="clear" w:color="auto" w:fill="FFFFFF" w:themeFill="background1"/>
          </w:tcPr>
          <w:p w14:paraId="29B7B8BE" w14:textId="77777777" w:rsidR="00D44388" w:rsidRPr="00D44388" w:rsidRDefault="00D44388" w:rsidP="00D44388">
            <w:pPr>
              <w:keepLines/>
              <w:suppressAutoHyphens w:val="0"/>
              <w:spacing w:before="40" w:after="40" w:line="200" w:lineRule="atLeast"/>
              <w:jc w:val="center"/>
              <w:rPr>
                <w:rFonts w:asciiTheme="minorHAnsi" w:eastAsia="Times New Roman" w:hAnsiTheme="minorHAnsi" w:cs="Times New Roman"/>
                <w:iCs/>
                <w:color w:val="FFFFFF" w:themeColor="background1"/>
                <w:szCs w:val="17"/>
                <w:lang w:val="en-AU"/>
              </w:rPr>
            </w:pPr>
          </w:p>
        </w:tc>
        <w:tc>
          <w:tcPr>
            <w:tcW w:w="1186" w:type="dxa"/>
            <w:shd w:val="clear" w:color="auto" w:fill="72AF50"/>
            <w:noWrap/>
          </w:tcPr>
          <w:p w14:paraId="0837143D" w14:textId="77777777" w:rsidR="00D44388" w:rsidRPr="00D44388" w:rsidRDefault="005878D9" w:rsidP="00D44388">
            <w:pPr>
              <w:keepLines/>
              <w:suppressAutoHyphens w:val="0"/>
              <w:spacing w:before="40" w:after="40" w:line="200" w:lineRule="atLeast"/>
              <w:jc w:val="center"/>
              <w:rPr>
                <w:rFonts w:asciiTheme="minorHAnsi" w:eastAsia="Times New Roman" w:hAnsiTheme="minorHAnsi" w:cs="Times New Roman"/>
                <w:iCs/>
                <w:color w:val="FFFFFF" w:themeColor="background1"/>
                <w:szCs w:val="17"/>
                <w:lang w:val="en-AU"/>
              </w:rPr>
            </w:pPr>
            <w:r>
              <w:rPr>
                <w:rFonts w:asciiTheme="minorHAnsi" w:eastAsia="Times New Roman" w:hAnsiTheme="minorHAnsi" w:cs="Times New Roman"/>
                <w:iCs/>
                <w:color w:val="FFFFFF" w:themeColor="background1"/>
                <w:szCs w:val="17"/>
                <w:lang w:val="en-AU"/>
              </w:rPr>
              <w:t>Green</w:t>
            </w:r>
          </w:p>
        </w:tc>
      </w:tr>
      <w:tr w:rsidR="00D44388" w:rsidRPr="00D44388" w14:paraId="7A60192E" w14:textId="77777777" w:rsidTr="00341097">
        <w:trPr>
          <w:cnfStyle w:val="000000010000" w:firstRow="0" w:lastRow="0" w:firstColumn="0" w:lastColumn="0" w:oddVBand="0" w:evenVBand="0" w:oddHBand="0" w:evenHBand="1" w:firstRowFirstColumn="0" w:firstRowLastColumn="0" w:lastRowFirstColumn="0" w:lastRowLastColumn="0"/>
        </w:trPr>
        <w:tc>
          <w:tcPr>
            <w:tcW w:w="7004" w:type="dxa"/>
          </w:tcPr>
          <w:p w14:paraId="389C726A" w14:textId="77777777" w:rsidR="00D44388" w:rsidRPr="00D44388" w:rsidRDefault="00D44388" w:rsidP="00D44388">
            <w:pPr>
              <w:keepLines/>
              <w:numPr>
                <w:ilvl w:val="0"/>
                <w:numId w:val="37"/>
              </w:numPr>
              <w:suppressAutoHyphens w:val="0"/>
              <w:spacing w:before="40" w:after="40" w:line="200" w:lineRule="atLeast"/>
              <w:rPr>
                <w:rFonts w:asciiTheme="minorHAnsi" w:eastAsia="Times New Roman" w:hAnsiTheme="minorHAnsi" w:cs="Times New Roman"/>
                <w:iCs/>
                <w:color w:val="auto"/>
                <w:szCs w:val="17"/>
                <w:lang w:val="en-AU"/>
              </w:rPr>
            </w:pPr>
            <w:r w:rsidRPr="00D44388">
              <w:rPr>
                <w:rFonts w:asciiTheme="minorHAnsi" w:eastAsia="Times New Roman" w:hAnsiTheme="minorHAnsi" w:cs="Times New Roman"/>
                <w:iCs/>
                <w:color w:val="auto"/>
                <w:szCs w:val="17"/>
                <w:lang w:val="en-AU"/>
              </w:rPr>
              <w:t>Palestinian refugees in the PTs and across the region are able to access quality basic services</w:t>
            </w:r>
          </w:p>
        </w:tc>
        <w:tc>
          <w:tcPr>
            <w:tcW w:w="1129" w:type="dxa"/>
            <w:shd w:val="clear" w:color="auto" w:fill="72AF50"/>
            <w:noWrap/>
          </w:tcPr>
          <w:p w14:paraId="64DE1CAE" w14:textId="77777777" w:rsidR="00D44388" w:rsidRPr="00D44388" w:rsidRDefault="00D44388" w:rsidP="00D44388">
            <w:pPr>
              <w:keepLines/>
              <w:suppressAutoHyphens w:val="0"/>
              <w:spacing w:before="40" w:after="40" w:line="200" w:lineRule="atLeast"/>
              <w:jc w:val="center"/>
              <w:rPr>
                <w:rFonts w:asciiTheme="minorHAnsi" w:eastAsia="Times New Roman" w:hAnsiTheme="minorHAnsi" w:cs="Times New Roman"/>
                <w:iCs/>
                <w:color w:val="FFFFFF" w:themeColor="background1"/>
                <w:szCs w:val="17"/>
                <w:lang w:val="en-AU"/>
              </w:rPr>
            </w:pPr>
            <w:r w:rsidRPr="00D44388">
              <w:rPr>
                <w:rFonts w:asciiTheme="minorHAnsi" w:eastAsia="Times New Roman" w:hAnsiTheme="minorHAnsi" w:cs="Times New Roman"/>
                <w:iCs/>
                <w:color w:val="FFFFFF" w:themeColor="background1"/>
                <w:szCs w:val="17"/>
                <w:lang w:val="en-AU"/>
              </w:rPr>
              <w:t>Green</w:t>
            </w:r>
          </w:p>
        </w:tc>
        <w:tc>
          <w:tcPr>
            <w:tcW w:w="451" w:type="dxa"/>
            <w:shd w:val="clear" w:color="auto" w:fill="FFFFFF" w:themeFill="background1"/>
          </w:tcPr>
          <w:p w14:paraId="37FF26B0" w14:textId="77777777" w:rsidR="00D44388" w:rsidRPr="00D44388" w:rsidRDefault="00D44388" w:rsidP="00D44388">
            <w:pPr>
              <w:keepLines/>
              <w:suppressAutoHyphens w:val="0"/>
              <w:spacing w:before="40" w:after="40" w:line="200" w:lineRule="atLeast"/>
              <w:jc w:val="center"/>
              <w:rPr>
                <w:rFonts w:asciiTheme="minorHAnsi" w:eastAsia="Times New Roman" w:hAnsiTheme="minorHAnsi" w:cs="Times New Roman"/>
                <w:iCs/>
                <w:color w:val="FFFFFF" w:themeColor="background1"/>
                <w:szCs w:val="17"/>
                <w:lang w:val="en-AU"/>
              </w:rPr>
            </w:pPr>
          </w:p>
        </w:tc>
        <w:tc>
          <w:tcPr>
            <w:tcW w:w="1186" w:type="dxa"/>
            <w:shd w:val="clear" w:color="auto" w:fill="72AF50"/>
            <w:noWrap/>
          </w:tcPr>
          <w:p w14:paraId="527C01DB" w14:textId="77777777" w:rsidR="00D44388" w:rsidRPr="00D44388" w:rsidRDefault="00D44388" w:rsidP="00D44388">
            <w:pPr>
              <w:keepLines/>
              <w:suppressAutoHyphens w:val="0"/>
              <w:spacing w:before="40" w:after="40" w:line="200" w:lineRule="atLeast"/>
              <w:jc w:val="center"/>
              <w:rPr>
                <w:rFonts w:asciiTheme="minorHAnsi" w:eastAsia="Times New Roman" w:hAnsiTheme="minorHAnsi" w:cs="Times New Roman"/>
                <w:iCs/>
                <w:color w:val="FFFFFF" w:themeColor="background1"/>
                <w:szCs w:val="17"/>
                <w:lang w:val="en-AU"/>
              </w:rPr>
            </w:pPr>
            <w:r w:rsidRPr="00D44388">
              <w:rPr>
                <w:rFonts w:asciiTheme="minorHAnsi" w:eastAsia="Times New Roman" w:hAnsiTheme="minorHAnsi" w:cs="Times New Roman"/>
                <w:iCs/>
                <w:color w:val="FFFFFF" w:themeColor="background1"/>
                <w:szCs w:val="17"/>
                <w:lang w:val="en-AU"/>
              </w:rPr>
              <w:t>Green</w:t>
            </w:r>
          </w:p>
        </w:tc>
      </w:tr>
    </w:tbl>
    <w:p w14:paraId="53B2E5C2" w14:textId="77777777" w:rsidR="00D44388" w:rsidRDefault="00D44388" w:rsidP="002A4A0E">
      <w:pPr>
        <w:pStyle w:val="Note"/>
        <w:rPr>
          <w:rFonts w:asciiTheme="minorHAnsi" w:hAnsiTheme="minorHAnsi"/>
          <w:sz w:val="16"/>
        </w:rPr>
      </w:pPr>
    </w:p>
    <w:p w14:paraId="11251A9F"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577B02C1"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25257A69"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29D5CEE2"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0A6E8B8C" w14:textId="77777777" w:rsidR="00CD1652" w:rsidRPr="008E6E16" w:rsidRDefault="005B5769" w:rsidP="008E6E16">
      <w:pPr>
        <w:pStyle w:val="Note"/>
      </w:pPr>
      <w:r w:rsidRPr="00C4114C">
        <w:t xml:space="preserve">  </w:t>
      </w:r>
    </w:p>
    <w:p w14:paraId="4DEC2C5C" w14:textId="175B725E" w:rsidR="00695730" w:rsidRDefault="00695730" w:rsidP="00C523F9">
      <w:pPr>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O</w:t>
      </w:r>
      <w:r w:rsidR="00B17E41">
        <w:rPr>
          <w:rFonts w:asciiTheme="majorHAnsi" w:eastAsiaTheme="majorEastAsia" w:hAnsiTheme="majorHAnsi" w:cstheme="majorBidi"/>
          <w:caps/>
          <w:sz w:val="38"/>
          <w:szCs w:val="26"/>
        </w:rPr>
        <w:t>bjective 1 – Improved Public financi</w:t>
      </w:r>
      <w:r w:rsidR="00D23895">
        <w:rPr>
          <w:rFonts w:asciiTheme="majorHAnsi" w:eastAsiaTheme="majorEastAsia" w:hAnsiTheme="majorHAnsi" w:cstheme="majorBidi"/>
          <w:caps/>
          <w:sz w:val="38"/>
          <w:szCs w:val="26"/>
        </w:rPr>
        <w:t>al management and a more competi</w:t>
      </w:r>
      <w:r w:rsidR="00B17E41">
        <w:rPr>
          <w:rFonts w:asciiTheme="majorHAnsi" w:eastAsiaTheme="majorEastAsia" w:hAnsiTheme="majorHAnsi" w:cstheme="majorBidi"/>
          <w:caps/>
          <w:sz w:val="38"/>
          <w:szCs w:val="26"/>
        </w:rPr>
        <w:t>tive agricultural economy in the ptS</w:t>
      </w:r>
    </w:p>
    <w:p w14:paraId="123FD218" w14:textId="77777777" w:rsidR="006E119A" w:rsidRDefault="006E119A" w:rsidP="00125B09">
      <w:pPr>
        <w:spacing w:before="240" w:line="240" w:lineRule="auto"/>
        <w:rPr>
          <w:rFonts w:eastAsia="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179"/>
        <w:gridCol w:w="1179"/>
        <w:gridCol w:w="1179"/>
        <w:gridCol w:w="1176"/>
        <w:gridCol w:w="1179"/>
      </w:tblGrid>
      <w:tr w:rsidR="00AE7E11" w14:paraId="019F85B6" w14:textId="77777777" w:rsidTr="00AA5F92">
        <w:trPr>
          <w:trHeight w:hRule="exact" w:val="1134"/>
        </w:trPr>
        <w:tc>
          <w:tcPr>
            <w:tcW w:w="2017" w:type="dxa"/>
          </w:tcPr>
          <w:p w14:paraId="71CF8E60" w14:textId="77777777" w:rsidR="00AE7E11" w:rsidRPr="00F75380" w:rsidRDefault="00AE7E11" w:rsidP="00AA5F92">
            <w:pPr>
              <w:spacing w:before="0" w:after="0" w:line="240" w:lineRule="auto"/>
              <w:rPr>
                <w:noProof/>
                <w:lang w:val="en-AU" w:eastAsia="en-AU"/>
              </w:rPr>
            </w:pPr>
            <w:r>
              <w:rPr>
                <w:noProof/>
                <w:lang w:val="en-AU" w:eastAsia="en-AU"/>
              </w:rPr>
              <w:drawing>
                <wp:inline distT="0" distB="0" distL="0" distR="0" wp14:anchorId="5FD95169" wp14:editId="2F150F20">
                  <wp:extent cx="1139825" cy="719455"/>
                  <wp:effectExtent l="0" t="0" r="3175" b="444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9825" cy="719455"/>
                          </a:xfrm>
                          <a:prstGeom prst="rect">
                            <a:avLst/>
                          </a:prstGeom>
                          <a:noFill/>
                        </pic:spPr>
                      </pic:pic>
                    </a:graphicData>
                  </a:graphic>
                </wp:inline>
              </w:drawing>
            </w:r>
          </w:p>
        </w:tc>
        <w:tc>
          <w:tcPr>
            <w:tcW w:w="1179" w:type="dxa"/>
          </w:tcPr>
          <w:p w14:paraId="4295F182" w14:textId="77777777" w:rsidR="00AE7E11" w:rsidRDefault="00AE7E11" w:rsidP="00AA5F92">
            <w:pPr>
              <w:spacing w:before="160" w:after="0" w:line="240" w:lineRule="auto"/>
            </w:pPr>
            <w:r w:rsidRPr="00F75380">
              <w:rPr>
                <w:noProof/>
                <w:lang w:val="en-AU" w:eastAsia="en-AU"/>
              </w:rPr>
              <w:drawing>
                <wp:inline distT="0" distB="0" distL="0" distR="0" wp14:anchorId="55F205BB" wp14:editId="40D2BF3C">
                  <wp:extent cx="612000" cy="612000"/>
                  <wp:effectExtent l="0" t="0" r="0" b="0"/>
                  <wp:docPr id="68" name="Picture 68"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179" w:type="dxa"/>
          </w:tcPr>
          <w:p w14:paraId="0D5EF327" w14:textId="77777777" w:rsidR="00AE7E11" w:rsidRDefault="00AE7E11" w:rsidP="00AA5F92">
            <w:pPr>
              <w:spacing w:before="160" w:after="0" w:line="240" w:lineRule="auto"/>
            </w:pPr>
            <w:r>
              <w:rPr>
                <w:noProof/>
                <w:lang w:val="en-AU" w:eastAsia="en-AU"/>
              </w:rPr>
              <w:drawing>
                <wp:inline distT="0" distB="0" distL="0" distR="0" wp14:anchorId="6FFF34A4" wp14:editId="2C935B3C">
                  <wp:extent cx="612000" cy="6120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tcPr>
          <w:p w14:paraId="0EA2DA5D" w14:textId="77777777" w:rsidR="00AE7E11" w:rsidRDefault="00AE7E11" w:rsidP="00AA5F92">
            <w:pPr>
              <w:spacing w:before="160" w:after="0" w:line="240" w:lineRule="auto"/>
            </w:pPr>
            <w:r>
              <w:rPr>
                <w:noProof/>
                <w:lang w:val="en-AU" w:eastAsia="en-AU"/>
              </w:rPr>
              <w:drawing>
                <wp:inline distT="0" distB="0" distL="0" distR="0" wp14:anchorId="2C1FD6C1" wp14:editId="5C7E684D">
                  <wp:extent cx="612000" cy="612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6" w:type="dxa"/>
          </w:tcPr>
          <w:p w14:paraId="189FE84C" w14:textId="77777777" w:rsidR="00AE7E11" w:rsidRDefault="00AE7E11" w:rsidP="00AA5F92">
            <w:pPr>
              <w:spacing w:before="160" w:after="0" w:line="240" w:lineRule="auto"/>
            </w:pPr>
            <w:r>
              <w:rPr>
                <w:noProof/>
                <w:lang w:val="en-AU" w:eastAsia="en-AU"/>
              </w:rPr>
              <w:drawing>
                <wp:inline distT="0" distB="0" distL="0" distR="0" wp14:anchorId="78744908" wp14:editId="2022A9CD">
                  <wp:extent cx="609600" cy="609600"/>
                  <wp:effectExtent l="0" t="0" r="0" b="0"/>
                  <wp:docPr id="71" name="Picture 71"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179" w:type="dxa"/>
          </w:tcPr>
          <w:p w14:paraId="499F5C2A" w14:textId="77777777" w:rsidR="00AE7E11" w:rsidRDefault="00AE7E11" w:rsidP="00AA5F92">
            <w:pPr>
              <w:spacing w:before="160" w:after="0" w:line="240" w:lineRule="auto"/>
            </w:pPr>
            <w:r>
              <w:rPr>
                <w:noProof/>
                <w:lang w:val="en-AU" w:eastAsia="en-AU"/>
              </w:rPr>
              <w:drawing>
                <wp:inline distT="0" distB="0" distL="0" distR="0" wp14:anchorId="6CD8D48B" wp14:editId="555EC5BE">
                  <wp:extent cx="612000" cy="612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09.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4181A776" w14:textId="092655AD" w:rsidR="00125B09" w:rsidRDefault="005878D9" w:rsidP="00125B09">
      <w:pPr>
        <w:spacing w:before="240" w:line="240" w:lineRule="auto"/>
        <w:rPr>
          <w:rFonts w:eastAsia="Times New Roman"/>
        </w:rPr>
      </w:pPr>
      <w:r w:rsidRPr="0047593D">
        <w:rPr>
          <w:rFonts w:eastAsia="Times New Roman"/>
        </w:rPr>
        <w:t>Three</w:t>
      </w:r>
      <w:r w:rsidR="00125B09" w:rsidRPr="0047593D">
        <w:rPr>
          <w:rFonts w:eastAsia="Times New Roman"/>
        </w:rPr>
        <w:t xml:space="preserve"> Australian investments contributed to improved financial management and a more competitive a</w:t>
      </w:r>
      <w:r w:rsidR="007333DE">
        <w:rPr>
          <w:rFonts w:eastAsia="Times New Roman"/>
        </w:rPr>
        <w:t>gricultural economy in the PTs</w:t>
      </w:r>
      <w:r w:rsidR="00763659">
        <w:rPr>
          <w:rFonts w:eastAsia="Times New Roman"/>
        </w:rPr>
        <w:t xml:space="preserve"> </w:t>
      </w:r>
      <w:r w:rsidR="00E347BD">
        <w:rPr>
          <w:rFonts w:eastAsia="Times New Roman"/>
        </w:rPr>
        <w:t xml:space="preserve">during 2016-17.  </w:t>
      </w:r>
      <w:r w:rsidR="00194FFB" w:rsidRPr="0047593D">
        <w:rPr>
          <w:rFonts w:eastAsia="Times New Roman"/>
        </w:rPr>
        <w:t>This</w:t>
      </w:r>
      <w:r w:rsidR="00125B09" w:rsidRPr="00CA7DD8">
        <w:rPr>
          <w:rFonts w:eastAsia="Times New Roman"/>
        </w:rPr>
        <w:t xml:space="preserve"> objective was rated </w:t>
      </w:r>
      <w:r>
        <w:rPr>
          <w:rFonts w:eastAsia="Times New Roman"/>
        </w:rPr>
        <w:t>green</w:t>
      </w:r>
      <w:r w:rsidR="00E347BD">
        <w:rPr>
          <w:rFonts w:eastAsia="Times New Roman"/>
        </w:rPr>
        <w:t xml:space="preserve"> because</w:t>
      </w:r>
      <w:r w:rsidR="00125B09" w:rsidRPr="00CA7DD8">
        <w:rPr>
          <w:rFonts w:eastAsia="Times New Roman"/>
        </w:rPr>
        <w:t xml:space="preserve"> progress </w:t>
      </w:r>
      <w:r>
        <w:rPr>
          <w:rFonts w:eastAsia="Times New Roman"/>
        </w:rPr>
        <w:t>is</w:t>
      </w:r>
      <w:r w:rsidR="007447CC">
        <w:rPr>
          <w:rFonts w:eastAsia="Times New Roman"/>
        </w:rPr>
        <w:t xml:space="preserve"> as</w:t>
      </w:r>
      <w:r>
        <w:rPr>
          <w:rFonts w:eastAsia="Times New Roman"/>
        </w:rPr>
        <w:t xml:space="preserve"> expected at this stage of implementation</w:t>
      </w:r>
      <w:r w:rsidR="00E347BD">
        <w:rPr>
          <w:rFonts w:eastAsia="Times New Roman"/>
        </w:rPr>
        <w:t xml:space="preserve"> for all three investments.</w:t>
      </w:r>
    </w:p>
    <w:p w14:paraId="4BAC4F9C" w14:textId="1EB175A3" w:rsidR="00226D3D" w:rsidRPr="00E80D94" w:rsidRDefault="002F59DF" w:rsidP="00E80D94">
      <w:pPr>
        <w:keepLines/>
        <w:spacing w:before="240" w:line="240" w:lineRule="auto"/>
        <w:rPr>
          <w:rFonts w:eastAsia="Times New Roman"/>
        </w:rPr>
      </w:pPr>
      <w:r w:rsidRPr="009C433C">
        <w:rPr>
          <w:rFonts w:eastAsia="Times New Roman"/>
        </w:rPr>
        <w:lastRenderedPageBreak/>
        <w:t xml:space="preserve">In 2016-17, </w:t>
      </w:r>
      <w:r w:rsidR="00E679DC" w:rsidRPr="009C433C">
        <w:rPr>
          <w:rFonts w:eastAsia="Times New Roman"/>
        </w:rPr>
        <w:t xml:space="preserve">Australia </w:t>
      </w:r>
      <w:r w:rsidR="00835E0B">
        <w:rPr>
          <w:rFonts w:eastAsia="Times New Roman"/>
        </w:rPr>
        <w:t>provided $9 million in</w:t>
      </w:r>
      <w:r w:rsidR="00E679DC" w:rsidRPr="009C433C">
        <w:rPr>
          <w:rFonts w:eastAsia="Times New Roman"/>
        </w:rPr>
        <w:t xml:space="preserve"> support to the </w:t>
      </w:r>
      <w:r w:rsidR="00E679DC" w:rsidRPr="00022278">
        <w:rPr>
          <w:rFonts w:eastAsia="Times New Roman"/>
          <w:b/>
        </w:rPr>
        <w:t xml:space="preserve">PA </w:t>
      </w:r>
      <w:r w:rsidRPr="00022278">
        <w:rPr>
          <w:rFonts w:eastAsia="Times New Roman"/>
          <w:b/>
        </w:rPr>
        <w:t xml:space="preserve">through </w:t>
      </w:r>
      <w:r w:rsidR="00E80D94" w:rsidRPr="00022278">
        <w:rPr>
          <w:rFonts w:eastAsia="Times New Roman"/>
          <w:b/>
        </w:rPr>
        <w:t>a</w:t>
      </w:r>
      <w:r w:rsidRPr="00022278">
        <w:rPr>
          <w:rFonts w:eastAsia="Times New Roman"/>
          <w:b/>
        </w:rPr>
        <w:t xml:space="preserve"> World Bank Multi-Donor Trust Fund</w:t>
      </w:r>
      <w:r w:rsidR="00022278" w:rsidRPr="00022278">
        <w:rPr>
          <w:rFonts w:eastAsia="Times New Roman"/>
          <w:b/>
        </w:rPr>
        <w:t>.</w:t>
      </w:r>
      <w:r w:rsidR="00022278">
        <w:rPr>
          <w:rFonts w:eastAsia="Times New Roman"/>
        </w:rPr>
        <w:t xml:space="preserve">  </w:t>
      </w:r>
      <w:r w:rsidR="00642567" w:rsidRPr="009C433C">
        <w:rPr>
          <w:rFonts w:eastAsia="Times New Roman"/>
        </w:rPr>
        <w:t xml:space="preserve">The </w:t>
      </w:r>
      <w:r w:rsidR="00642567" w:rsidRPr="00E80D94">
        <w:rPr>
          <w:rFonts w:eastAsia="Times New Roman"/>
        </w:rPr>
        <w:t xml:space="preserve">purpose of </w:t>
      </w:r>
      <w:r w:rsidR="00436782" w:rsidRPr="00E80D94">
        <w:rPr>
          <w:rFonts w:eastAsia="Times New Roman"/>
        </w:rPr>
        <w:t>the Trust Fund is to</w:t>
      </w:r>
      <w:r w:rsidR="00642567" w:rsidRPr="00E80D94">
        <w:rPr>
          <w:rFonts w:eastAsia="Times New Roman"/>
        </w:rPr>
        <w:t xml:space="preserve"> support the PA’s policy agenda as </w:t>
      </w:r>
      <w:r w:rsidR="009C433C" w:rsidRPr="00E80D94">
        <w:rPr>
          <w:rFonts w:eastAsia="Times New Roman"/>
        </w:rPr>
        <w:t>outlined</w:t>
      </w:r>
      <w:r w:rsidR="00642567" w:rsidRPr="00E80D94">
        <w:rPr>
          <w:rFonts w:eastAsia="Times New Roman"/>
        </w:rPr>
        <w:t xml:space="preserve"> in the Palestinian Natio</w:t>
      </w:r>
      <w:r w:rsidR="00E347BD">
        <w:rPr>
          <w:rFonts w:eastAsia="Times New Roman"/>
        </w:rPr>
        <w:t>nal Development Plan (</w:t>
      </w:r>
      <w:r w:rsidR="00644C73" w:rsidRPr="00E80D94">
        <w:rPr>
          <w:rFonts w:eastAsia="Times New Roman"/>
        </w:rPr>
        <w:t>NDP)</w:t>
      </w:r>
      <w:r w:rsidR="00A346EC" w:rsidRPr="00E80D94">
        <w:rPr>
          <w:rFonts w:eastAsia="Times New Roman"/>
        </w:rPr>
        <w:t xml:space="preserve"> </w:t>
      </w:r>
      <w:r w:rsidR="00436782" w:rsidRPr="00E80D94">
        <w:rPr>
          <w:rFonts w:eastAsia="Times New Roman"/>
        </w:rPr>
        <w:t>and</w:t>
      </w:r>
      <w:r w:rsidR="00A346EC" w:rsidRPr="00E80D94">
        <w:rPr>
          <w:rFonts w:eastAsia="Times New Roman"/>
        </w:rPr>
        <w:t xml:space="preserve"> the National Policy Agenda </w:t>
      </w:r>
      <w:r w:rsidR="00436782" w:rsidRPr="00E80D94">
        <w:rPr>
          <w:rFonts w:eastAsia="Times New Roman"/>
        </w:rPr>
        <w:t>(</w:t>
      </w:r>
      <w:r w:rsidR="00E80D94">
        <w:rPr>
          <w:rFonts w:eastAsia="Times New Roman"/>
        </w:rPr>
        <w:t>NPA)</w:t>
      </w:r>
      <w:r w:rsidR="00207D72">
        <w:rPr>
          <w:rFonts w:eastAsia="Times New Roman"/>
        </w:rPr>
        <w:t>,</w:t>
      </w:r>
      <w:r w:rsidR="00E80D94">
        <w:rPr>
          <w:rFonts w:eastAsia="Times New Roman"/>
        </w:rPr>
        <w:t xml:space="preserve"> </w:t>
      </w:r>
      <w:r w:rsidR="00436782" w:rsidRPr="00E80D94">
        <w:rPr>
          <w:rFonts w:eastAsia="Times New Roman"/>
        </w:rPr>
        <w:t>through the provision of budget support</w:t>
      </w:r>
      <w:r w:rsidR="00642567" w:rsidRPr="00E80D94">
        <w:rPr>
          <w:rFonts w:eastAsia="Times New Roman"/>
        </w:rPr>
        <w:t xml:space="preserve">. </w:t>
      </w:r>
      <w:r w:rsidR="00022278">
        <w:rPr>
          <w:rFonts w:eastAsia="Times New Roman"/>
        </w:rPr>
        <w:t xml:space="preserve"> </w:t>
      </w:r>
      <w:r w:rsidR="00642567" w:rsidRPr="00E80D94">
        <w:rPr>
          <w:rFonts w:eastAsia="Times New Roman"/>
        </w:rPr>
        <w:t xml:space="preserve">The Trust Fund pools </w:t>
      </w:r>
      <w:r w:rsidR="00644C73" w:rsidRPr="00E80D94">
        <w:rPr>
          <w:rFonts w:eastAsia="Times New Roman"/>
        </w:rPr>
        <w:t xml:space="preserve">Australia’s contribution with other </w:t>
      </w:r>
      <w:r w:rsidR="00642567" w:rsidRPr="00E80D94">
        <w:rPr>
          <w:rFonts w:eastAsia="Times New Roman"/>
        </w:rPr>
        <w:t>donor funds into one administrative mechanism that reduces the transactions costs for the PA an</w:t>
      </w:r>
      <w:r w:rsidR="00226D3D" w:rsidRPr="00E80D94">
        <w:rPr>
          <w:rFonts w:eastAsia="Times New Roman"/>
        </w:rPr>
        <w:t>d donors.</w:t>
      </w:r>
      <w:r w:rsidR="00D30765">
        <w:rPr>
          <w:rFonts w:eastAsia="Times New Roman"/>
        </w:rPr>
        <w:t xml:space="preserve"> </w:t>
      </w:r>
      <w:r w:rsidR="00022278">
        <w:rPr>
          <w:rFonts w:eastAsia="Times New Roman"/>
        </w:rPr>
        <w:t xml:space="preserve"> </w:t>
      </w:r>
      <w:r w:rsidR="00226D3D">
        <w:rPr>
          <w:rFonts w:eastAsia="Times New Roman"/>
        </w:rPr>
        <w:t>The Trust Fund provides</w:t>
      </w:r>
      <w:r w:rsidR="00207D72">
        <w:rPr>
          <w:rFonts w:eastAsia="Times New Roman"/>
        </w:rPr>
        <w:t xml:space="preserve"> </w:t>
      </w:r>
      <w:r w:rsidR="00226D3D" w:rsidRPr="00E80D94">
        <w:rPr>
          <w:rFonts w:eastAsia="Times New Roman"/>
        </w:rPr>
        <w:t>disbursements to support priority recurrent and project expenditures in the budget.</w:t>
      </w:r>
      <w:r w:rsidR="00022278">
        <w:rPr>
          <w:rFonts w:eastAsia="Times New Roman"/>
        </w:rPr>
        <w:t xml:space="preserve"> </w:t>
      </w:r>
      <w:r w:rsidR="00D30765">
        <w:rPr>
          <w:rFonts w:eastAsia="Times New Roman"/>
        </w:rPr>
        <w:t xml:space="preserve"> </w:t>
      </w:r>
      <w:r w:rsidR="00226D3D" w:rsidRPr="00E80D94">
        <w:rPr>
          <w:rFonts w:eastAsia="Times New Roman"/>
        </w:rPr>
        <w:t xml:space="preserve">Release of funds from the Trust Fund </w:t>
      </w:r>
      <w:r w:rsidR="00E347BD">
        <w:rPr>
          <w:rFonts w:eastAsia="Times New Roman"/>
        </w:rPr>
        <w:t xml:space="preserve">to the PA </w:t>
      </w:r>
      <w:r w:rsidR="00226D3D" w:rsidRPr="00E80D94">
        <w:rPr>
          <w:rFonts w:eastAsia="Times New Roman"/>
        </w:rPr>
        <w:t>is dependent on the implementation of key aspects of the NDP</w:t>
      </w:r>
      <w:r w:rsidR="00E347BD">
        <w:rPr>
          <w:rFonts w:eastAsia="Times New Roman"/>
        </w:rPr>
        <w:t xml:space="preserve"> and </w:t>
      </w:r>
      <w:r w:rsidR="00E80D94">
        <w:rPr>
          <w:rFonts w:eastAsia="Times New Roman"/>
        </w:rPr>
        <w:t>NPA</w:t>
      </w:r>
      <w:r w:rsidR="00226D3D" w:rsidRPr="00E80D94">
        <w:rPr>
          <w:rFonts w:eastAsia="Times New Roman"/>
        </w:rPr>
        <w:t>.</w:t>
      </w:r>
    </w:p>
    <w:p w14:paraId="08034B12" w14:textId="50186041" w:rsidR="004321BE" w:rsidRPr="004321BE" w:rsidRDefault="004665C7" w:rsidP="00811621">
      <w:pPr>
        <w:keepLines/>
        <w:spacing w:before="240" w:line="240" w:lineRule="auto"/>
        <w:rPr>
          <w:rFonts w:cs="Helvetica"/>
          <w:lang w:val="en"/>
        </w:rPr>
      </w:pPr>
      <w:r>
        <w:rPr>
          <w:rFonts w:cs="Helvetica"/>
          <w:lang w:val="en"/>
        </w:rPr>
        <w:t>The World Bank reported</w:t>
      </w:r>
      <w:r w:rsidR="00207D72">
        <w:rPr>
          <w:rFonts w:cs="Helvetica"/>
          <w:lang w:val="en"/>
        </w:rPr>
        <w:t xml:space="preserve"> in its </w:t>
      </w:r>
      <w:r w:rsidR="008E59C2">
        <w:rPr>
          <w:rFonts w:cs="Helvetica"/>
          <w:lang w:val="en"/>
        </w:rPr>
        <w:t xml:space="preserve">March </w:t>
      </w:r>
      <w:r w:rsidR="00207D72">
        <w:rPr>
          <w:rFonts w:cs="Helvetica"/>
          <w:lang w:val="en"/>
        </w:rPr>
        <w:t xml:space="preserve">2017 </w:t>
      </w:r>
      <w:r w:rsidR="000D0CB4">
        <w:rPr>
          <w:rFonts w:cs="Helvetica"/>
          <w:lang w:val="en"/>
        </w:rPr>
        <w:t>quarterly r</w:t>
      </w:r>
      <w:r w:rsidR="008E59C2">
        <w:rPr>
          <w:rFonts w:cs="Helvetica"/>
          <w:lang w:val="en"/>
        </w:rPr>
        <w:t xml:space="preserve">eview </w:t>
      </w:r>
      <w:r w:rsidR="008E59C2" w:rsidRPr="008E59C2">
        <w:rPr>
          <w:rFonts w:cs="Helvetica"/>
          <w:lang w:val="en"/>
        </w:rPr>
        <w:t xml:space="preserve">that </w:t>
      </w:r>
      <w:r w:rsidR="008E59C2" w:rsidRPr="008E59C2">
        <w:rPr>
          <w:rFonts w:eastAsia="Times New Roman"/>
          <w:iCs/>
          <w:szCs w:val="17"/>
        </w:rPr>
        <w:t>th</w:t>
      </w:r>
      <w:r w:rsidR="004321BE">
        <w:rPr>
          <w:rFonts w:eastAsia="Times New Roman"/>
          <w:iCs/>
          <w:szCs w:val="17"/>
        </w:rPr>
        <w:t>e PA managed to reduce its year-on-</w:t>
      </w:r>
      <w:r w:rsidR="008E59C2" w:rsidRPr="008E59C2">
        <w:rPr>
          <w:rFonts w:eastAsia="Times New Roman"/>
          <w:iCs/>
          <w:szCs w:val="17"/>
        </w:rPr>
        <w:t>year fiscal deficit in the first quarter of 2017 due to strong revenue growth and a</w:t>
      </w:r>
      <w:r w:rsidR="00022278">
        <w:rPr>
          <w:rFonts w:eastAsia="Times New Roman"/>
          <w:iCs/>
          <w:szCs w:val="17"/>
        </w:rPr>
        <w:t xml:space="preserve"> decline in public spending.  </w:t>
      </w:r>
      <w:r w:rsidR="008E59C2" w:rsidRPr="008E59C2">
        <w:rPr>
          <w:rFonts w:eastAsia="Times New Roman"/>
          <w:iCs/>
          <w:szCs w:val="17"/>
        </w:rPr>
        <w:t>Domestic taxes grew by 13 per</w:t>
      </w:r>
      <w:r w:rsidR="0014664D">
        <w:rPr>
          <w:rFonts w:eastAsia="Times New Roman"/>
          <w:iCs/>
          <w:szCs w:val="17"/>
        </w:rPr>
        <w:t xml:space="preserve"> </w:t>
      </w:r>
      <w:r w:rsidR="009701DD">
        <w:rPr>
          <w:rFonts w:eastAsia="Times New Roman"/>
          <w:iCs/>
          <w:szCs w:val="17"/>
        </w:rPr>
        <w:t>cent</w:t>
      </w:r>
      <w:r w:rsidR="004321BE">
        <w:rPr>
          <w:rFonts w:eastAsia="Times New Roman"/>
          <w:iCs/>
          <w:szCs w:val="17"/>
        </w:rPr>
        <w:t xml:space="preserve"> </w:t>
      </w:r>
      <w:r w:rsidR="00207D72">
        <w:rPr>
          <w:rFonts w:eastAsia="Times New Roman"/>
          <w:iCs/>
          <w:szCs w:val="17"/>
        </w:rPr>
        <w:t>year-on-</w:t>
      </w:r>
      <w:r w:rsidR="00E80D94">
        <w:rPr>
          <w:rFonts w:eastAsia="Times New Roman"/>
          <w:iCs/>
          <w:szCs w:val="17"/>
        </w:rPr>
        <w:t xml:space="preserve">year </w:t>
      </w:r>
      <w:r w:rsidR="00022278">
        <w:rPr>
          <w:rFonts w:eastAsia="Times New Roman"/>
          <w:iCs/>
          <w:szCs w:val="17"/>
        </w:rPr>
        <w:t>following a strong increase</w:t>
      </w:r>
      <w:r w:rsidR="008E59C2" w:rsidRPr="008E59C2">
        <w:rPr>
          <w:rFonts w:eastAsia="Times New Roman"/>
          <w:iCs/>
          <w:szCs w:val="17"/>
        </w:rPr>
        <w:t xml:space="preserve"> in income tax receipts (by 21 per</w:t>
      </w:r>
      <w:r w:rsidR="0014664D">
        <w:rPr>
          <w:rFonts w:eastAsia="Times New Roman"/>
          <w:iCs/>
          <w:szCs w:val="17"/>
        </w:rPr>
        <w:t xml:space="preserve"> </w:t>
      </w:r>
      <w:r w:rsidR="008E59C2" w:rsidRPr="008E59C2">
        <w:rPr>
          <w:rFonts w:eastAsia="Times New Roman"/>
          <w:iCs/>
          <w:szCs w:val="17"/>
        </w:rPr>
        <w:t>cent) due to higher collections from local tax offices a</w:t>
      </w:r>
      <w:r w:rsidR="0006292A">
        <w:rPr>
          <w:rFonts w:eastAsia="Times New Roman"/>
          <w:iCs/>
          <w:szCs w:val="17"/>
        </w:rPr>
        <w:t>nd</w:t>
      </w:r>
      <w:r w:rsidR="008E59C2" w:rsidRPr="008E59C2">
        <w:rPr>
          <w:rFonts w:eastAsia="Times New Roman"/>
          <w:iCs/>
          <w:szCs w:val="17"/>
        </w:rPr>
        <w:t xml:space="preserve"> the</w:t>
      </w:r>
      <w:r w:rsidR="00E80D94">
        <w:rPr>
          <w:rFonts w:eastAsia="Times New Roman"/>
          <w:iCs/>
          <w:szCs w:val="17"/>
        </w:rPr>
        <w:t xml:space="preserve"> Ministry of Finance’s</w:t>
      </w:r>
      <w:r w:rsidR="008E59C2" w:rsidRPr="008E59C2">
        <w:rPr>
          <w:rFonts w:eastAsia="Times New Roman"/>
          <w:iCs/>
          <w:szCs w:val="17"/>
        </w:rPr>
        <w:t xml:space="preserve"> </w:t>
      </w:r>
      <w:r w:rsidR="008E59C2" w:rsidRPr="00265E9A">
        <w:rPr>
          <w:rFonts w:eastAsia="Times New Roman"/>
          <w:iCs/>
          <w:szCs w:val="17"/>
        </w:rPr>
        <w:t>Large Taxpayers Unit</w:t>
      </w:r>
      <w:r w:rsidR="008E59C2" w:rsidRPr="008E59C2">
        <w:rPr>
          <w:rFonts w:eastAsia="Times New Roman"/>
          <w:iCs/>
          <w:szCs w:val="17"/>
        </w:rPr>
        <w:t xml:space="preserve">. </w:t>
      </w:r>
      <w:r w:rsidR="00022278">
        <w:rPr>
          <w:rFonts w:eastAsia="Times New Roman"/>
          <w:iCs/>
          <w:szCs w:val="17"/>
        </w:rPr>
        <w:t xml:space="preserve"> </w:t>
      </w:r>
      <w:r w:rsidR="0006292A">
        <w:rPr>
          <w:rFonts w:eastAsia="Times New Roman"/>
          <w:iCs/>
          <w:szCs w:val="17"/>
        </w:rPr>
        <w:t>S</w:t>
      </w:r>
      <w:r w:rsidR="004321BE">
        <w:rPr>
          <w:rFonts w:eastAsia="Times New Roman"/>
          <w:iCs/>
          <w:szCs w:val="17"/>
        </w:rPr>
        <w:t xml:space="preserve">trong revenue growth and </w:t>
      </w:r>
      <w:r w:rsidR="008E59C2" w:rsidRPr="008E59C2">
        <w:rPr>
          <w:rFonts w:eastAsia="Times New Roman"/>
          <w:iCs/>
          <w:szCs w:val="17"/>
        </w:rPr>
        <w:t>the decline in expe</w:t>
      </w:r>
      <w:r w:rsidR="004321BE">
        <w:rPr>
          <w:rFonts w:eastAsia="Times New Roman"/>
          <w:iCs/>
          <w:szCs w:val="17"/>
        </w:rPr>
        <w:t xml:space="preserve">nditure </w:t>
      </w:r>
      <w:r w:rsidR="008E59C2" w:rsidRPr="008E59C2">
        <w:rPr>
          <w:rFonts w:eastAsia="Times New Roman"/>
          <w:iCs/>
          <w:szCs w:val="17"/>
        </w:rPr>
        <w:t>resulted in a 57 per</w:t>
      </w:r>
      <w:r w:rsidR="0014664D">
        <w:rPr>
          <w:rFonts w:eastAsia="Times New Roman"/>
          <w:iCs/>
          <w:szCs w:val="17"/>
        </w:rPr>
        <w:t xml:space="preserve"> </w:t>
      </w:r>
      <w:r w:rsidR="008E59C2" w:rsidRPr="008E59C2">
        <w:rPr>
          <w:rFonts w:eastAsia="Times New Roman"/>
          <w:iCs/>
          <w:szCs w:val="17"/>
        </w:rPr>
        <w:t>cent decline in the PA’s tota</w:t>
      </w:r>
      <w:r w:rsidR="008E59C2">
        <w:rPr>
          <w:rFonts w:eastAsia="Times New Roman"/>
          <w:iCs/>
          <w:szCs w:val="17"/>
        </w:rPr>
        <w:t>l deficit year</w:t>
      </w:r>
      <w:r w:rsidR="0014664D">
        <w:rPr>
          <w:rFonts w:eastAsia="Times New Roman"/>
          <w:iCs/>
          <w:szCs w:val="17"/>
        </w:rPr>
        <w:t>-</w:t>
      </w:r>
      <w:r w:rsidR="008E59C2">
        <w:rPr>
          <w:rFonts w:eastAsia="Times New Roman"/>
          <w:iCs/>
          <w:szCs w:val="17"/>
        </w:rPr>
        <w:t>on</w:t>
      </w:r>
      <w:r w:rsidR="0014664D">
        <w:rPr>
          <w:rFonts w:eastAsia="Times New Roman"/>
          <w:iCs/>
          <w:szCs w:val="17"/>
        </w:rPr>
        <w:t>-</w:t>
      </w:r>
      <w:r w:rsidR="008E59C2">
        <w:rPr>
          <w:rFonts w:eastAsia="Times New Roman"/>
          <w:iCs/>
          <w:szCs w:val="17"/>
        </w:rPr>
        <w:t>year.</w:t>
      </w:r>
      <w:r w:rsidR="008E59C2" w:rsidRPr="008E59C2">
        <w:rPr>
          <w:rFonts w:cs="Helvetica"/>
          <w:lang w:val="en"/>
        </w:rPr>
        <w:t xml:space="preserve"> </w:t>
      </w:r>
      <w:r w:rsidR="00022278">
        <w:rPr>
          <w:rFonts w:cs="Helvetica"/>
          <w:lang w:val="en"/>
        </w:rPr>
        <w:t xml:space="preserve"> </w:t>
      </w:r>
      <w:r w:rsidR="008E59C2">
        <w:rPr>
          <w:rFonts w:cs="Helvetica"/>
          <w:lang w:val="en"/>
        </w:rPr>
        <w:t xml:space="preserve">Despite the strong decline in the </w:t>
      </w:r>
      <w:r w:rsidR="004321BE">
        <w:rPr>
          <w:rFonts w:cs="Helvetica"/>
          <w:lang w:val="en"/>
        </w:rPr>
        <w:t>deficit, the World Bank and the International Monetary Fund note that</w:t>
      </w:r>
      <w:r w:rsidR="008E59C2">
        <w:rPr>
          <w:rFonts w:cs="Helvetica"/>
          <w:lang w:val="en"/>
        </w:rPr>
        <w:t xml:space="preserve"> fiscal stress continued to be hig</w:t>
      </w:r>
      <w:r w:rsidR="00022278">
        <w:rPr>
          <w:rFonts w:cs="Helvetica"/>
          <w:lang w:val="en"/>
        </w:rPr>
        <w:t>h in 2016-17 due to a major decrease</w:t>
      </w:r>
      <w:r w:rsidR="008E59C2">
        <w:rPr>
          <w:rFonts w:cs="Helvetica"/>
          <w:lang w:val="en"/>
        </w:rPr>
        <w:t xml:space="preserve"> in budget support by donors.</w:t>
      </w:r>
      <w:r w:rsidR="008E59C2" w:rsidRPr="00835E0B">
        <w:rPr>
          <w:rFonts w:cs="Helvetica"/>
          <w:color w:val="FF0000"/>
          <w:lang w:val="en"/>
        </w:rPr>
        <w:t xml:space="preserve"> </w:t>
      </w:r>
    </w:p>
    <w:p w14:paraId="5B62FABE" w14:textId="50ABF8B2" w:rsidR="00A509C9" w:rsidRDefault="002F59DF" w:rsidP="00483696">
      <w:pPr>
        <w:spacing w:before="240" w:line="240" w:lineRule="auto"/>
        <w:rPr>
          <w:rFonts w:cs="Times New Roman"/>
          <w:lang w:val="en-AU"/>
        </w:rPr>
      </w:pPr>
      <w:r w:rsidRPr="00194FFB">
        <w:rPr>
          <w:rFonts w:eastAsia="Times New Roman"/>
        </w:rPr>
        <w:t>In</w:t>
      </w:r>
      <w:r w:rsidR="00835E0B">
        <w:rPr>
          <w:rFonts w:eastAsia="Times New Roman"/>
        </w:rPr>
        <w:t xml:space="preserve"> 2016-17, Australia provided $7.4 million</w:t>
      </w:r>
      <w:r w:rsidRPr="00194FFB">
        <w:rPr>
          <w:rFonts w:eastAsia="Times New Roman"/>
        </w:rPr>
        <w:t xml:space="preserve"> to support </w:t>
      </w:r>
      <w:r>
        <w:rPr>
          <w:rFonts w:eastAsia="Times New Roman"/>
        </w:rPr>
        <w:t>the third phase of</w:t>
      </w:r>
      <w:r w:rsidR="0006292A" w:rsidRPr="0006292A">
        <w:t xml:space="preserve"> </w:t>
      </w:r>
      <w:r w:rsidR="0006292A" w:rsidRPr="00A509C9">
        <w:rPr>
          <w:rFonts w:eastAsia="Times New Roman"/>
          <w:b/>
        </w:rPr>
        <w:t>Australian Middle</w:t>
      </w:r>
      <w:r w:rsidR="00207D72">
        <w:rPr>
          <w:rFonts w:eastAsia="Times New Roman"/>
          <w:b/>
        </w:rPr>
        <w:t xml:space="preserve"> East NGO Cooperation Agreement</w:t>
      </w:r>
      <w:r w:rsidRPr="00A509C9">
        <w:rPr>
          <w:rFonts w:eastAsia="Times New Roman"/>
          <w:b/>
        </w:rPr>
        <w:t xml:space="preserve"> </w:t>
      </w:r>
      <w:r w:rsidR="008265A6" w:rsidRPr="00A509C9">
        <w:rPr>
          <w:rFonts w:eastAsia="Times New Roman"/>
          <w:b/>
        </w:rPr>
        <w:t>(</w:t>
      </w:r>
      <w:r w:rsidRPr="00A509C9">
        <w:rPr>
          <w:rFonts w:eastAsia="Times New Roman"/>
          <w:b/>
        </w:rPr>
        <w:t>AMENCA 3</w:t>
      </w:r>
      <w:r w:rsidR="00A509C9">
        <w:rPr>
          <w:rFonts w:eastAsia="Times New Roman"/>
          <w:b/>
        </w:rPr>
        <w:t xml:space="preserve">; </w:t>
      </w:r>
      <w:r>
        <w:rPr>
          <w:rFonts w:eastAsia="Times New Roman"/>
        </w:rPr>
        <w:t>$40 million</w:t>
      </w:r>
      <w:r w:rsidR="00F202CA">
        <w:rPr>
          <w:rFonts w:eastAsia="Times New Roman"/>
        </w:rPr>
        <w:t>,</w:t>
      </w:r>
      <w:r>
        <w:rPr>
          <w:rFonts w:eastAsia="Times New Roman"/>
        </w:rPr>
        <w:t xml:space="preserve"> 2016-21)</w:t>
      </w:r>
      <w:r w:rsidR="004321BE">
        <w:rPr>
          <w:rFonts w:eastAsia="Times New Roman"/>
        </w:rPr>
        <w:t>, aimed at increasing</w:t>
      </w:r>
      <w:r>
        <w:rPr>
          <w:rFonts w:eastAsia="Times New Roman"/>
        </w:rPr>
        <w:t xml:space="preserve"> productivity in t</w:t>
      </w:r>
      <w:r w:rsidR="004321BE">
        <w:rPr>
          <w:rFonts w:eastAsia="Times New Roman"/>
        </w:rPr>
        <w:t>he agriculture sector</w:t>
      </w:r>
      <w:r>
        <w:rPr>
          <w:rFonts w:eastAsia="Times New Roman"/>
        </w:rPr>
        <w:t>.</w:t>
      </w:r>
      <w:r w:rsidRPr="00194FFB">
        <w:rPr>
          <w:rFonts w:eastAsia="Times New Roman"/>
        </w:rPr>
        <w:t xml:space="preserve"> </w:t>
      </w:r>
      <w:r w:rsidR="00022278">
        <w:rPr>
          <w:rFonts w:eastAsia="Times New Roman"/>
        </w:rPr>
        <w:t xml:space="preserve"> </w:t>
      </w:r>
      <w:r w:rsidR="00022278">
        <w:rPr>
          <w:rFonts w:cs="Times New Roman"/>
          <w:lang w:val="en-AU"/>
        </w:rPr>
        <w:t>In the PTs</w:t>
      </w:r>
      <w:r w:rsidR="00746A9D">
        <w:rPr>
          <w:rFonts w:cs="Times New Roman"/>
          <w:lang w:val="en-AU"/>
        </w:rPr>
        <w:t xml:space="preserve"> where</w:t>
      </w:r>
      <w:r>
        <w:rPr>
          <w:rFonts w:cs="Times New Roman"/>
          <w:lang w:val="en-AU"/>
        </w:rPr>
        <w:t xml:space="preserve"> donor funding is mostly short-term and often </w:t>
      </w:r>
      <w:r w:rsidR="00746A9D">
        <w:rPr>
          <w:rFonts w:cs="Times New Roman"/>
          <w:lang w:val="en-AU"/>
        </w:rPr>
        <w:t>focussed on immediate assistance</w:t>
      </w:r>
      <w:r w:rsidR="00022278">
        <w:rPr>
          <w:rFonts w:cs="Times New Roman"/>
          <w:lang w:val="en-AU"/>
        </w:rPr>
        <w:t xml:space="preserve">, AMENCA 3 is valued </w:t>
      </w:r>
      <w:r>
        <w:rPr>
          <w:rFonts w:cs="Times New Roman"/>
          <w:lang w:val="en-AU"/>
        </w:rPr>
        <w:t>because of its long</w:t>
      </w:r>
      <w:r w:rsidR="00483696">
        <w:rPr>
          <w:rFonts w:cs="Times New Roman"/>
          <w:lang w:val="en-AU"/>
        </w:rPr>
        <w:t>er</w:t>
      </w:r>
      <w:r>
        <w:rPr>
          <w:rFonts w:cs="Times New Roman"/>
          <w:lang w:val="en-AU"/>
        </w:rPr>
        <w:t>-term development focus</w:t>
      </w:r>
      <w:r w:rsidR="00483696">
        <w:rPr>
          <w:rFonts w:cs="Times New Roman"/>
          <w:lang w:val="en-AU"/>
        </w:rPr>
        <w:t>.</w:t>
      </w:r>
      <w:r w:rsidRPr="000F7BCA">
        <w:rPr>
          <w:rFonts w:cs="Arial"/>
          <w:lang w:val="en-AU"/>
        </w:rPr>
        <w:t xml:space="preserve"> </w:t>
      </w:r>
      <w:r w:rsidR="00022278">
        <w:rPr>
          <w:rFonts w:cs="Arial"/>
          <w:lang w:val="en-AU"/>
        </w:rPr>
        <w:t xml:space="preserve"> </w:t>
      </w:r>
      <w:r w:rsidRPr="005D0CBA">
        <w:rPr>
          <w:rFonts w:cs="Times New Roman"/>
          <w:lang w:val="en-AU"/>
        </w:rPr>
        <w:t>AMENCA 3 is more ambitious than previo</w:t>
      </w:r>
      <w:r>
        <w:rPr>
          <w:rFonts w:cs="Times New Roman"/>
          <w:lang w:val="en-AU"/>
        </w:rPr>
        <w:t>us phases of the AMENCA program</w:t>
      </w:r>
      <w:r w:rsidR="004321BE">
        <w:rPr>
          <w:rFonts w:cs="Times New Roman"/>
          <w:lang w:val="en-AU"/>
        </w:rPr>
        <w:t xml:space="preserve"> and this </w:t>
      </w:r>
      <w:r>
        <w:rPr>
          <w:rFonts w:cs="Times New Roman"/>
          <w:lang w:val="en-AU"/>
        </w:rPr>
        <w:t xml:space="preserve">has led to some implementation challenges. </w:t>
      </w:r>
      <w:r w:rsidR="00022278">
        <w:rPr>
          <w:rFonts w:cs="Times New Roman"/>
          <w:lang w:val="en-AU"/>
        </w:rPr>
        <w:t xml:space="preserve"> </w:t>
      </w:r>
      <w:r>
        <w:rPr>
          <w:rFonts w:cs="Times New Roman"/>
          <w:lang w:val="en-AU"/>
        </w:rPr>
        <w:t xml:space="preserve">The program operates in an </w:t>
      </w:r>
      <w:r w:rsidRPr="001D042D">
        <w:rPr>
          <w:rFonts w:cs="Times New Roman"/>
          <w:lang w:val="en-AU"/>
        </w:rPr>
        <w:t>environment where the</w:t>
      </w:r>
      <w:r>
        <w:rPr>
          <w:rFonts w:cs="Times New Roman"/>
          <w:lang w:val="en-AU"/>
        </w:rPr>
        <w:t>re are considerable const</w:t>
      </w:r>
      <w:r w:rsidR="004321BE">
        <w:rPr>
          <w:rFonts w:cs="Times New Roman"/>
          <w:lang w:val="en-AU"/>
        </w:rPr>
        <w:t>raints to development including a lack of certainty</w:t>
      </w:r>
      <w:r>
        <w:rPr>
          <w:rFonts w:cs="Times New Roman"/>
          <w:lang w:val="en-AU"/>
        </w:rPr>
        <w:t xml:space="preserve"> over territorial bor</w:t>
      </w:r>
      <w:r w:rsidR="004321BE">
        <w:rPr>
          <w:rFonts w:cs="Times New Roman"/>
          <w:lang w:val="en-AU"/>
        </w:rPr>
        <w:t xml:space="preserve">ders and </w:t>
      </w:r>
      <w:r>
        <w:rPr>
          <w:rFonts w:cs="Times New Roman"/>
          <w:lang w:val="en-AU"/>
        </w:rPr>
        <w:t>natural r</w:t>
      </w:r>
      <w:r w:rsidR="00746A9D">
        <w:rPr>
          <w:rFonts w:cs="Times New Roman"/>
          <w:lang w:val="en-AU"/>
        </w:rPr>
        <w:t>esources such as land and water,</w:t>
      </w:r>
      <w:r>
        <w:rPr>
          <w:rFonts w:cs="Times New Roman"/>
          <w:lang w:val="en-AU"/>
        </w:rPr>
        <w:t xml:space="preserve"> restrictions on </w:t>
      </w:r>
      <w:r w:rsidR="004321BE">
        <w:rPr>
          <w:rFonts w:cs="Times New Roman"/>
          <w:lang w:val="en-AU"/>
        </w:rPr>
        <w:t xml:space="preserve">the movement of goods and people </w:t>
      </w:r>
      <w:r>
        <w:rPr>
          <w:rFonts w:cs="Times New Roman"/>
          <w:lang w:val="en-AU"/>
        </w:rPr>
        <w:t>and the continued</w:t>
      </w:r>
      <w:r w:rsidR="00746A9D">
        <w:rPr>
          <w:rFonts w:cs="Times New Roman"/>
          <w:lang w:val="en-AU"/>
        </w:rPr>
        <w:t xml:space="preserve"> risk of conflict</w:t>
      </w:r>
      <w:r>
        <w:rPr>
          <w:rFonts w:cs="Times New Roman"/>
          <w:lang w:val="en-AU"/>
        </w:rPr>
        <w:t xml:space="preserve">. </w:t>
      </w:r>
      <w:r w:rsidR="00022278">
        <w:rPr>
          <w:rFonts w:cs="Times New Roman"/>
          <w:lang w:val="en-AU"/>
        </w:rPr>
        <w:t xml:space="preserve"> </w:t>
      </w:r>
      <w:r>
        <w:rPr>
          <w:rFonts w:cs="Times New Roman"/>
          <w:lang w:val="en-AU"/>
        </w:rPr>
        <w:t xml:space="preserve">These challenges are particularly acute in Gaza. </w:t>
      </w:r>
      <w:r w:rsidR="00022278">
        <w:rPr>
          <w:rFonts w:cs="Times New Roman"/>
          <w:lang w:val="en-AU"/>
        </w:rPr>
        <w:t xml:space="preserve"> </w:t>
      </w:r>
    </w:p>
    <w:p w14:paraId="3C643C7E" w14:textId="7A9FD5F7" w:rsidR="002F59DF" w:rsidRPr="00076584" w:rsidRDefault="002F59DF" w:rsidP="006F0B9D">
      <w:pPr>
        <w:rPr>
          <w:rFonts w:cs="Arial"/>
          <w:lang w:val="en-AU"/>
        </w:rPr>
      </w:pPr>
      <w:r>
        <w:rPr>
          <w:rFonts w:cs="Times New Roman"/>
          <w:lang w:val="en-AU"/>
        </w:rPr>
        <w:t>In addition to these contextual challenges</w:t>
      </w:r>
      <w:r w:rsidR="006F0B9D">
        <w:rPr>
          <w:rFonts w:cs="Times New Roman"/>
        </w:rPr>
        <w:t>,</w:t>
      </w:r>
      <w:r w:rsidR="00FB496C">
        <w:rPr>
          <w:rFonts w:cs="Times New Roman"/>
        </w:rPr>
        <w:t xml:space="preserve"> AMENCA 3 </w:t>
      </w:r>
      <w:r w:rsidR="006F49E7">
        <w:rPr>
          <w:rFonts w:cs="Times New Roman"/>
        </w:rPr>
        <w:t xml:space="preserve">has different programmatic underpinnings than </w:t>
      </w:r>
      <w:r w:rsidR="00FB496C">
        <w:rPr>
          <w:rFonts w:cs="Times New Roman"/>
        </w:rPr>
        <w:t>its predecessor programs.  AMENCA 3 uses</w:t>
      </w:r>
      <w:r w:rsidR="006F0B9D">
        <w:rPr>
          <w:rFonts w:cs="Times New Roman"/>
        </w:rPr>
        <w:t xml:space="preserve"> a ‘hybrid market systems’ approach in the agriculture sector </w:t>
      </w:r>
      <w:r w:rsidR="006F0B9D">
        <w:t>- working with market actors to effect better outcomes rather than simply working with farmers to increase productivity.</w:t>
      </w:r>
      <w:r w:rsidR="00DF70EF">
        <w:t xml:space="preserve">  </w:t>
      </w:r>
      <w:r w:rsidR="00860A32">
        <w:rPr>
          <w:rFonts w:cs="Times New Roman"/>
          <w:lang w:val="en-AU"/>
        </w:rPr>
        <w:t>DFAT has</w:t>
      </w:r>
      <w:r w:rsidR="00FB496C">
        <w:rPr>
          <w:rFonts w:cs="Times New Roman"/>
          <w:lang w:val="en-AU"/>
        </w:rPr>
        <w:t xml:space="preserve"> provided practical guidance </w:t>
      </w:r>
      <w:r w:rsidR="006F49E7">
        <w:rPr>
          <w:rFonts w:cs="Times New Roman"/>
          <w:lang w:val="en-AU"/>
        </w:rPr>
        <w:t xml:space="preserve">to </w:t>
      </w:r>
      <w:r w:rsidR="00FB496C">
        <w:rPr>
          <w:rFonts w:cs="Times New Roman"/>
          <w:lang w:val="en-AU"/>
        </w:rPr>
        <w:t xml:space="preserve">our partners </w:t>
      </w:r>
      <w:r w:rsidR="006F49E7">
        <w:rPr>
          <w:rFonts w:cs="Times New Roman"/>
          <w:lang w:val="en-AU"/>
        </w:rPr>
        <w:t xml:space="preserve">on this topic </w:t>
      </w:r>
      <w:r w:rsidR="00FB496C">
        <w:rPr>
          <w:rFonts w:cs="Times New Roman"/>
          <w:lang w:val="en-AU"/>
        </w:rPr>
        <w:t xml:space="preserve">and </w:t>
      </w:r>
      <w:r w:rsidR="006F49E7">
        <w:rPr>
          <w:rFonts w:cs="Times New Roman"/>
          <w:lang w:val="en-AU"/>
        </w:rPr>
        <w:t>offered them</w:t>
      </w:r>
      <w:r w:rsidR="00FB496C">
        <w:rPr>
          <w:rFonts w:cs="Times New Roman"/>
          <w:lang w:val="en-AU"/>
        </w:rPr>
        <w:t xml:space="preserve"> </w:t>
      </w:r>
      <w:r w:rsidR="00ED4A06">
        <w:rPr>
          <w:rFonts w:cs="Times New Roman"/>
          <w:lang w:val="en-AU"/>
        </w:rPr>
        <w:t>additional technical assistance</w:t>
      </w:r>
      <w:r w:rsidR="00A346EC">
        <w:rPr>
          <w:rFonts w:cs="Times New Roman"/>
          <w:lang w:val="en-AU"/>
        </w:rPr>
        <w:t xml:space="preserve">. </w:t>
      </w:r>
      <w:r w:rsidR="00022278">
        <w:rPr>
          <w:rFonts w:cs="Times New Roman"/>
          <w:lang w:val="en-AU"/>
        </w:rPr>
        <w:t xml:space="preserve"> </w:t>
      </w:r>
      <w:r w:rsidR="006F49E7">
        <w:rPr>
          <w:rFonts w:cs="Times New Roman"/>
          <w:lang w:val="en-AU"/>
        </w:rPr>
        <w:t xml:space="preserve">During 2016-17, the Palestinian Ministry of Agriculture (MOA) requested that partners </w:t>
      </w:r>
      <w:r w:rsidR="00FB496C">
        <w:rPr>
          <w:rFonts w:cs="Times New Roman"/>
          <w:lang w:val="en-AU"/>
        </w:rPr>
        <w:t xml:space="preserve">consolidate some </w:t>
      </w:r>
      <w:r w:rsidR="006F49E7">
        <w:rPr>
          <w:rFonts w:cs="Times New Roman"/>
          <w:lang w:val="en-AU"/>
        </w:rPr>
        <w:t xml:space="preserve">of their activities to focus their efforts more sharply.  </w:t>
      </w:r>
      <w:r w:rsidR="00022278">
        <w:rPr>
          <w:rFonts w:cs="Times New Roman"/>
          <w:lang w:val="en-AU"/>
        </w:rPr>
        <w:t xml:space="preserve">A Rapid Review of Management and Operations was undertaken in May 2017 which revised some administrative roadblocks to ensure more streamlined program delivery.  </w:t>
      </w:r>
      <w:r w:rsidRPr="001D042D">
        <w:rPr>
          <w:rFonts w:cs="Times New Roman"/>
          <w:lang w:val="en-AU"/>
        </w:rPr>
        <w:t xml:space="preserve">The suspension of World Vision in </w:t>
      </w:r>
      <w:r w:rsidR="008265A6">
        <w:rPr>
          <w:rFonts w:cs="Times New Roman"/>
          <w:lang w:val="en-AU"/>
        </w:rPr>
        <w:t>August</w:t>
      </w:r>
      <w:r w:rsidR="00022278">
        <w:rPr>
          <w:rFonts w:cs="Times New Roman"/>
          <w:lang w:val="en-AU"/>
        </w:rPr>
        <w:t xml:space="preserve"> 2016 </w:t>
      </w:r>
      <w:r w:rsidR="00076584">
        <w:rPr>
          <w:rFonts w:cs="Times New Roman"/>
          <w:lang w:val="en-AU"/>
        </w:rPr>
        <w:t>also impacted on the program.</w:t>
      </w:r>
      <w:r w:rsidR="00076584">
        <w:rPr>
          <w:rFonts w:cs="Arial"/>
          <w:lang w:val="en-AU"/>
        </w:rPr>
        <w:t xml:space="preserve">  In response to this, DFAT reviewed its systems for managing aid in the PTs and strengthened due diligence and compliance functions across activities including AMENCA 3.  </w:t>
      </w:r>
      <w:r w:rsidR="00860A32">
        <w:rPr>
          <w:rFonts w:cs="Arial"/>
          <w:lang w:val="en-AU"/>
        </w:rPr>
        <w:t>During 2017-18, DFAT</w:t>
      </w:r>
      <w:r w:rsidR="00FB496C">
        <w:rPr>
          <w:rFonts w:cs="Arial"/>
          <w:lang w:val="en-AU"/>
        </w:rPr>
        <w:t xml:space="preserve"> will adjust </w:t>
      </w:r>
      <w:r w:rsidR="00860A32">
        <w:rPr>
          <w:rFonts w:cs="Arial"/>
          <w:lang w:val="en-AU"/>
        </w:rPr>
        <w:t>the program’s</w:t>
      </w:r>
      <w:r w:rsidR="006F49E7">
        <w:rPr>
          <w:rFonts w:cs="Arial"/>
          <w:lang w:val="en-AU"/>
        </w:rPr>
        <w:t xml:space="preserve"> </w:t>
      </w:r>
      <w:r w:rsidR="00FB496C">
        <w:rPr>
          <w:rFonts w:cs="Arial"/>
          <w:lang w:val="en-AU"/>
        </w:rPr>
        <w:t>antici</w:t>
      </w:r>
      <w:r w:rsidR="006F49E7">
        <w:rPr>
          <w:rFonts w:cs="Arial"/>
          <w:lang w:val="en-AU"/>
        </w:rPr>
        <w:t>pated outcomes</w:t>
      </w:r>
      <w:r w:rsidR="00FB496C">
        <w:rPr>
          <w:rFonts w:cs="Arial"/>
          <w:lang w:val="en-AU"/>
        </w:rPr>
        <w:t xml:space="preserve"> to reflect </w:t>
      </w:r>
      <w:r w:rsidR="006F49E7">
        <w:rPr>
          <w:rFonts w:cs="Arial"/>
          <w:lang w:val="en-AU"/>
        </w:rPr>
        <w:t>the change in</w:t>
      </w:r>
      <w:r w:rsidR="00FB496C">
        <w:rPr>
          <w:rFonts w:cs="Arial"/>
          <w:lang w:val="en-AU"/>
        </w:rPr>
        <w:t xml:space="preserve"> circumstances since </w:t>
      </w:r>
      <w:r w:rsidR="00860A32">
        <w:rPr>
          <w:rFonts w:cs="Arial"/>
          <w:lang w:val="en-AU"/>
        </w:rPr>
        <w:t>it</w:t>
      </w:r>
      <w:r w:rsidR="00FB496C">
        <w:rPr>
          <w:rFonts w:cs="Arial"/>
          <w:lang w:val="en-AU"/>
        </w:rPr>
        <w:t xml:space="preserve"> was designed.</w:t>
      </w:r>
    </w:p>
    <w:p w14:paraId="6C717853" w14:textId="195752DC" w:rsidR="002F59DF" w:rsidRDefault="00022278" w:rsidP="002F59DF">
      <w:pPr>
        <w:spacing w:before="240" w:line="240" w:lineRule="auto"/>
        <w:rPr>
          <w:rFonts w:cs="Arial"/>
          <w:lang w:val="en-AU"/>
        </w:rPr>
      </w:pPr>
      <w:r>
        <w:rPr>
          <w:rFonts w:cs="Arial"/>
          <w:lang w:val="en-AU"/>
        </w:rPr>
        <w:t>AMENCA 3 is achieving results</w:t>
      </w:r>
      <w:r>
        <w:rPr>
          <w:rFonts w:eastAsia="Times New Roman"/>
        </w:rPr>
        <w:t xml:space="preserve"> d</w:t>
      </w:r>
      <w:r w:rsidR="002F59DF">
        <w:rPr>
          <w:rFonts w:eastAsia="Times New Roman"/>
        </w:rPr>
        <w:t xml:space="preserve">espite these </w:t>
      </w:r>
      <w:r>
        <w:rPr>
          <w:rFonts w:eastAsia="Times New Roman"/>
        </w:rPr>
        <w:t>challenges</w:t>
      </w:r>
      <w:r w:rsidR="00746A9D">
        <w:rPr>
          <w:rFonts w:cs="Arial"/>
          <w:lang w:val="en-AU"/>
        </w:rPr>
        <w:t>.</w:t>
      </w:r>
      <w:r w:rsidR="00D30765">
        <w:rPr>
          <w:rFonts w:cs="Arial"/>
          <w:lang w:val="en-AU"/>
        </w:rPr>
        <w:t xml:space="preserve"> </w:t>
      </w:r>
      <w:r w:rsidR="00746A9D">
        <w:rPr>
          <w:rFonts w:cs="Arial"/>
          <w:lang w:val="en-AU"/>
        </w:rPr>
        <w:t xml:space="preserve">Partners have conducted consultations with </w:t>
      </w:r>
      <w:r w:rsidR="00E80D94">
        <w:rPr>
          <w:rFonts w:cs="Arial"/>
          <w:lang w:val="en-AU"/>
        </w:rPr>
        <w:t>M</w:t>
      </w:r>
      <w:r w:rsidR="006F49E7">
        <w:rPr>
          <w:rFonts w:cs="Arial"/>
          <w:lang w:val="en-AU"/>
        </w:rPr>
        <w:t>O</w:t>
      </w:r>
      <w:r w:rsidR="00E80D94">
        <w:rPr>
          <w:rFonts w:cs="Arial"/>
          <w:lang w:val="en-AU"/>
        </w:rPr>
        <w:t xml:space="preserve">A and </w:t>
      </w:r>
      <w:r>
        <w:rPr>
          <w:rFonts w:cs="Arial"/>
          <w:lang w:val="en-AU"/>
        </w:rPr>
        <w:t xml:space="preserve">the private sector </w:t>
      </w:r>
      <w:r w:rsidR="00E80D94">
        <w:rPr>
          <w:rFonts w:cs="Arial"/>
          <w:lang w:val="en-AU"/>
        </w:rPr>
        <w:t xml:space="preserve">in </w:t>
      </w:r>
      <w:r w:rsidR="002F59DF" w:rsidRPr="00194FFB">
        <w:rPr>
          <w:rFonts w:cs="Arial"/>
          <w:lang w:val="en-AU"/>
        </w:rPr>
        <w:t>the areas where activities will be based.</w:t>
      </w:r>
      <w:r w:rsidR="004665C7">
        <w:rPr>
          <w:rFonts w:cs="Arial"/>
          <w:lang w:val="en-AU"/>
        </w:rPr>
        <w:t xml:space="preserve"> </w:t>
      </w:r>
      <w:r w:rsidR="00746A9D">
        <w:rPr>
          <w:rFonts w:cs="Arial"/>
          <w:lang w:val="en-AU"/>
        </w:rPr>
        <w:t>Partners</w:t>
      </w:r>
      <w:r w:rsidR="002F59DF" w:rsidRPr="00194FFB">
        <w:rPr>
          <w:rFonts w:cs="Arial"/>
          <w:lang w:val="en-AU"/>
        </w:rPr>
        <w:t xml:space="preserve"> </w:t>
      </w:r>
      <w:r w:rsidR="00746A9D">
        <w:rPr>
          <w:rFonts w:cs="Arial"/>
          <w:lang w:val="en-AU"/>
        </w:rPr>
        <w:t>have undertaken</w:t>
      </w:r>
      <w:r w:rsidR="00D12400">
        <w:rPr>
          <w:rFonts w:cs="Arial"/>
          <w:lang w:val="en-AU"/>
        </w:rPr>
        <w:t xml:space="preserve"> comprehensive analyses of the sector and determined the </w:t>
      </w:r>
      <w:r w:rsidR="00FB496C">
        <w:rPr>
          <w:rFonts w:cs="Arial"/>
          <w:lang w:val="en-AU"/>
        </w:rPr>
        <w:t xml:space="preserve">produce or livestock </w:t>
      </w:r>
      <w:r w:rsidR="00D12400">
        <w:rPr>
          <w:rFonts w:cs="Arial"/>
          <w:lang w:val="en-AU"/>
        </w:rPr>
        <w:t>they will target.</w:t>
      </w:r>
      <w:r w:rsidR="00FB496C">
        <w:rPr>
          <w:rFonts w:cs="Arial"/>
          <w:lang w:val="en-AU"/>
        </w:rPr>
        <w:t xml:space="preserve">  </w:t>
      </w:r>
      <w:r w:rsidR="00D12400">
        <w:rPr>
          <w:rFonts w:cs="Arial"/>
          <w:lang w:val="en-AU"/>
        </w:rPr>
        <w:t>Work has commenced on</w:t>
      </w:r>
      <w:r w:rsidR="002F59DF" w:rsidRPr="00194FFB">
        <w:rPr>
          <w:rFonts w:cs="Arial"/>
          <w:lang w:val="en-AU"/>
        </w:rPr>
        <w:t xml:space="preserve"> activities </w:t>
      </w:r>
      <w:r w:rsidR="00D26483">
        <w:rPr>
          <w:rFonts w:cs="Arial"/>
          <w:lang w:val="en-AU"/>
        </w:rPr>
        <w:t>such as</w:t>
      </w:r>
      <w:r w:rsidR="00746A9D">
        <w:rPr>
          <w:rFonts w:cs="Arial"/>
          <w:lang w:val="en-AU"/>
        </w:rPr>
        <w:t xml:space="preserve"> construction of</w:t>
      </w:r>
      <w:r w:rsidR="00D26483">
        <w:rPr>
          <w:rFonts w:cs="Arial"/>
          <w:lang w:val="en-AU"/>
        </w:rPr>
        <w:t xml:space="preserve"> farm roads</w:t>
      </w:r>
      <w:r w:rsidR="007064CA">
        <w:rPr>
          <w:rFonts w:cs="Arial"/>
          <w:lang w:val="en-AU"/>
        </w:rPr>
        <w:t xml:space="preserve">.  </w:t>
      </w:r>
      <w:r w:rsidR="00D12400">
        <w:rPr>
          <w:rFonts w:cs="Arial"/>
          <w:lang w:val="en-AU"/>
        </w:rPr>
        <w:t xml:space="preserve">Partners are also in consultation </w:t>
      </w:r>
      <w:r>
        <w:rPr>
          <w:rFonts w:cs="Arial"/>
          <w:lang w:val="en-AU"/>
        </w:rPr>
        <w:t>with</w:t>
      </w:r>
      <w:r w:rsidR="00811621">
        <w:rPr>
          <w:rFonts w:cs="Arial"/>
          <w:lang w:val="en-AU"/>
        </w:rPr>
        <w:t xml:space="preserve"> </w:t>
      </w:r>
      <w:r w:rsidR="007064CA">
        <w:rPr>
          <w:rFonts w:cs="Arial"/>
          <w:lang w:val="en-AU"/>
        </w:rPr>
        <w:t>the private se</w:t>
      </w:r>
      <w:r w:rsidR="00DF70EF">
        <w:rPr>
          <w:rFonts w:cs="Arial"/>
          <w:lang w:val="en-AU"/>
        </w:rPr>
        <w:t>ctor</w:t>
      </w:r>
      <w:r w:rsidR="007064CA">
        <w:rPr>
          <w:rFonts w:cs="Arial"/>
          <w:lang w:val="en-AU"/>
        </w:rPr>
        <w:t xml:space="preserve"> on opportunities </w:t>
      </w:r>
      <w:r w:rsidR="00FB496C">
        <w:rPr>
          <w:rFonts w:cs="Arial"/>
          <w:lang w:val="en-AU"/>
        </w:rPr>
        <w:t>for</w:t>
      </w:r>
      <w:r w:rsidR="00811621">
        <w:rPr>
          <w:rFonts w:cs="Arial"/>
          <w:lang w:val="en-AU"/>
        </w:rPr>
        <w:t xml:space="preserve"> vegetable seed mul</w:t>
      </w:r>
      <w:r w:rsidR="007064CA">
        <w:rPr>
          <w:rFonts w:cs="Arial"/>
          <w:lang w:val="en-AU"/>
        </w:rPr>
        <w:t xml:space="preserve">tiplication, a </w:t>
      </w:r>
      <w:r w:rsidR="00811621">
        <w:rPr>
          <w:rFonts w:cs="Arial"/>
          <w:lang w:val="en-AU"/>
        </w:rPr>
        <w:t>deal between small and medium dairy p</w:t>
      </w:r>
      <w:r w:rsidR="007064CA">
        <w:rPr>
          <w:rFonts w:cs="Arial"/>
          <w:lang w:val="en-AU"/>
        </w:rPr>
        <w:t xml:space="preserve">roducers with a national distributor and for the development of a </w:t>
      </w:r>
      <w:r w:rsidR="00811621">
        <w:rPr>
          <w:rFonts w:cs="Arial"/>
          <w:lang w:val="en-AU"/>
        </w:rPr>
        <w:t xml:space="preserve">grape </w:t>
      </w:r>
      <w:r w:rsidR="009701DD">
        <w:rPr>
          <w:rFonts w:cs="Arial"/>
          <w:lang w:val="en-AU"/>
        </w:rPr>
        <w:t>packing</w:t>
      </w:r>
      <w:r w:rsidR="00E80D94">
        <w:rPr>
          <w:rFonts w:cs="Arial"/>
          <w:lang w:val="en-AU"/>
        </w:rPr>
        <w:t xml:space="preserve"> </w:t>
      </w:r>
      <w:r w:rsidR="009701DD">
        <w:rPr>
          <w:rFonts w:cs="Arial"/>
          <w:lang w:val="en-AU"/>
        </w:rPr>
        <w:t>house</w:t>
      </w:r>
      <w:r>
        <w:rPr>
          <w:rFonts w:cs="Arial"/>
          <w:lang w:val="en-AU"/>
        </w:rPr>
        <w:t>.</w:t>
      </w:r>
    </w:p>
    <w:p w14:paraId="5821FE17" w14:textId="45AD72AA" w:rsidR="00F37473" w:rsidRDefault="005E5435" w:rsidP="00B17E41">
      <w:pPr>
        <w:rPr>
          <w:iCs/>
        </w:rPr>
      </w:pPr>
      <w:r w:rsidRPr="00970A21">
        <w:rPr>
          <w:iCs/>
        </w:rPr>
        <w:t xml:space="preserve">During 2016-17, </w:t>
      </w:r>
      <w:r w:rsidR="00970A21">
        <w:rPr>
          <w:bCs/>
          <w:iCs/>
        </w:rPr>
        <w:t>nine</w:t>
      </w:r>
      <w:r w:rsidRPr="00970A21">
        <w:rPr>
          <w:iCs/>
        </w:rPr>
        <w:t xml:space="preserve"> </w:t>
      </w:r>
      <w:r w:rsidRPr="009E3F02">
        <w:rPr>
          <w:b/>
          <w:iCs/>
        </w:rPr>
        <w:t>Australia Award scholarships</w:t>
      </w:r>
      <w:r w:rsidR="00D12400">
        <w:rPr>
          <w:iCs/>
        </w:rPr>
        <w:t xml:space="preserve"> we</w:t>
      </w:r>
      <w:r w:rsidR="00A509C9">
        <w:rPr>
          <w:iCs/>
        </w:rPr>
        <w:t>re approved</w:t>
      </w:r>
      <w:r w:rsidRPr="00970A21">
        <w:rPr>
          <w:iCs/>
        </w:rPr>
        <w:t xml:space="preserve"> (</w:t>
      </w:r>
      <w:r w:rsidR="00EC09F6" w:rsidRPr="00970A21">
        <w:rPr>
          <w:bCs/>
          <w:iCs/>
        </w:rPr>
        <w:t>six</w:t>
      </w:r>
      <w:r w:rsidRPr="00970A21">
        <w:rPr>
          <w:iCs/>
        </w:rPr>
        <w:t xml:space="preserve"> male</w:t>
      </w:r>
      <w:r w:rsidR="00C8322B">
        <w:rPr>
          <w:iCs/>
        </w:rPr>
        <w:t>s</w:t>
      </w:r>
      <w:r w:rsidRPr="00970A21">
        <w:rPr>
          <w:iCs/>
        </w:rPr>
        <w:t xml:space="preserve">, </w:t>
      </w:r>
      <w:r w:rsidR="00EC09F6">
        <w:rPr>
          <w:iCs/>
        </w:rPr>
        <w:t xml:space="preserve">three </w:t>
      </w:r>
      <w:r w:rsidRPr="00970A21">
        <w:rPr>
          <w:iCs/>
        </w:rPr>
        <w:t>female</w:t>
      </w:r>
      <w:r w:rsidR="00C8322B">
        <w:rPr>
          <w:iCs/>
        </w:rPr>
        <w:t>s</w:t>
      </w:r>
      <w:r w:rsidRPr="00970A21">
        <w:rPr>
          <w:iCs/>
        </w:rPr>
        <w:t>) to Palestinians from the West Bank and Gaza. The scholarships program helps to build public sector management skills within the PA and other institutions</w:t>
      </w:r>
      <w:r w:rsidR="009E404E">
        <w:rPr>
          <w:iCs/>
        </w:rPr>
        <w:t>.</w:t>
      </w:r>
      <w:r w:rsidR="00D30765">
        <w:rPr>
          <w:iCs/>
        </w:rPr>
        <w:t xml:space="preserve"> </w:t>
      </w:r>
      <w:r w:rsidR="00A509C9">
        <w:rPr>
          <w:iCs/>
        </w:rPr>
        <w:t xml:space="preserve"> </w:t>
      </w:r>
      <w:r w:rsidR="00984BE3" w:rsidRPr="00970A21">
        <w:rPr>
          <w:iCs/>
        </w:rPr>
        <w:t xml:space="preserve">Due to </w:t>
      </w:r>
      <w:r w:rsidR="00984BE3">
        <w:rPr>
          <w:iCs/>
        </w:rPr>
        <w:t>the</w:t>
      </w:r>
      <w:r w:rsidR="00984BE3" w:rsidRPr="00970A21">
        <w:rPr>
          <w:iCs/>
        </w:rPr>
        <w:t xml:space="preserve"> unexpected withdrawal of one scholar, </w:t>
      </w:r>
      <w:r w:rsidR="00984BE3">
        <w:rPr>
          <w:iCs/>
        </w:rPr>
        <w:t xml:space="preserve">the </w:t>
      </w:r>
      <w:r w:rsidR="00984BE3" w:rsidRPr="00970A21">
        <w:rPr>
          <w:iCs/>
        </w:rPr>
        <w:t>target of ten</w:t>
      </w:r>
      <w:r w:rsidR="00984BE3">
        <w:rPr>
          <w:iCs/>
        </w:rPr>
        <w:t xml:space="preserve"> scholarships for 2016-17 was not met.  </w:t>
      </w:r>
      <w:r w:rsidR="009A1E9A">
        <w:rPr>
          <w:iCs/>
        </w:rPr>
        <w:t xml:space="preserve">Creating an alumni network for returned Australia Awards scholars is a priority for the </w:t>
      </w:r>
      <w:r w:rsidR="00984BE3">
        <w:rPr>
          <w:iCs/>
        </w:rPr>
        <w:t xml:space="preserve">PTs aid </w:t>
      </w:r>
      <w:r w:rsidR="009A1E9A">
        <w:rPr>
          <w:iCs/>
        </w:rPr>
        <w:t>p</w:t>
      </w:r>
      <w:r w:rsidR="00984BE3">
        <w:rPr>
          <w:iCs/>
        </w:rPr>
        <w:t>rogram and this received a high-</w:t>
      </w:r>
      <w:r w:rsidR="009A1E9A">
        <w:rPr>
          <w:iCs/>
        </w:rPr>
        <w:t xml:space="preserve">profile boost when the </w:t>
      </w:r>
      <w:r w:rsidR="00A509C9">
        <w:rPr>
          <w:iCs/>
        </w:rPr>
        <w:t xml:space="preserve">Australian </w:t>
      </w:r>
      <w:r w:rsidR="009A1E9A">
        <w:rPr>
          <w:iCs/>
        </w:rPr>
        <w:t xml:space="preserve">Minister for </w:t>
      </w:r>
      <w:r w:rsidR="009A1E9A">
        <w:rPr>
          <w:iCs/>
        </w:rPr>
        <w:lastRenderedPageBreak/>
        <w:t>Foreign Affairs</w:t>
      </w:r>
      <w:r w:rsidR="00984BE3">
        <w:rPr>
          <w:iCs/>
        </w:rPr>
        <w:t>, the Hon Julie Bishop,</w:t>
      </w:r>
      <w:r w:rsidR="009A1E9A">
        <w:rPr>
          <w:iCs/>
        </w:rPr>
        <w:t xml:space="preserve"> met with returned scholars during her visit to the PTs in September 2016.</w:t>
      </w:r>
    </w:p>
    <w:p w14:paraId="208B8D1D" w14:textId="77777777" w:rsidR="009A1E9A" w:rsidRPr="00970A21" w:rsidRDefault="009A1E9A" w:rsidP="00B17E41">
      <w:pPr>
        <w:rPr>
          <w:iCs/>
        </w:rPr>
      </w:pPr>
    </w:p>
    <w:p w14:paraId="2B1D8E99" w14:textId="77777777" w:rsidR="00986FBE" w:rsidRPr="0047593D" w:rsidRDefault="00B17E41" w:rsidP="0047593D">
      <w:pPr>
        <w:suppressAutoHyphens w:val="0"/>
        <w:spacing w:before="0" w:after="120" w:line="440" w:lineRule="atLeast"/>
        <w:rPr>
          <w:b/>
          <w:iCs/>
          <w:color w:val="FF0000"/>
        </w:rPr>
      </w:pPr>
      <w:r w:rsidRPr="002A51CA">
        <w:rPr>
          <w:rFonts w:asciiTheme="majorHAnsi" w:eastAsiaTheme="majorEastAsia" w:hAnsiTheme="majorHAnsi" w:cstheme="majorBidi"/>
          <w:caps/>
          <w:sz w:val="38"/>
          <w:szCs w:val="26"/>
        </w:rPr>
        <w:t>O</w:t>
      </w:r>
      <w:r>
        <w:rPr>
          <w:rFonts w:asciiTheme="majorHAnsi" w:eastAsiaTheme="majorEastAsia" w:hAnsiTheme="majorHAnsi" w:cstheme="majorBidi"/>
          <w:caps/>
          <w:sz w:val="38"/>
          <w:szCs w:val="26"/>
        </w:rPr>
        <w:t>bjective 2 – palestinian refugees in the ptS AND ACROSS THE REGION ARE ABLE TO ACCESS QUALITY BASIC SERVICES</w:t>
      </w:r>
    </w:p>
    <w:p w14:paraId="27F4600C" w14:textId="2BA36004" w:rsidR="00B17E41" w:rsidRDefault="00986FBE" w:rsidP="00B17E41">
      <w:pPr>
        <w:rPr>
          <w:rFonts w:asciiTheme="majorHAnsi" w:eastAsiaTheme="majorEastAsia" w:hAnsiTheme="majorHAnsi" w:cstheme="majorBidi"/>
          <w:caps/>
          <w:sz w:val="38"/>
          <w:szCs w:val="26"/>
        </w:rPr>
      </w:pPr>
      <w:r>
        <w:rPr>
          <w:noProof/>
          <w:lang w:val="en-AU" w:eastAsia="en-AU"/>
        </w:rPr>
        <w:t xml:space="preserve"> </w:t>
      </w:r>
      <w:r w:rsidRPr="00695730">
        <w:rPr>
          <w:rFonts w:asciiTheme="majorHAnsi" w:eastAsiaTheme="majorEastAsia" w:hAnsiTheme="majorHAnsi" w:cstheme="majorBidi"/>
          <w:caps/>
          <w:noProof/>
          <w:sz w:val="38"/>
          <w:szCs w:val="26"/>
          <w:lang w:val="en-AU" w:eastAsia="en-AU"/>
        </w:rPr>
        <w:drawing>
          <wp:inline distT="0" distB="0" distL="0" distR="0" wp14:anchorId="2C5CCD36" wp14:editId="7E79E58E">
            <wp:extent cx="1137600" cy="720000"/>
            <wp:effectExtent l="0" t="0" r="5715"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3">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noProof/>
          <w:lang w:val="en-AU" w:eastAsia="en-AU"/>
        </w:rPr>
        <w:t xml:space="preserve">     </w:t>
      </w:r>
      <w:r w:rsidR="00170EF5" w:rsidRPr="00695730">
        <w:rPr>
          <w:rFonts w:asciiTheme="majorHAnsi" w:eastAsiaTheme="majorEastAsia" w:hAnsiTheme="majorHAnsi" w:cstheme="majorBidi"/>
          <w:caps/>
          <w:noProof/>
          <w:sz w:val="38"/>
          <w:szCs w:val="26"/>
          <w:lang w:val="en-AU" w:eastAsia="en-AU"/>
        </w:rPr>
        <w:drawing>
          <wp:inline distT="0" distB="0" distL="0" distR="0" wp14:anchorId="4E4F71E5" wp14:editId="3E784BDB">
            <wp:extent cx="609600" cy="609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sidR="00D30765">
        <w:rPr>
          <w:noProof/>
          <w:lang w:val="en-AU" w:eastAsia="en-AU"/>
        </w:rPr>
        <w:t xml:space="preserve"> </w:t>
      </w:r>
      <w:r>
        <w:rPr>
          <w:noProof/>
          <w:lang w:val="en-AU" w:eastAsia="en-AU"/>
        </w:rPr>
        <w:t xml:space="preserve"> </w:t>
      </w:r>
      <w:r w:rsidR="00170EF5">
        <w:rPr>
          <w:noProof/>
          <w:lang w:val="en-AU" w:eastAsia="en-AU"/>
        </w:rPr>
        <w:drawing>
          <wp:inline distT="0" distB="0" distL="0" distR="0" wp14:anchorId="25C94BC3" wp14:editId="2802D51F">
            <wp:extent cx="609600" cy="609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noProof/>
          <w:lang w:val="en-AU" w:eastAsia="en-AU"/>
        </w:rPr>
        <w:t xml:space="preserve">  </w:t>
      </w:r>
      <w:r>
        <w:rPr>
          <w:noProof/>
          <w:lang w:val="en-AU" w:eastAsia="en-AU"/>
        </w:rPr>
        <w:drawing>
          <wp:inline distT="0" distB="0" distL="0" distR="0" wp14:anchorId="13C33380" wp14:editId="2A13E07C">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sidR="00170EF5">
        <w:rPr>
          <w:noProof/>
          <w:lang w:val="en-AU" w:eastAsia="en-AU"/>
        </w:rPr>
        <w:drawing>
          <wp:inline distT="0" distB="0" distL="0" distR="0" wp14:anchorId="163BC50D" wp14:editId="36C48602">
            <wp:extent cx="612000" cy="61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D30765">
        <w:rPr>
          <w:noProof/>
          <w:lang w:val="en-AU" w:eastAsia="en-AU"/>
        </w:rPr>
        <w:t xml:space="preserve"> </w:t>
      </w:r>
      <w:r>
        <w:rPr>
          <w:noProof/>
          <w:lang w:val="en-AU" w:eastAsia="en-AU"/>
        </w:rPr>
        <w:t xml:space="preserve"> </w:t>
      </w:r>
      <w:r w:rsidR="00170EF5">
        <w:rPr>
          <w:noProof/>
          <w:lang w:val="en-AU" w:eastAsia="en-AU"/>
        </w:rPr>
        <w:drawing>
          <wp:inline distT="0" distB="0" distL="0" distR="0" wp14:anchorId="10E0BC67" wp14:editId="2C55C92E">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sidR="00170EF5">
        <w:rPr>
          <w:noProof/>
          <w:lang w:val="en-AU" w:eastAsia="en-AU"/>
        </w:rPr>
        <w:drawing>
          <wp:inline distT="0" distB="0" distL="0" distR="0" wp14:anchorId="19914EBF" wp14:editId="7687A056">
            <wp:extent cx="612000" cy="61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sidR="00170EF5">
        <w:rPr>
          <w:noProof/>
          <w:lang w:val="en-AU" w:eastAsia="en-AU"/>
        </w:rPr>
        <w:drawing>
          <wp:inline distT="0" distB="0" distL="0" distR="0" wp14:anchorId="289BA392" wp14:editId="4C1F0BB0">
            <wp:extent cx="609600" cy="609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sidR="00D30765">
        <w:rPr>
          <w:noProof/>
          <w:lang w:val="en-AU" w:eastAsia="en-AU"/>
        </w:rPr>
        <w:t xml:space="preserve"> </w:t>
      </w:r>
    </w:p>
    <w:p w14:paraId="65156561" w14:textId="70F7C216" w:rsidR="00B17E41" w:rsidRPr="00E679DC" w:rsidRDefault="00207D72" w:rsidP="00CD1652">
      <w:pPr>
        <w:spacing w:before="240" w:line="240" w:lineRule="auto"/>
        <w:rPr>
          <w:rFonts w:eastAsia="Times New Roman"/>
        </w:rPr>
      </w:pPr>
      <w:r>
        <w:rPr>
          <w:rFonts w:eastAsia="Times New Roman"/>
        </w:rPr>
        <w:t xml:space="preserve">Four </w:t>
      </w:r>
      <w:r w:rsidR="000B754E" w:rsidRPr="006C59EB">
        <w:rPr>
          <w:rFonts w:eastAsia="Times New Roman"/>
        </w:rPr>
        <w:t>investments contributed to</w:t>
      </w:r>
      <w:r w:rsidR="00E679DC" w:rsidRPr="006C59EB">
        <w:rPr>
          <w:rFonts w:eastAsia="Times New Roman"/>
        </w:rPr>
        <w:t xml:space="preserve"> supporting the provision of quality basi</w:t>
      </w:r>
      <w:r w:rsidR="00D87C6E">
        <w:rPr>
          <w:rFonts w:eastAsia="Times New Roman"/>
        </w:rPr>
        <w:t>c</w:t>
      </w:r>
      <w:r w:rsidR="00E679DC" w:rsidRPr="006C59EB">
        <w:rPr>
          <w:rFonts w:eastAsia="Times New Roman"/>
        </w:rPr>
        <w:t xml:space="preserve"> services to Palestinian refugees </w:t>
      </w:r>
      <w:r w:rsidR="006C59EB">
        <w:rPr>
          <w:rFonts w:eastAsia="Times New Roman" w:cs="Times New Roman"/>
          <w:iCs/>
          <w:szCs w:val="17"/>
          <w:lang w:val="en-AU"/>
        </w:rPr>
        <w:t>in the</w:t>
      </w:r>
      <w:r w:rsidR="00E679DC" w:rsidRPr="006C59EB">
        <w:rPr>
          <w:rFonts w:eastAsia="Times New Roman" w:cs="Times New Roman"/>
          <w:iCs/>
          <w:lang w:val="en-AU"/>
        </w:rPr>
        <w:t xml:space="preserve"> PTs and across the region</w:t>
      </w:r>
      <w:r w:rsidR="00E679DC" w:rsidRPr="00FC5D26">
        <w:rPr>
          <w:rFonts w:eastAsia="Times New Roman" w:cs="Times New Roman"/>
          <w:b/>
          <w:iCs/>
          <w:lang w:val="en-AU"/>
        </w:rPr>
        <w:t>.</w:t>
      </w:r>
      <w:r w:rsidR="00E679DC" w:rsidRPr="00E679DC">
        <w:rPr>
          <w:rFonts w:eastAsia="Times New Roman" w:cs="Times New Roman"/>
          <w:iCs/>
          <w:lang w:val="en-AU"/>
        </w:rPr>
        <w:t xml:space="preserve"> </w:t>
      </w:r>
      <w:r w:rsidR="00A509C9">
        <w:rPr>
          <w:rFonts w:eastAsia="Times New Roman" w:cs="Times New Roman"/>
          <w:iCs/>
          <w:lang w:val="en-AU"/>
        </w:rPr>
        <w:t xml:space="preserve"> </w:t>
      </w:r>
      <w:r w:rsidR="00E679DC" w:rsidRPr="00E679DC">
        <w:rPr>
          <w:rFonts w:eastAsia="Times New Roman" w:cs="Times New Roman"/>
          <w:iCs/>
          <w:lang w:val="en-AU"/>
        </w:rPr>
        <w:t xml:space="preserve">This objective was rated green because </w:t>
      </w:r>
      <w:r w:rsidR="00E679DC">
        <w:t>p</w:t>
      </w:r>
      <w:r w:rsidR="00E679DC" w:rsidRPr="00E679DC">
        <w:t>rogress is as expected at this stage of implementation</w:t>
      </w:r>
      <w:r w:rsidR="00A509C9">
        <w:t xml:space="preserve"> for each of the investments.</w:t>
      </w:r>
    </w:p>
    <w:p w14:paraId="15F1A980" w14:textId="1169BB1C" w:rsidR="00A509C9" w:rsidRDefault="00A43B92" w:rsidP="008E53C6">
      <w:pPr>
        <w:spacing w:line="240" w:lineRule="auto"/>
      </w:pPr>
      <w:r w:rsidRPr="00C045CD">
        <w:t xml:space="preserve">In 2016-17, Australia contributed $22.5 million to </w:t>
      </w:r>
      <w:r w:rsidRPr="00A43B92">
        <w:rPr>
          <w:b/>
        </w:rPr>
        <w:t>UNRWA</w:t>
      </w:r>
      <w:r w:rsidR="00E21302">
        <w:rPr>
          <w:b/>
        </w:rPr>
        <w:t>.</w:t>
      </w:r>
      <w:r w:rsidRPr="00C045CD">
        <w:t xml:space="preserve"> In September 2</w:t>
      </w:r>
      <w:r w:rsidR="00A509C9">
        <w:t>016, DFAT</w:t>
      </w:r>
      <w:r w:rsidR="00D12400">
        <w:t xml:space="preserve"> signed a</w:t>
      </w:r>
      <w:r w:rsidR="00A509C9">
        <w:t>n</w:t>
      </w:r>
      <w:r w:rsidRPr="00C045CD">
        <w:t xml:space="preserve"> $80 million multi-year Strategic Partnership Framework </w:t>
      </w:r>
      <w:r w:rsidR="00792D46">
        <w:t>(</w:t>
      </w:r>
      <w:r w:rsidRPr="00C045CD">
        <w:t>2016-2020</w:t>
      </w:r>
      <w:r w:rsidR="00792D46">
        <w:t>)</w:t>
      </w:r>
      <w:r w:rsidRPr="00C045CD">
        <w:t xml:space="preserve"> which provides annual </w:t>
      </w:r>
      <w:r w:rsidR="00D12400">
        <w:t xml:space="preserve">core </w:t>
      </w:r>
      <w:r w:rsidRPr="00C045CD">
        <w:t xml:space="preserve">funding </w:t>
      </w:r>
      <w:r w:rsidR="00E21302">
        <w:t xml:space="preserve">($20 million per </w:t>
      </w:r>
      <w:r w:rsidR="00A509C9">
        <w:t>year)</w:t>
      </w:r>
      <w:r w:rsidR="00E21302">
        <w:t xml:space="preserve"> </w:t>
      </w:r>
      <w:r w:rsidR="00D12400">
        <w:t>to UNRWA</w:t>
      </w:r>
      <w:r w:rsidR="001F42C1">
        <w:t>.</w:t>
      </w:r>
      <w:r w:rsidR="00A509C9">
        <w:t xml:space="preserve">  </w:t>
      </w:r>
      <w:r w:rsidR="00E21302">
        <w:t>DFAT also provided</w:t>
      </w:r>
      <w:r w:rsidR="00E21302" w:rsidRPr="00E21302">
        <w:t xml:space="preserve"> </w:t>
      </w:r>
      <w:r w:rsidR="00D12400">
        <w:t xml:space="preserve">a supplementary </w:t>
      </w:r>
      <w:r w:rsidR="00A509C9">
        <w:t>$2.5 million to UNRWA’s</w:t>
      </w:r>
      <w:r w:rsidR="00E21302" w:rsidRPr="00E21302">
        <w:t xml:space="preserve"> </w:t>
      </w:r>
      <w:r w:rsidR="00D12400">
        <w:t>‘</w:t>
      </w:r>
      <w:r w:rsidR="00E21302" w:rsidRPr="00E21302">
        <w:t>Emergency Appeal for the PT</w:t>
      </w:r>
      <w:r w:rsidR="00E21302">
        <w:t>s</w:t>
      </w:r>
      <w:r w:rsidR="00D12400">
        <w:t>’ in June 2017</w:t>
      </w:r>
      <w:r w:rsidR="00E21302" w:rsidRPr="00E21302">
        <w:t>.</w:t>
      </w:r>
      <w:r w:rsidR="00E21302">
        <w:t xml:space="preserve"> </w:t>
      </w:r>
      <w:r w:rsidR="00A509C9">
        <w:t xml:space="preserve"> </w:t>
      </w:r>
      <w:r w:rsidRPr="00C045CD">
        <w:t>UNRWA plays a crucial role in maintaining a degree of</w:t>
      </w:r>
      <w:r w:rsidR="008E53C6">
        <w:t xml:space="preserve"> </w:t>
      </w:r>
      <w:r w:rsidRPr="00C045CD">
        <w:t xml:space="preserve">social and economic stability for more than five million Palestinian refugees in Gaza, </w:t>
      </w:r>
      <w:r w:rsidR="00792D46">
        <w:t xml:space="preserve">the </w:t>
      </w:r>
      <w:r w:rsidRPr="00C045CD">
        <w:t xml:space="preserve">West Bank, Jordan, Lebanon and Syria. </w:t>
      </w:r>
      <w:r w:rsidR="00A509C9">
        <w:t xml:space="preserve"> </w:t>
      </w:r>
      <w:r w:rsidRPr="00C045CD">
        <w:t xml:space="preserve">It delivers high quality, cost-effective public services in education, health care, relief and social services, microfinance, infrastructure, emergency assistance and protection of </w:t>
      </w:r>
      <w:r w:rsidR="005E6877" w:rsidRPr="00C045CD">
        <w:t>refugees’</w:t>
      </w:r>
      <w:r w:rsidRPr="00C045CD">
        <w:t xml:space="preserve"> rig</w:t>
      </w:r>
      <w:r w:rsidR="00D12400">
        <w:t xml:space="preserve">hts. </w:t>
      </w:r>
      <w:r w:rsidR="00A509C9">
        <w:t xml:space="preserve"> </w:t>
      </w:r>
      <w:r w:rsidR="00D12400">
        <w:t>T</w:t>
      </w:r>
      <w:r w:rsidRPr="00C045CD">
        <w:t>he deterioration of security, political and economic conditions across the region has made refugees increasingly reliant on UNRWA fo</w:t>
      </w:r>
      <w:r w:rsidR="00207D72">
        <w:t xml:space="preserve">r these services </w:t>
      </w:r>
      <w:r w:rsidRPr="00C045CD">
        <w:t xml:space="preserve">in recent years. </w:t>
      </w:r>
    </w:p>
    <w:p w14:paraId="00DF1CD9" w14:textId="3DFACC20" w:rsidR="00A43B92" w:rsidRPr="00C045CD" w:rsidRDefault="00A43B92" w:rsidP="008E53C6">
      <w:pPr>
        <w:spacing w:line="240" w:lineRule="auto"/>
      </w:pPr>
      <w:r w:rsidRPr="00C045CD">
        <w:t>In 2016-17, UNRWA continued to de</w:t>
      </w:r>
      <w:r w:rsidR="00D12400">
        <w:t xml:space="preserve">liver strong results </w:t>
      </w:r>
      <w:r w:rsidRPr="00C045CD">
        <w:t>under challenging circumstances.</w:t>
      </w:r>
      <w:r w:rsidR="0059043F">
        <w:t xml:space="preserve"> </w:t>
      </w:r>
      <w:r w:rsidR="00E21302">
        <w:t>C</w:t>
      </w:r>
      <w:r w:rsidR="00E236DB">
        <w:t>oncern</w:t>
      </w:r>
      <w:r w:rsidR="009E3F02">
        <w:t>s remain</w:t>
      </w:r>
      <w:r w:rsidR="00E236DB">
        <w:t xml:space="preserve"> </w:t>
      </w:r>
      <w:r w:rsidR="00D12400">
        <w:t xml:space="preserve">however </w:t>
      </w:r>
      <w:r w:rsidR="00E236DB">
        <w:t>about UNRWA’s recurrent budget deficit</w:t>
      </w:r>
      <w:r w:rsidR="00932845">
        <w:t>s</w:t>
      </w:r>
      <w:r w:rsidR="00E236DB">
        <w:t xml:space="preserve">. </w:t>
      </w:r>
      <w:r w:rsidR="00A509C9">
        <w:t xml:space="preserve"> </w:t>
      </w:r>
      <w:r w:rsidR="00E236DB">
        <w:t>While much ha</w:t>
      </w:r>
      <w:r w:rsidR="00E21302">
        <w:t>s</w:t>
      </w:r>
      <w:r w:rsidR="00E236DB">
        <w:t xml:space="preserve"> been achieved in implementing </w:t>
      </w:r>
      <w:r w:rsidR="00932845">
        <w:t xml:space="preserve">organisational </w:t>
      </w:r>
      <w:r w:rsidR="00E236DB">
        <w:t>reforms and efficiency measures, more need</w:t>
      </w:r>
      <w:r w:rsidR="00E21302">
        <w:t>s</w:t>
      </w:r>
      <w:r w:rsidR="00A509C9">
        <w:t xml:space="preserve"> to be done in light of</w:t>
      </w:r>
      <w:r w:rsidR="009E3F02">
        <w:t xml:space="preserve"> </w:t>
      </w:r>
      <w:r w:rsidR="00E236DB">
        <w:t xml:space="preserve">growing refugee </w:t>
      </w:r>
      <w:r w:rsidR="00932845">
        <w:t xml:space="preserve">numbers </w:t>
      </w:r>
      <w:r w:rsidR="00E236DB">
        <w:t>and an increasingly constrained funding environment</w:t>
      </w:r>
      <w:r w:rsidR="00A509C9">
        <w:t>.</w:t>
      </w:r>
    </w:p>
    <w:p w14:paraId="3C43A689" w14:textId="5EE834EE" w:rsidR="00A509C9" w:rsidRDefault="00D12400" w:rsidP="008E53C6">
      <w:pPr>
        <w:spacing w:line="240" w:lineRule="auto"/>
      </w:pPr>
      <w:r>
        <w:t>During 2016</w:t>
      </w:r>
      <w:r w:rsidR="00A509C9">
        <w:rPr>
          <w:rStyle w:val="FootnoteReference"/>
        </w:rPr>
        <w:footnoteReference w:id="1"/>
      </w:r>
      <w:r>
        <w:t xml:space="preserve">, Australia’s funding to UNRWA </w:t>
      </w:r>
      <w:r w:rsidR="008E53C6">
        <w:t>contributed to</w:t>
      </w:r>
      <w:r w:rsidR="00A43B92" w:rsidRPr="00C045CD">
        <w:t xml:space="preserve">: over 515,000 children (half girls) </w:t>
      </w:r>
      <w:r w:rsidR="00202B39" w:rsidRPr="00C045CD">
        <w:t>enrol</w:t>
      </w:r>
      <w:r w:rsidR="00202B39">
        <w:t>ling</w:t>
      </w:r>
      <w:r w:rsidR="00DF70EF">
        <w:t xml:space="preserve"> in 692 UNRWA schools; </w:t>
      </w:r>
      <w:r w:rsidR="00A43B92" w:rsidRPr="00C045CD">
        <w:t>over 8.5 million pr</w:t>
      </w:r>
      <w:r w:rsidR="00DF70EF">
        <w:t>imary health care consultations;</w:t>
      </w:r>
      <w:r w:rsidR="00A43B92" w:rsidRPr="00C045CD">
        <w:t xml:space="preserve"> </w:t>
      </w:r>
      <w:r w:rsidR="0043615E">
        <w:t xml:space="preserve">a </w:t>
      </w:r>
      <w:r w:rsidR="00A43B92" w:rsidRPr="00C045CD">
        <w:t>99 per ce</w:t>
      </w:r>
      <w:r w:rsidR="00DF70EF">
        <w:t>nt vaccination rate for infants;</w:t>
      </w:r>
      <w:r w:rsidR="00A43B92" w:rsidRPr="00C045CD">
        <w:t xml:space="preserve"> safety net assistance (cash a</w:t>
      </w:r>
      <w:r w:rsidR="00DF70EF">
        <w:t>nd food) to over 254,000 people;</w:t>
      </w:r>
      <w:r w:rsidR="00A43B92" w:rsidRPr="00C045CD">
        <w:t xml:space="preserve"> </w:t>
      </w:r>
      <w:r w:rsidR="009E3F02">
        <w:t xml:space="preserve">and </w:t>
      </w:r>
      <w:r w:rsidR="00A43B92" w:rsidRPr="00C045CD">
        <w:t>microfinance</w:t>
      </w:r>
      <w:r w:rsidR="00D30765">
        <w:t xml:space="preserve"> </w:t>
      </w:r>
      <w:r w:rsidR="00A43B92" w:rsidRPr="00C045CD">
        <w:t xml:space="preserve">loans to over 39,000 people. </w:t>
      </w:r>
      <w:r w:rsidR="00A509C9">
        <w:t xml:space="preserve"> </w:t>
      </w:r>
      <w:r w:rsidR="00A43B92" w:rsidRPr="00C045CD">
        <w:t>Emergency humanitarian assistance was provided to over 1.4 million refugees</w:t>
      </w:r>
      <w:r w:rsidR="00DF70EF">
        <w:t xml:space="preserve"> </w:t>
      </w:r>
      <w:r w:rsidR="00C87E5D">
        <w:t xml:space="preserve">in Gaza, </w:t>
      </w:r>
      <w:r w:rsidR="00E80D94">
        <w:t xml:space="preserve">the </w:t>
      </w:r>
      <w:r w:rsidR="00C87E5D">
        <w:t>West Bank and Syria.</w:t>
      </w:r>
      <w:r w:rsidR="00D30765">
        <w:t xml:space="preserve"> </w:t>
      </w:r>
    </w:p>
    <w:p w14:paraId="30CF5466" w14:textId="2E53B53F" w:rsidR="0036389C" w:rsidRDefault="00A509C9" w:rsidP="008E53C6">
      <w:pPr>
        <w:spacing w:line="240" w:lineRule="auto"/>
      </w:pPr>
      <w:r>
        <w:t>While UNRWA works across a range of sectors,</w:t>
      </w:r>
      <w:r w:rsidR="00207D72">
        <w:t xml:space="preserve"> our chosen benchmarks track</w:t>
      </w:r>
      <w:r>
        <w:t xml:space="preserve"> progress in the health and education sectors, </w:t>
      </w:r>
      <w:r w:rsidR="00207D72">
        <w:t xml:space="preserve">which are </w:t>
      </w:r>
      <w:r>
        <w:t>two</w:t>
      </w:r>
      <w:r w:rsidR="00207D72">
        <w:t xml:space="preserve"> of</w:t>
      </w:r>
      <w:r>
        <w:t xml:space="preserve"> the most important area of the Agency’s work.  </w:t>
      </w:r>
      <w:r w:rsidR="00A43B92" w:rsidRPr="00C045CD">
        <w:t>UNRWA exceeded</w:t>
      </w:r>
      <w:r w:rsidR="00C87E5D">
        <w:t xml:space="preserve"> its targets for reducing </w:t>
      </w:r>
      <w:r w:rsidR="00A43B92" w:rsidRPr="00C045CD">
        <w:t>dropo</w:t>
      </w:r>
      <w:r w:rsidR="00C87E5D">
        <w:t>ut rates in Year 4 students</w:t>
      </w:r>
      <w:r w:rsidR="00A43B92" w:rsidRPr="00C045CD">
        <w:t xml:space="preserve"> for bo</w:t>
      </w:r>
      <w:r w:rsidR="00C87E5D">
        <w:t>th boys and girls in 2016</w:t>
      </w:r>
      <w:r w:rsidR="00A43B92" w:rsidRPr="00C045CD">
        <w:t xml:space="preserve">. </w:t>
      </w:r>
      <w:r>
        <w:t xml:space="preserve"> </w:t>
      </w:r>
      <w:r w:rsidR="00A43B92" w:rsidRPr="00C045CD">
        <w:t>For male students (except in Syria), Agency-wide dropout rates decreas</w:t>
      </w:r>
      <w:r w:rsidR="00D12400">
        <w:t>ed from the previous year (</w:t>
      </w:r>
      <w:r w:rsidR="00A43B92" w:rsidRPr="00C045CD">
        <w:t>1.84 per cent compared to</w:t>
      </w:r>
      <w:r w:rsidR="00D12400">
        <w:t xml:space="preserve"> 1.95 per cent in 2014-</w:t>
      </w:r>
      <w:r w:rsidR="00A43B92" w:rsidRPr="00C045CD">
        <w:t>15</w:t>
      </w:r>
      <w:r w:rsidR="00D12400">
        <w:t>)</w:t>
      </w:r>
      <w:r w:rsidR="00A43B92" w:rsidRPr="00C045CD">
        <w:t xml:space="preserve">. </w:t>
      </w:r>
      <w:r>
        <w:t xml:space="preserve"> </w:t>
      </w:r>
    </w:p>
    <w:p w14:paraId="731E28EE" w14:textId="77777777" w:rsidR="00DF70EF" w:rsidRDefault="00DF70EF" w:rsidP="008E53C6">
      <w:pPr>
        <w:spacing w:line="240" w:lineRule="auto"/>
      </w:pPr>
    </w:p>
    <w:p w14:paraId="2EC7A93C" w14:textId="77777777" w:rsidR="00DF70EF" w:rsidRDefault="00DF70EF" w:rsidP="008E53C6">
      <w:pPr>
        <w:spacing w:line="240" w:lineRule="auto"/>
      </w:pPr>
    </w:p>
    <w:p w14:paraId="1AE65A44" w14:textId="77777777" w:rsidR="00DF70EF" w:rsidRDefault="00DF70EF" w:rsidP="008E53C6">
      <w:pPr>
        <w:spacing w:line="240" w:lineRule="auto"/>
      </w:pPr>
    </w:p>
    <w:p w14:paraId="0A6265CF" w14:textId="385B1FF9" w:rsidR="006C59EB" w:rsidRDefault="00A43B92" w:rsidP="008E53C6">
      <w:pPr>
        <w:spacing w:line="240" w:lineRule="auto"/>
      </w:pPr>
      <w:r w:rsidRPr="00C045CD">
        <w:lastRenderedPageBreak/>
        <w:t xml:space="preserve">In 2016, </w:t>
      </w:r>
      <w:r w:rsidR="00541C07">
        <w:t xml:space="preserve">UNRWA made </w:t>
      </w:r>
      <w:r w:rsidR="00C87E5D">
        <w:t>progress in its efforts to r</w:t>
      </w:r>
      <w:r w:rsidR="00207D72">
        <w:t xml:space="preserve">educe visits to doctors </w:t>
      </w:r>
      <w:r w:rsidR="00541C07">
        <w:t xml:space="preserve">though household-based health education and preventative health, as well as through institutional reforms.  Less consultations per day ensures doctors can have longer consultations with those who really need them.  </w:t>
      </w:r>
      <w:r w:rsidR="00196649">
        <w:t>Initiatives</w:t>
      </w:r>
      <w:r w:rsidR="00541C07">
        <w:t xml:space="preserve"> such as the </w:t>
      </w:r>
      <w:r w:rsidRPr="00C045CD">
        <w:t xml:space="preserve">transition </w:t>
      </w:r>
      <w:r w:rsidR="00AB0729">
        <w:t>to a</w:t>
      </w:r>
      <w:r w:rsidRPr="00C045CD">
        <w:t xml:space="preserve"> </w:t>
      </w:r>
      <w:r w:rsidR="00541C07">
        <w:t>‘</w:t>
      </w:r>
      <w:r w:rsidRPr="00C045CD">
        <w:t>Health Centres</w:t>
      </w:r>
      <w:r w:rsidR="00541C07">
        <w:t>’</w:t>
      </w:r>
      <w:r w:rsidRPr="00C045CD">
        <w:t xml:space="preserve"> </w:t>
      </w:r>
      <w:r w:rsidR="00AB0729">
        <w:t>model</w:t>
      </w:r>
      <w:r w:rsidR="00D87C6E">
        <w:t>, t</w:t>
      </w:r>
      <w:r w:rsidR="00AB0729">
        <w:t>he</w:t>
      </w:r>
      <w:r w:rsidRPr="00C045CD">
        <w:t xml:space="preserve"> holistic Family Health Team approach and</w:t>
      </w:r>
      <w:r w:rsidR="00541C07">
        <w:t xml:space="preserve"> the implementation of e-Health (</w:t>
      </w:r>
      <w:r w:rsidR="00541C07" w:rsidRPr="007C3B61">
        <w:t>a patient appointment mechanism that contributes to a more streamlined workload for doctors</w:t>
      </w:r>
      <w:r w:rsidR="00541C07">
        <w:t xml:space="preserve">) have resulted in positive outcomes.  </w:t>
      </w:r>
      <w:r w:rsidRPr="00C045CD">
        <w:t xml:space="preserve">The West Bank had the largest </w:t>
      </w:r>
      <w:r w:rsidR="00541C07">
        <w:t>decrease</w:t>
      </w:r>
      <w:r w:rsidR="00202B39" w:rsidRPr="00C045CD">
        <w:t xml:space="preserve"> from</w:t>
      </w:r>
      <w:r w:rsidRPr="00C045CD">
        <w:t xml:space="preserve"> 86 </w:t>
      </w:r>
      <w:r w:rsidR="001F42C1">
        <w:t>visits</w:t>
      </w:r>
      <w:r w:rsidR="00A509C9">
        <w:t xml:space="preserve"> per day</w:t>
      </w:r>
      <w:r w:rsidR="001F42C1">
        <w:t xml:space="preserve"> </w:t>
      </w:r>
      <w:r w:rsidRPr="00C045CD">
        <w:t xml:space="preserve">in 2015 to 78 </w:t>
      </w:r>
      <w:r w:rsidR="00A509C9">
        <w:t xml:space="preserve">visits per day </w:t>
      </w:r>
      <w:r w:rsidRPr="00C045CD">
        <w:t>in 2016</w:t>
      </w:r>
      <w:r w:rsidR="001F42C1">
        <w:t xml:space="preserve"> </w:t>
      </w:r>
      <w:r w:rsidR="001E7D0E">
        <w:t xml:space="preserve">while </w:t>
      </w:r>
      <w:r w:rsidRPr="00C045CD">
        <w:t xml:space="preserve">Gaza </w:t>
      </w:r>
      <w:r w:rsidR="00541C07">
        <w:t>decreased</w:t>
      </w:r>
      <w:r w:rsidR="001E7D0E">
        <w:t xml:space="preserve"> </w:t>
      </w:r>
      <w:r w:rsidRPr="00C045CD">
        <w:t>from 87 to 82</w:t>
      </w:r>
      <w:r w:rsidR="001F42C1">
        <w:t xml:space="preserve"> </w:t>
      </w:r>
      <w:r w:rsidR="001E7D0E">
        <w:t>daily medical consultations per doctor</w:t>
      </w:r>
      <w:r w:rsidR="00541C07">
        <w:t xml:space="preserve"> over the same period.</w:t>
      </w:r>
    </w:p>
    <w:p w14:paraId="1B5B563B" w14:textId="7381A626" w:rsidR="0036389C" w:rsidRDefault="00276CB5" w:rsidP="00CD1652">
      <w:pPr>
        <w:spacing w:before="240" w:line="240" w:lineRule="auto"/>
        <w:rPr>
          <w:rFonts w:cs="Arial"/>
          <w:lang w:val="en-AU"/>
        </w:rPr>
      </w:pPr>
      <w:r w:rsidRPr="0009169F">
        <w:rPr>
          <w:rFonts w:eastAsia="Times New Roman"/>
        </w:rPr>
        <w:t xml:space="preserve">In 2016-17, Australia provided </w:t>
      </w:r>
      <w:r w:rsidR="0036389C">
        <w:rPr>
          <w:rFonts w:eastAsia="Times New Roman"/>
        </w:rPr>
        <w:t xml:space="preserve">a final payment of </w:t>
      </w:r>
      <w:r w:rsidR="009C19AE" w:rsidRPr="0009169F">
        <w:rPr>
          <w:rFonts w:eastAsia="Times New Roman"/>
        </w:rPr>
        <w:t>$500,000</w:t>
      </w:r>
      <w:r w:rsidRPr="0009169F">
        <w:rPr>
          <w:rFonts w:eastAsia="Times New Roman"/>
        </w:rPr>
        <w:t xml:space="preserve"> to support </w:t>
      </w:r>
      <w:r w:rsidRPr="0009169F">
        <w:rPr>
          <w:rFonts w:eastAsia="Times New Roman"/>
          <w:b/>
        </w:rPr>
        <w:t>UNICEF</w:t>
      </w:r>
      <w:r w:rsidRPr="0009169F">
        <w:rPr>
          <w:rFonts w:eastAsia="Times New Roman"/>
        </w:rPr>
        <w:t>’s</w:t>
      </w:r>
      <w:r w:rsidR="009E3F02">
        <w:rPr>
          <w:rFonts w:eastAsia="Times New Roman"/>
        </w:rPr>
        <w:t xml:space="preserve"> ($15.1 million, 2011-17)</w:t>
      </w:r>
      <w:r w:rsidRPr="0009169F">
        <w:rPr>
          <w:rFonts w:eastAsia="Times New Roman"/>
        </w:rPr>
        <w:t xml:space="preserve"> WASH in Schools Program</w:t>
      </w:r>
      <w:r w:rsidR="0036389C">
        <w:rPr>
          <w:rFonts w:eastAsia="Times New Roman"/>
        </w:rPr>
        <w:t xml:space="preserve">.  </w:t>
      </w:r>
      <w:r w:rsidRPr="0009169F">
        <w:rPr>
          <w:rFonts w:eastAsia="Times New Roman"/>
        </w:rPr>
        <w:t xml:space="preserve">Australian funds supported UNICEF in rehabilitating WASH facilities in 283 Palestinian schools and enabled UNICEF to provide </w:t>
      </w:r>
      <w:r w:rsidR="00C87E5D">
        <w:rPr>
          <w:rFonts w:cs="Arial"/>
          <w:lang w:val="en-AU"/>
        </w:rPr>
        <w:t>hygiene promotion</w:t>
      </w:r>
      <w:r w:rsidR="00541C07">
        <w:rPr>
          <w:rFonts w:cs="Arial"/>
          <w:lang w:val="en-AU"/>
        </w:rPr>
        <w:t xml:space="preserve"> campaigns in tho</w:t>
      </w:r>
      <w:r w:rsidR="0036389C">
        <w:rPr>
          <w:rFonts w:cs="Arial"/>
          <w:lang w:val="en-AU"/>
        </w:rPr>
        <w:t xml:space="preserve">se schools.  </w:t>
      </w:r>
      <w:r w:rsidRPr="0009169F">
        <w:rPr>
          <w:rFonts w:cs="Arial"/>
          <w:lang w:val="en-AU"/>
        </w:rPr>
        <w:t xml:space="preserve">Australia’s contribution </w:t>
      </w:r>
      <w:r w:rsidR="0036389C">
        <w:rPr>
          <w:rFonts w:cs="Arial"/>
          <w:lang w:val="en-AU"/>
        </w:rPr>
        <w:t xml:space="preserve">also </w:t>
      </w:r>
      <w:r w:rsidRPr="0009169F">
        <w:rPr>
          <w:rFonts w:cs="Arial"/>
          <w:lang w:val="en-AU"/>
        </w:rPr>
        <w:t xml:space="preserve">supported the provision of </w:t>
      </w:r>
      <w:r w:rsidR="001963A0">
        <w:rPr>
          <w:rFonts w:cs="Arial"/>
          <w:lang w:val="en-AU"/>
        </w:rPr>
        <w:t>s</w:t>
      </w:r>
      <w:r w:rsidRPr="0009169F">
        <w:rPr>
          <w:rFonts w:cs="Arial"/>
          <w:lang w:val="en-AU"/>
        </w:rPr>
        <w:t xml:space="preserve">afe drinking water for </w:t>
      </w:r>
      <w:r w:rsidR="005E6877">
        <w:rPr>
          <w:rFonts w:cs="Arial"/>
          <w:lang w:val="en-AU"/>
        </w:rPr>
        <w:t>13</w:t>
      </w:r>
      <w:r w:rsidRPr="0009169F">
        <w:rPr>
          <w:rFonts w:cs="Arial"/>
          <w:lang w:val="en-AU"/>
        </w:rPr>
        <w:t xml:space="preserve"> Gaza school</w:t>
      </w:r>
      <w:r w:rsidR="009701DD">
        <w:rPr>
          <w:rFonts w:cs="Arial"/>
          <w:lang w:val="en-AU"/>
        </w:rPr>
        <w:t>s and</w:t>
      </w:r>
      <w:r w:rsidR="001B2850">
        <w:rPr>
          <w:rFonts w:cs="Arial"/>
          <w:lang w:val="en-AU"/>
        </w:rPr>
        <w:t xml:space="preserve"> 13</w:t>
      </w:r>
      <w:r w:rsidR="009701DD">
        <w:rPr>
          <w:rFonts w:cs="Arial"/>
          <w:lang w:val="en-AU"/>
        </w:rPr>
        <w:t xml:space="preserve"> </w:t>
      </w:r>
      <w:r w:rsidRPr="0009169F">
        <w:rPr>
          <w:rFonts w:cs="Arial"/>
          <w:lang w:val="en-AU"/>
        </w:rPr>
        <w:t>schools in the West Bank that were not connected to water networks.</w:t>
      </w:r>
      <w:r w:rsidR="00012588" w:rsidRPr="0009169F">
        <w:rPr>
          <w:rFonts w:cs="Arial"/>
          <w:lang w:val="en-AU"/>
        </w:rPr>
        <w:t xml:space="preserve"> </w:t>
      </w:r>
      <w:r w:rsidR="0036389C">
        <w:rPr>
          <w:rFonts w:cs="Arial"/>
          <w:lang w:val="en-AU"/>
        </w:rPr>
        <w:t xml:space="preserve"> In total, </w:t>
      </w:r>
      <w:r w:rsidR="00DD705E">
        <w:rPr>
          <w:rFonts w:cs="Arial"/>
          <w:lang w:val="en-AU"/>
        </w:rPr>
        <w:t>UNICEF’s program</w:t>
      </w:r>
      <w:r w:rsidR="00202B39" w:rsidRPr="0009169F">
        <w:rPr>
          <w:rFonts w:cs="Arial"/>
          <w:lang w:val="en-AU"/>
        </w:rPr>
        <w:t xml:space="preserve"> benefit</w:t>
      </w:r>
      <w:r w:rsidR="00DD705E">
        <w:rPr>
          <w:rFonts w:cs="Arial"/>
          <w:lang w:val="en-AU"/>
        </w:rPr>
        <w:t>ted</w:t>
      </w:r>
      <w:r w:rsidR="00012588" w:rsidRPr="0009169F">
        <w:rPr>
          <w:rFonts w:cs="Arial"/>
          <w:lang w:val="en-AU"/>
        </w:rPr>
        <w:t xml:space="preserve"> 8,098 students</w:t>
      </w:r>
      <w:r w:rsidR="001963A0">
        <w:rPr>
          <w:rFonts w:cs="Arial"/>
          <w:lang w:val="en-AU"/>
        </w:rPr>
        <w:t xml:space="preserve"> in 2016-17</w:t>
      </w:r>
      <w:r w:rsidR="00C87E5D">
        <w:rPr>
          <w:rFonts w:cs="Arial"/>
          <w:lang w:val="en-AU"/>
        </w:rPr>
        <w:t xml:space="preserve"> (</w:t>
      </w:r>
      <w:r w:rsidR="00012588" w:rsidRPr="0009169F">
        <w:rPr>
          <w:rFonts w:cs="Arial"/>
          <w:lang w:val="en-AU"/>
        </w:rPr>
        <w:t xml:space="preserve">6,183 students in Gaza and 1,915 </w:t>
      </w:r>
      <w:r w:rsidR="00C87E5D">
        <w:rPr>
          <w:rFonts w:cs="Arial"/>
          <w:lang w:val="en-AU"/>
        </w:rPr>
        <w:t>students</w:t>
      </w:r>
      <w:r w:rsidR="00012588" w:rsidRPr="0009169F">
        <w:rPr>
          <w:rFonts w:cs="Arial"/>
          <w:lang w:val="en-AU"/>
        </w:rPr>
        <w:t xml:space="preserve"> in the West Bank</w:t>
      </w:r>
      <w:r w:rsidR="00C87E5D">
        <w:rPr>
          <w:rFonts w:cs="Arial"/>
          <w:lang w:val="en-AU"/>
        </w:rPr>
        <w:t>)</w:t>
      </w:r>
      <w:r w:rsidR="00012588" w:rsidRPr="0009169F">
        <w:rPr>
          <w:rFonts w:cs="Arial"/>
          <w:lang w:val="en-AU"/>
        </w:rPr>
        <w:t xml:space="preserve">. </w:t>
      </w:r>
      <w:r w:rsidR="0036389C">
        <w:rPr>
          <w:rFonts w:cs="Arial"/>
          <w:lang w:val="en-AU"/>
        </w:rPr>
        <w:t xml:space="preserve"> </w:t>
      </w:r>
      <w:r w:rsidR="00F422D1">
        <w:rPr>
          <w:rFonts w:cs="Arial"/>
          <w:lang w:val="en-AU"/>
        </w:rPr>
        <w:t xml:space="preserve">In addition, Australian funds assisted UNICEF in supporting the </w:t>
      </w:r>
      <w:r w:rsidR="00C87E5D">
        <w:rPr>
          <w:rFonts w:cs="Arial"/>
          <w:lang w:val="en-AU"/>
        </w:rPr>
        <w:t xml:space="preserve">PA’s </w:t>
      </w:r>
      <w:r w:rsidR="00F422D1">
        <w:rPr>
          <w:rFonts w:cs="Arial"/>
          <w:lang w:val="en-AU"/>
        </w:rPr>
        <w:t>Ministry of Ed</w:t>
      </w:r>
      <w:r w:rsidR="00EC35AD">
        <w:rPr>
          <w:rFonts w:cs="Arial"/>
          <w:lang w:val="en-AU"/>
        </w:rPr>
        <w:t>ucation and Higher Education (Mo</w:t>
      </w:r>
      <w:r w:rsidR="00F422D1">
        <w:rPr>
          <w:rFonts w:cs="Arial"/>
          <w:lang w:val="en-AU"/>
        </w:rPr>
        <w:t>EHE) to design and introduce</w:t>
      </w:r>
      <w:r w:rsidR="00012588" w:rsidRPr="0009169F">
        <w:rPr>
          <w:rFonts w:cs="Arial"/>
          <w:lang w:val="en-AU"/>
        </w:rPr>
        <w:t xml:space="preserve"> </w:t>
      </w:r>
      <w:r w:rsidR="001963A0">
        <w:rPr>
          <w:rFonts w:cs="Arial"/>
          <w:lang w:val="en-AU"/>
        </w:rPr>
        <w:t>a</w:t>
      </w:r>
      <w:r w:rsidR="00012588" w:rsidRPr="0009169F">
        <w:rPr>
          <w:rFonts w:cs="Arial"/>
          <w:lang w:val="en-AU"/>
        </w:rPr>
        <w:t xml:space="preserve"> Hygiene Promotion Manual into the curriculum of all primary schoo</w:t>
      </w:r>
      <w:r w:rsidR="00541C07">
        <w:rPr>
          <w:rFonts w:cs="Arial"/>
          <w:lang w:val="en-AU"/>
        </w:rPr>
        <w:t>ls</w:t>
      </w:r>
      <w:r w:rsidR="00F422D1">
        <w:rPr>
          <w:rFonts w:cs="Arial"/>
          <w:lang w:val="en-AU"/>
        </w:rPr>
        <w:t xml:space="preserve">. </w:t>
      </w:r>
      <w:r w:rsidR="0036389C">
        <w:rPr>
          <w:rFonts w:cs="Arial"/>
          <w:lang w:val="en-AU"/>
        </w:rPr>
        <w:t xml:space="preserve"> </w:t>
      </w:r>
      <w:r w:rsidR="00012588" w:rsidRPr="0009169F">
        <w:rPr>
          <w:rFonts w:cs="Arial"/>
          <w:lang w:val="en-AU"/>
        </w:rPr>
        <w:t>In 201</w:t>
      </w:r>
      <w:r w:rsidR="0036389C">
        <w:rPr>
          <w:rFonts w:cs="Arial"/>
          <w:lang w:val="en-AU"/>
        </w:rPr>
        <w:t xml:space="preserve">6, </w:t>
      </w:r>
      <w:r w:rsidR="00012588" w:rsidRPr="0009169F">
        <w:rPr>
          <w:rFonts w:cs="Arial"/>
          <w:lang w:val="en-AU"/>
        </w:rPr>
        <w:t>Mo</w:t>
      </w:r>
      <w:r w:rsidR="0036389C">
        <w:rPr>
          <w:rFonts w:cs="Arial"/>
          <w:lang w:val="en-AU"/>
        </w:rPr>
        <w:t>EHE used the m</w:t>
      </w:r>
      <w:r w:rsidR="00012588" w:rsidRPr="0009169F">
        <w:rPr>
          <w:rFonts w:cs="Arial"/>
          <w:lang w:val="en-AU"/>
        </w:rPr>
        <w:t>anual in 173 primary schools in the West Bank and 135 schools in Gaza, benefitting 43,250 and 70,000 students respe</w:t>
      </w:r>
      <w:r w:rsidR="00012588" w:rsidRPr="00DA685D">
        <w:rPr>
          <w:rFonts w:cs="Arial"/>
          <w:lang w:val="en-AU"/>
        </w:rPr>
        <w:t>ctively.</w:t>
      </w:r>
      <w:r w:rsidR="00D30765">
        <w:rPr>
          <w:rFonts w:cs="Arial"/>
          <w:lang w:val="en-AU"/>
        </w:rPr>
        <w:t xml:space="preserve"> </w:t>
      </w:r>
      <w:r w:rsidR="0036389C">
        <w:rPr>
          <w:rFonts w:cs="Arial"/>
          <w:lang w:val="en-AU"/>
        </w:rPr>
        <w:t xml:space="preserve"> </w:t>
      </w:r>
    </w:p>
    <w:p w14:paraId="7BE879C8" w14:textId="5939D98A" w:rsidR="00D713A4" w:rsidRPr="00DD705E" w:rsidRDefault="00272FA7" w:rsidP="00CD1652">
      <w:pPr>
        <w:spacing w:before="240" w:line="240" w:lineRule="auto"/>
        <w:rPr>
          <w:rFonts w:cs="Arial"/>
          <w:lang w:val="en-AU"/>
        </w:rPr>
      </w:pPr>
      <w:r w:rsidRPr="009E3F02">
        <w:t>In June 2017</w:t>
      </w:r>
      <w:r w:rsidR="009E3F02">
        <w:t>,</w:t>
      </w:r>
      <w:r w:rsidRPr="009E3F02">
        <w:t xml:space="preserve"> DFAT approved a </w:t>
      </w:r>
      <w:r w:rsidR="00166CFE">
        <w:t>four-month</w:t>
      </w:r>
      <w:r w:rsidR="001963A0">
        <w:t xml:space="preserve"> </w:t>
      </w:r>
      <w:r w:rsidRPr="009E3F02">
        <w:t>no-</w:t>
      </w:r>
      <w:r w:rsidR="00166CFE" w:rsidRPr="009E3F02">
        <w:t>cost extension</w:t>
      </w:r>
      <w:r w:rsidRPr="009E3F02">
        <w:t xml:space="preserve"> as a result of savings realised by UNICEF during the implementation of the program. </w:t>
      </w:r>
      <w:r w:rsidR="0036389C">
        <w:t xml:space="preserve"> </w:t>
      </w:r>
      <w:r w:rsidRPr="009E3F02">
        <w:t xml:space="preserve">UNICEF is currently re-investing </w:t>
      </w:r>
      <w:r w:rsidR="001963A0">
        <w:t xml:space="preserve">these </w:t>
      </w:r>
      <w:r w:rsidRPr="009E3F02">
        <w:t xml:space="preserve">savings </w:t>
      </w:r>
      <w:r w:rsidR="001963A0">
        <w:t>(</w:t>
      </w:r>
      <w:r w:rsidR="009E3F02">
        <w:t>$</w:t>
      </w:r>
      <w:r w:rsidRPr="009E3F02">
        <w:t>68</w:t>
      </w:r>
      <w:r w:rsidR="001963A0">
        <w:t>1</w:t>
      </w:r>
      <w:r w:rsidRPr="009E3F02">
        <w:t>,</w:t>
      </w:r>
      <w:r w:rsidR="001963A0">
        <w:t>000</w:t>
      </w:r>
      <w:r w:rsidR="00C87E5D">
        <w:t>) in providing</w:t>
      </w:r>
      <w:r w:rsidR="00DD705E">
        <w:t xml:space="preserve"> </w:t>
      </w:r>
      <w:r w:rsidR="009E3F02">
        <w:t xml:space="preserve">11 </w:t>
      </w:r>
      <w:r w:rsidR="00C87E5D">
        <w:t xml:space="preserve">more </w:t>
      </w:r>
      <w:r w:rsidR="009E3F02">
        <w:t xml:space="preserve">schools </w:t>
      </w:r>
      <w:r w:rsidR="00C87E5D">
        <w:t xml:space="preserve">with </w:t>
      </w:r>
      <w:r w:rsidR="001963A0">
        <w:t xml:space="preserve">water storage </w:t>
      </w:r>
      <w:r w:rsidR="009E3F02">
        <w:t xml:space="preserve">cisterns </w:t>
      </w:r>
      <w:r w:rsidR="00DD705E">
        <w:t xml:space="preserve">and </w:t>
      </w:r>
      <w:r w:rsidR="009E3F02">
        <w:t>four</w:t>
      </w:r>
      <w:r w:rsidRPr="009E3F02">
        <w:t xml:space="preserve"> </w:t>
      </w:r>
      <w:r w:rsidR="00DD705E">
        <w:t xml:space="preserve">more </w:t>
      </w:r>
      <w:r w:rsidRPr="009E3F02">
        <w:t>schools with safe drinking water through the installati</w:t>
      </w:r>
      <w:r w:rsidR="00DD705E">
        <w:t>on of solar distillation units.</w:t>
      </w:r>
      <w:r w:rsidR="00D30765">
        <w:t xml:space="preserve"> </w:t>
      </w:r>
      <w:r w:rsidR="0036389C">
        <w:t xml:space="preserve"> </w:t>
      </w:r>
      <w:r w:rsidR="001963A0" w:rsidRPr="001963A0">
        <w:t>A</w:t>
      </w:r>
      <w:r w:rsidR="001963A0">
        <w:t xml:space="preserve"> further </w:t>
      </w:r>
      <w:r w:rsidR="001963A0" w:rsidRPr="001963A0">
        <w:t xml:space="preserve">17 schools </w:t>
      </w:r>
      <w:r w:rsidR="001963A0">
        <w:t xml:space="preserve">will benefit from </w:t>
      </w:r>
      <w:r w:rsidR="001963A0" w:rsidRPr="001963A0">
        <w:t>Menstrual Hygiene Ma</w:t>
      </w:r>
      <w:r w:rsidR="00C87E5D">
        <w:t>nagement training, kits and/or educational c</w:t>
      </w:r>
      <w:r w:rsidR="001963A0" w:rsidRPr="001963A0">
        <w:t>ommunication materials</w:t>
      </w:r>
      <w:r w:rsidR="001963A0">
        <w:t xml:space="preserve">. </w:t>
      </w:r>
    </w:p>
    <w:p w14:paraId="2094F338" w14:textId="63F59F0F" w:rsidR="00FC5D26" w:rsidRPr="00585E78" w:rsidRDefault="00F37473" w:rsidP="008E53C6">
      <w:pPr>
        <w:spacing w:before="240" w:line="240" w:lineRule="auto"/>
        <w:rPr>
          <w:rFonts w:eastAsia="Times New Roman"/>
        </w:rPr>
      </w:pPr>
      <w:r w:rsidRPr="00585E78">
        <w:rPr>
          <w:rFonts w:eastAsia="Times New Roman"/>
        </w:rPr>
        <w:t>In 2016-17,</w:t>
      </w:r>
      <w:r w:rsidRPr="00585E78">
        <w:rPr>
          <w:rFonts w:eastAsia="Times New Roman"/>
          <w:b/>
        </w:rPr>
        <w:t xml:space="preserve"> </w:t>
      </w:r>
      <w:r w:rsidR="000D0CB4">
        <w:rPr>
          <w:rFonts w:eastAsia="Times New Roman"/>
        </w:rPr>
        <w:t xml:space="preserve">Australia </w:t>
      </w:r>
      <w:r w:rsidR="000D0CB4" w:rsidRPr="000D0CB4">
        <w:rPr>
          <w:rFonts w:eastAsia="Times New Roman"/>
        </w:rPr>
        <w:t>provided $</w:t>
      </w:r>
      <w:r w:rsidR="007064CA">
        <w:rPr>
          <w:rFonts w:eastAsia="Times New Roman"/>
        </w:rPr>
        <w:t>955,000</w:t>
      </w:r>
      <w:r w:rsidR="000D0CB4">
        <w:rPr>
          <w:rFonts w:eastAsia="Times New Roman"/>
        </w:rPr>
        <w:t xml:space="preserve"> </w:t>
      </w:r>
      <w:r w:rsidR="00724B29" w:rsidRPr="000D0CB4">
        <w:rPr>
          <w:rFonts w:eastAsia="Times New Roman"/>
        </w:rPr>
        <w:t xml:space="preserve">to </w:t>
      </w:r>
      <w:r w:rsidR="00724B29" w:rsidRPr="000D0CB4">
        <w:rPr>
          <w:rFonts w:eastAsia="Times New Roman"/>
          <w:b/>
        </w:rPr>
        <w:t>UNOPS</w:t>
      </w:r>
      <w:r w:rsidR="000D0CB4">
        <w:rPr>
          <w:rFonts w:eastAsia="Times New Roman"/>
        </w:rPr>
        <w:t xml:space="preserve"> </w:t>
      </w:r>
      <w:r w:rsidR="000D0CB4" w:rsidRPr="000D0CB4">
        <w:rPr>
          <w:rFonts w:eastAsia="Times New Roman"/>
        </w:rPr>
        <w:t>(</w:t>
      </w:r>
      <w:r w:rsidR="007064CA">
        <w:rPr>
          <w:rFonts w:eastAsia="Times New Roman"/>
        </w:rPr>
        <w:t>$2.7 million, 2012-18</w:t>
      </w:r>
      <w:r w:rsidR="000D0CB4" w:rsidRPr="000D0CB4">
        <w:rPr>
          <w:rFonts w:eastAsia="Times New Roman"/>
        </w:rPr>
        <w:t>)</w:t>
      </w:r>
      <w:r w:rsidR="007064CA">
        <w:rPr>
          <w:rFonts w:eastAsia="Times New Roman"/>
        </w:rPr>
        <w:t xml:space="preserve"> </w:t>
      </w:r>
      <w:r w:rsidR="00724B29" w:rsidRPr="000D0CB4">
        <w:rPr>
          <w:rFonts w:eastAsia="Times New Roman"/>
        </w:rPr>
        <w:t>to administer</w:t>
      </w:r>
      <w:r w:rsidR="00724B29" w:rsidRPr="00585E78">
        <w:rPr>
          <w:rFonts w:eastAsia="Times New Roman"/>
        </w:rPr>
        <w:t xml:space="preserve"> the A</w:t>
      </w:r>
      <w:r w:rsidRPr="00585E78">
        <w:rPr>
          <w:rFonts w:eastAsia="Times New Roman"/>
        </w:rPr>
        <w:t xml:space="preserve">ccess </w:t>
      </w:r>
      <w:r w:rsidR="00724B29" w:rsidRPr="00585E78">
        <w:rPr>
          <w:rFonts w:eastAsia="Times New Roman"/>
        </w:rPr>
        <w:t>C</w:t>
      </w:r>
      <w:r w:rsidRPr="00585E78">
        <w:rPr>
          <w:rFonts w:eastAsia="Times New Roman"/>
        </w:rPr>
        <w:t>o</w:t>
      </w:r>
      <w:r w:rsidR="00D87C6E">
        <w:rPr>
          <w:rFonts w:eastAsia="Times New Roman"/>
        </w:rPr>
        <w:t>ordination</w:t>
      </w:r>
      <w:r w:rsidRPr="00585E78">
        <w:rPr>
          <w:rFonts w:eastAsia="Times New Roman"/>
        </w:rPr>
        <w:t xml:space="preserve"> </w:t>
      </w:r>
      <w:r w:rsidR="00724B29" w:rsidRPr="00585E78">
        <w:rPr>
          <w:rFonts w:eastAsia="Times New Roman"/>
        </w:rPr>
        <w:t>U</w:t>
      </w:r>
      <w:r w:rsidRPr="00585E78">
        <w:rPr>
          <w:rFonts w:eastAsia="Times New Roman"/>
        </w:rPr>
        <w:t>nit (ACU)</w:t>
      </w:r>
      <w:r w:rsidR="00724B29" w:rsidRPr="00585E78">
        <w:rPr>
          <w:rFonts w:eastAsia="Times New Roman"/>
        </w:rPr>
        <w:t xml:space="preserve"> and </w:t>
      </w:r>
      <w:r w:rsidRPr="00585E78">
        <w:rPr>
          <w:rFonts w:eastAsia="Times New Roman"/>
        </w:rPr>
        <w:t xml:space="preserve">the </w:t>
      </w:r>
      <w:r w:rsidR="00724B29" w:rsidRPr="00585E78">
        <w:rPr>
          <w:rFonts w:eastAsia="Times New Roman"/>
        </w:rPr>
        <w:t>M</w:t>
      </w:r>
      <w:r w:rsidRPr="00585E78">
        <w:rPr>
          <w:rFonts w:eastAsia="Times New Roman"/>
        </w:rPr>
        <w:t xml:space="preserve">aterials </w:t>
      </w:r>
      <w:r w:rsidR="00724B29" w:rsidRPr="00585E78">
        <w:rPr>
          <w:rFonts w:eastAsia="Times New Roman"/>
        </w:rPr>
        <w:t>M</w:t>
      </w:r>
      <w:r w:rsidRPr="00585E78">
        <w:rPr>
          <w:rFonts w:eastAsia="Times New Roman"/>
        </w:rPr>
        <w:t xml:space="preserve">onitoring </w:t>
      </w:r>
      <w:r w:rsidR="00724B29" w:rsidRPr="00585E78">
        <w:rPr>
          <w:rFonts w:eastAsia="Times New Roman"/>
        </w:rPr>
        <w:t>U</w:t>
      </w:r>
      <w:r w:rsidRPr="00585E78">
        <w:rPr>
          <w:rFonts w:eastAsia="Times New Roman"/>
        </w:rPr>
        <w:t>nit (MMU)</w:t>
      </w:r>
      <w:r w:rsidR="00724B29" w:rsidRPr="00585E78">
        <w:rPr>
          <w:rFonts w:eastAsia="Times New Roman"/>
        </w:rPr>
        <w:t xml:space="preserve">. </w:t>
      </w:r>
      <w:r w:rsidR="00241B5A">
        <w:rPr>
          <w:rFonts w:eastAsia="Times New Roman"/>
        </w:rPr>
        <w:t xml:space="preserve"> </w:t>
      </w:r>
      <w:r w:rsidR="00DD705E">
        <w:t>The ACU</w:t>
      </w:r>
      <w:r w:rsidR="00FC5D26" w:rsidRPr="00585E78">
        <w:t xml:space="preserve"> facilitate</w:t>
      </w:r>
      <w:r w:rsidR="00DD705E">
        <w:t>s</w:t>
      </w:r>
      <w:r w:rsidR="00FC5D26" w:rsidRPr="00585E78">
        <w:t xml:space="preserve"> coordinated access for humanitarian staff and supplies across the PTs.</w:t>
      </w:r>
      <w:r w:rsidRPr="00585E78">
        <w:t xml:space="preserve"> </w:t>
      </w:r>
      <w:r w:rsidR="00241B5A">
        <w:t xml:space="preserve"> </w:t>
      </w:r>
      <w:r w:rsidR="00FC5D26" w:rsidRPr="00585E78">
        <w:t>The MMU was formed to facilitate the Gaza Reconstruction Mechanism (an agreement between the Government of Israel and PA) to monitor entry, supply and use of ‘dual-use’ materials in Gaza to support reconstruction.</w:t>
      </w:r>
      <w:r w:rsidR="00DD705E">
        <w:t xml:space="preserve"> </w:t>
      </w:r>
      <w:r w:rsidR="00241B5A">
        <w:t xml:space="preserve"> </w:t>
      </w:r>
      <w:r w:rsidR="00DD705E">
        <w:t xml:space="preserve">Australian funding </w:t>
      </w:r>
      <w:r w:rsidR="00FC5D26" w:rsidRPr="00585E78">
        <w:rPr>
          <w:snapToGrid w:val="0"/>
        </w:rPr>
        <w:t>contribute</w:t>
      </w:r>
      <w:r w:rsidRPr="00585E78">
        <w:rPr>
          <w:snapToGrid w:val="0"/>
        </w:rPr>
        <w:t>s</w:t>
      </w:r>
      <w:r w:rsidR="00FC5D26" w:rsidRPr="00585E78">
        <w:rPr>
          <w:snapToGrid w:val="0"/>
        </w:rPr>
        <w:t xml:space="preserve"> to the operational costs of both ACU and the MMU including supporting the ACU’s ability to provide immediate information on access and movement restrictions to humanitarian personnel with the development of a user-friendl</w:t>
      </w:r>
      <w:r w:rsidR="00DD705E">
        <w:rPr>
          <w:snapToGrid w:val="0"/>
        </w:rPr>
        <w:t xml:space="preserve">y mobile application. </w:t>
      </w:r>
      <w:r w:rsidR="00241B5A">
        <w:rPr>
          <w:snapToGrid w:val="0"/>
        </w:rPr>
        <w:t xml:space="preserve"> </w:t>
      </w:r>
      <w:r w:rsidR="00FC5D26" w:rsidRPr="00585E78">
        <w:rPr>
          <w:snapToGrid w:val="0"/>
        </w:rPr>
        <w:t xml:space="preserve">DFAT’s contribution </w:t>
      </w:r>
      <w:r w:rsidR="0036389C">
        <w:rPr>
          <w:snapToGrid w:val="0"/>
        </w:rPr>
        <w:t>also enabled</w:t>
      </w:r>
      <w:r w:rsidR="00FC5D26" w:rsidRPr="00585E78">
        <w:rPr>
          <w:snapToGrid w:val="0"/>
        </w:rPr>
        <w:t xml:space="preserve"> essential maintenance </w:t>
      </w:r>
      <w:r w:rsidR="0036389C">
        <w:rPr>
          <w:snapToGrid w:val="0"/>
        </w:rPr>
        <w:t>to the</w:t>
      </w:r>
      <w:r w:rsidR="00FC5D26" w:rsidRPr="00585E78">
        <w:rPr>
          <w:snapToGrid w:val="0"/>
        </w:rPr>
        <w:t xml:space="preserve"> software system that supports the Gaza Reconstruction Mechanism (GRM)</w:t>
      </w:r>
      <w:r w:rsidR="0036389C">
        <w:rPr>
          <w:snapToGrid w:val="0"/>
        </w:rPr>
        <w:t xml:space="preserve"> - </w:t>
      </w:r>
      <w:r w:rsidR="0036389C" w:rsidRPr="000D0CB4">
        <w:rPr>
          <w:snapToGrid w:val="0"/>
        </w:rPr>
        <w:t xml:space="preserve">a system originally </w:t>
      </w:r>
      <w:r w:rsidR="000D0CB4" w:rsidRPr="000D0CB4">
        <w:rPr>
          <w:snapToGrid w:val="0"/>
        </w:rPr>
        <w:t>funded by DFAT in 2015-16</w:t>
      </w:r>
      <w:r w:rsidR="003C542D" w:rsidRPr="000D0CB4">
        <w:rPr>
          <w:snapToGrid w:val="0"/>
        </w:rPr>
        <w:t>.</w:t>
      </w:r>
      <w:r w:rsidR="00D30765">
        <w:rPr>
          <w:snapToGrid w:val="0"/>
        </w:rPr>
        <w:t xml:space="preserve"> </w:t>
      </w:r>
      <w:r w:rsidR="00241B5A">
        <w:rPr>
          <w:snapToGrid w:val="0"/>
        </w:rPr>
        <w:t xml:space="preserve"> </w:t>
      </w:r>
      <w:r w:rsidR="00D30765">
        <w:rPr>
          <w:snapToGrid w:val="0"/>
        </w:rPr>
        <w:t>In 2016-17, 924,683</w:t>
      </w:r>
      <w:r w:rsidR="008460BE" w:rsidRPr="008460BE">
        <w:rPr>
          <w:snapToGrid w:val="0"/>
        </w:rPr>
        <w:t xml:space="preserve">, </w:t>
      </w:r>
      <w:r w:rsidR="003C542D">
        <w:rPr>
          <w:snapToGrid w:val="0"/>
        </w:rPr>
        <w:t>tonnes of construction material have entered Gaza under the GRM.</w:t>
      </w:r>
    </w:p>
    <w:p w14:paraId="0D436976" w14:textId="12D0B933" w:rsidR="00343F3A" w:rsidRPr="00724B29" w:rsidRDefault="00DD705E" w:rsidP="00E27CF3">
      <w:pPr>
        <w:spacing w:before="240" w:line="240" w:lineRule="auto"/>
        <w:rPr>
          <w:rFonts w:eastAsia="Times New Roman"/>
        </w:rPr>
      </w:pPr>
      <w:r>
        <w:rPr>
          <w:rFonts w:eastAsia="Times New Roman"/>
        </w:rPr>
        <w:t xml:space="preserve">Australia </w:t>
      </w:r>
      <w:r w:rsidR="00D713A4">
        <w:rPr>
          <w:rFonts w:eastAsia="Times New Roman"/>
        </w:rPr>
        <w:t>provided</w:t>
      </w:r>
      <w:r w:rsidR="00724B29" w:rsidRPr="00724B29">
        <w:rPr>
          <w:rFonts w:eastAsia="Times New Roman"/>
        </w:rPr>
        <w:t xml:space="preserve"> </w:t>
      </w:r>
      <w:r w:rsidR="002755AE">
        <w:rPr>
          <w:rFonts w:eastAsia="Times New Roman"/>
        </w:rPr>
        <w:t xml:space="preserve">almost $580,000 in </w:t>
      </w:r>
      <w:r w:rsidR="00724B29" w:rsidRPr="00724B29">
        <w:rPr>
          <w:rFonts w:eastAsia="Times New Roman"/>
        </w:rPr>
        <w:t xml:space="preserve">support to the PTs through the </w:t>
      </w:r>
      <w:r w:rsidR="00724B29" w:rsidRPr="00276CB5">
        <w:rPr>
          <w:rFonts w:eastAsia="Times New Roman"/>
          <w:b/>
        </w:rPr>
        <w:t xml:space="preserve">Australian-NGO Cooperation </w:t>
      </w:r>
      <w:r w:rsidR="00724B29" w:rsidRPr="0036389C">
        <w:rPr>
          <w:rFonts w:eastAsia="Times New Roman"/>
          <w:b/>
        </w:rPr>
        <w:t>Program</w:t>
      </w:r>
      <w:r w:rsidR="00D713A4" w:rsidRPr="0036389C">
        <w:rPr>
          <w:rFonts w:eastAsia="Times New Roman"/>
          <w:b/>
        </w:rPr>
        <w:t xml:space="preserve"> (ANCP).</w:t>
      </w:r>
      <w:r w:rsidR="00241B5A">
        <w:rPr>
          <w:rFonts w:eastAsia="Times New Roman"/>
        </w:rPr>
        <w:t xml:space="preserve">  </w:t>
      </w:r>
      <w:r w:rsidR="00D713A4">
        <w:rPr>
          <w:rFonts w:eastAsia="Times New Roman"/>
        </w:rPr>
        <w:t>ANCP projects</w:t>
      </w:r>
      <w:r w:rsidR="00541C07">
        <w:rPr>
          <w:rFonts w:eastAsia="Times New Roman"/>
        </w:rPr>
        <w:t xml:space="preserve"> from NGO</w:t>
      </w:r>
      <w:r w:rsidR="0036389C">
        <w:rPr>
          <w:rFonts w:eastAsia="Times New Roman"/>
        </w:rPr>
        <w:t>s such as ActionAid and Act for Peace</w:t>
      </w:r>
      <w:r w:rsidR="007064CA">
        <w:rPr>
          <w:rFonts w:eastAsia="Times New Roman"/>
        </w:rPr>
        <w:t xml:space="preserve"> enabled </w:t>
      </w:r>
      <w:r w:rsidR="00D713A4">
        <w:rPr>
          <w:rFonts w:eastAsia="Times New Roman"/>
        </w:rPr>
        <w:t xml:space="preserve">the provision of </w:t>
      </w:r>
      <w:r w:rsidR="007064CA">
        <w:rPr>
          <w:rFonts w:eastAsia="Times New Roman"/>
        </w:rPr>
        <w:t xml:space="preserve">primary healthcare, </w:t>
      </w:r>
      <w:r w:rsidR="00D713A4">
        <w:rPr>
          <w:rFonts w:eastAsia="Times New Roman"/>
        </w:rPr>
        <w:t>vocational training</w:t>
      </w:r>
      <w:r w:rsidR="0036389C">
        <w:rPr>
          <w:rFonts w:eastAsia="Times New Roman"/>
        </w:rPr>
        <w:t xml:space="preserve"> services</w:t>
      </w:r>
      <w:r w:rsidR="007064CA">
        <w:rPr>
          <w:rFonts w:eastAsia="Times New Roman"/>
        </w:rPr>
        <w:t xml:space="preserve"> and </w:t>
      </w:r>
      <w:r w:rsidR="00D713A4">
        <w:rPr>
          <w:rFonts w:eastAsia="Times New Roman"/>
        </w:rPr>
        <w:t>activities to pro</w:t>
      </w:r>
      <w:r w:rsidR="007064CA">
        <w:rPr>
          <w:rFonts w:eastAsia="Times New Roman"/>
        </w:rPr>
        <w:t xml:space="preserve">mote women’s rights and </w:t>
      </w:r>
      <w:r w:rsidR="00D713A4">
        <w:rPr>
          <w:rFonts w:eastAsia="Times New Roman"/>
        </w:rPr>
        <w:t xml:space="preserve">economic empowerment. </w:t>
      </w:r>
    </w:p>
    <w:p w14:paraId="6E319D98" w14:textId="1240DE18"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14:paraId="647DA568" w14:textId="6DD3E4E8" w:rsidR="009708FC" w:rsidRPr="00613548" w:rsidRDefault="00613313" w:rsidP="008E53C6">
      <w:r>
        <w:t xml:space="preserve">During </w:t>
      </w:r>
      <w:r w:rsidR="000D0CB4">
        <w:t>2016-17, DFAT</w:t>
      </w:r>
      <w:r w:rsidR="00724B29">
        <w:t xml:space="preserve"> regularly engaged with the PA through the Australian Representative Office </w:t>
      </w:r>
      <w:r w:rsidR="00865A9D">
        <w:t xml:space="preserve">(ARO) </w:t>
      </w:r>
      <w:r w:rsidR="00724B29">
        <w:t xml:space="preserve">in Ramallah </w:t>
      </w:r>
      <w:r w:rsidR="0066762E">
        <w:t>and</w:t>
      </w:r>
      <w:r w:rsidR="008358D8">
        <w:t xml:space="preserve"> </w:t>
      </w:r>
      <w:r w:rsidR="00724B29">
        <w:t>the Palestinian</w:t>
      </w:r>
      <w:r w:rsidR="00613548">
        <w:t xml:space="preserve"> General Delegation in Canberra on </w:t>
      </w:r>
      <w:r w:rsidR="00724B29">
        <w:t xml:space="preserve">aid program </w:t>
      </w:r>
      <w:r w:rsidR="00613548">
        <w:t xml:space="preserve">issues.  </w:t>
      </w:r>
      <w:r w:rsidR="00724B29">
        <w:t>AMENCA 3 provided opportunities for Australian engagement with</w:t>
      </w:r>
      <w:r w:rsidR="00D71821">
        <w:t xml:space="preserve"> the Palestinian Ministry</w:t>
      </w:r>
      <w:r w:rsidR="006342F4">
        <w:t xml:space="preserve"> of Agriculture through the </w:t>
      </w:r>
      <w:r w:rsidR="00763659">
        <w:t xml:space="preserve">AMENCA 3 </w:t>
      </w:r>
      <w:r w:rsidR="006342F4">
        <w:t xml:space="preserve">Program Steering Committee (PSC). </w:t>
      </w:r>
      <w:r w:rsidR="000D0CB4">
        <w:t xml:space="preserve"> </w:t>
      </w:r>
      <w:r>
        <w:t>During 2016-17, the PSC was</w:t>
      </w:r>
      <w:r w:rsidR="006342F4">
        <w:t xml:space="preserve"> co-chaired by the </w:t>
      </w:r>
      <w:r w:rsidR="0066762E">
        <w:t>ARO</w:t>
      </w:r>
      <w:r w:rsidR="006342F4">
        <w:t xml:space="preserve"> and the PA Deputy Minister for Agriculture. </w:t>
      </w:r>
      <w:r w:rsidR="00241B5A">
        <w:t xml:space="preserve"> The ARO also met</w:t>
      </w:r>
      <w:r w:rsidR="0066762E">
        <w:t xml:space="preserve"> with the </w:t>
      </w:r>
      <w:r w:rsidR="00B062A3">
        <w:t xml:space="preserve">Department of Planning in the </w:t>
      </w:r>
      <w:r w:rsidR="0066762E">
        <w:t xml:space="preserve">Palestinian Ministry of </w:t>
      </w:r>
      <w:r w:rsidR="0066762E">
        <w:lastRenderedPageBreak/>
        <w:t>Finance</w:t>
      </w:r>
      <w:r>
        <w:t xml:space="preserve"> periodically</w:t>
      </w:r>
      <w:r w:rsidR="009E404E">
        <w:t xml:space="preserve"> to discuss </w:t>
      </w:r>
      <w:r w:rsidR="00B062A3">
        <w:t xml:space="preserve">Australia’s </w:t>
      </w:r>
      <w:r>
        <w:t>aid program.</w:t>
      </w:r>
      <w:r w:rsidR="00D30765">
        <w:t xml:space="preserve"> </w:t>
      </w:r>
      <w:r w:rsidR="00241B5A">
        <w:t xml:space="preserve"> </w:t>
      </w:r>
      <w:r w:rsidRPr="00265E9A">
        <w:t xml:space="preserve">Australia </w:t>
      </w:r>
      <w:r w:rsidR="009701DD" w:rsidRPr="00265E9A">
        <w:t>also</w:t>
      </w:r>
      <w:r w:rsidR="00241B5A">
        <w:t xml:space="preserve"> participated in </w:t>
      </w:r>
      <w:r w:rsidRPr="00265E9A">
        <w:t xml:space="preserve">the </w:t>
      </w:r>
      <w:r w:rsidR="009701DD" w:rsidRPr="00265E9A">
        <w:t>Agriculture</w:t>
      </w:r>
      <w:r w:rsidRPr="00265E9A">
        <w:t xml:space="preserve"> Sector Working </w:t>
      </w:r>
      <w:r w:rsidR="009701DD" w:rsidRPr="00265E9A">
        <w:t>Group, which</w:t>
      </w:r>
      <w:r w:rsidRPr="00265E9A">
        <w:t xml:space="preserve"> is </w:t>
      </w:r>
      <w:r w:rsidR="00C379E2" w:rsidRPr="00265E9A">
        <w:t>co-chaired</w:t>
      </w:r>
      <w:r w:rsidRPr="00265E9A">
        <w:t xml:space="preserve"> by the PA.</w:t>
      </w:r>
      <w:r w:rsidR="00241B5A">
        <w:t xml:space="preserve"> </w:t>
      </w:r>
    </w:p>
    <w:p w14:paraId="32312AF3" w14:textId="5CB63061" w:rsidR="009708FC" w:rsidRPr="009708FC" w:rsidRDefault="00D71821" w:rsidP="009708FC">
      <w:r>
        <w:t>Australia’s contribution to the World Bank Trust Fund</w:t>
      </w:r>
      <w:r w:rsidR="00DD705E">
        <w:t xml:space="preserve"> for the PA</w:t>
      </w:r>
      <w:r w:rsidR="000D0CB4">
        <w:t xml:space="preserve"> p</w:t>
      </w:r>
      <w:r w:rsidR="00241B5A">
        <w:t>rovided</w:t>
      </w:r>
      <w:r>
        <w:t xml:space="preserve"> Australia </w:t>
      </w:r>
      <w:r w:rsidR="00241B5A">
        <w:t xml:space="preserve">with </w:t>
      </w:r>
      <w:r>
        <w:t xml:space="preserve">the opportunity to </w:t>
      </w:r>
      <w:r w:rsidR="00DD705E">
        <w:t>engage</w:t>
      </w:r>
      <w:r>
        <w:t xml:space="preserve"> in the twice-yearly Ad-Hoc Liaison Committee meetings</w:t>
      </w:r>
      <w:r w:rsidR="00241B5A">
        <w:t xml:space="preserve"> in Brussels and New York</w:t>
      </w:r>
      <w:r>
        <w:t>, the Wor</w:t>
      </w:r>
      <w:r w:rsidR="002755AE">
        <w:t>ld</w:t>
      </w:r>
      <w:r>
        <w:t xml:space="preserve"> Bank’s Fiscal Working Group and the World Bank bi-annual updates.</w:t>
      </w:r>
      <w:r w:rsidR="006342F4">
        <w:t xml:space="preserve"> </w:t>
      </w:r>
      <w:r w:rsidR="00241B5A">
        <w:t xml:space="preserve"> </w:t>
      </w:r>
      <w:r w:rsidR="00724B29">
        <w:t xml:space="preserve">Australia also participated in UNRWA’s </w:t>
      </w:r>
      <w:r w:rsidR="00166CFE">
        <w:t>twice-yearly</w:t>
      </w:r>
      <w:r w:rsidR="00724B29">
        <w:t xml:space="preserve"> Advisory </w:t>
      </w:r>
      <w:r w:rsidR="00166CFE">
        <w:t>Commission and</w:t>
      </w:r>
      <w:r w:rsidR="00724B29">
        <w:t xml:space="preserve"> </w:t>
      </w:r>
      <w:r w:rsidR="00B74218">
        <w:t xml:space="preserve">its </w:t>
      </w:r>
      <w:r w:rsidR="00724B29">
        <w:t>Sub-Commi</w:t>
      </w:r>
      <w:r w:rsidR="00B74218">
        <w:t>ttee</w:t>
      </w:r>
      <w:r w:rsidR="00724B29">
        <w:t xml:space="preserve"> meetings</w:t>
      </w:r>
      <w:r w:rsidR="00B74218">
        <w:t>,</w:t>
      </w:r>
      <w:r w:rsidR="0066762E">
        <w:t xml:space="preserve"> </w:t>
      </w:r>
      <w:r w:rsidR="008358D8">
        <w:t>a</w:t>
      </w:r>
      <w:r w:rsidR="0066762E">
        <w:t xml:space="preserve">nd </w:t>
      </w:r>
      <w:r w:rsidR="00B74218">
        <w:t>in</w:t>
      </w:r>
      <w:r w:rsidR="0066762E">
        <w:t xml:space="preserve"> the Harmonised Results Working Group</w:t>
      </w:r>
      <w:r w:rsidR="00613548">
        <w:t xml:space="preserve"> </w:t>
      </w:r>
      <w:r w:rsidR="0066762E">
        <w:t xml:space="preserve">on monitoring and evaluation issues. </w:t>
      </w:r>
      <w:r w:rsidR="007064CA">
        <w:t xml:space="preserve"> </w:t>
      </w:r>
      <w:r w:rsidR="009708FC">
        <w:t xml:space="preserve">DFAT also sits on the </w:t>
      </w:r>
      <w:r w:rsidR="007064CA">
        <w:t xml:space="preserve">Project Boards for </w:t>
      </w:r>
      <w:r w:rsidR="009708FC">
        <w:t xml:space="preserve">UNOPS’ </w:t>
      </w:r>
      <w:r w:rsidR="009708FC" w:rsidRPr="009708FC">
        <w:t>ACU and MMU</w:t>
      </w:r>
      <w:r w:rsidR="007064CA">
        <w:t>.</w:t>
      </w:r>
    </w:p>
    <w:p w14:paraId="7A188786" w14:textId="77777777" w:rsidR="005B5769" w:rsidRPr="0026332C" w:rsidRDefault="0026332C" w:rsidP="0026332C">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Program Quality</w:t>
      </w:r>
    </w:p>
    <w:p w14:paraId="1A140D0A" w14:textId="4425F818" w:rsidR="007F28BD" w:rsidRDefault="0026332C" w:rsidP="007F28BD">
      <w:pPr>
        <w:spacing w:line="240" w:lineRule="auto"/>
      </w:pPr>
      <w:r>
        <w:t>As part of the 2016-17 In</w:t>
      </w:r>
      <w:r w:rsidR="00DD705E">
        <w:t>vestment Quality Reporting process</w:t>
      </w:r>
      <w:r>
        <w:t xml:space="preserve">, the PTs aid program completed an Aid Quality Check (AQC) for the AMENCA 3 program and a Final Aid Quality Check (FAQC) for the UNICEF WASH Program. </w:t>
      </w:r>
      <w:r w:rsidR="0066762E">
        <w:t>The</w:t>
      </w:r>
      <w:r w:rsidR="002B3853">
        <w:t xml:space="preserve"> results were largely positive. </w:t>
      </w:r>
      <w:r w:rsidR="00241B5A">
        <w:t xml:space="preserve"> </w:t>
      </w:r>
      <w:r>
        <w:t xml:space="preserve">AMENCA </w:t>
      </w:r>
      <w:r w:rsidR="00613548">
        <w:t>3</w:t>
      </w:r>
      <w:r>
        <w:t xml:space="preserve"> scored</w:t>
      </w:r>
      <w:r w:rsidR="00F6761B">
        <w:t xml:space="preserve"> adequately</w:t>
      </w:r>
      <w:r>
        <w:t xml:space="preserve"> (4) for all criteria, noting this was the first AQC </w:t>
      </w:r>
      <w:r w:rsidR="00613548">
        <w:t>completed for the new program</w:t>
      </w:r>
      <w:r>
        <w:t>.</w:t>
      </w:r>
      <w:r w:rsidR="00F6761B">
        <w:t xml:space="preserve"> </w:t>
      </w:r>
      <w:r w:rsidR="00241B5A">
        <w:t xml:space="preserve"> </w:t>
      </w:r>
      <w:r w:rsidR="00F6761B">
        <w:t>UNICEF received final scores bet</w:t>
      </w:r>
      <w:r w:rsidR="00613548">
        <w:t xml:space="preserve">ween adequate (4) and good (5).  </w:t>
      </w:r>
      <w:r w:rsidR="0002556E">
        <w:t xml:space="preserve">Partner Performance Assessments were undertaken for all AMENCA </w:t>
      </w:r>
      <w:r w:rsidR="00241B5A">
        <w:t>3 partners (Care, Oxfam, APHEDA and Cardno Emerging Markets)</w:t>
      </w:r>
      <w:r w:rsidR="00DD705E">
        <w:t>, UNICEF and UNR</w:t>
      </w:r>
      <w:r w:rsidR="0002556E">
        <w:t xml:space="preserve">WA. </w:t>
      </w:r>
    </w:p>
    <w:p w14:paraId="0E450357" w14:textId="10E272EB" w:rsidR="00F933D1" w:rsidRDefault="007F28BD" w:rsidP="00F933D1">
      <w:pPr>
        <w:spacing w:line="240" w:lineRule="auto"/>
        <w:rPr>
          <w:rFonts w:cs="Arial"/>
          <w:lang w:val="en-AU"/>
        </w:rPr>
      </w:pPr>
      <w:r w:rsidRPr="00F933D1">
        <w:t>The Inv</w:t>
      </w:r>
      <w:r w:rsidR="00DD705E">
        <w:t xml:space="preserve">estment Quality Reporting process </w:t>
      </w:r>
      <w:r w:rsidRPr="00F933D1">
        <w:t xml:space="preserve">also assessed </w:t>
      </w:r>
      <w:r w:rsidR="000020FD">
        <w:t xml:space="preserve">investments for their progress on promoting </w:t>
      </w:r>
      <w:r w:rsidRPr="00F933D1">
        <w:t>gender equal</w:t>
      </w:r>
      <w:r w:rsidR="000020FD">
        <w:t xml:space="preserve">ity, a </w:t>
      </w:r>
      <w:r w:rsidRPr="00F933D1">
        <w:t xml:space="preserve">key component of </w:t>
      </w:r>
      <w:r w:rsidR="00B17E41" w:rsidRPr="00F933D1">
        <w:t>Australia’s aid program to the PTs.</w:t>
      </w:r>
      <w:r w:rsidRPr="00F933D1">
        <w:t xml:space="preserve"> </w:t>
      </w:r>
      <w:r w:rsidR="00241B5A">
        <w:t xml:space="preserve"> </w:t>
      </w:r>
      <w:r w:rsidRPr="00F933D1">
        <w:t xml:space="preserve">During 2016-17, </w:t>
      </w:r>
      <w:r w:rsidR="000020FD">
        <w:t xml:space="preserve">AMENCA 3 </w:t>
      </w:r>
      <w:r w:rsidR="00DD705E">
        <w:t>set solid foundations to progress</w:t>
      </w:r>
      <w:r w:rsidRPr="00F933D1">
        <w:t xml:space="preserve"> women’s </w:t>
      </w:r>
      <w:r w:rsidR="00166CFE">
        <w:t xml:space="preserve">empowerment, </w:t>
      </w:r>
      <w:r w:rsidR="004132F3">
        <w:t xml:space="preserve">including through the development of </w:t>
      </w:r>
      <w:r w:rsidR="00E67CE2" w:rsidRPr="00F933D1">
        <w:t xml:space="preserve">a </w:t>
      </w:r>
      <w:r w:rsidRPr="00F933D1">
        <w:rPr>
          <w:rFonts w:cs="Arial"/>
          <w:lang w:val="en-AU"/>
        </w:rPr>
        <w:t xml:space="preserve">Gender Equality and Women's Empowerment </w:t>
      </w:r>
      <w:r w:rsidR="004132F3">
        <w:rPr>
          <w:rFonts w:cs="Arial"/>
          <w:lang w:val="en-AU"/>
        </w:rPr>
        <w:t>Strategy</w:t>
      </w:r>
      <w:r w:rsidR="00E67CE2" w:rsidRPr="00F933D1">
        <w:rPr>
          <w:rFonts w:cs="Arial"/>
          <w:lang w:val="en-AU"/>
        </w:rPr>
        <w:t>.</w:t>
      </w:r>
      <w:r w:rsidRPr="00F933D1">
        <w:rPr>
          <w:rFonts w:cs="Arial"/>
          <w:lang w:val="en-AU"/>
        </w:rPr>
        <w:t xml:space="preserve"> </w:t>
      </w:r>
      <w:r w:rsidR="00241B5A">
        <w:rPr>
          <w:rFonts w:cs="Arial"/>
          <w:lang w:val="en-AU"/>
        </w:rPr>
        <w:t xml:space="preserve"> Partners were supported to implement this strategy through the provision of a Social Inclusion Advisor.  </w:t>
      </w:r>
      <w:r w:rsidRPr="00F933D1">
        <w:rPr>
          <w:rFonts w:cs="Arial"/>
          <w:lang w:val="en-AU"/>
        </w:rPr>
        <w:t>In</w:t>
      </w:r>
      <w:r w:rsidR="00E67CE2" w:rsidRPr="00F933D1">
        <w:rPr>
          <w:rFonts w:cs="Arial"/>
          <w:lang w:val="en-AU"/>
        </w:rPr>
        <w:t xml:space="preserve"> addition, an independent baseline</w:t>
      </w:r>
      <w:r w:rsidRPr="00F933D1">
        <w:rPr>
          <w:rFonts w:cs="Arial"/>
          <w:lang w:val="en-AU"/>
        </w:rPr>
        <w:t xml:space="preserve"> study</w:t>
      </w:r>
      <w:r w:rsidR="00E93C4D" w:rsidRPr="00F933D1">
        <w:rPr>
          <w:rFonts w:cs="Arial"/>
          <w:lang w:val="en-AU"/>
        </w:rPr>
        <w:t xml:space="preserve"> was completed</w:t>
      </w:r>
      <w:r w:rsidR="00E67CE2" w:rsidRPr="00F933D1">
        <w:rPr>
          <w:rFonts w:cs="Arial"/>
          <w:lang w:val="en-AU"/>
        </w:rPr>
        <w:t xml:space="preserve"> </w:t>
      </w:r>
      <w:r w:rsidR="004132F3">
        <w:rPr>
          <w:rFonts w:cs="Arial"/>
          <w:lang w:val="en-AU"/>
        </w:rPr>
        <w:t>to establish</w:t>
      </w:r>
      <w:r w:rsidRPr="00F933D1">
        <w:rPr>
          <w:rFonts w:cs="Arial"/>
          <w:lang w:val="en-AU"/>
        </w:rPr>
        <w:t xml:space="preserve"> </w:t>
      </w:r>
      <w:r w:rsidR="004132F3">
        <w:rPr>
          <w:rFonts w:cs="Arial"/>
          <w:lang w:val="en-AU"/>
        </w:rPr>
        <w:t>a framework to</w:t>
      </w:r>
      <w:r w:rsidRPr="00F933D1">
        <w:rPr>
          <w:rFonts w:cs="Arial"/>
          <w:lang w:val="en-AU"/>
        </w:rPr>
        <w:t xml:space="preserve"> measure </w:t>
      </w:r>
      <w:r w:rsidR="00F933D1">
        <w:rPr>
          <w:rFonts w:cs="Arial"/>
          <w:lang w:val="en-AU"/>
        </w:rPr>
        <w:t xml:space="preserve">progress </w:t>
      </w:r>
      <w:r w:rsidR="004132F3">
        <w:rPr>
          <w:rFonts w:cs="Arial"/>
          <w:lang w:val="en-AU"/>
        </w:rPr>
        <w:t>on</w:t>
      </w:r>
      <w:r w:rsidR="00F933D1" w:rsidRPr="00F933D1">
        <w:rPr>
          <w:rFonts w:cs="Arial"/>
          <w:lang w:val="en-AU"/>
        </w:rPr>
        <w:t xml:space="preserve"> women's empowerment</w:t>
      </w:r>
      <w:r w:rsidR="00283937">
        <w:rPr>
          <w:rFonts w:cs="Arial"/>
          <w:lang w:val="en-AU"/>
        </w:rPr>
        <w:t xml:space="preserve"> over the life of the program</w:t>
      </w:r>
      <w:r w:rsidR="00F933D1" w:rsidRPr="00F933D1">
        <w:rPr>
          <w:rFonts w:cs="Arial"/>
          <w:lang w:val="en-AU"/>
        </w:rPr>
        <w:t>.</w:t>
      </w:r>
    </w:p>
    <w:p w14:paraId="089DD7C2" w14:textId="1DB9AEE6" w:rsidR="00D17143" w:rsidRDefault="00D17143" w:rsidP="00F933D1">
      <w:pPr>
        <w:spacing w:line="240" w:lineRule="auto"/>
        <w:rPr>
          <w:rFonts w:cs="Arial"/>
          <w:lang w:val="en-AU"/>
        </w:rPr>
      </w:pPr>
      <w:r w:rsidRPr="00C045CD">
        <w:t>Australia is working with UNRWA to increase its focus on gender equality.</w:t>
      </w:r>
      <w:r w:rsidR="00241B5A">
        <w:t xml:space="preserve"> </w:t>
      </w:r>
      <w:r w:rsidRPr="00C045CD">
        <w:t xml:space="preserve"> In 2016, </w:t>
      </w:r>
      <w:r w:rsidR="00283937">
        <w:t>UNRWA</w:t>
      </w:r>
      <w:r w:rsidRPr="00C045CD">
        <w:t xml:space="preserve"> continued to embed gender equality in its core programming, including gender-based violence detection and referrals systems. </w:t>
      </w:r>
      <w:r w:rsidR="00241B5A">
        <w:t xml:space="preserve"> </w:t>
      </w:r>
      <w:r w:rsidRPr="00C045CD">
        <w:t xml:space="preserve">UNRWA’s new Gender Equality Strategy </w:t>
      </w:r>
      <w:r w:rsidR="004132F3">
        <w:t>(</w:t>
      </w:r>
      <w:r w:rsidRPr="00C045CD">
        <w:t>2016-2021</w:t>
      </w:r>
      <w:r w:rsidR="004132F3">
        <w:t>)</w:t>
      </w:r>
      <w:r w:rsidRPr="00C045CD">
        <w:t xml:space="preserve"> is compl</w:t>
      </w:r>
      <w:r w:rsidR="00D87C6E">
        <w:t>iant</w:t>
      </w:r>
      <w:r w:rsidRPr="00C045CD">
        <w:t xml:space="preserve"> with the UN’s system-wide action plan (UN-SWAP) on equality and empowerment of women. </w:t>
      </w:r>
    </w:p>
    <w:p w14:paraId="2A6AD4F7" w14:textId="04A12952" w:rsidR="00CA4F90" w:rsidRDefault="00F933D1" w:rsidP="00F933D1">
      <w:pPr>
        <w:spacing w:line="240" w:lineRule="auto"/>
        <w:rPr>
          <w:rFonts w:cs="Arial"/>
          <w:lang w:val="en-AU"/>
        </w:rPr>
      </w:pPr>
      <w:r w:rsidRPr="00F80C63">
        <w:rPr>
          <w:rFonts w:cs="Arial"/>
          <w:lang w:val="en-AU"/>
        </w:rPr>
        <w:t>In 201</w:t>
      </w:r>
      <w:r w:rsidR="00D87C6E">
        <w:rPr>
          <w:rFonts w:cs="Arial"/>
          <w:lang w:val="en-AU"/>
        </w:rPr>
        <w:t>6</w:t>
      </w:r>
      <w:r w:rsidRPr="00F80C63">
        <w:rPr>
          <w:rFonts w:cs="Arial"/>
          <w:lang w:val="en-AU"/>
        </w:rPr>
        <w:t xml:space="preserve">-17, UNICEF’s WASH program </w:t>
      </w:r>
      <w:r w:rsidR="002755AE">
        <w:rPr>
          <w:rFonts w:cs="Arial"/>
          <w:lang w:val="en-AU"/>
        </w:rPr>
        <w:t xml:space="preserve">achieved </w:t>
      </w:r>
      <w:r w:rsidR="002755AE" w:rsidRPr="00E16063">
        <w:rPr>
          <w:rFonts w:cs="Arial"/>
          <w:lang w:val="en-AU"/>
        </w:rPr>
        <w:t>47 per cent female beneficiaries</w:t>
      </w:r>
      <w:r w:rsidR="002755AE">
        <w:rPr>
          <w:rFonts w:cs="Arial"/>
          <w:lang w:val="en-AU"/>
        </w:rPr>
        <w:t xml:space="preserve"> across all its activities</w:t>
      </w:r>
      <w:r w:rsidR="002755AE" w:rsidRPr="00E16063">
        <w:rPr>
          <w:rFonts w:cs="Arial"/>
          <w:lang w:val="en-AU"/>
        </w:rPr>
        <w:t>.</w:t>
      </w:r>
      <w:r w:rsidR="002755AE" w:rsidRPr="00F80C63">
        <w:rPr>
          <w:rFonts w:cs="Arial"/>
          <w:lang w:val="en-AU"/>
        </w:rPr>
        <w:t xml:space="preserve"> </w:t>
      </w:r>
    </w:p>
    <w:p w14:paraId="39DD21F2" w14:textId="7BA9D868" w:rsidR="008E53C6" w:rsidRPr="00F80C63" w:rsidRDefault="008E53C6" w:rsidP="00F933D1">
      <w:pPr>
        <w:spacing w:line="240" w:lineRule="auto"/>
        <w:rPr>
          <w:rFonts w:cs="Arial"/>
          <w:lang w:val="en-AU"/>
        </w:rPr>
      </w:pPr>
      <w:r>
        <w:rPr>
          <w:rFonts w:cs="Arial"/>
          <w:lang w:val="en-AU"/>
        </w:rPr>
        <w:t>There is room to improve gender eq</w:t>
      </w:r>
      <w:r w:rsidR="00241B5A">
        <w:rPr>
          <w:rFonts w:cs="Arial"/>
          <w:lang w:val="en-AU"/>
        </w:rPr>
        <w:t>uality in the Australia Awards s</w:t>
      </w:r>
      <w:r>
        <w:rPr>
          <w:rFonts w:cs="Arial"/>
          <w:lang w:val="en-AU"/>
        </w:rPr>
        <w:t>cholarships program, where applications from females are significantly lower than that of males.</w:t>
      </w:r>
      <w:r w:rsidR="00D30765">
        <w:rPr>
          <w:rFonts w:cs="Arial"/>
          <w:lang w:val="en-AU"/>
        </w:rPr>
        <w:t xml:space="preserve"> </w:t>
      </w:r>
      <w:r w:rsidR="00241B5A">
        <w:rPr>
          <w:rFonts w:cs="Arial"/>
          <w:lang w:val="en-AU"/>
        </w:rPr>
        <w:t xml:space="preserve"> </w:t>
      </w:r>
      <w:r w:rsidR="002D37D2">
        <w:rPr>
          <w:rFonts w:cs="Arial"/>
          <w:lang w:val="en-AU"/>
        </w:rPr>
        <w:t>In future intakes</w:t>
      </w:r>
      <w:r w:rsidR="00865A9D">
        <w:rPr>
          <w:rFonts w:cs="Arial"/>
          <w:lang w:val="en-AU"/>
        </w:rPr>
        <w:t>,</w:t>
      </w:r>
      <w:r w:rsidR="002D37D2">
        <w:rPr>
          <w:rFonts w:cs="Arial"/>
          <w:lang w:val="en-AU"/>
        </w:rPr>
        <w:t xml:space="preserve"> there will be greater targeting to encourage more high quality female applicants.</w:t>
      </w:r>
    </w:p>
    <w:p w14:paraId="736C1FEC" w14:textId="470667D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2DA3C392" w14:textId="248C6E79" w:rsidR="005D310B" w:rsidRDefault="009A1E9A" w:rsidP="00E65105">
      <w:r>
        <w:t>In September 2016, DFAT reviewed its</w:t>
      </w:r>
      <w:r w:rsidR="00613548">
        <w:t xml:space="preserve"> aid management capacity at ARO</w:t>
      </w:r>
      <w:r w:rsidR="004132F3">
        <w:t xml:space="preserve"> to ensure systems and processes supported optimal delivery of the aid program.</w:t>
      </w:r>
      <w:r w:rsidR="00D30765">
        <w:t xml:space="preserve"> </w:t>
      </w:r>
      <w:r w:rsidR="004132F3">
        <w:t xml:space="preserve">As a result, </w:t>
      </w:r>
      <w:r w:rsidR="009701DD">
        <w:t>additional</w:t>
      </w:r>
      <w:r w:rsidR="004132F3">
        <w:t xml:space="preserve"> training </w:t>
      </w:r>
      <w:r>
        <w:t xml:space="preserve">for staff </w:t>
      </w:r>
      <w:r w:rsidR="004132F3">
        <w:t xml:space="preserve">has been undertaken, </w:t>
      </w:r>
      <w:r w:rsidR="007B6847">
        <w:t>systems and processes around risk and fraud</w:t>
      </w:r>
      <w:r>
        <w:t xml:space="preserve"> have been </w:t>
      </w:r>
      <w:r w:rsidR="009701DD">
        <w:t>strengthened</w:t>
      </w:r>
      <w:r>
        <w:t xml:space="preserve"> (</w:t>
      </w:r>
      <w:r w:rsidR="009701DD">
        <w:t>including</w:t>
      </w:r>
      <w:r>
        <w:t xml:space="preserve"> the development of a Fraud and Anti-</w:t>
      </w:r>
      <w:r w:rsidR="009701DD">
        <w:t>Corruption</w:t>
      </w:r>
      <w:r w:rsidR="00613548">
        <w:t xml:space="preserve"> Strategy), </w:t>
      </w:r>
      <w:r>
        <w:t xml:space="preserve">focal points for fraud, risk and child protection have been </w:t>
      </w:r>
      <w:r w:rsidR="009701DD">
        <w:t>appointed</w:t>
      </w:r>
      <w:r>
        <w:t xml:space="preserve"> and</w:t>
      </w:r>
      <w:r w:rsidR="007B6847">
        <w:t xml:space="preserve"> </w:t>
      </w:r>
      <w:r w:rsidR="009701DD">
        <w:t>internal</w:t>
      </w:r>
      <w:r w:rsidR="007B6847">
        <w:t xml:space="preserve"> governance arrangements have been reforme</w:t>
      </w:r>
      <w:r w:rsidR="005D310B">
        <w:t>d</w:t>
      </w:r>
      <w:r>
        <w:t xml:space="preserve"> and </w:t>
      </w:r>
      <w:r w:rsidR="009701DD">
        <w:t>strengthen</w:t>
      </w:r>
      <w:r w:rsidR="00241B5A">
        <w:t>ed</w:t>
      </w:r>
      <w:r w:rsidR="005D310B">
        <w:t>.</w:t>
      </w:r>
      <w:r w:rsidR="00241B5A">
        <w:t xml:space="preserve">  </w:t>
      </w:r>
      <w:r w:rsidR="005D310B">
        <w:t>The aid management review noted that administering the Direct Aid Program (DAP) through two rounds each</w:t>
      </w:r>
      <w:r w:rsidR="009701DD">
        <w:t xml:space="preserve"> year was administratively</w:t>
      </w:r>
      <w:r w:rsidR="005D310B">
        <w:t xml:space="preserve"> burdensome. From </w:t>
      </w:r>
      <w:r w:rsidR="005D310B" w:rsidRPr="00E16063">
        <w:t>20</w:t>
      </w:r>
      <w:r w:rsidR="00E80D94" w:rsidRPr="00E16063">
        <w:t>17-18</w:t>
      </w:r>
      <w:r w:rsidR="005D310B">
        <w:t>, only one DAP round will be undertaken.</w:t>
      </w:r>
    </w:p>
    <w:p w14:paraId="4C5DE81E" w14:textId="3A76EAE7" w:rsidR="007B6847" w:rsidRDefault="004132F3" w:rsidP="007B6847">
      <w:r>
        <w:t xml:space="preserve">During 2016-17, DFAT monitored the </w:t>
      </w:r>
      <w:r w:rsidR="009701DD">
        <w:t>implementation</w:t>
      </w:r>
      <w:r>
        <w:t xml:space="preserve"> of AMENCA 3 closely</w:t>
      </w:r>
      <w:r w:rsidR="00CA4F90">
        <w:t>.</w:t>
      </w:r>
      <w:r w:rsidR="0047593D">
        <w:t xml:space="preserve"> </w:t>
      </w:r>
      <w:r w:rsidR="007333DE">
        <w:t xml:space="preserve">In May 2017, </w:t>
      </w:r>
      <w:r w:rsidR="0047593D">
        <w:t>DFAT undertook a Rapid Management Review</w:t>
      </w:r>
      <w:r>
        <w:t xml:space="preserve"> of </w:t>
      </w:r>
      <w:r w:rsidR="009701DD">
        <w:t>Management</w:t>
      </w:r>
      <w:r>
        <w:t xml:space="preserve"> and Operations, aimed at streamlining the program’s governance and approvals processes.</w:t>
      </w:r>
      <w:r w:rsidR="00D30765">
        <w:t xml:space="preserve"> </w:t>
      </w:r>
      <w:r w:rsidR="00613548">
        <w:t xml:space="preserve"> </w:t>
      </w:r>
      <w:r w:rsidR="009701DD">
        <w:t>Recommendations</w:t>
      </w:r>
      <w:r>
        <w:t xml:space="preserve"> from the review were implemented immediately and will continue into 2017-18.</w:t>
      </w:r>
      <w:r w:rsidR="007B6847" w:rsidRPr="007B6847">
        <w:t xml:space="preserve"> </w:t>
      </w:r>
      <w:r w:rsidR="009701DD">
        <w:t>Additionally</w:t>
      </w:r>
      <w:r w:rsidR="007B6847">
        <w:t>, an independent review of risk mitigation safeguards for AMENCA 3 is planned for February 2018.</w:t>
      </w:r>
    </w:p>
    <w:p w14:paraId="2A2A7B27" w14:textId="1A9FDF1A" w:rsidR="007B6847" w:rsidRDefault="007B6847" w:rsidP="00E65105">
      <w:r>
        <w:t xml:space="preserve">During 2017-18, </w:t>
      </w:r>
      <w:r w:rsidR="009701DD">
        <w:t>NGO</w:t>
      </w:r>
      <w:r>
        <w:t xml:space="preserve">s </w:t>
      </w:r>
      <w:r w:rsidR="009701DD">
        <w:t>Program</w:t>
      </w:r>
      <w:r>
        <w:t xml:space="preserve"> Performance and </w:t>
      </w:r>
      <w:r w:rsidR="009701DD">
        <w:t>Quality</w:t>
      </w:r>
      <w:r>
        <w:t xml:space="preserve"> Section </w:t>
      </w:r>
      <w:r w:rsidR="0066762E">
        <w:t>will undertake a monitoring an</w:t>
      </w:r>
      <w:r w:rsidR="00865A9D">
        <w:t>d</w:t>
      </w:r>
      <w:r>
        <w:t xml:space="preserve"> evaluation visit of Australian NGO Cooperation Program (ANCP)</w:t>
      </w:r>
      <w:r w:rsidR="0066762E">
        <w:t xml:space="preserve"> activities in the PTs in late 2017</w:t>
      </w:r>
      <w:r w:rsidR="0002556E">
        <w:t xml:space="preserve">. </w:t>
      </w:r>
    </w:p>
    <w:p w14:paraId="7C6169A0" w14:textId="77E27D36" w:rsidR="007B6847" w:rsidRDefault="0066762E" w:rsidP="00E65105">
      <w:r>
        <w:lastRenderedPageBreak/>
        <w:t xml:space="preserve">DFAT will </w:t>
      </w:r>
      <w:r w:rsidR="00241B5A">
        <w:t>implement the Department’s new Counter Terrorism-f</w:t>
      </w:r>
      <w:r>
        <w:t>inancing (CTF) poli</w:t>
      </w:r>
      <w:r w:rsidR="007B6847">
        <w:t>cy, inc</w:t>
      </w:r>
      <w:r w:rsidR="00613548">
        <w:t>luding upgrading all relevant</w:t>
      </w:r>
      <w:r w:rsidR="007B6847">
        <w:t xml:space="preserve"> </w:t>
      </w:r>
      <w:r>
        <w:t xml:space="preserve">contracts </w:t>
      </w:r>
      <w:r w:rsidR="00613548">
        <w:t>with new</w:t>
      </w:r>
      <w:r>
        <w:t xml:space="preserve"> CTF clauses.</w:t>
      </w:r>
      <w:r w:rsidR="00F461F3">
        <w:t xml:space="preserve"> </w:t>
      </w:r>
    </w:p>
    <w:p w14:paraId="725FF652" w14:textId="141D53E1" w:rsidR="0066762E" w:rsidRDefault="007B6847" w:rsidP="00E65105">
      <w:r>
        <w:t xml:space="preserve">During 2016-17, </w:t>
      </w:r>
      <w:r w:rsidR="00F461F3">
        <w:t xml:space="preserve">DFAT </w:t>
      </w:r>
      <w:r>
        <w:t>undertook a trial of third</w:t>
      </w:r>
      <w:r w:rsidR="00613548">
        <w:t xml:space="preserve"> party monitoring (TPM) on several </w:t>
      </w:r>
      <w:r>
        <w:t>Direct Aid Program (DAP) and ANCP activities.</w:t>
      </w:r>
      <w:r w:rsidR="00D30765">
        <w:t xml:space="preserve"> </w:t>
      </w:r>
      <w:r>
        <w:t xml:space="preserve">During 2017-18, we will review the effectiveness of the trial and consider implementing </w:t>
      </w:r>
      <w:r w:rsidR="0066762E">
        <w:t>TPM on a broader scale across the PTs aid program.</w:t>
      </w:r>
    </w:p>
    <w:p w14:paraId="2E148D78" w14:textId="77777777" w:rsidR="005D310B" w:rsidRDefault="005D310B" w:rsidP="00E65105"/>
    <w:p w14:paraId="396F95F1" w14:textId="77777777" w:rsidR="00D00802" w:rsidRDefault="00D00802" w:rsidP="007333DE"/>
    <w:p w14:paraId="629A439D" w14:textId="7ABC3982" w:rsidR="00835E0B" w:rsidRPr="00835E0B" w:rsidRDefault="00835E0B" w:rsidP="007333DE">
      <w:pPr>
        <w:rPr>
          <w:color w:val="FF0000"/>
        </w:rPr>
        <w:sectPr w:rsidR="00835E0B" w:rsidRPr="00835E0B" w:rsidSect="00D2653F">
          <w:headerReference w:type="default" r:id="rId30"/>
          <w:footerReference w:type="default" r:id="rId31"/>
          <w:pgSz w:w="11906" w:h="16838" w:code="9"/>
          <w:pgMar w:top="1811" w:right="1134" w:bottom="851" w:left="1134" w:header="1565" w:footer="342" w:gutter="0"/>
          <w:cols w:space="397"/>
          <w:docGrid w:linePitch="360"/>
        </w:sectPr>
      </w:pPr>
    </w:p>
    <w:p w14:paraId="5320CE6D" w14:textId="77777777" w:rsidR="00AF1B85" w:rsidRPr="00A8197B" w:rsidRDefault="00AF1B85" w:rsidP="005E606B">
      <w:pPr>
        <w:pStyle w:val="Subtitle"/>
      </w:pPr>
      <w:r w:rsidRPr="00A8197B">
        <w:lastRenderedPageBreak/>
        <w:t>Annex A - Progress in Addressing Management Responses</w:t>
      </w:r>
    </w:p>
    <w:p w14:paraId="2C9C171F" w14:textId="77777777" w:rsidR="00AF1B85" w:rsidRPr="00C61187" w:rsidRDefault="00AF1B85" w:rsidP="00A8197B">
      <w:r w:rsidRPr="00C61187">
        <w:t>Describe progress made against management responses in 201</w:t>
      </w:r>
      <w:r w:rsidR="003E305C">
        <w:t>5</w:t>
      </w:r>
      <w:r w:rsidRPr="00C61187">
        <w:t>-1</w:t>
      </w:r>
      <w:r w:rsidR="003E305C">
        <w:t>6</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14:paraId="542E3A2A" w14:textId="77777777" w:rsidTr="000700E4">
        <w:trPr>
          <w:cnfStyle w:val="000000010000" w:firstRow="0" w:lastRow="0" w:firstColumn="0" w:lastColumn="0" w:oddVBand="0" w:evenVBand="0" w:oddHBand="0" w:evenHBand="1" w:firstRowFirstColumn="0" w:firstRowLastColumn="0" w:lastRowFirstColumn="0" w:lastRowLastColumn="0"/>
        </w:trPr>
        <w:tc>
          <w:tcPr>
            <w:tcW w:w="6284" w:type="dxa"/>
          </w:tcPr>
          <w:p w14:paraId="7B2FCCD6" w14:textId="77777777" w:rsidR="00AF1B85" w:rsidRPr="00812509"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E305C">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Pr>
          <w:p w14:paraId="73D22001"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Pr>
          <w:p w14:paraId="5F22C6B7" w14:textId="467C127A"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w:t>
            </w:r>
            <w:r w:rsidR="00D30765">
              <w:rPr>
                <w:rFonts w:asciiTheme="minorHAnsi" w:eastAsia="Times New Roman" w:hAnsiTheme="minorHAnsi"/>
                <w:b/>
                <w:iCs/>
                <w:szCs w:val="17"/>
                <w:lang w:eastAsia="en-US"/>
              </w:rPr>
              <w:t xml:space="preserve"> </w:t>
            </w:r>
            <w:r w:rsidRPr="00812509">
              <w:rPr>
                <w:rFonts w:asciiTheme="minorHAnsi" w:eastAsia="Times New Roman" w:hAnsiTheme="minorHAnsi"/>
                <w:b/>
                <w:iCs/>
                <w:szCs w:val="17"/>
                <w:lang w:eastAsia="en-US"/>
              </w:rPr>
              <w:t>in 201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7</w:t>
            </w:r>
          </w:p>
        </w:tc>
      </w:tr>
      <w:tr w:rsidR="00AF1B85" w:rsidRPr="00812509" w14:paraId="595BA26C" w14:textId="77777777" w:rsidTr="00341097">
        <w:trPr>
          <w:cnfStyle w:val="000000010000" w:firstRow="0" w:lastRow="0" w:firstColumn="0" w:lastColumn="0" w:oddVBand="0" w:evenVBand="0" w:oddHBand="0" w:evenHBand="1" w:firstRowFirstColumn="0" w:firstRowLastColumn="0" w:lastRowFirstColumn="0" w:lastRowLastColumn="0"/>
        </w:trPr>
        <w:tc>
          <w:tcPr>
            <w:tcW w:w="6284" w:type="dxa"/>
          </w:tcPr>
          <w:p w14:paraId="0C7A3561" w14:textId="2B96AD4B" w:rsidR="00AF1B85" w:rsidRPr="00812509" w:rsidRDefault="00B17E4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Finalisation of </w:t>
            </w:r>
            <w:r w:rsidR="00166CFE">
              <w:rPr>
                <w:rFonts w:asciiTheme="minorHAnsi" w:eastAsia="Times New Roman" w:hAnsiTheme="minorHAnsi"/>
                <w:iCs/>
                <w:szCs w:val="17"/>
                <w:lang w:eastAsia="en-US"/>
              </w:rPr>
              <w:t>administrative</w:t>
            </w:r>
            <w:r>
              <w:rPr>
                <w:rFonts w:asciiTheme="minorHAnsi" w:eastAsia="Times New Roman" w:hAnsiTheme="minorHAnsi"/>
                <w:iCs/>
                <w:szCs w:val="17"/>
                <w:lang w:eastAsia="en-US"/>
              </w:rPr>
              <w:t xml:space="preserve"> and inception related activities for AMENCA 3</w:t>
            </w:r>
            <w:r w:rsidR="00865A9D">
              <w:rPr>
                <w:rFonts w:asciiTheme="minorHAnsi" w:eastAsia="Times New Roman" w:hAnsiTheme="minorHAnsi"/>
                <w:iCs/>
                <w:szCs w:val="17"/>
                <w:lang w:eastAsia="en-US"/>
              </w:rPr>
              <w:t>.</w:t>
            </w:r>
          </w:p>
        </w:tc>
        <w:tc>
          <w:tcPr>
            <w:tcW w:w="1151" w:type="dxa"/>
            <w:shd w:val="clear" w:color="auto" w:fill="72AF50"/>
          </w:tcPr>
          <w:p w14:paraId="475E6EBA"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14:paraId="0CCAC105" w14:textId="77DB8CEA" w:rsidR="00AF1B85" w:rsidRPr="00812509" w:rsidRDefault="00592B71" w:rsidP="007B6847">
            <w:pPr>
              <w:keepLines/>
              <w:spacing w:before="40" w:after="40" w:line="240" w:lineRule="auto"/>
              <w:rPr>
                <w:rFonts w:asciiTheme="minorHAnsi" w:eastAsia="Times New Roman" w:hAnsiTheme="minorHAnsi"/>
                <w:iCs/>
                <w:color w:val="92D050"/>
                <w:szCs w:val="17"/>
                <w:lang w:eastAsia="en-US"/>
              </w:rPr>
            </w:pPr>
            <w:r w:rsidRPr="006C59EB">
              <w:rPr>
                <w:rFonts w:asciiTheme="minorHAnsi" w:eastAsia="Times New Roman" w:hAnsiTheme="minorHAnsi"/>
                <w:iCs/>
                <w:szCs w:val="17"/>
                <w:lang w:eastAsia="en-US"/>
              </w:rPr>
              <w:t xml:space="preserve">Administrative and </w:t>
            </w:r>
            <w:r w:rsidR="006235C8" w:rsidRPr="006C59EB">
              <w:rPr>
                <w:rFonts w:asciiTheme="minorHAnsi" w:eastAsia="Times New Roman" w:hAnsiTheme="minorHAnsi"/>
                <w:iCs/>
                <w:szCs w:val="17"/>
                <w:lang w:eastAsia="en-US"/>
              </w:rPr>
              <w:t>inception</w:t>
            </w:r>
            <w:r w:rsidRPr="006C59EB">
              <w:rPr>
                <w:rFonts w:asciiTheme="minorHAnsi" w:eastAsia="Times New Roman" w:hAnsiTheme="minorHAnsi"/>
                <w:iCs/>
                <w:szCs w:val="17"/>
                <w:lang w:eastAsia="en-US"/>
              </w:rPr>
              <w:t xml:space="preserve"> related activities</w:t>
            </w:r>
            <w:r w:rsidR="007B6847">
              <w:rPr>
                <w:rFonts w:asciiTheme="minorHAnsi" w:eastAsia="Times New Roman" w:hAnsiTheme="minorHAnsi"/>
                <w:iCs/>
                <w:szCs w:val="17"/>
                <w:lang w:eastAsia="en-US"/>
              </w:rPr>
              <w:t xml:space="preserve"> are</w:t>
            </w:r>
            <w:r w:rsidRPr="006C59EB">
              <w:rPr>
                <w:rFonts w:asciiTheme="minorHAnsi" w:eastAsia="Times New Roman" w:hAnsiTheme="minorHAnsi"/>
                <w:iCs/>
                <w:szCs w:val="17"/>
                <w:lang w:eastAsia="en-US"/>
              </w:rPr>
              <w:t xml:space="preserve"> finalised. </w:t>
            </w:r>
            <w:r w:rsidR="009701DD">
              <w:rPr>
                <w:rFonts w:asciiTheme="minorHAnsi" w:eastAsia="Times New Roman" w:hAnsiTheme="minorHAnsi"/>
                <w:iCs/>
                <w:szCs w:val="17"/>
                <w:lang w:eastAsia="en-US"/>
              </w:rPr>
              <w:t>Implementation</w:t>
            </w:r>
            <w:r w:rsidR="007B6847">
              <w:rPr>
                <w:rFonts w:asciiTheme="minorHAnsi" w:eastAsia="Times New Roman" w:hAnsiTheme="minorHAnsi"/>
                <w:iCs/>
                <w:szCs w:val="17"/>
                <w:lang w:eastAsia="en-US"/>
              </w:rPr>
              <w:t xml:space="preserve"> is underway.</w:t>
            </w:r>
          </w:p>
        </w:tc>
      </w:tr>
      <w:tr w:rsidR="00AF1B85" w:rsidRPr="00812509" w14:paraId="660EE060" w14:textId="77777777" w:rsidTr="00341097">
        <w:trPr>
          <w:cnfStyle w:val="000000010000" w:firstRow="0" w:lastRow="0" w:firstColumn="0" w:lastColumn="0" w:oddVBand="0" w:evenVBand="0" w:oddHBand="0" w:evenHBand="1" w:firstRowFirstColumn="0" w:firstRowLastColumn="0" w:lastRowFirstColumn="0" w:lastRowLastColumn="0"/>
        </w:trPr>
        <w:tc>
          <w:tcPr>
            <w:tcW w:w="6284" w:type="dxa"/>
          </w:tcPr>
          <w:p w14:paraId="2B72FF9F" w14:textId="06D801A2" w:rsidR="00AF1B85" w:rsidRPr="00812509" w:rsidRDefault="00B17E41" w:rsidP="00B7421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Finalisation of a </w:t>
            </w:r>
            <w:r w:rsidR="00B74218">
              <w:rPr>
                <w:rFonts w:asciiTheme="minorHAnsi" w:eastAsia="Times New Roman" w:hAnsiTheme="minorHAnsi"/>
                <w:iCs/>
                <w:szCs w:val="17"/>
                <w:lang w:eastAsia="en-US"/>
              </w:rPr>
              <w:t>DFAT</w:t>
            </w:r>
            <w:r>
              <w:rPr>
                <w:rFonts w:asciiTheme="minorHAnsi" w:eastAsia="Times New Roman" w:hAnsiTheme="minorHAnsi"/>
                <w:iCs/>
                <w:szCs w:val="17"/>
                <w:lang w:eastAsia="en-US"/>
              </w:rPr>
              <w:t xml:space="preserve">-UNRWA </w:t>
            </w:r>
            <w:r w:rsidR="00B74218">
              <w:rPr>
                <w:rFonts w:asciiTheme="minorHAnsi" w:eastAsia="Times New Roman" w:hAnsiTheme="minorHAnsi"/>
                <w:iCs/>
                <w:szCs w:val="17"/>
                <w:lang w:eastAsia="en-US"/>
              </w:rPr>
              <w:t xml:space="preserve">Strategic </w:t>
            </w:r>
            <w:r>
              <w:rPr>
                <w:rFonts w:asciiTheme="minorHAnsi" w:eastAsia="Times New Roman" w:hAnsiTheme="minorHAnsi"/>
                <w:iCs/>
                <w:szCs w:val="17"/>
                <w:lang w:eastAsia="en-US"/>
              </w:rPr>
              <w:t>Partnership Framework</w:t>
            </w:r>
            <w:r w:rsidR="00865A9D">
              <w:rPr>
                <w:rFonts w:asciiTheme="minorHAnsi" w:eastAsia="Times New Roman" w:hAnsiTheme="minorHAnsi"/>
                <w:iCs/>
                <w:szCs w:val="17"/>
                <w:lang w:eastAsia="en-US"/>
              </w:rPr>
              <w:t>.</w:t>
            </w:r>
          </w:p>
        </w:tc>
        <w:tc>
          <w:tcPr>
            <w:tcW w:w="1151" w:type="dxa"/>
            <w:shd w:val="clear" w:color="auto" w:fill="72AF50"/>
          </w:tcPr>
          <w:p w14:paraId="75C5504C"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6" w:type="dxa"/>
          </w:tcPr>
          <w:p w14:paraId="2DA67623" w14:textId="0AB251EF" w:rsidR="00AF1B85" w:rsidRPr="00812509" w:rsidRDefault="00B74218" w:rsidP="00B74218">
            <w:pPr>
              <w:keepLines/>
              <w:spacing w:before="40" w:after="40" w:line="200" w:lineRule="atLeast"/>
              <w:rPr>
                <w:rFonts w:asciiTheme="minorHAnsi" w:eastAsia="Times New Roman" w:hAnsiTheme="minorHAnsi"/>
                <w:iCs/>
                <w:color w:val="92D050"/>
                <w:szCs w:val="17"/>
                <w:lang w:eastAsia="en-US"/>
              </w:rPr>
            </w:pPr>
            <w:r>
              <w:rPr>
                <w:rFonts w:asciiTheme="minorHAnsi" w:eastAsia="Times New Roman" w:hAnsiTheme="minorHAnsi"/>
                <w:iCs/>
                <w:szCs w:val="17"/>
                <w:lang w:eastAsia="en-US"/>
              </w:rPr>
              <w:t>DFAT</w:t>
            </w:r>
            <w:r w:rsidR="006C59EB">
              <w:rPr>
                <w:rFonts w:asciiTheme="minorHAnsi" w:eastAsia="Times New Roman" w:hAnsiTheme="minorHAnsi"/>
                <w:iCs/>
                <w:szCs w:val="17"/>
                <w:lang w:eastAsia="en-US"/>
              </w:rPr>
              <w:t xml:space="preserve">-UNRWA </w:t>
            </w:r>
            <w:r>
              <w:rPr>
                <w:rFonts w:asciiTheme="minorHAnsi" w:eastAsia="Times New Roman" w:hAnsiTheme="minorHAnsi"/>
                <w:iCs/>
                <w:szCs w:val="17"/>
                <w:lang w:eastAsia="en-US"/>
              </w:rPr>
              <w:t xml:space="preserve">Strategic </w:t>
            </w:r>
            <w:r w:rsidR="006C59EB">
              <w:rPr>
                <w:rFonts w:asciiTheme="minorHAnsi" w:eastAsia="Times New Roman" w:hAnsiTheme="minorHAnsi"/>
                <w:iCs/>
                <w:szCs w:val="17"/>
                <w:lang w:eastAsia="en-US"/>
              </w:rPr>
              <w:t>Partnership Framework finalised in September 2016.</w:t>
            </w:r>
          </w:p>
        </w:tc>
      </w:tr>
      <w:tr w:rsidR="00AF1B85" w:rsidRPr="00812509" w14:paraId="3685B568" w14:textId="77777777" w:rsidTr="00341097">
        <w:trPr>
          <w:cnfStyle w:val="000000010000" w:firstRow="0" w:lastRow="0" w:firstColumn="0" w:lastColumn="0" w:oddVBand="0" w:evenVBand="0" w:oddHBand="0" w:evenHBand="1" w:firstRowFirstColumn="0" w:firstRowLastColumn="0" w:lastRowFirstColumn="0" w:lastRowLastColumn="0"/>
        </w:trPr>
        <w:tc>
          <w:tcPr>
            <w:tcW w:w="6284" w:type="dxa"/>
          </w:tcPr>
          <w:p w14:paraId="63C29D89" w14:textId="77777777" w:rsidR="00AF1B85" w:rsidRPr="00812509" w:rsidRDefault="000700E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Determine allocation and appropriate performance and reporting obligations for support to the Palestinian Authority via the World Bank Trust Fund.</w:t>
            </w:r>
          </w:p>
        </w:tc>
        <w:tc>
          <w:tcPr>
            <w:tcW w:w="1151" w:type="dxa"/>
            <w:shd w:val="clear" w:color="auto" w:fill="72AF50"/>
          </w:tcPr>
          <w:p w14:paraId="3C2288BB"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14:paraId="13E4405C" w14:textId="0FE51AEE" w:rsidR="00AF1B85" w:rsidRPr="00812509" w:rsidRDefault="006C59EB" w:rsidP="00D15A00">
            <w:pPr>
              <w:keepLines/>
              <w:spacing w:before="40" w:after="40" w:line="200" w:lineRule="atLeast"/>
              <w:rPr>
                <w:rFonts w:asciiTheme="minorHAnsi" w:eastAsia="Times New Roman" w:hAnsiTheme="minorHAnsi"/>
                <w:iCs/>
                <w:color w:val="92D050"/>
                <w:szCs w:val="17"/>
                <w:lang w:eastAsia="en-US"/>
              </w:rPr>
            </w:pPr>
            <w:r w:rsidRPr="006C59EB">
              <w:rPr>
                <w:rFonts w:asciiTheme="minorHAnsi" w:eastAsia="Times New Roman" w:hAnsiTheme="minorHAnsi"/>
                <w:iCs/>
                <w:szCs w:val="17"/>
                <w:lang w:eastAsia="en-US"/>
              </w:rPr>
              <w:t xml:space="preserve">New agreement </w:t>
            </w:r>
            <w:r w:rsidR="00241B5A">
              <w:rPr>
                <w:rFonts w:asciiTheme="minorHAnsi" w:eastAsia="Times New Roman" w:hAnsiTheme="minorHAnsi"/>
                <w:iCs/>
                <w:szCs w:val="17"/>
                <w:lang w:eastAsia="en-US"/>
              </w:rPr>
              <w:t xml:space="preserve">with reporting obligations </w:t>
            </w:r>
            <w:r w:rsidRPr="006C59EB">
              <w:rPr>
                <w:rFonts w:asciiTheme="minorHAnsi" w:eastAsia="Times New Roman" w:hAnsiTheme="minorHAnsi"/>
                <w:iCs/>
                <w:szCs w:val="17"/>
                <w:lang w:eastAsia="en-US"/>
              </w:rPr>
              <w:t>with th</w:t>
            </w:r>
            <w:r>
              <w:rPr>
                <w:rFonts w:asciiTheme="minorHAnsi" w:eastAsia="Times New Roman" w:hAnsiTheme="minorHAnsi"/>
                <w:iCs/>
                <w:szCs w:val="17"/>
                <w:lang w:eastAsia="en-US"/>
              </w:rPr>
              <w:t>e</w:t>
            </w:r>
            <w:r w:rsidR="007B6847">
              <w:rPr>
                <w:rFonts w:asciiTheme="minorHAnsi" w:eastAsia="Times New Roman" w:hAnsiTheme="minorHAnsi"/>
                <w:iCs/>
                <w:szCs w:val="17"/>
                <w:lang w:eastAsia="en-US"/>
              </w:rPr>
              <w:t xml:space="preserve"> World Bank was finalised in June</w:t>
            </w:r>
            <w:r w:rsidRPr="006C59EB">
              <w:rPr>
                <w:rFonts w:asciiTheme="minorHAnsi" w:eastAsia="Times New Roman" w:hAnsiTheme="minorHAnsi"/>
                <w:iCs/>
                <w:szCs w:val="17"/>
                <w:lang w:eastAsia="en-US"/>
              </w:rPr>
              <w:t xml:space="preserve"> 2017. </w:t>
            </w:r>
          </w:p>
        </w:tc>
      </w:tr>
      <w:tr w:rsidR="00AF1B85" w:rsidRPr="00812509" w14:paraId="7B6FEF92" w14:textId="77777777" w:rsidTr="00341097">
        <w:trPr>
          <w:cnfStyle w:val="000000010000" w:firstRow="0" w:lastRow="0" w:firstColumn="0" w:lastColumn="0" w:oddVBand="0" w:evenVBand="0" w:oddHBand="0" w:evenHBand="1" w:firstRowFirstColumn="0" w:firstRowLastColumn="0" w:lastRowFirstColumn="0" w:lastRowLastColumn="0"/>
        </w:trPr>
        <w:tc>
          <w:tcPr>
            <w:tcW w:w="6284" w:type="dxa"/>
          </w:tcPr>
          <w:p w14:paraId="428D2229" w14:textId="4411FDC4" w:rsidR="00AF1B85" w:rsidRPr="00812509" w:rsidRDefault="000700E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Target of awarding 10 scholarships in 2016-17 (5 female) and the development of a Performance Assessment Framework </w:t>
            </w:r>
            <w:r w:rsidR="007B6847">
              <w:rPr>
                <w:rFonts w:asciiTheme="minorHAnsi" w:eastAsia="Times New Roman" w:hAnsiTheme="minorHAnsi"/>
                <w:iCs/>
                <w:szCs w:val="17"/>
                <w:lang w:eastAsia="en-US"/>
              </w:rPr>
              <w:t xml:space="preserve">(PAF) </w:t>
            </w:r>
            <w:r>
              <w:rPr>
                <w:rFonts w:asciiTheme="minorHAnsi" w:eastAsia="Times New Roman" w:hAnsiTheme="minorHAnsi"/>
                <w:iCs/>
                <w:szCs w:val="17"/>
                <w:lang w:eastAsia="en-US"/>
              </w:rPr>
              <w:t>for the scholarships program to better capture outcomes and strengthen the alumni network for returning scholars.</w:t>
            </w:r>
          </w:p>
        </w:tc>
        <w:tc>
          <w:tcPr>
            <w:tcW w:w="1151" w:type="dxa"/>
            <w:shd w:val="clear" w:color="auto" w:fill="FF9900"/>
          </w:tcPr>
          <w:p w14:paraId="3B644E65"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6" w:type="dxa"/>
          </w:tcPr>
          <w:p w14:paraId="122047D2" w14:textId="681C2627" w:rsidR="00AF1B85" w:rsidRPr="005D310B" w:rsidRDefault="007B6847" w:rsidP="00B97C1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w:t>
            </w:r>
            <w:r w:rsidR="006C59EB" w:rsidRPr="006C59EB">
              <w:rPr>
                <w:rFonts w:asciiTheme="minorHAnsi" w:eastAsia="Times New Roman" w:hAnsiTheme="minorHAnsi"/>
                <w:iCs/>
                <w:szCs w:val="17"/>
                <w:lang w:eastAsia="en-US"/>
              </w:rPr>
              <w:t xml:space="preserve">rogress has been made in addressing this however </w:t>
            </w:r>
            <w:r w:rsidR="0002556E">
              <w:rPr>
                <w:rFonts w:asciiTheme="minorHAnsi" w:eastAsia="Times New Roman" w:hAnsiTheme="minorHAnsi"/>
                <w:iCs/>
                <w:szCs w:val="17"/>
                <w:lang w:eastAsia="en-US"/>
              </w:rPr>
              <w:t xml:space="preserve">only </w:t>
            </w:r>
            <w:r w:rsidR="00166CFE">
              <w:rPr>
                <w:rFonts w:asciiTheme="minorHAnsi" w:eastAsia="Times New Roman" w:hAnsiTheme="minorHAnsi"/>
                <w:iCs/>
                <w:szCs w:val="17"/>
                <w:lang w:eastAsia="en-US"/>
              </w:rPr>
              <w:t>nine</w:t>
            </w:r>
            <w:r w:rsidR="007333DE">
              <w:rPr>
                <w:rFonts w:asciiTheme="minorHAnsi" w:eastAsia="Times New Roman" w:hAnsiTheme="minorHAnsi"/>
                <w:iCs/>
                <w:szCs w:val="17"/>
                <w:lang w:eastAsia="en-US"/>
              </w:rPr>
              <w:t xml:space="preserve"> scholarships w</w:t>
            </w:r>
            <w:r w:rsidR="0002556E">
              <w:rPr>
                <w:rFonts w:asciiTheme="minorHAnsi" w:eastAsia="Times New Roman" w:hAnsiTheme="minorHAnsi"/>
                <w:iCs/>
                <w:szCs w:val="17"/>
                <w:lang w:eastAsia="en-US"/>
              </w:rPr>
              <w:t xml:space="preserve">ere </w:t>
            </w:r>
            <w:r w:rsidR="00166CFE">
              <w:rPr>
                <w:rFonts w:asciiTheme="minorHAnsi" w:eastAsia="Times New Roman" w:hAnsiTheme="minorHAnsi"/>
                <w:iCs/>
                <w:szCs w:val="17"/>
                <w:lang w:eastAsia="en-US"/>
              </w:rPr>
              <w:t>awarded</w:t>
            </w:r>
            <w:r w:rsidR="007333DE">
              <w:rPr>
                <w:rFonts w:asciiTheme="minorHAnsi" w:eastAsia="Times New Roman" w:hAnsiTheme="minorHAnsi"/>
                <w:iCs/>
                <w:szCs w:val="17"/>
                <w:lang w:eastAsia="en-US"/>
              </w:rPr>
              <w:t xml:space="preserve"> due </w:t>
            </w:r>
            <w:r w:rsidR="00865A9D">
              <w:rPr>
                <w:rFonts w:asciiTheme="minorHAnsi" w:eastAsia="Times New Roman" w:hAnsiTheme="minorHAnsi"/>
                <w:iCs/>
                <w:szCs w:val="17"/>
                <w:lang w:eastAsia="en-US"/>
              </w:rPr>
              <w:t xml:space="preserve">to </w:t>
            </w:r>
            <w:r w:rsidR="00480C2A" w:rsidRPr="00480C2A">
              <w:rPr>
                <w:rFonts w:asciiTheme="minorHAnsi" w:eastAsia="Times New Roman" w:hAnsiTheme="minorHAnsi"/>
                <w:iCs/>
                <w:szCs w:val="17"/>
                <w:lang w:eastAsia="en-US"/>
              </w:rPr>
              <w:t xml:space="preserve">the </w:t>
            </w:r>
            <w:r w:rsidR="00E80D94">
              <w:rPr>
                <w:rFonts w:asciiTheme="minorHAnsi" w:eastAsia="Times New Roman" w:hAnsiTheme="minorHAnsi"/>
                <w:iCs/>
                <w:szCs w:val="17"/>
                <w:lang w:eastAsia="en-US"/>
              </w:rPr>
              <w:t xml:space="preserve">late </w:t>
            </w:r>
            <w:r w:rsidR="00480C2A" w:rsidRPr="00480C2A">
              <w:rPr>
                <w:rFonts w:asciiTheme="minorHAnsi" w:eastAsia="Times New Roman" w:hAnsiTheme="minorHAnsi"/>
                <w:iCs/>
                <w:szCs w:val="17"/>
                <w:lang w:eastAsia="en-US"/>
              </w:rPr>
              <w:t xml:space="preserve">withdrawal of </w:t>
            </w:r>
            <w:r w:rsidR="00E80D94">
              <w:rPr>
                <w:rFonts w:asciiTheme="minorHAnsi" w:eastAsia="Times New Roman" w:hAnsiTheme="minorHAnsi"/>
                <w:iCs/>
                <w:szCs w:val="17"/>
                <w:lang w:eastAsia="en-US"/>
              </w:rPr>
              <w:t xml:space="preserve">one </w:t>
            </w:r>
            <w:r w:rsidR="0002556E">
              <w:rPr>
                <w:rFonts w:asciiTheme="minorHAnsi" w:eastAsia="Times New Roman" w:hAnsiTheme="minorHAnsi"/>
                <w:iCs/>
                <w:szCs w:val="17"/>
                <w:lang w:eastAsia="en-US"/>
              </w:rPr>
              <w:t>awardee</w:t>
            </w:r>
            <w:r w:rsidR="00480C2A" w:rsidRPr="00480C2A">
              <w:rPr>
                <w:rFonts w:asciiTheme="minorHAnsi" w:eastAsia="Times New Roman" w:hAnsiTheme="minorHAnsi"/>
                <w:iCs/>
                <w:szCs w:val="17"/>
                <w:lang w:eastAsia="en-US"/>
              </w:rPr>
              <w:t>.</w:t>
            </w:r>
            <w:r w:rsidR="005D310B">
              <w:rPr>
                <w:rFonts w:asciiTheme="minorHAnsi" w:eastAsia="Times New Roman" w:hAnsiTheme="minorHAnsi"/>
                <w:iCs/>
                <w:szCs w:val="17"/>
                <w:lang w:eastAsia="en-US"/>
              </w:rPr>
              <w:t xml:space="preserve"> </w:t>
            </w:r>
            <w:r w:rsidR="00B97C1D">
              <w:rPr>
                <w:rFonts w:asciiTheme="minorHAnsi" w:eastAsia="Times New Roman" w:hAnsiTheme="minorHAnsi"/>
                <w:iCs/>
                <w:szCs w:val="17"/>
                <w:lang w:eastAsia="en-US"/>
              </w:rPr>
              <w:t>Three</w:t>
            </w:r>
            <w:r w:rsidR="005D310B">
              <w:rPr>
                <w:rFonts w:asciiTheme="minorHAnsi" w:eastAsia="Times New Roman" w:hAnsiTheme="minorHAnsi"/>
                <w:iCs/>
                <w:szCs w:val="17"/>
                <w:lang w:eastAsia="en-US"/>
              </w:rPr>
              <w:t xml:space="preserve"> female candidates were selected and a more concerted effort will be made to attract female </w:t>
            </w:r>
            <w:r w:rsidR="009701DD" w:rsidRPr="008460BE">
              <w:rPr>
                <w:rFonts w:asciiTheme="minorHAnsi" w:eastAsia="Times New Roman" w:hAnsiTheme="minorHAnsi"/>
                <w:iCs/>
                <w:szCs w:val="17"/>
                <w:lang w:eastAsia="en-US"/>
              </w:rPr>
              <w:t>candidate</w:t>
            </w:r>
            <w:r w:rsidR="009701DD" w:rsidRPr="008460BE">
              <w:rPr>
                <w:rFonts w:asciiTheme="minorHAnsi" w:eastAsia="Times New Roman" w:hAnsiTheme="minorHAnsi"/>
                <w:iCs/>
                <w:color w:val="auto"/>
                <w:szCs w:val="17"/>
                <w:lang w:eastAsia="en-US"/>
              </w:rPr>
              <w:t>s</w:t>
            </w:r>
            <w:r w:rsidR="005D310B" w:rsidRPr="008460BE">
              <w:rPr>
                <w:rFonts w:asciiTheme="minorHAnsi" w:eastAsia="Times New Roman" w:hAnsiTheme="minorHAnsi"/>
                <w:iCs/>
                <w:color w:val="auto"/>
                <w:szCs w:val="17"/>
                <w:lang w:eastAsia="en-US"/>
              </w:rPr>
              <w:t xml:space="preserve"> </w:t>
            </w:r>
            <w:r w:rsidR="005D310B" w:rsidRPr="00E16063">
              <w:rPr>
                <w:rFonts w:asciiTheme="minorHAnsi" w:eastAsia="Times New Roman" w:hAnsiTheme="minorHAnsi"/>
                <w:iCs/>
                <w:color w:val="auto"/>
                <w:szCs w:val="17"/>
                <w:lang w:eastAsia="en-US"/>
              </w:rPr>
              <w:t>in 20</w:t>
            </w:r>
            <w:r w:rsidR="00D80571" w:rsidRPr="00E16063">
              <w:rPr>
                <w:rFonts w:asciiTheme="minorHAnsi" w:eastAsia="Times New Roman" w:hAnsiTheme="minorHAnsi"/>
                <w:iCs/>
                <w:color w:val="auto"/>
                <w:szCs w:val="17"/>
                <w:lang w:eastAsia="en-US"/>
              </w:rPr>
              <w:t>17</w:t>
            </w:r>
            <w:r w:rsidR="005D310B" w:rsidRPr="00E16063">
              <w:rPr>
                <w:rFonts w:asciiTheme="minorHAnsi" w:eastAsia="Times New Roman" w:hAnsiTheme="minorHAnsi"/>
                <w:iCs/>
                <w:color w:val="auto"/>
                <w:szCs w:val="17"/>
                <w:lang w:eastAsia="en-US"/>
              </w:rPr>
              <w:t>-</w:t>
            </w:r>
            <w:r w:rsidR="00D80571" w:rsidRPr="00E16063">
              <w:rPr>
                <w:rFonts w:asciiTheme="minorHAnsi" w:eastAsia="Times New Roman" w:hAnsiTheme="minorHAnsi"/>
                <w:iCs/>
                <w:color w:val="auto"/>
                <w:szCs w:val="17"/>
                <w:lang w:eastAsia="en-US"/>
              </w:rPr>
              <w:t>18</w:t>
            </w:r>
            <w:r w:rsidR="005D310B" w:rsidRPr="00E16063">
              <w:rPr>
                <w:rFonts w:asciiTheme="minorHAnsi" w:eastAsia="Times New Roman" w:hAnsiTheme="minorHAnsi"/>
                <w:iCs/>
                <w:color w:val="auto"/>
                <w:szCs w:val="17"/>
                <w:lang w:eastAsia="en-US"/>
              </w:rPr>
              <w:t>.</w:t>
            </w:r>
            <w:r w:rsidR="00D30765" w:rsidRPr="00E16063">
              <w:rPr>
                <w:rFonts w:asciiTheme="minorHAnsi" w:eastAsia="Times New Roman" w:hAnsiTheme="minorHAnsi"/>
                <w:iCs/>
                <w:color w:val="auto"/>
                <w:szCs w:val="17"/>
                <w:lang w:eastAsia="en-US"/>
              </w:rPr>
              <w:t xml:space="preserve"> </w:t>
            </w:r>
            <w:r w:rsidR="0002556E" w:rsidRPr="00E16063">
              <w:rPr>
                <w:rFonts w:asciiTheme="minorHAnsi" w:eastAsia="Times New Roman" w:hAnsiTheme="minorHAnsi"/>
                <w:iCs/>
                <w:szCs w:val="17"/>
                <w:lang w:eastAsia="en-US"/>
              </w:rPr>
              <w:t>The</w:t>
            </w:r>
            <w:r w:rsidR="0002556E">
              <w:rPr>
                <w:rFonts w:asciiTheme="minorHAnsi" w:eastAsia="Times New Roman" w:hAnsiTheme="minorHAnsi"/>
                <w:iCs/>
                <w:szCs w:val="17"/>
                <w:lang w:eastAsia="en-US"/>
              </w:rPr>
              <w:t xml:space="preserve"> PA</w:t>
            </w:r>
            <w:r w:rsidR="00166CFE">
              <w:rPr>
                <w:rFonts w:asciiTheme="minorHAnsi" w:eastAsia="Times New Roman" w:hAnsiTheme="minorHAnsi"/>
                <w:iCs/>
                <w:szCs w:val="17"/>
                <w:lang w:eastAsia="en-US"/>
              </w:rPr>
              <w:t>F</w:t>
            </w:r>
            <w:r w:rsidR="0002556E">
              <w:rPr>
                <w:rFonts w:asciiTheme="minorHAnsi" w:eastAsia="Times New Roman" w:hAnsiTheme="minorHAnsi"/>
                <w:iCs/>
                <w:szCs w:val="17"/>
                <w:lang w:eastAsia="en-US"/>
              </w:rPr>
              <w:t xml:space="preserve"> was </w:t>
            </w:r>
            <w:r w:rsidR="00166CFE">
              <w:rPr>
                <w:rFonts w:asciiTheme="minorHAnsi" w:eastAsia="Times New Roman" w:hAnsiTheme="minorHAnsi"/>
                <w:iCs/>
                <w:szCs w:val="17"/>
                <w:lang w:eastAsia="en-US"/>
              </w:rPr>
              <w:t>n</w:t>
            </w:r>
            <w:r>
              <w:rPr>
                <w:rFonts w:asciiTheme="minorHAnsi" w:eastAsia="Times New Roman" w:hAnsiTheme="minorHAnsi"/>
                <w:iCs/>
                <w:szCs w:val="17"/>
                <w:lang w:eastAsia="en-US"/>
              </w:rPr>
              <w:t>ot finalised but will be undertaken in 2017-18</w:t>
            </w:r>
            <w:r w:rsidR="00241B5A">
              <w:rPr>
                <w:rFonts w:asciiTheme="minorHAnsi" w:eastAsia="Times New Roman" w:hAnsiTheme="minorHAnsi"/>
                <w:iCs/>
                <w:szCs w:val="17"/>
                <w:lang w:eastAsia="en-US"/>
              </w:rPr>
              <w:t>.  A high profile event between the Australian Minister for Foreign Affairs and returned scholars was held in Ramallah in September 2016.</w:t>
            </w:r>
          </w:p>
        </w:tc>
      </w:tr>
    </w:tbl>
    <w:p w14:paraId="10469B4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7FC04B68" w14:textId="48DEEE31"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w:t>
      </w:r>
      <w:r w:rsidR="00D30765">
        <w:rPr>
          <w:rFonts w:eastAsia="Times New Roman"/>
          <w:b/>
          <w:sz w:val="16"/>
          <w:szCs w:val="14"/>
        </w:rPr>
        <w:t xml:space="preserve"> </w:t>
      </w:r>
      <w:r w:rsidRPr="00812509">
        <w:rPr>
          <w:rFonts w:eastAsia="Times New Roman"/>
          <w:b/>
          <w:sz w:val="16"/>
          <w:szCs w:val="14"/>
        </w:rPr>
        <w:t xml:space="preserve">Significant progress has been made in addressing the issue </w:t>
      </w:r>
    </w:p>
    <w:p w14:paraId="0F19D9B5" w14:textId="4D160C0E"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w:t>
      </w:r>
      <w:r w:rsidR="00D30765">
        <w:rPr>
          <w:rFonts w:eastAsia="Times New Roman"/>
          <w:b/>
          <w:sz w:val="16"/>
          <w:szCs w:val="14"/>
        </w:rPr>
        <w:t xml:space="preserve"> </w:t>
      </w:r>
      <w:r w:rsidRPr="00812509">
        <w:rPr>
          <w:rFonts w:eastAsia="Times New Roman"/>
          <w:b/>
          <w:sz w:val="16"/>
          <w:szCs w:val="14"/>
        </w:rPr>
        <w:t xml:space="preserve">Some progress has been made in addressing the issue, but the issue has not been resolved </w:t>
      </w:r>
    </w:p>
    <w:p w14:paraId="6DC1B138"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3AB8A196" w14:textId="77777777" w:rsidR="00D00802" w:rsidRDefault="00D00802" w:rsidP="005B5769">
      <w:pPr>
        <w:pStyle w:val="ListBullet"/>
        <w:tabs>
          <w:tab w:val="clear" w:pos="284"/>
        </w:tabs>
        <w:sectPr w:rsidR="00D00802" w:rsidSect="00D00802">
          <w:headerReference w:type="first" r:id="rId32"/>
          <w:pgSz w:w="16838" w:h="11906" w:orient="landscape" w:code="9"/>
          <w:pgMar w:top="1134" w:right="1952" w:bottom="1134" w:left="851" w:header="1107" w:footer="567" w:gutter="0"/>
          <w:cols w:space="397"/>
          <w:titlePg/>
          <w:docGrid w:linePitch="360"/>
        </w:sectPr>
      </w:pPr>
    </w:p>
    <w:p w14:paraId="581BD53A" w14:textId="77777777"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14:paraId="3ECFF4D4" w14:textId="77777777"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p w14:paraId="4AF02BED" w14:textId="77777777" w:rsidR="00184F1E" w:rsidRDefault="00184F1E" w:rsidP="00184F1E">
      <w:r>
        <w:rPr>
          <w:rFonts w:ascii="Franklin Gothic Book" w:eastAsia="Times New Roman" w:hAnsi="Franklin Gothic Book"/>
          <w:sz w:val="21"/>
        </w:rPr>
        <w:t xml:space="preserve">Discussion on progress against specific </w:t>
      </w:r>
      <w:r w:rsidRPr="00C61187">
        <w:rPr>
          <w:rFonts w:ascii="Franklin Gothic Book" w:eastAsia="Times New Roman" w:hAnsi="Franklin Gothic Book"/>
          <w:sz w:val="21"/>
        </w:rPr>
        <w:t xml:space="preserve">performance benchmarks </w:t>
      </w:r>
      <w:r>
        <w:rPr>
          <w:rFonts w:ascii="Franklin Gothic Book" w:eastAsia="Times New Roman" w:hAnsi="Franklin Gothic Book"/>
          <w:sz w:val="21"/>
        </w:rPr>
        <w:t>in 2016-17 should also be included as part of the text assessing progress against individual program objectives in the main body of the APPR.</w:t>
      </w:r>
    </w:p>
    <w:p w14:paraId="7AD204CD" w14:textId="77777777" w:rsidR="00184F1E" w:rsidRPr="00CE5DF0" w:rsidRDefault="00184F1E" w:rsidP="00184F1E"/>
    <w:tbl>
      <w:tblPr>
        <w:tblStyle w:val="DFATTable"/>
        <w:tblW w:w="5000" w:type="pct"/>
        <w:tblLook w:val="04A0" w:firstRow="1" w:lastRow="0" w:firstColumn="1" w:lastColumn="0" w:noHBand="0" w:noVBand="1"/>
      </w:tblPr>
      <w:tblGrid>
        <w:gridCol w:w="2190"/>
        <w:gridCol w:w="2189"/>
        <w:gridCol w:w="1319"/>
        <w:gridCol w:w="8337"/>
      </w:tblGrid>
      <w:tr w:rsidR="00184F1E" w:rsidRPr="00C61187" w14:paraId="57E6E050" w14:textId="77777777" w:rsidTr="002F59DF">
        <w:trPr>
          <w:tblHeader/>
        </w:trPr>
        <w:tc>
          <w:tcPr>
            <w:tcW w:w="780" w:type="pct"/>
            <w:tcMar>
              <w:top w:w="57" w:type="dxa"/>
              <w:bottom w:w="57" w:type="dxa"/>
            </w:tcMar>
          </w:tcPr>
          <w:p w14:paraId="660F2747" w14:textId="77777777" w:rsidR="00184F1E" w:rsidRPr="00880004" w:rsidRDefault="00184F1E" w:rsidP="002F59DF">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6E62C3E7" w14:textId="77777777" w:rsidR="00184F1E" w:rsidRPr="00880004" w:rsidRDefault="00184F1E" w:rsidP="002F59DF">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5E027173" w14:textId="77777777" w:rsidR="00184F1E" w:rsidRPr="00880004" w:rsidRDefault="00184F1E" w:rsidP="002F59DF">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1EC71E6C" w14:textId="77777777" w:rsidR="00184F1E" w:rsidRPr="00880004" w:rsidRDefault="00184F1E" w:rsidP="002F59DF">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02556E" w:rsidRPr="00C61187" w14:paraId="3B1D5134" w14:textId="77777777" w:rsidTr="00341097">
        <w:tc>
          <w:tcPr>
            <w:tcW w:w="780" w:type="pct"/>
            <w:tcMar>
              <w:top w:w="57" w:type="dxa"/>
              <w:bottom w:w="57" w:type="dxa"/>
            </w:tcMar>
          </w:tcPr>
          <w:p w14:paraId="4F38370D" w14:textId="18D26964" w:rsidR="0002556E" w:rsidRPr="00880004" w:rsidRDefault="0002556E" w:rsidP="0002556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Improved public financial management and a more competitive</w:t>
            </w:r>
            <w:r w:rsidR="00393EF6">
              <w:rPr>
                <w:rFonts w:asciiTheme="minorHAnsi" w:eastAsia="Times New Roman" w:hAnsiTheme="minorHAnsi"/>
                <w:iCs/>
                <w:szCs w:val="17"/>
                <w:lang w:eastAsia="en-US"/>
              </w:rPr>
              <w:t xml:space="preserve"> agricultural economy in the PTs</w:t>
            </w:r>
          </w:p>
        </w:tc>
        <w:tc>
          <w:tcPr>
            <w:tcW w:w="780" w:type="pct"/>
          </w:tcPr>
          <w:p w14:paraId="3AA4CD55" w14:textId="2BF280B6" w:rsidR="0002556E" w:rsidRPr="009F69F3" w:rsidRDefault="0002556E" w:rsidP="0002556E">
            <w:pPr>
              <w:keepLines/>
              <w:spacing w:before="40" w:after="40" w:line="200" w:lineRule="atLeast"/>
              <w:rPr>
                <w:rFonts w:asciiTheme="minorHAnsi" w:eastAsia="Times New Roman" w:hAnsiTheme="minorHAnsi"/>
                <w:iCs/>
                <w:szCs w:val="17"/>
                <w:lang w:eastAsia="en-US"/>
              </w:rPr>
            </w:pPr>
            <w:r w:rsidRPr="009F69F3">
              <w:rPr>
                <w:rFonts w:asciiTheme="minorHAnsi" w:eastAsia="Times New Roman" w:hAnsiTheme="minorHAnsi"/>
                <w:iCs/>
                <w:szCs w:val="17"/>
                <w:lang w:eastAsia="en-US"/>
              </w:rPr>
              <w:t>a.  The stock o</w:t>
            </w:r>
            <w:r w:rsidR="00C03542">
              <w:rPr>
                <w:rFonts w:asciiTheme="minorHAnsi" w:eastAsia="Times New Roman" w:hAnsiTheme="minorHAnsi"/>
                <w:iCs/>
                <w:szCs w:val="17"/>
                <w:lang w:eastAsia="en-US"/>
              </w:rPr>
              <w:t>f</w:t>
            </w:r>
            <w:r w:rsidRPr="009F69F3">
              <w:rPr>
                <w:rFonts w:asciiTheme="minorHAnsi" w:eastAsia="Times New Roman" w:hAnsiTheme="minorHAnsi"/>
                <w:iCs/>
                <w:szCs w:val="17"/>
                <w:lang w:eastAsia="en-US"/>
              </w:rPr>
              <w:t xml:space="preserve"> income tax debt has decreased</w:t>
            </w:r>
            <w:r w:rsidR="00393EF6">
              <w:rPr>
                <w:rFonts w:asciiTheme="minorHAnsi" w:eastAsia="Times New Roman" w:hAnsiTheme="minorHAnsi"/>
                <w:iCs/>
                <w:szCs w:val="17"/>
                <w:lang w:eastAsia="en-US"/>
              </w:rPr>
              <w:t xml:space="preserve">, based </w:t>
            </w:r>
            <w:r w:rsidRPr="009F69F3">
              <w:rPr>
                <w:rFonts w:asciiTheme="minorHAnsi" w:eastAsia="Times New Roman" w:hAnsiTheme="minorHAnsi"/>
                <w:iCs/>
                <w:szCs w:val="17"/>
                <w:lang w:eastAsia="en-US"/>
              </w:rPr>
              <w:t>on official income tax filings verified thr</w:t>
            </w:r>
            <w:r>
              <w:rPr>
                <w:rFonts w:asciiTheme="minorHAnsi" w:eastAsia="Times New Roman" w:hAnsiTheme="minorHAnsi"/>
                <w:iCs/>
                <w:szCs w:val="17"/>
                <w:lang w:eastAsia="en-US"/>
              </w:rPr>
              <w:t>ough Ministry of Finance audits</w:t>
            </w:r>
          </w:p>
          <w:p w14:paraId="5F660706" w14:textId="257C4396" w:rsidR="0002556E" w:rsidRPr="009F69F3" w:rsidRDefault="0002556E" w:rsidP="0002556E">
            <w:pPr>
              <w:keepLines/>
              <w:spacing w:before="40" w:after="40" w:line="200" w:lineRule="atLeast"/>
              <w:rPr>
                <w:rFonts w:eastAsia="Times New Roman"/>
                <w:iCs/>
                <w:szCs w:val="17"/>
                <w:lang w:eastAsia="en-US"/>
              </w:rPr>
            </w:pPr>
            <w:r w:rsidRPr="009F69F3">
              <w:rPr>
                <w:rFonts w:asciiTheme="minorHAnsi" w:eastAsia="Times New Roman" w:hAnsiTheme="minorHAnsi"/>
                <w:iCs/>
                <w:szCs w:val="17"/>
                <w:lang w:eastAsia="en-US"/>
              </w:rPr>
              <w:t>b. Farmers report increased income from better fun</w:t>
            </w:r>
            <w:r w:rsidR="00393EF6">
              <w:rPr>
                <w:rFonts w:asciiTheme="minorHAnsi" w:eastAsia="Times New Roman" w:hAnsiTheme="minorHAnsi"/>
                <w:iCs/>
                <w:szCs w:val="17"/>
                <w:lang w:eastAsia="en-US"/>
              </w:rPr>
              <w:t xml:space="preserve">ctioning, AMENCA 3 – supported </w:t>
            </w:r>
            <w:r w:rsidRPr="009F69F3">
              <w:rPr>
                <w:rFonts w:asciiTheme="minorHAnsi" w:eastAsia="Times New Roman" w:hAnsiTheme="minorHAnsi"/>
                <w:iCs/>
                <w:szCs w:val="17"/>
                <w:lang w:eastAsia="en-US"/>
              </w:rPr>
              <w:t>value chains.</w:t>
            </w:r>
            <w:r w:rsidRPr="009F69F3">
              <w:rPr>
                <w:rFonts w:eastAsia="Times New Roman"/>
                <w:iCs/>
                <w:szCs w:val="17"/>
                <w:lang w:eastAsia="en-US"/>
              </w:rPr>
              <w:t xml:space="preserve"> </w:t>
            </w:r>
          </w:p>
        </w:tc>
        <w:tc>
          <w:tcPr>
            <w:tcW w:w="470" w:type="pct"/>
            <w:shd w:val="clear" w:color="auto" w:fill="72AF50"/>
          </w:tcPr>
          <w:p w14:paraId="68286684" w14:textId="79B28EBF" w:rsidR="0002556E" w:rsidRPr="00880004" w:rsidRDefault="0002556E" w:rsidP="0002556E">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Achieved</w:t>
            </w:r>
          </w:p>
        </w:tc>
        <w:tc>
          <w:tcPr>
            <w:tcW w:w="2970" w:type="pct"/>
          </w:tcPr>
          <w:p w14:paraId="70F1C106" w14:textId="1103B3E8" w:rsidR="0002556E" w:rsidRDefault="0002556E" w:rsidP="00393EF6">
            <w:pPr>
              <w:pStyle w:val="TableTextEntries"/>
              <w:keepNext/>
              <w:numPr>
                <w:ilvl w:val="0"/>
                <w:numId w:val="43"/>
              </w:numPr>
              <w:rPr>
                <w:rFonts w:asciiTheme="minorHAnsi" w:hAnsiTheme="minorHAnsi" w:cstheme="minorBidi"/>
                <w:color w:val="495965" w:themeColor="text2"/>
                <w:lang w:val="en-GB"/>
              </w:rPr>
            </w:pPr>
            <w:r w:rsidRPr="00393EF6">
              <w:rPr>
                <w:rFonts w:asciiTheme="minorHAnsi" w:hAnsiTheme="minorHAnsi" w:cstheme="minorBidi"/>
                <w:color w:val="495965" w:themeColor="text2"/>
                <w:lang w:val="en-GB"/>
              </w:rPr>
              <w:t xml:space="preserve">The </w:t>
            </w:r>
            <w:r w:rsidR="00C03542">
              <w:rPr>
                <w:rFonts w:asciiTheme="minorHAnsi" w:hAnsiTheme="minorHAnsi" w:cstheme="minorBidi"/>
                <w:color w:val="495965" w:themeColor="text2"/>
                <w:lang w:val="en-GB"/>
              </w:rPr>
              <w:t xml:space="preserve">stock of income tax debt declined by 45 per cent from the October 2015 baseline. The </w:t>
            </w:r>
            <w:r w:rsidRPr="00393EF6">
              <w:rPr>
                <w:rFonts w:asciiTheme="minorHAnsi" w:hAnsiTheme="minorHAnsi" w:cstheme="minorBidi"/>
                <w:color w:val="495965" w:themeColor="text2"/>
                <w:lang w:val="en-GB"/>
              </w:rPr>
              <w:t xml:space="preserve">PA </w:t>
            </w:r>
            <w:r w:rsidR="005D310B" w:rsidRPr="00393EF6">
              <w:rPr>
                <w:rFonts w:asciiTheme="minorHAnsi" w:hAnsiTheme="minorHAnsi" w:cstheme="minorBidi"/>
                <w:color w:val="495965" w:themeColor="text2"/>
                <w:lang w:val="en-GB"/>
              </w:rPr>
              <w:t>has reduce</w:t>
            </w:r>
            <w:r w:rsidR="00C03542">
              <w:rPr>
                <w:rFonts w:asciiTheme="minorHAnsi" w:hAnsiTheme="minorHAnsi" w:cstheme="minorBidi"/>
                <w:color w:val="495965" w:themeColor="text2"/>
                <w:lang w:val="en-GB"/>
              </w:rPr>
              <w:t>d</w:t>
            </w:r>
            <w:r w:rsidR="005D310B" w:rsidRPr="00393EF6">
              <w:rPr>
                <w:rFonts w:asciiTheme="minorHAnsi" w:hAnsiTheme="minorHAnsi" w:cstheme="minorBidi"/>
                <w:color w:val="495965" w:themeColor="text2"/>
                <w:lang w:val="en-GB"/>
              </w:rPr>
              <w:t xml:space="preserve"> its year-on-</w:t>
            </w:r>
            <w:r w:rsidRPr="00393EF6">
              <w:rPr>
                <w:rFonts w:asciiTheme="minorHAnsi" w:hAnsiTheme="minorHAnsi" w:cstheme="minorBidi"/>
                <w:color w:val="495965" w:themeColor="text2"/>
                <w:lang w:val="en-GB"/>
              </w:rPr>
              <w:t>year fiscal deficit in the first quarter of 2017 due to strong revenue growth and a decline in public spending. Domestic taxes grew by 13 per</w:t>
            </w:r>
            <w:r w:rsidR="005D310B" w:rsidRPr="00393EF6">
              <w:rPr>
                <w:rFonts w:asciiTheme="minorHAnsi" w:hAnsiTheme="minorHAnsi" w:cstheme="minorBidi"/>
                <w:color w:val="495965" w:themeColor="text2"/>
                <w:lang w:val="en-GB"/>
              </w:rPr>
              <w:t xml:space="preserve"> cent following a strong increase</w:t>
            </w:r>
            <w:r w:rsidRPr="00393EF6">
              <w:rPr>
                <w:rFonts w:asciiTheme="minorHAnsi" w:hAnsiTheme="minorHAnsi" w:cstheme="minorBidi"/>
                <w:color w:val="495965" w:themeColor="text2"/>
                <w:lang w:val="en-GB"/>
              </w:rPr>
              <w:t xml:space="preserve"> in income tax receipts (by 21 per cent) due to higher collections. </w:t>
            </w:r>
            <w:r w:rsidR="00393EF6" w:rsidRPr="00393EF6">
              <w:rPr>
                <w:rFonts w:asciiTheme="minorHAnsi" w:hAnsiTheme="minorHAnsi" w:cstheme="minorBidi"/>
                <w:color w:val="495965" w:themeColor="text2"/>
                <w:lang w:val="en-GB"/>
              </w:rPr>
              <w:t>S</w:t>
            </w:r>
            <w:r w:rsidR="005D310B" w:rsidRPr="00393EF6">
              <w:rPr>
                <w:rFonts w:asciiTheme="minorHAnsi" w:hAnsiTheme="minorHAnsi" w:cstheme="minorBidi"/>
                <w:color w:val="495965" w:themeColor="text2"/>
                <w:lang w:val="en-GB"/>
              </w:rPr>
              <w:t>trong revenue growth and</w:t>
            </w:r>
            <w:r w:rsidRPr="00393EF6">
              <w:rPr>
                <w:rFonts w:asciiTheme="minorHAnsi" w:hAnsiTheme="minorHAnsi" w:cstheme="minorBidi"/>
                <w:color w:val="495965" w:themeColor="text2"/>
                <w:lang w:val="en-GB"/>
              </w:rPr>
              <w:t xml:space="preserve"> the decline in expenditure </w:t>
            </w:r>
            <w:r w:rsidR="005D310B" w:rsidRPr="00393EF6">
              <w:rPr>
                <w:rFonts w:asciiTheme="minorHAnsi" w:hAnsiTheme="minorHAnsi" w:cstheme="minorBidi"/>
                <w:color w:val="495965" w:themeColor="text2"/>
                <w:lang w:val="en-GB"/>
              </w:rPr>
              <w:t>has resulted in</w:t>
            </w:r>
            <w:r w:rsidRPr="00393EF6">
              <w:rPr>
                <w:rFonts w:asciiTheme="minorHAnsi" w:hAnsiTheme="minorHAnsi" w:cstheme="minorBidi"/>
                <w:color w:val="495965" w:themeColor="text2"/>
                <w:lang w:val="en-GB"/>
              </w:rPr>
              <w:t xml:space="preserve"> in a 57 per cent decline in the PA’</w:t>
            </w:r>
            <w:r w:rsidR="005D310B" w:rsidRPr="00393EF6">
              <w:rPr>
                <w:rFonts w:asciiTheme="minorHAnsi" w:hAnsiTheme="minorHAnsi" w:cstheme="minorBidi"/>
                <w:color w:val="495965" w:themeColor="text2"/>
                <w:lang w:val="en-GB"/>
              </w:rPr>
              <w:t>s total deficit year-on-</w:t>
            </w:r>
            <w:r w:rsidR="00393EF6" w:rsidRPr="00393EF6">
              <w:rPr>
                <w:rFonts w:asciiTheme="minorHAnsi" w:hAnsiTheme="minorHAnsi" w:cstheme="minorBidi"/>
                <w:color w:val="495965" w:themeColor="text2"/>
                <w:lang w:val="en-GB"/>
              </w:rPr>
              <w:t>year</w:t>
            </w:r>
            <w:r w:rsidRPr="00393EF6">
              <w:rPr>
                <w:rFonts w:asciiTheme="minorHAnsi" w:hAnsiTheme="minorHAnsi" w:cstheme="minorBidi"/>
                <w:color w:val="495965" w:themeColor="text2"/>
                <w:lang w:val="en-GB"/>
              </w:rPr>
              <w:t xml:space="preserve">. </w:t>
            </w:r>
          </w:p>
          <w:p w14:paraId="2518951D" w14:textId="2C265801" w:rsidR="0002556E" w:rsidRPr="00393EF6" w:rsidRDefault="0002556E" w:rsidP="002755AE">
            <w:pPr>
              <w:pStyle w:val="TableTextEntries"/>
              <w:keepNext/>
              <w:numPr>
                <w:ilvl w:val="0"/>
                <w:numId w:val="43"/>
              </w:numPr>
              <w:rPr>
                <w:rFonts w:asciiTheme="minorHAnsi" w:hAnsiTheme="minorHAnsi" w:cstheme="minorBidi"/>
                <w:color w:val="495965" w:themeColor="text2"/>
                <w:lang w:val="en-GB"/>
              </w:rPr>
            </w:pPr>
            <w:r w:rsidRPr="00393EF6">
              <w:rPr>
                <w:rFonts w:asciiTheme="minorHAnsi" w:hAnsiTheme="minorHAnsi" w:cstheme="minorBidi"/>
                <w:color w:val="495965" w:themeColor="text2"/>
                <w:lang w:val="en-GB"/>
              </w:rPr>
              <w:t xml:space="preserve">As AMENCA 3 is only in the early implementation phase, </w:t>
            </w:r>
            <w:r w:rsidR="001E7D0E" w:rsidRPr="00393EF6">
              <w:rPr>
                <w:rFonts w:asciiTheme="minorHAnsi" w:hAnsiTheme="minorHAnsi" w:cstheme="minorBidi"/>
                <w:color w:val="495965" w:themeColor="text2"/>
                <w:lang w:val="en-GB"/>
              </w:rPr>
              <w:t>no assessment of</w:t>
            </w:r>
            <w:r w:rsidRPr="00393EF6">
              <w:rPr>
                <w:rFonts w:asciiTheme="minorHAnsi" w:hAnsiTheme="minorHAnsi" w:cstheme="minorBidi"/>
                <w:color w:val="495965" w:themeColor="text2"/>
                <w:lang w:val="en-GB"/>
              </w:rPr>
              <w:t xml:space="preserve"> farmer’s income</w:t>
            </w:r>
            <w:r w:rsidR="001E7D0E" w:rsidRPr="00393EF6">
              <w:rPr>
                <w:rFonts w:asciiTheme="minorHAnsi" w:hAnsiTheme="minorHAnsi" w:cstheme="minorBidi"/>
                <w:color w:val="495965" w:themeColor="text2"/>
                <w:lang w:val="en-GB"/>
              </w:rPr>
              <w:t xml:space="preserve"> has yet been made</w:t>
            </w:r>
            <w:r w:rsidRPr="00393EF6">
              <w:rPr>
                <w:rFonts w:asciiTheme="minorHAnsi" w:hAnsiTheme="minorHAnsi" w:cstheme="minorBidi"/>
                <w:color w:val="495965" w:themeColor="text2"/>
                <w:lang w:val="en-GB"/>
              </w:rPr>
              <w:t>.</w:t>
            </w:r>
            <w:r w:rsidR="005D310B" w:rsidRPr="00393EF6">
              <w:rPr>
                <w:rFonts w:asciiTheme="minorHAnsi" w:hAnsiTheme="minorHAnsi" w:cstheme="minorBidi"/>
                <w:color w:val="495965" w:themeColor="text2"/>
                <w:lang w:val="en-GB"/>
              </w:rPr>
              <w:t xml:space="preserve"> A </w:t>
            </w:r>
            <w:r w:rsidR="009701DD" w:rsidRPr="00393EF6">
              <w:rPr>
                <w:rFonts w:asciiTheme="minorHAnsi" w:hAnsiTheme="minorHAnsi" w:cstheme="minorBidi"/>
                <w:color w:val="495965" w:themeColor="text2"/>
                <w:lang w:val="en-GB"/>
              </w:rPr>
              <w:t>monitoring</w:t>
            </w:r>
            <w:r w:rsidR="005D310B" w:rsidRPr="00393EF6">
              <w:rPr>
                <w:rFonts w:asciiTheme="minorHAnsi" w:hAnsiTheme="minorHAnsi" w:cstheme="minorBidi"/>
                <w:color w:val="495965" w:themeColor="text2"/>
                <w:lang w:val="en-GB"/>
              </w:rPr>
              <w:t xml:space="preserve"> and evaluation </w:t>
            </w:r>
            <w:r w:rsidR="009701DD" w:rsidRPr="00393EF6">
              <w:rPr>
                <w:rFonts w:asciiTheme="minorHAnsi" w:hAnsiTheme="minorHAnsi" w:cstheme="minorBidi"/>
                <w:color w:val="495965" w:themeColor="text2"/>
                <w:lang w:val="en-GB"/>
              </w:rPr>
              <w:t xml:space="preserve">framework for AMENCA 3 is </w:t>
            </w:r>
            <w:r w:rsidR="005D310B" w:rsidRPr="00393EF6">
              <w:rPr>
                <w:rFonts w:asciiTheme="minorHAnsi" w:hAnsiTheme="minorHAnsi" w:cstheme="minorBidi"/>
                <w:color w:val="495965" w:themeColor="text2"/>
                <w:lang w:val="en-GB"/>
              </w:rPr>
              <w:t xml:space="preserve">being completed and will enable </w:t>
            </w:r>
            <w:r w:rsidR="002755AE">
              <w:rPr>
                <w:rFonts w:asciiTheme="minorHAnsi" w:hAnsiTheme="minorHAnsi" w:cstheme="minorBidi"/>
                <w:color w:val="495965" w:themeColor="text2"/>
                <w:lang w:val="en-GB"/>
              </w:rPr>
              <w:t>this to be monitored.</w:t>
            </w:r>
          </w:p>
        </w:tc>
      </w:tr>
      <w:tr w:rsidR="00184F1E" w:rsidRPr="00C61187" w14:paraId="18D78D90" w14:textId="77777777" w:rsidTr="00341097">
        <w:tc>
          <w:tcPr>
            <w:tcW w:w="780" w:type="pct"/>
            <w:tcMar>
              <w:top w:w="57" w:type="dxa"/>
              <w:bottom w:w="57" w:type="dxa"/>
            </w:tcMar>
          </w:tcPr>
          <w:p w14:paraId="6EC0FF4B" w14:textId="77777777" w:rsidR="00184F1E" w:rsidRPr="00880004" w:rsidRDefault="009F69F3" w:rsidP="002F59D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Palestinian refugees in the PTs and across the region are able to access quality basic services</w:t>
            </w:r>
          </w:p>
        </w:tc>
        <w:tc>
          <w:tcPr>
            <w:tcW w:w="780" w:type="pct"/>
          </w:tcPr>
          <w:p w14:paraId="7D0EE46B" w14:textId="23408B96" w:rsidR="009F69F3" w:rsidRPr="009F69F3" w:rsidRDefault="009F69F3" w:rsidP="009F69F3">
            <w:pPr>
              <w:keepLines/>
              <w:spacing w:before="40" w:after="40" w:line="200" w:lineRule="atLeast"/>
              <w:rPr>
                <w:rFonts w:asciiTheme="minorHAnsi" w:eastAsia="Times New Roman" w:hAnsiTheme="minorHAnsi"/>
                <w:iCs/>
                <w:szCs w:val="17"/>
                <w:lang w:eastAsia="en-US"/>
              </w:rPr>
            </w:pPr>
            <w:r w:rsidRPr="009F69F3">
              <w:rPr>
                <w:rFonts w:asciiTheme="minorHAnsi" w:eastAsia="Times New Roman" w:hAnsiTheme="minorHAnsi"/>
                <w:iCs/>
                <w:szCs w:val="17"/>
                <w:lang w:eastAsia="en-US"/>
              </w:rPr>
              <w:t>a. The number of Grade 4 st</w:t>
            </w:r>
            <w:r w:rsidR="00393EF6">
              <w:rPr>
                <w:rFonts w:asciiTheme="minorHAnsi" w:eastAsia="Times New Roman" w:hAnsiTheme="minorHAnsi"/>
                <w:iCs/>
                <w:szCs w:val="17"/>
                <w:lang w:eastAsia="en-US"/>
              </w:rPr>
              <w:t>udents in UNRWA schools</w:t>
            </w:r>
            <w:r w:rsidRPr="009F69F3">
              <w:rPr>
                <w:rFonts w:asciiTheme="minorHAnsi" w:eastAsia="Times New Roman" w:hAnsiTheme="minorHAnsi"/>
                <w:iCs/>
                <w:szCs w:val="17"/>
                <w:lang w:eastAsia="en-US"/>
              </w:rPr>
              <w:t xml:space="preserve"> performing at or above the expected level in mathematics (from a 2013 baseline of M</w:t>
            </w:r>
            <w:r w:rsidR="00166CFE" w:rsidRPr="009F69F3">
              <w:rPr>
                <w:rFonts w:asciiTheme="minorHAnsi" w:eastAsia="Times New Roman" w:hAnsiTheme="minorHAnsi"/>
                <w:iCs/>
                <w:szCs w:val="17"/>
                <w:lang w:eastAsia="en-US"/>
              </w:rPr>
              <w:t>: 24.4</w:t>
            </w:r>
            <w:r w:rsidRPr="009F69F3">
              <w:rPr>
                <w:rFonts w:asciiTheme="minorHAnsi" w:eastAsia="Times New Roman" w:hAnsiTheme="minorHAnsi"/>
                <w:iCs/>
                <w:szCs w:val="17"/>
                <w:lang w:eastAsia="en-US"/>
              </w:rPr>
              <w:t xml:space="preserve"> p</w:t>
            </w:r>
            <w:r w:rsidRPr="00E16063">
              <w:rPr>
                <w:rFonts w:asciiTheme="minorHAnsi" w:eastAsia="Times New Roman" w:hAnsiTheme="minorHAnsi"/>
                <w:iCs/>
                <w:szCs w:val="17"/>
                <w:lang w:eastAsia="en-US"/>
              </w:rPr>
              <w:t>er cent; F</w:t>
            </w:r>
            <w:r w:rsidR="00166CFE" w:rsidRPr="00E16063">
              <w:rPr>
                <w:rFonts w:asciiTheme="minorHAnsi" w:eastAsia="Times New Roman" w:hAnsiTheme="minorHAnsi"/>
                <w:iCs/>
                <w:szCs w:val="17"/>
                <w:lang w:eastAsia="en-US"/>
              </w:rPr>
              <w:t>: 35.2</w:t>
            </w:r>
            <w:r w:rsidRPr="00E16063">
              <w:rPr>
                <w:rFonts w:asciiTheme="minorHAnsi" w:eastAsia="Times New Roman" w:hAnsiTheme="minorHAnsi"/>
                <w:iCs/>
                <w:szCs w:val="17"/>
                <w:lang w:eastAsia="en-US"/>
              </w:rPr>
              <w:t xml:space="preserve"> per cent).</w:t>
            </w:r>
            <w:r w:rsidR="00184F1E" w:rsidRPr="009F69F3">
              <w:rPr>
                <w:rFonts w:asciiTheme="minorHAnsi" w:eastAsia="Times New Roman" w:hAnsiTheme="minorHAnsi"/>
                <w:iCs/>
                <w:szCs w:val="17"/>
                <w:lang w:eastAsia="en-US"/>
              </w:rPr>
              <w:t xml:space="preserve"> </w:t>
            </w:r>
          </w:p>
          <w:p w14:paraId="3F5DC698" w14:textId="291FC9CA" w:rsidR="009F69F3" w:rsidRPr="009F69F3" w:rsidRDefault="00393EF6" w:rsidP="009F69F3">
            <w:pPr>
              <w:keepLines/>
              <w:spacing w:before="40" w:after="40" w:line="200" w:lineRule="atLeast"/>
              <w:rPr>
                <w:rFonts w:eastAsia="Times New Roman"/>
                <w:iCs/>
                <w:szCs w:val="17"/>
                <w:lang w:eastAsia="en-US"/>
              </w:rPr>
            </w:pPr>
            <w:r>
              <w:rPr>
                <w:rFonts w:asciiTheme="minorHAnsi" w:eastAsia="Times New Roman" w:hAnsiTheme="minorHAnsi"/>
                <w:iCs/>
                <w:szCs w:val="17"/>
                <w:lang w:eastAsia="en-US"/>
              </w:rPr>
              <w:t>b. The</w:t>
            </w:r>
            <w:r w:rsidR="009F69F3" w:rsidRPr="009F69F3">
              <w:rPr>
                <w:rFonts w:asciiTheme="minorHAnsi" w:eastAsia="Times New Roman" w:hAnsiTheme="minorHAnsi"/>
                <w:iCs/>
                <w:szCs w:val="17"/>
                <w:lang w:eastAsia="en-US"/>
              </w:rPr>
              <w:t xml:space="preserve"> average daily medi</w:t>
            </w:r>
            <w:r>
              <w:rPr>
                <w:rFonts w:asciiTheme="minorHAnsi" w:eastAsia="Times New Roman" w:hAnsiTheme="minorHAnsi"/>
                <w:iCs/>
                <w:szCs w:val="17"/>
                <w:lang w:eastAsia="en-US"/>
              </w:rPr>
              <w:t>cal consultations per doctor have</w:t>
            </w:r>
            <w:r w:rsidR="009F69F3" w:rsidRPr="009F69F3">
              <w:rPr>
                <w:rFonts w:asciiTheme="minorHAnsi" w:eastAsia="Times New Roman" w:hAnsiTheme="minorHAnsi"/>
                <w:iCs/>
                <w:szCs w:val="17"/>
                <w:lang w:eastAsia="en-US"/>
              </w:rPr>
              <w:t xml:space="preserve"> decreased in UNRW</w:t>
            </w:r>
            <w:r>
              <w:rPr>
                <w:rFonts w:asciiTheme="minorHAnsi" w:eastAsia="Times New Roman" w:hAnsiTheme="minorHAnsi"/>
                <w:iCs/>
                <w:szCs w:val="17"/>
                <w:lang w:eastAsia="en-US"/>
              </w:rPr>
              <w:t>A health centres (baseline of</w:t>
            </w:r>
            <w:r w:rsidR="009F69F3" w:rsidRPr="009F69F3">
              <w:rPr>
                <w:rFonts w:asciiTheme="minorHAnsi" w:eastAsia="Times New Roman" w:hAnsiTheme="minorHAnsi"/>
                <w:iCs/>
                <w:szCs w:val="17"/>
                <w:lang w:eastAsia="en-US"/>
              </w:rPr>
              <w:t xml:space="preserve"> 95 in 2014).</w:t>
            </w:r>
          </w:p>
        </w:tc>
        <w:tc>
          <w:tcPr>
            <w:tcW w:w="470" w:type="pct"/>
            <w:shd w:val="clear" w:color="auto" w:fill="FF9900"/>
          </w:tcPr>
          <w:p w14:paraId="31C289FD" w14:textId="4A3B6E77" w:rsidR="00C55727" w:rsidRPr="006E119A" w:rsidRDefault="00C55727" w:rsidP="0002556E">
            <w:pPr>
              <w:keepLines/>
              <w:spacing w:before="40" w:after="40" w:line="200" w:lineRule="atLeast"/>
              <w:jc w:val="center"/>
              <w:rPr>
                <w:rFonts w:asciiTheme="minorHAnsi" w:eastAsia="Times New Roman" w:hAnsiTheme="minorHAnsi"/>
                <w:iCs/>
                <w:color w:val="FFFFFF" w:themeColor="background1"/>
                <w:szCs w:val="17"/>
                <w:lang w:eastAsia="en-US"/>
              </w:rPr>
            </w:pPr>
            <w:r w:rsidRPr="006E119A">
              <w:rPr>
                <w:rFonts w:asciiTheme="minorHAnsi" w:eastAsia="Times New Roman" w:hAnsiTheme="minorHAnsi"/>
                <w:iCs/>
                <w:color w:val="FFFFFF" w:themeColor="background1"/>
                <w:szCs w:val="17"/>
                <w:lang w:eastAsia="en-US"/>
              </w:rPr>
              <w:t xml:space="preserve">Partially </w:t>
            </w:r>
          </w:p>
          <w:p w14:paraId="0B989A73" w14:textId="43767064" w:rsidR="00184F1E" w:rsidRPr="006E119A" w:rsidRDefault="00EA2DBB" w:rsidP="0002556E">
            <w:pPr>
              <w:keepLines/>
              <w:spacing w:before="40" w:after="40" w:line="200" w:lineRule="atLeast"/>
              <w:jc w:val="center"/>
              <w:rPr>
                <w:rFonts w:asciiTheme="minorHAnsi" w:eastAsia="Times New Roman" w:hAnsiTheme="minorHAnsi"/>
                <w:iCs/>
                <w:color w:val="FFFFFF" w:themeColor="background1"/>
                <w:szCs w:val="17"/>
                <w:lang w:eastAsia="en-US"/>
              </w:rPr>
            </w:pPr>
            <w:r w:rsidRPr="006E119A">
              <w:rPr>
                <w:rFonts w:asciiTheme="minorHAnsi" w:eastAsia="Times New Roman" w:hAnsiTheme="minorHAnsi"/>
                <w:iCs/>
                <w:color w:val="FFFFFF" w:themeColor="background1"/>
                <w:szCs w:val="17"/>
                <w:lang w:eastAsia="en-US"/>
              </w:rPr>
              <w:t>Achieved</w:t>
            </w:r>
          </w:p>
        </w:tc>
        <w:tc>
          <w:tcPr>
            <w:tcW w:w="2970" w:type="pct"/>
          </w:tcPr>
          <w:p w14:paraId="7869F076" w14:textId="7C9063B1" w:rsidR="00184F1E" w:rsidRPr="00865A9D" w:rsidRDefault="007333DE" w:rsidP="00393EF6">
            <w:pPr>
              <w:pStyle w:val="TableTextEntries"/>
              <w:keepNext/>
              <w:numPr>
                <w:ilvl w:val="0"/>
                <w:numId w:val="44"/>
              </w:numPr>
              <w:rPr>
                <w:rFonts w:asciiTheme="minorHAnsi" w:hAnsiTheme="minorHAnsi" w:cstheme="minorBidi"/>
                <w:color w:val="495965" w:themeColor="text2"/>
                <w:lang w:val="en-GB" w:eastAsia="en-US"/>
              </w:rPr>
            </w:pPr>
            <w:r w:rsidRPr="00865A9D">
              <w:rPr>
                <w:rFonts w:asciiTheme="minorHAnsi" w:hAnsiTheme="minorHAnsi" w:cstheme="minorBidi"/>
                <w:color w:val="495965" w:themeColor="text2"/>
                <w:lang w:val="en-GB"/>
              </w:rPr>
              <w:t xml:space="preserve">UNRWA reported </w:t>
            </w:r>
            <w:r w:rsidR="00393EF6">
              <w:rPr>
                <w:rFonts w:asciiTheme="minorHAnsi" w:hAnsiTheme="minorHAnsi" w:cstheme="minorBidi"/>
                <w:color w:val="495965" w:themeColor="text2"/>
                <w:lang w:val="en-GB"/>
              </w:rPr>
              <w:t>that in 2016</w:t>
            </w:r>
            <w:r w:rsidR="0085244E" w:rsidRPr="00865A9D">
              <w:rPr>
                <w:rFonts w:asciiTheme="minorHAnsi" w:hAnsiTheme="minorHAnsi" w:cstheme="minorBidi"/>
                <w:color w:val="495965" w:themeColor="text2"/>
                <w:lang w:val="en-GB"/>
              </w:rPr>
              <w:t xml:space="preserve"> the number of Grade 4 students in</w:t>
            </w:r>
            <w:r w:rsidR="009E404E" w:rsidRPr="00865A9D">
              <w:rPr>
                <w:rFonts w:asciiTheme="minorHAnsi" w:hAnsiTheme="minorHAnsi" w:cstheme="minorBidi"/>
                <w:color w:val="495965" w:themeColor="text2"/>
                <w:lang w:val="en-GB"/>
              </w:rPr>
              <w:t xml:space="preserve"> UNRWA schools</w:t>
            </w:r>
            <w:r w:rsidR="00865A9D">
              <w:rPr>
                <w:rFonts w:asciiTheme="minorHAnsi" w:hAnsiTheme="minorHAnsi" w:cstheme="minorBidi"/>
                <w:color w:val="495965" w:themeColor="text2"/>
                <w:lang w:val="en-GB"/>
              </w:rPr>
              <w:t xml:space="preserve"> </w:t>
            </w:r>
            <w:r w:rsidR="0085244E" w:rsidRPr="00865A9D">
              <w:rPr>
                <w:rFonts w:asciiTheme="minorHAnsi" w:hAnsiTheme="minorHAnsi" w:cstheme="minorBidi"/>
                <w:color w:val="495965" w:themeColor="text2"/>
                <w:lang w:val="en-GB"/>
              </w:rPr>
              <w:t>performing ator above the expected level in mathematics</w:t>
            </w:r>
            <w:r w:rsidR="009E404E" w:rsidRPr="00865A9D">
              <w:rPr>
                <w:rFonts w:asciiTheme="minorHAnsi" w:hAnsiTheme="minorHAnsi" w:cstheme="minorBidi"/>
                <w:color w:val="495965" w:themeColor="text2"/>
                <w:lang w:val="en-GB"/>
              </w:rPr>
              <w:t xml:space="preserve"> is</w:t>
            </w:r>
            <w:r w:rsidR="0085244E" w:rsidRPr="00865A9D">
              <w:rPr>
                <w:rFonts w:asciiTheme="minorHAnsi" w:hAnsiTheme="minorHAnsi" w:cstheme="minorBidi"/>
                <w:color w:val="495965" w:themeColor="text2"/>
                <w:lang w:val="en-GB"/>
              </w:rPr>
              <w:t xml:space="preserve"> 34.1 per</w:t>
            </w:r>
            <w:r w:rsidR="00865A9D">
              <w:rPr>
                <w:rFonts w:asciiTheme="minorHAnsi" w:hAnsiTheme="minorHAnsi" w:cstheme="minorBidi"/>
                <w:color w:val="495965" w:themeColor="text2"/>
                <w:lang w:val="en-GB"/>
              </w:rPr>
              <w:t xml:space="preserve"> </w:t>
            </w:r>
            <w:r w:rsidR="00166CFE" w:rsidRPr="00865A9D">
              <w:rPr>
                <w:rFonts w:asciiTheme="minorHAnsi" w:hAnsiTheme="minorHAnsi" w:cstheme="minorBidi"/>
                <w:color w:val="495965" w:themeColor="text2"/>
                <w:lang w:val="en-GB"/>
              </w:rPr>
              <w:t>cent for</w:t>
            </w:r>
            <w:r w:rsidR="0085244E" w:rsidRPr="00865A9D">
              <w:rPr>
                <w:rFonts w:asciiTheme="minorHAnsi" w:hAnsiTheme="minorHAnsi" w:cstheme="minorBidi"/>
                <w:color w:val="495965" w:themeColor="text2"/>
                <w:lang w:val="en-GB"/>
              </w:rPr>
              <w:t xml:space="preserve"> females and 24.8 per cent for male students</w:t>
            </w:r>
            <w:r w:rsidR="006D3575">
              <w:rPr>
                <w:rFonts w:asciiTheme="minorHAnsi" w:hAnsiTheme="minorHAnsi" w:cstheme="minorBidi"/>
                <w:color w:val="495965" w:themeColor="text2"/>
                <w:lang w:val="en-GB"/>
              </w:rPr>
              <w:t xml:space="preserve">. </w:t>
            </w:r>
            <w:r w:rsidR="00BE7EDE">
              <w:rPr>
                <w:rFonts w:asciiTheme="minorHAnsi" w:hAnsiTheme="minorHAnsi" w:cstheme="minorBidi"/>
                <w:color w:val="495965" w:themeColor="text2"/>
                <w:lang w:val="en-GB"/>
              </w:rPr>
              <w:t>The level of achievement has slightly gone down (by 1.1 per cent) in grade 4 mathematics for female students.</w:t>
            </w:r>
            <w:r w:rsidR="006D3575">
              <w:rPr>
                <w:rFonts w:asciiTheme="minorHAnsi" w:hAnsiTheme="minorHAnsi" w:cstheme="minorBidi"/>
                <w:color w:val="495965" w:themeColor="text2"/>
                <w:lang w:val="en-GB"/>
              </w:rPr>
              <w:t xml:space="preserve">  </w:t>
            </w:r>
            <w:r w:rsidR="00393EF6">
              <w:rPr>
                <w:rFonts w:asciiTheme="minorHAnsi" w:hAnsiTheme="minorHAnsi" w:cstheme="minorBidi"/>
                <w:color w:val="495965" w:themeColor="text2"/>
                <w:lang w:val="en-GB"/>
              </w:rPr>
              <w:t xml:space="preserve">  </w:t>
            </w:r>
          </w:p>
          <w:p w14:paraId="27C58A42" w14:textId="7EEDE452" w:rsidR="0085244E" w:rsidRPr="008005D4" w:rsidRDefault="00393EF6" w:rsidP="00865A9D">
            <w:pPr>
              <w:pStyle w:val="TableTextEntries"/>
              <w:keepNext/>
              <w:rPr>
                <w:rFonts w:asciiTheme="minorHAnsi" w:hAnsiTheme="minorHAnsi"/>
                <w:lang w:eastAsia="en-US"/>
              </w:rPr>
            </w:pPr>
            <w:r>
              <w:rPr>
                <w:rFonts w:asciiTheme="minorHAnsi" w:hAnsiTheme="minorHAnsi"/>
                <w:lang w:eastAsia="en-US"/>
              </w:rPr>
              <w:t xml:space="preserve"> </w:t>
            </w:r>
          </w:p>
          <w:p w14:paraId="5897F0AF" w14:textId="671ACAC9" w:rsidR="0085244E" w:rsidRPr="008005D4" w:rsidRDefault="00393EF6" w:rsidP="00393EF6">
            <w:pPr>
              <w:pStyle w:val="TableTextEntries"/>
              <w:keepNext/>
              <w:numPr>
                <w:ilvl w:val="0"/>
                <w:numId w:val="44"/>
              </w:numPr>
              <w:rPr>
                <w:rFonts w:asciiTheme="minorHAnsi" w:hAnsiTheme="minorHAnsi"/>
                <w:lang w:eastAsia="en-US"/>
              </w:rPr>
            </w:pPr>
            <w:r>
              <w:rPr>
                <w:rFonts w:asciiTheme="minorHAnsi" w:hAnsiTheme="minorHAnsi"/>
                <w:iCs w:val="0"/>
                <w:color w:val="495965" w:themeColor="text2"/>
              </w:rPr>
              <w:t>UNRWA reported that</w:t>
            </w:r>
            <w:r w:rsidR="007C3B61" w:rsidRPr="00865A9D">
              <w:rPr>
                <w:rFonts w:asciiTheme="minorHAnsi" w:hAnsiTheme="minorHAnsi"/>
                <w:iCs w:val="0"/>
                <w:color w:val="495965" w:themeColor="text2"/>
              </w:rPr>
              <w:t xml:space="preserve"> average daily medical consultation</w:t>
            </w:r>
            <w:r w:rsidR="00B74218">
              <w:rPr>
                <w:rFonts w:asciiTheme="minorHAnsi" w:hAnsiTheme="minorHAnsi"/>
                <w:iCs w:val="0"/>
                <w:color w:val="495965" w:themeColor="text2"/>
              </w:rPr>
              <w:t>s</w:t>
            </w:r>
            <w:r w:rsidR="007C3B61" w:rsidRPr="00865A9D">
              <w:rPr>
                <w:rFonts w:asciiTheme="minorHAnsi" w:hAnsiTheme="minorHAnsi"/>
                <w:iCs w:val="0"/>
                <w:color w:val="495965" w:themeColor="text2"/>
              </w:rPr>
              <w:t xml:space="preserve"> per doctor </w:t>
            </w:r>
            <w:r w:rsidR="005D310B">
              <w:rPr>
                <w:rFonts w:asciiTheme="minorHAnsi" w:hAnsiTheme="minorHAnsi"/>
                <w:iCs w:val="0"/>
                <w:color w:val="495965" w:themeColor="text2"/>
              </w:rPr>
              <w:t xml:space="preserve">has </w:t>
            </w:r>
            <w:r w:rsidR="007C3B61" w:rsidRPr="00865A9D">
              <w:rPr>
                <w:rFonts w:asciiTheme="minorHAnsi" w:hAnsiTheme="minorHAnsi"/>
                <w:iCs w:val="0"/>
                <w:color w:val="495965" w:themeColor="text2"/>
              </w:rPr>
              <w:t>declined. The largest drop was in the West Bank, where the average decreased from 86 in 2015 to 78 in 2016, followed by Gaza from 87 to 82. Key to these achievements was the transition of H</w:t>
            </w:r>
            <w:r w:rsidR="001E7D0E">
              <w:rPr>
                <w:rFonts w:asciiTheme="minorHAnsi" w:hAnsiTheme="minorHAnsi"/>
                <w:iCs w:val="0"/>
                <w:color w:val="495965" w:themeColor="text2"/>
              </w:rPr>
              <w:t xml:space="preserve">ealth </w:t>
            </w:r>
            <w:r w:rsidR="007C3B61" w:rsidRPr="00865A9D">
              <w:rPr>
                <w:rFonts w:asciiTheme="minorHAnsi" w:hAnsiTheme="minorHAnsi"/>
                <w:iCs w:val="0"/>
                <w:color w:val="495965" w:themeColor="text2"/>
              </w:rPr>
              <w:t>C</w:t>
            </w:r>
            <w:r w:rsidR="001E7D0E">
              <w:rPr>
                <w:rFonts w:asciiTheme="minorHAnsi" w:hAnsiTheme="minorHAnsi"/>
                <w:iCs w:val="0"/>
                <w:color w:val="495965" w:themeColor="text2"/>
              </w:rPr>
              <w:t>entre</w:t>
            </w:r>
            <w:r w:rsidR="007C3B61" w:rsidRPr="00865A9D">
              <w:rPr>
                <w:rFonts w:asciiTheme="minorHAnsi" w:hAnsiTheme="minorHAnsi"/>
                <w:iCs w:val="0"/>
                <w:color w:val="495965" w:themeColor="text2"/>
              </w:rPr>
              <w:t xml:space="preserve">s to the </w:t>
            </w:r>
            <w:r w:rsidR="001E7D0E" w:rsidRPr="001E7D0E">
              <w:rPr>
                <w:rFonts w:asciiTheme="minorHAnsi" w:hAnsiTheme="minorHAnsi"/>
                <w:iCs w:val="0"/>
                <w:color w:val="495965" w:themeColor="text2"/>
              </w:rPr>
              <w:t>Family Health Team approach</w:t>
            </w:r>
            <w:r w:rsidR="007C3B61" w:rsidRPr="00865A9D">
              <w:rPr>
                <w:rFonts w:asciiTheme="minorHAnsi" w:hAnsiTheme="minorHAnsi"/>
                <w:iCs w:val="0"/>
                <w:color w:val="495965" w:themeColor="text2"/>
              </w:rPr>
              <w:t>. This reform le</w:t>
            </w:r>
            <w:r w:rsidR="00B74218">
              <w:rPr>
                <w:rFonts w:asciiTheme="minorHAnsi" w:hAnsiTheme="minorHAnsi"/>
                <w:iCs w:val="0"/>
                <w:color w:val="495965" w:themeColor="text2"/>
              </w:rPr>
              <w:t>d</w:t>
            </w:r>
            <w:r w:rsidR="007C3B61" w:rsidRPr="00865A9D">
              <w:rPr>
                <w:rFonts w:asciiTheme="minorHAnsi" w:hAnsiTheme="minorHAnsi"/>
                <w:iCs w:val="0"/>
                <w:color w:val="495965" w:themeColor="text2"/>
              </w:rPr>
              <w:t xml:space="preserve"> to more efficient reorganisation of duties among staff, an easing of the client flow th</w:t>
            </w:r>
            <w:r>
              <w:rPr>
                <w:rFonts w:asciiTheme="minorHAnsi" w:hAnsiTheme="minorHAnsi"/>
                <w:iCs w:val="0"/>
                <w:color w:val="495965" w:themeColor="text2"/>
              </w:rPr>
              <w:t>rough the adoption of e-Health (</w:t>
            </w:r>
            <w:r w:rsidR="007C3B61" w:rsidRPr="00865A9D">
              <w:rPr>
                <w:rFonts w:asciiTheme="minorHAnsi" w:hAnsiTheme="minorHAnsi"/>
                <w:iCs w:val="0"/>
                <w:color w:val="495965" w:themeColor="text2"/>
              </w:rPr>
              <w:t xml:space="preserve">a </w:t>
            </w:r>
            <w:r w:rsidR="001E7D0E">
              <w:rPr>
                <w:rFonts w:asciiTheme="minorHAnsi" w:hAnsiTheme="minorHAnsi"/>
                <w:iCs w:val="0"/>
                <w:color w:val="495965" w:themeColor="text2"/>
              </w:rPr>
              <w:t xml:space="preserve">more streamlined </w:t>
            </w:r>
            <w:r w:rsidR="007C3B61" w:rsidRPr="00865A9D">
              <w:rPr>
                <w:rFonts w:asciiTheme="minorHAnsi" w:hAnsiTheme="minorHAnsi"/>
                <w:iCs w:val="0"/>
                <w:color w:val="495965" w:themeColor="text2"/>
              </w:rPr>
              <w:t>patient appointment mechanism and improv</w:t>
            </w:r>
            <w:r>
              <w:rPr>
                <w:rFonts w:asciiTheme="minorHAnsi" w:hAnsiTheme="minorHAnsi"/>
                <w:iCs w:val="0"/>
                <w:color w:val="495965" w:themeColor="text2"/>
              </w:rPr>
              <w:t>ed service coverage and quality).</w:t>
            </w:r>
          </w:p>
          <w:p w14:paraId="3A52E2E7" w14:textId="43C6588C" w:rsidR="0085244E" w:rsidRPr="00880004" w:rsidRDefault="0085244E" w:rsidP="00865A9D">
            <w:pPr>
              <w:pStyle w:val="TableTextEntries"/>
              <w:keepNext/>
              <w:rPr>
                <w:rFonts w:asciiTheme="minorHAnsi" w:hAnsiTheme="minorHAnsi"/>
                <w:lang w:eastAsia="en-US"/>
              </w:rPr>
            </w:pPr>
          </w:p>
        </w:tc>
      </w:tr>
    </w:tbl>
    <w:p w14:paraId="205E9865"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8090E51" w14:textId="69314635"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w:t>
      </w:r>
      <w:r w:rsidR="00D30765">
        <w:rPr>
          <w:rFonts w:eastAsia="Times New Roman"/>
          <w:b/>
          <w:sz w:val="16"/>
          <w:szCs w:val="14"/>
        </w:rPr>
        <w:t xml:space="preserve"> </w:t>
      </w:r>
      <w:r w:rsidRPr="00880004">
        <w:rPr>
          <w:rFonts w:eastAsia="Times New Roman"/>
          <w:b/>
          <w:sz w:val="16"/>
          <w:szCs w:val="14"/>
        </w:rPr>
        <w:t xml:space="preserve">Significant progress has been made and the performance benchmark was achieved </w:t>
      </w:r>
    </w:p>
    <w:p w14:paraId="3E771909" w14:textId="3C3D66F3"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w:t>
      </w:r>
      <w:r w:rsidR="00D30765">
        <w:rPr>
          <w:rFonts w:eastAsia="Times New Roman"/>
          <w:b/>
          <w:sz w:val="16"/>
          <w:szCs w:val="14"/>
        </w:rPr>
        <w:t xml:space="preserve"> </w:t>
      </w:r>
      <w:r w:rsidRPr="00880004">
        <w:rPr>
          <w:rFonts w:eastAsia="Times New Roman"/>
          <w:b/>
          <w:sz w:val="16"/>
          <w:szCs w:val="14"/>
        </w:rPr>
        <w:t xml:space="preserve">Some progress has been made towards achieving the performance benchmark, but progress was less than anticipated. </w:t>
      </w:r>
    </w:p>
    <w:p w14:paraId="7A083F6A"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2975BAD9" w14:textId="77777777" w:rsidR="00BE1BEB" w:rsidRDefault="00BE1BEB" w:rsidP="00184F1E">
      <w:pPr>
        <w:rPr>
          <w:rFonts w:ascii="Franklin Gothic Book" w:eastAsia="Times New Roman" w:hAnsi="Franklin Gothic Book"/>
          <w:b/>
          <w:sz w:val="24"/>
          <w:szCs w:val="24"/>
        </w:rPr>
      </w:pPr>
    </w:p>
    <w:p w14:paraId="248DDBB1" w14:textId="04C34F65" w:rsidR="00184F1E" w:rsidRDefault="00184F1E" w:rsidP="00184F1E">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lastRenderedPageBreak/>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lan</w:t>
      </w:r>
      <w:r w:rsidR="00D30765">
        <w:rPr>
          <w:rFonts w:ascii="Franklin Gothic Book" w:eastAsia="Times New Roman" w:hAnsi="Franklin Gothic Book"/>
          <w:b/>
          <w:sz w:val="24"/>
          <w:szCs w:val="24"/>
        </w:rPr>
        <w:t xml:space="preserve"> </w:t>
      </w:r>
      <w:r w:rsidRPr="007B4865">
        <w:rPr>
          <w:rFonts w:ascii="Franklin Gothic Book" w:eastAsia="Times New Roman" w:hAnsi="Franklin Gothic Book"/>
          <w:b/>
          <w:sz w:val="24"/>
          <w:szCs w:val="24"/>
        </w:rPr>
        <w:t xml:space="preserve"> </w:t>
      </w:r>
    </w:p>
    <w:tbl>
      <w:tblPr>
        <w:tblStyle w:val="DFATTable"/>
        <w:tblW w:w="4984" w:type="pct"/>
        <w:tblLook w:val="04A0" w:firstRow="1" w:lastRow="0" w:firstColumn="1" w:lastColumn="0" w:noHBand="0" w:noVBand="1"/>
      </w:tblPr>
      <w:tblGrid>
        <w:gridCol w:w="2241"/>
        <w:gridCol w:w="4222"/>
        <w:gridCol w:w="2468"/>
        <w:gridCol w:w="2619"/>
        <w:gridCol w:w="2440"/>
      </w:tblGrid>
      <w:tr w:rsidR="00184F1E" w14:paraId="0F316E00" w14:textId="77777777" w:rsidTr="00463293">
        <w:trPr>
          <w:trHeight w:val="245"/>
        </w:trPr>
        <w:tc>
          <w:tcPr>
            <w:tcW w:w="801" w:type="pct"/>
            <w:tcBorders>
              <w:top w:val="single" w:sz="12" w:space="0" w:color="auto"/>
              <w:left w:val="nil"/>
              <w:bottom w:val="nil"/>
              <w:right w:val="nil"/>
            </w:tcBorders>
          </w:tcPr>
          <w:p w14:paraId="7131EC5D" w14:textId="77777777" w:rsidR="00184F1E" w:rsidRPr="00BE6C6D" w:rsidRDefault="00184F1E" w:rsidP="002F59DF">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9" w:type="pct"/>
            <w:tcBorders>
              <w:top w:val="single" w:sz="12" w:space="0" w:color="auto"/>
              <w:left w:val="nil"/>
              <w:bottom w:val="nil"/>
              <w:right w:val="nil"/>
            </w:tcBorders>
          </w:tcPr>
          <w:p w14:paraId="2345AE89" w14:textId="77777777" w:rsidR="00184F1E" w:rsidRPr="00BE6C6D" w:rsidRDefault="00184F1E" w:rsidP="002F59DF">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882" w:type="pct"/>
            <w:tcBorders>
              <w:top w:val="single" w:sz="12" w:space="0" w:color="auto"/>
              <w:left w:val="nil"/>
              <w:bottom w:val="nil"/>
              <w:right w:val="nil"/>
            </w:tcBorders>
            <w:hideMark/>
          </w:tcPr>
          <w:p w14:paraId="43459643" w14:textId="77777777" w:rsidR="00184F1E" w:rsidRPr="00BE6C6D" w:rsidRDefault="00184F1E" w:rsidP="002F59DF">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936" w:type="pct"/>
            <w:tcBorders>
              <w:top w:val="single" w:sz="12" w:space="0" w:color="auto"/>
              <w:left w:val="nil"/>
              <w:bottom w:val="nil"/>
              <w:right w:val="nil"/>
            </w:tcBorders>
            <w:hideMark/>
          </w:tcPr>
          <w:p w14:paraId="5FA24FAC" w14:textId="77777777" w:rsidR="00184F1E" w:rsidRPr="00BE6C6D" w:rsidRDefault="00184F1E" w:rsidP="002F59DF">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872" w:type="pct"/>
            <w:tcBorders>
              <w:top w:val="single" w:sz="12" w:space="0" w:color="auto"/>
              <w:left w:val="nil"/>
              <w:bottom w:val="nil"/>
              <w:right w:val="nil"/>
            </w:tcBorders>
            <w:hideMark/>
          </w:tcPr>
          <w:p w14:paraId="70D75053" w14:textId="77777777" w:rsidR="00184F1E" w:rsidRPr="00BE6C6D" w:rsidRDefault="00184F1E" w:rsidP="002F59DF">
            <w:pPr>
              <w:pStyle w:val="NormalIndented"/>
              <w:ind w:left="34"/>
              <w:jc w:val="center"/>
              <w:rPr>
                <w:rFonts w:asciiTheme="minorHAnsi" w:hAnsiTheme="minorHAnsi"/>
                <w:b/>
              </w:rPr>
            </w:pPr>
            <w:r w:rsidRPr="00BE6C6D">
              <w:rPr>
                <w:rFonts w:asciiTheme="minorHAnsi" w:hAnsiTheme="minorHAnsi"/>
                <w:b/>
              </w:rPr>
              <w:t>201</w:t>
            </w:r>
            <w:r>
              <w:rPr>
                <w:rFonts w:asciiTheme="minorHAnsi" w:hAnsiTheme="minorHAnsi"/>
                <w:b/>
              </w:rPr>
              <w:t>9</w:t>
            </w:r>
            <w:r w:rsidRPr="00BE6C6D">
              <w:rPr>
                <w:rFonts w:asciiTheme="minorHAnsi" w:hAnsiTheme="minorHAnsi"/>
                <w:b/>
              </w:rPr>
              <w:t>-</w:t>
            </w:r>
            <w:r>
              <w:rPr>
                <w:rFonts w:asciiTheme="minorHAnsi" w:hAnsiTheme="minorHAnsi"/>
                <w:b/>
              </w:rPr>
              <w:t>20</w:t>
            </w:r>
          </w:p>
        </w:tc>
      </w:tr>
      <w:tr w:rsidR="00184F1E" w14:paraId="11F0E7A2" w14:textId="77777777" w:rsidTr="00BE1BEB">
        <w:trPr>
          <w:gridAfter w:val="1"/>
          <w:wAfter w:w="872" w:type="pct"/>
          <w:trHeight w:val="315"/>
        </w:trPr>
        <w:tc>
          <w:tcPr>
            <w:tcW w:w="801" w:type="pct"/>
            <w:tcBorders>
              <w:top w:val="nil"/>
              <w:left w:val="nil"/>
              <w:bottom w:val="nil"/>
              <w:right w:val="nil"/>
            </w:tcBorders>
            <w:hideMark/>
          </w:tcPr>
          <w:p w14:paraId="7655B490" w14:textId="77777777" w:rsidR="00184F1E" w:rsidRPr="00BE6C6D" w:rsidRDefault="00184F1E" w:rsidP="002F59DF">
            <w:pPr>
              <w:pStyle w:val="NormalIndented"/>
              <w:rPr>
                <w:rFonts w:asciiTheme="minorHAnsi" w:hAnsiTheme="minorHAnsi"/>
                <w:i/>
                <w:color w:val="808080" w:themeColor="background1" w:themeShade="80"/>
                <w:sz w:val="18"/>
              </w:rPr>
            </w:pPr>
          </w:p>
        </w:tc>
        <w:tc>
          <w:tcPr>
            <w:tcW w:w="3327" w:type="pct"/>
            <w:gridSpan w:val="3"/>
            <w:tcBorders>
              <w:top w:val="nil"/>
              <w:left w:val="nil"/>
              <w:bottom w:val="nil"/>
            </w:tcBorders>
            <w:hideMark/>
          </w:tcPr>
          <w:p w14:paraId="50FCEBDA" w14:textId="77777777" w:rsidR="00184F1E" w:rsidRPr="00BE6C6D" w:rsidRDefault="00184F1E" w:rsidP="002F59DF">
            <w:pPr>
              <w:pStyle w:val="NormalIndented"/>
              <w:rPr>
                <w:i/>
                <w:color w:val="808080" w:themeColor="background1" w:themeShade="80"/>
              </w:rPr>
            </w:pPr>
          </w:p>
        </w:tc>
      </w:tr>
      <w:tr w:rsidR="00184F1E" w14:paraId="60D7F9AA" w14:textId="77777777" w:rsidTr="00463293">
        <w:trPr>
          <w:trHeight w:val="730"/>
        </w:trPr>
        <w:tc>
          <w:tcPr>
            <w:tcW w:w="801" w:type="pct"/>
            <w:tcBorders>
              <w:top w:val="nil"/>
              <w:left w:val="nil"/>
              <w:bottom w:val="nil"/>
              <w:right w:val="nil"/>
            </w:tcBorders>
          </w:tcPr>
          <w:p w14:paraId="61F2F8BB" w14:textId="781CE477" w:rsidR="00184F1E" w:rsidRPr="00BE6C6D" w:rsidRDefault="00F33F79" w:rsidP="00865A9D">
            <w:pPr>
              <w:keepLines/>
              <w:spacing w:before="40" w:after="40" w:line="200" w:lineRule="atLeast"/>
              <w:rPr>
                <w:rFonts w:asciiTheme="minorHAnsi" w:hAnsiTheme="minorHAnsi"/>
                <w:i/>
                <w:color w:val="808080" w:themeColor="background1" w:themeShade="80"/>
                <w:sz w:val="18"/>
              </w:rPr>
            </w:pPr>
            <w:r>
              <w:rPr>
                <w:rFonts w:asciiTheme="minorHAnsi" w:eastAsia="Times New Roman" w:hAnsiTheme="minorHAnsi"/>
                <w:iCs/>
                <w:szCs w:val="17"/>
                <w:lang w:eastAsia="en-US"/>
              </w:rPr>
              <w:t>Improved public financial management and a more competitive agricultural economy in the PT</w:t>
            </w:r>
            <w:r w:rsidR="00865A9D">
              <w:rPr>
                <w:rFonts w:asciiTheme="minorHAnsi" w:eastAsia="Times New Roman" w:hAnsiTheme="minorHAnsi"/>
                <w:iCs/>
                <w:szCs w:val="17"/>
                <w:lang w:eastAsia="en-US"/>
              </w:rPr>
              <w:t>s</w:t>
            </w:r>
          </w:p>
        </w:tc>
        <w:tc>
          <w:tcPr>
            <w:tcW w:w="1509" w:type="pct"/>
            <w:tcBorders>
              <w:top w:val="nil"/>
              <w:left w:val="nil"/>
              <w:bottom w:val="nil"/>
              <w:right w:val="nil"/>
            </w:tcBorders>
          </w:tcPr>
          <w:p w14:paraId="6056A4B4" w14:textId="725D2430" w:rsidR="001E7D0E" w:rsidRPr="00C03542" w:rsidRDefault="001E7D0E" w:rsidP="00C03542">
            <w:pPr>
              <w:pStyle w:val="NormalIndented"/>
              <w:ind w:left="34"/>
              <w:rPr>
                <w:rFonts w:asciiTheme="minorHAnsi" w:hAnsiTheme="minorHAnsi"/>
                <w:color w:val="808080" w:themeColor="background1" w:themeShade="80"/>
                <w:szCs w:val="20"/>
                <w:lang w:eastAsia="en-US"/>
              </w:rPr>
            </w:pPr>
            <w:r w:rsidRPr="00C03542">
              <w:rPr>
                <w:rFonts w:asciiTheme="minorHAnsi" w:hAnsiTheme="minorHAnsi"/>
                <w:color w:val="808080" w:themeColor="background1" w:themeShade="80"/>
                <w:szCs w:val="20"/>
                <w:lang w:eastAsia="en-US"/>
              </w:rPr>
              <w:t>a.</w:t>
            </w:r>
            <w:r w:rsidR="00F33F79" w:rsidRPr="00C03542">
              <w:rPr>
                <w:rFonts w:asciiTheme="minorHAnsi" w:hAnsiTheme="minorHAnsi"/>
                <w:color w:val="808080" w:themeColor="background1" w:themeShade="80"/>
                <w:szCs w:val="20"/>
                <w:lang w:eastAsia="en-US"/>
              </w:rPr>
              <w:t xml:space="preserve"> </w:t>
            </w:r>
            <w:r w:rsidR="00D80571" w:rsidRPr="00C03542">
              <w:rPr>
                <w:rFonts w:asciiTheme="minorHAnsi" w:hAnsiTheme="minorHAnsi"/>
                <w:color w:val="808080" w:themeColor="background1" w:themeShade="80"/>
                <w:szCs w:val="20"/>
                <w:lang w:eastAsia="en-US"/>
              </w:rPr>
              <w:t>The stock o</w:t>
            </w:r>
            <w:r w:rsidR="00C03542" w:rsidRPr="00C03542">
              <w:rPr>
                <w:rFonts w:asciiTheme="minorHAnsi" w:hAnsiTheme="minorHAnsi"/>
                <w:color w:val="808080" w:themeColor="background1" w:themeShade="80"/>
                <w:szCs w:val="20"/>
                <w:lang w:eastAsia="en-US"/>
              </w:rPr>
              <w:t>f</w:t>
            </w:r>
            <w:r w:rsidR="00D80571" w:rsidRPr="00C03542">
              <w:rPr>
                <w:rFonts w:asciiTheme="minorHAnsi" w:hAnsiTheme="minorHAnsi"/>
                <w:color w:val="808080" w:themeColor="background1" w:themeShade="80"/>
                <w:szCs w:val="20"/>
                <w:lang w:eastAsia="en-US"/>
              </w:rPr>
              <w:t xml:space="preserve"> income tax debt has decreased, based upon official income tax filings verified through Ministry of Finance audits</w:t>
            </w:r>
          </w:p>
          <w:p w14:paraId="0FF0179E" w14:textId="08C6BAD4" w:rsidR="00463293" w:rsidRPr="00C03542" w:rsidRDefault="00463293" w:rsidP="00C03542">
            <w:pPr>
              <w:pStyle w:val="NormalIndented"/>
              <w:ind w:left="34"/>
              <w:rPr>
                <w:rFonts w:asciiTheme="minorHAnsi" w:hAnsiTheme="minorHAnsi"/>
                <w:color w:val="808080" w:themeColor="background1" w:themeShade="80"/>
                <w:szCs w:val="20"/>
                <w:lang w:eastAsia="en-US"/>
              </w:rPr>
            </w:pPr>
          </w:p>
          <w:p w14:paraId="4D867AC2" w14:textId="0775A58A" w:rsidR="00184F1E" w:rsidRPr="00C03542" w:rsidRDefault="001E7D0E" w:rsidP="00EC09F6">
            <w:pPr>
              <w:keepLines/>
              <w:spacing w:before="40" w:after="40" w:line="200" w:lineRule="atLeast"/>
              <w:rPr>
                <w:rFonts w:asciiTheme="minorHAnsi" w:hAnsiTheme="minorHAnsi"/>
                <w:color w:val="808080" w:themeColor="background1" w:themeShade="80"/>
                <w:szCs w:val="20"/>
                <w:lang w:eastAsia="en-US"/>
              </w:rPr>
            </w:pPr>
            <w:r w:rsidRPr="00C03542">
              <w:rPr>
                <w:rFonts w:asciiTheme="minorHAnsi" w:hAnsiTheme="minorHAnsi"/>
                <w:color w:val="808080" w:themeColor="background1" w:themeShade="80"/>
                <w:szCs w:val="20"/>
                <w:lang w:eastAsia="en-US"/>
              </w:rPr>
              <w:t>b</w:t>
            </w:r>
            <w:r w:rsidR="00F33F79" w:rsidRPr="00C03542">
              <w:rPr>
                <w:rFonts w:asciiTheme="minorHAnsi" w:hAnsiTheme="minorHAnsi"/>
                <w:color w:val="808080" w:themeColor="background1" w:themeShade="80"/>
                <w:szCs w:val="20"/>
                <w:lang w:eastAsia="en-US"/>
              </w:rPr>
              <w:t>. Farmers report increased income from better functioning, AMENCA 3 – supported, value chains.</w:t>
            </w:r>
          </w:p>
        </w:tc>
        <w:tc>
          <w:tcPr>
            <w:tcW w:w="882" w:type="pct"/>
            <w:tcBorders>
              <w:top w:val="nil"/>
              <w:left w:val="nil"/>
              <w:bottom w:val="nil"/>
              <w:right w:val="nil"/>
            </w:tcBorders>
            <w:hideMark/>
          </w:tcPr>
          <w:p w14:paraId="31821574" w14:textId="04886BB9" w:rsidR="00F33F79" w:rsidRDefault="00D80571" w:rsidP="00463293">
            <w:pPr>
              <w:pStyle w:val="NormalIndented"/>
              <w:ind w:left="33"/>
              <w:rPr>
                <w:rFonts w:asciiTheme="minorHAnsi" w:hAnsiTheme="minorHAnsi"/>
                <w:i/>
                <w:color w:val="808080" w:themeColor="background1" w:themeShade="80"/>
                <w:szCs w:val="20"/>
                <w:lang w:eastAsia="en-US"/>
              </w:rPr>
            </w:pPr>
            <w:r w:rsidRPr="00D80571">
              <w:rPr>
                <w:rFonts w:asciiTheme="minorHAnsi" w:hAnsiTheme="minorHAnsi"/>
                <w:i/>
                <w:color w:val="808080" w:themeColor="background1" w:themeShade="80"/>
                <w:szCs w:val="20"/>
                <w:lang w:eastAsia="en-US"/>
              </w:rPr>
              <w:t>The stock of income tax debt is 15 percent lower in 201</w:t>
            </w:r>
            <w:r>
              <w:rPr>
                <w:rFonts w:asciiTheme="minorHAnsi" w:hAnsiTheme="minorHAnsi"/>
                <w:i/>
                <w:color w:val="808080" w:themeColor="background1" w:themeShade="80"/>
                <w:szCs w:val="20"/>
                <w:lang w:eastAsia="en-US"/>
              </w:rPr>
              <w:t>7</w:t>
            </w:r>
            <w:r w:rsidRPr="00D80571">
              <w:rPr>
                <w:rFonts w:asciiTheme="minorHAnsi" w:hAnsiTheme="minorHAnsi"/>
                <w:i/>
                <w:color w:val="808080" w:themeColor="background1" w:themeShade="80"/>
                <w:szCs w:val="20"/>
                <w:lang w:eastAsia="en-US"/>
              </w:rPr>
              <w:t xml:space="preserve"> than it was in October 201</w:t>
            </w:r>
            <w:r>
              <w:rPr>
                <w:rFonts w:asciiTheme="minorHAnsi" w:hAnsiTheme="minorHAnsi"/>
                <w:i/>
                <w:color w:val="808080" w:themeColor="background1" w:themeShade="80"/>
                <w:szCs w:val="20"/>
                <w:lang w:eastAsia="en-US"/>
              </w:rPr>
              <w:t>6</w:t>
            </w:r>
          </w:p>
          <w:p w14:paraId="1205075C" w14:textId="77777777" w:rsidR="00463293" w:rsidRDefault="00463293" w:rsidP="00C03542">
            <w:pPr>
              <w:pStyle w:val="NormalIndented"/>
              <w:ind w:left="34"/>
              <w:rPr>
                <w:rFonts w:asciiTheme="minorHAnsi" w:hAnsiTheme="minorHAnsi"/>
                <w:i/>
                <w:color w:val="808080" w:themeColor="background1" w:themeShade="80"/>
                <w:szCs w:val="20"/>
                <w:lang w:eastAsia="en-US"/>
              </w:rPr>
            </w:pPr>
          </w:p>
          <w:p w14:paraId="667DDC61" w14:textId="4A4D6C7E" w:rsidR="00F33F79" w:rsidRPr="00BE6C6D" w:rsidRDefault="002755AE" w:rsidP="00F33F79">
            <w:pPr>
              <w:pStyle w:val="NormalIndented"/>
              <w:ind w:left="33"/>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Targets will be adjusted during 2017-18</w:t>
            </w:r>
          </w:p>
        </w:tc>
        <w:tc>
          <w:tcPr>
            <w:tcW w:w="936" w:type="pct"/>
            <w:tcBorders>
              <w:top w:val="nil"/>
              <w:left w:val="nil"/>
              <w:bottom w:val="nil"/>
              <w:right w:val="nil"/>
            </w:tcBorders>
            <w:hideMark/>
          </w:tcPr>
          <w:p w14:paraId="057C5BE5" w14:textId="6B417185" w:rsidR="00184F1E" w:rsidRDefault="00F33F79" w:rsidP="00F33F79">
            <w:pPr>
              <w:pStyle w:val="NormalIndented"/>
              <w:ind w:left="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As contributions to the Palestinian Authority will be made on an annual basis, future year benchmarks will be reflected in each year’s APPR</w:t>
            </w:r>
            <w:r w:rsidR="00463293">
              <w:rPr>
                <w:rFonts w:asciiTheme="minorHAnsi" w:hAnsiTheme="minorHAnsi"/>
                <w:i/>
                <w:color w:val="808080" w:themeColor="background1" w:themeShade="80"/>
                <w:szCs w:val="20"/>
                <w:lang w:eastAsia="en-US"/>
              </w:rPr>
              <w:t>.</w:t>
            </w:r>
          </w:p>
          <w:p w14:paraId="0EDE0DD3" w14:textId="17480CE5" w:rsidR="00F33F79" w:rsidRPr="00BE6C6D" w:rsidRDefault="002755AE" w:rsidP="00F33F79">
            <w:pPr>
              <w:pStyle w:val="NormalIndented"/>
              <w:ind w:left="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Targets will be adjusted during 20171-8.</w:t>
            </w:r>
          </w:p>
        </w:tc>
        <w:tc>
          <w:tcPr>
            <w:tcW w:w="872" w:type="pct"/>
            <w:tcBorders>
              <w:top w:val="nil"/>
              <w:left w:val="nil"/>
              <w:bottom w:val="nil"/>
              <w:right w:val="nil"/>
            </w:tcBorders>
            <w:hideMark/>
          </w:tcPr>
          <w:p w14:paraId="77C522E1" w14:textId="10BDFF38" w:rsidR="00184F1E" w:rsidRPr="00BE6C6D" w:rsidRDefault="00463293" w:rsidP="00463293">
            <w:pPr>
              <w:pStyle w:val="NormalIndented"/>
              <w:ind w:left="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A new Aid Investment Plan with new Performance Benchmarks will be developed in June 2019.</w:t>
            </w:r>
          </w:p>
        </w:tc>
      </w:tr>
      <w:tr w:rsidR="00184F1E" w14:paraId="2A1A7579" w14:textId="77777777" w:rsidTr="00463293">
        <w:trPr>
          <w:trHeight w:val="455"/>
        </w:trPr>
        <w:tc>
          <w:tcPr>
            <w:tcW w:w="801" w:type="pct"/>
            <w:tcBorders>
              <w:top w:val="nil"/>
              <w:left w:val="nil"/>
              <w:bottom w:val="single" w:sz="12" w:space="0" w:color="auto"/>
              <w:right w:val="nil"/>
            </w:tcBorders>
          </w:tcPr>
          <w:p w14:paraId="5891C633" w14:textId="77777777" w:rsidR="00184F1E" w:rsidRPr="00BE6C6D" w:rsidRDefault="00F33F79" w:rsidP="00865A9D">
            <w:pPr>
              <w:keepLines/>
              <w:spacing w:before="40" w:after="40" w:line="200" w:lineRule="atLeast"/>
              <w:rPr>
                <w:rFonts w:asciiTheme="minorHAnsi" w:hAnsiTheme="minorHAnsi"/>
                <w:i/>
                <w:color w:val="808080" w:themeColor="background1" w:themeShade="80"/>
                <w:sz w:val="18"/>
              </w:rPr>
            </w:pPr>
            <w:r>
              <w:rPr>
                <w:rFonts w:asciiTheme="minorHAnsi" w:eastAsia="Times New Roman" w:hAnsiTheme="minorHAnsi"/>
                <w:iCs/>
                <w:szCs w:val="17"/>
                <w:lang w:eastAsia="en-US"/>
              </w:rPr>
              <w:t>Palestinian refugees in the PTs and across the region are able to access quality basic services</w:t>
            </w:r>
          </w:p>
        </w:tc>
        <w:tc>
          <w:tcPr>
            <w:tcW w:w="1509" w:type="pct"/>
            <w:tcBorders>
              <w:top w:val="nil"/>
              <w:left w:val="nil"/>
              <w:bottom w:val="single" w:sz="12" w:space="0" w:color="auto"/>
              <w:right w:val="nil"/>
            </w:tcBorders>
          </w:tcPr>
          <w:p w14:paraId="6B6D6B64" w14:textId="4518F9C9" w:rsidR="00F33F79" w:rsidRPr="00C03542" w:rsidRDefault="00393EF6" w:rsidP="00C03542">
            <w:pPr>
              <w:pStyle w:val="NormalIndented"/>
              <w:ind w:left="34"/>
              <w:rPr>
                <w:rFonts w:asciiTheme="minorHAnsi" w:hAnsiTheme="minorHAnsi"/>
                <w:color w:val="808080" w:themeColor="background1" w:themeShade="80"/>
                <w:szCs w:val="20"/>
                <w:lang w:eastAsia="en-US"/>
              </w:rPr>
            </w:pPr>
            <w:r w:rsidRPr="00C03542">
              <w:rPr>
                <w:rFonts w:asciiTheme="minorHAnsi" w:hAnsiTheme="minorHAnsi"/>
                <w:color w:val="808080" w:themeColor="background1" w:themeShade="80"/>
                <w:szCs w:val="20"/>
                <w:lang w:eastAsia="en-US"/>
              </w:rPr>
              <w:t>a. The</w:t>
            </w:r>
            <w:r w:rsidR="00F33F79" w:rsidRPr="00C03542">
              <w:rPr>
                <w:rFonts w:asciiTheme="minorHAnsi" w:hAnsiTheme="minorHAnsi"/>
                <w:color w:val="808080" w:themeColor="background1" w:themeShade="80"/>
                <w:szCs w:val="20"/>
                <w:lang w:eastAsia="en-US"/>
              </w:rPr>
              <w:t xml:space="preserve"> number of Grade 4 stu</w:t>
            </w:r>
            <w:r w:rsidRPr="00C03542">
              <w:rPr>
                <w:rFonts w:asciiTheme="minorHAnsi" w:hAnsiTheme="minorHAnsi"/>
                <w:color w:val="808080" w:themeColor="background1" w:themeShade="80"/>
                <w:szCs w:val="20"/>
                <w:lang w:eastAsia="en-US"/>
              </w:rPr>
              <w:t xml:space="preserve">dents in UNRWA schools </w:t>
            </w:r>
            <w:r w:rsidR="00F33F79" w:rsidRPr="00C03542">
              <w:rPr>
                <w:rFonts w:asciiTheme="minorHAnsi" w:hAnsiTheme="minorHAnsi"/>
                <w:color w:val="808080" w:themeColor="background1" w:themeShade="80"/>
                <w:szCs w:val="20"/>
                <w:lang w:eastAsia="en-US"/>
              </w:rPr>
              <w:t>performing at or above the expected le</w:t>
            </w:r>
            <w:r w:rsidRPr="00C03542">
              <w:rPr>
                <w:rFonts w:asciiTheme="minorHAnsi" w:hAnsiTheme="minorHAnsi"/>
                <w:color w:val="808080" w:themeColor="background1" w:themeShade="80"/>
                <w:szCs w:val="20"/>
                <w:lang w:eastAsia="en-US"/>
              </w:rPr>
              <w:t>vel in mathematics (from a 2013</w:t>
            </w:r>
            <w:r w:rsidR="00654124" w:rsidRPr="00C03542">
              <w:rPr>
                <w:rFonts w:asciiTheme="minorHAnsi" w:hAnsiTheme="minorHAnsi"/>
                <w:color w:val="808080" w:themeColor="background1" w:themeShade="80"/>
                <w:szCs w:val="20"/>
                <w:lang w:eastAsia="en-US"/>
              </w:rPr>
              <w:t xml:space="preserve"> </w:t>
            </w:r>
            <w:r w:rsidR="00F33F79" w:rsidRPr="00C03542">
              <w:rPr>
                <w:rFonts w:asciiTheme="minorHAnsi" w:hAnsiTheme="minorHAnsi"/>
                <w:color w:val="808080" w:themeColor="background1" w:themeShade="80"/>
                <w:szCs w:val="20"/>
                <w:lang w:eastAsia="en-US"/>
              </w:rPr>
              <w:t>baseline of M</w:t>
            </w:r>
            <w:r w:rsidR="00166CFE" w:rsidRPr="00C03542">
              <w:rPr>
                <w:rFonts w:asciiTheme="minorHAnsi" w:hAnsiTheme="minorHAnsi"/>
                <w:color w:val="808080" w:themeColor="background1" w:themeShade="80"/>
                <w:szCs w:val="20"/>
                <w:lang w:eastAsia="en-US"/>
              </w:rPr>
              <w:t>: 24.</w:t>
            </w:r>
            <w:r w:rsidR="002E3ADF" w:rsidRPr="00C03542">
              <w:rPr>
                <w:rFonts w:asciiTheme="minorHAnsi" w:hAnsiTheme="minorHAnsi"/>
                <w:color w:val="808080" w:themeColor="background1" w:themeShade="80"/>
                <w:szCs w:val="20"/>
                <w:lang w:eastAsia="en-US"/>
              </w:rPr>
              <w:t>4</w:t>
            </w:r>
            <w:r w:rsidR="00F33F79" w:rsidRPr="00C03542">
              <w:rPr>
                <w:rFonts w:asciiTheme="minorHAnsi" w:hAnsiTheme="minorHAnsi"/>
                <w:color w:val="808080" w:themeColor="background1" w:themeShade="80"/>
                <w:szCs w:val="20"/>
                <w:lang w:eastAsia="en-US"/>
              </w:rPr>
              <w:t xml:space="preserve"> per cent; F</w:t>
            </w:r>
            <w:r w:rsidR="00166CFE" w:rsidRPr="00C03542">
              <w:rPr>
                <w:rFonts w:asciiTheme="minorHAnsi" w:hAnsiTheme="minorHAnsi"/>
                <w:color w:val="808080" w:themeColor="background1" w:themeShade="80"/>
                <w:szCs w:val="20"/>
                <w:lang w:eastAsia="en-US"/>
              </w:rPr>
              <w:t>: 3</w:t>
            </w:r>
            <w:r w:rsidR="002E3ADF" w:rsidRPr="00C03542">
              <w:rPr>
                <w:rFonts w:asciiTheme="minorHAnsi" w:hAnsiTheme="minorHAnsi"/>
                <w:color w:val="808080" w:themeColor="background1" w:themeShade="80"/>
                <w:szCs w:val="20"/>
                <w:lang w:eastAsia="en-US"/>
              </w:rPr>
              <w:t>5</w:t>
            </w:r>
            <w:r w:rsidR="00166CFE" w:rsidRPr="00C03542">
              <w:rPr>
                <w:rFonts w:asciiTheme="minorHAnsi" w:hAnsiTheme="minorHAnsi"/>
                <w:color w:val="808080" w:themeColor="background1" w:themeShade="80"/>
                <w:szCs w:val="20"/>
                <w:lang w:eastAsia="en-US"/>
              </w:rPr>
              <w:t>.</w:t>
            </w:r>
            <w:r w:rsidR="002E3ADF" w:rsidRPr="00C03542">
              <w:rPr>
                <w:rFonts w:asciiTheme="minorHAnsi" w:hAnsiTheme="minorHAnsi"/>
                <w:color w:val="808080" w:themeColor="background1" w:themeShade="80"/>
                <w:szCs w:val="20"/>
                <w:lang w:eastAsia="en-US"/>
              </w:rPr>
              <w:t>2</w:t>
            </w:r>
            <w:r w:rsidR="00F33F79" w:rsidRPr="00C03542">
              <w:rPr>
                <w:rFonts w:asciiTheme="minorHAnsi" w:hAnsiTheme="minorHAnsi"/>
                <w:color w:val="808080" w:themeColor="background1" w:themeShade="80"/>
                <w:szCs w:val="20"/>
                <w:lang w:eastAsia="en-US"/>
              </w:rPr>
              <w:t xml:space="preserve"> per cent). </w:t>
            </w:r>
          </w:p>
          <w:p w14:paraId="2B125EEA" w14:textId="792641EB" w:rsidR="00463293" w:rsidRDefault="00463293" w:rsidP="00C03542">
            <w:pPr>
              <w:pStyle w:val="NormalIndented"/>
              <w:ind w:left="34"/>
              <w:rPr>
                <w:rFonts w:asciiTheme="minorHAnsi" w:hAnsiTheme="minorHAnsi"/>
                <w:color w:val="808080" w:themeColor="background1" w:themeShade="80"/>
                <w:szCs w:val="20"/>
                <w:lang w:eastAsia="en-US"/>
              </w:rPr>
            </w:pPr>
          </w:p>
          <w:p w14:paraId="4BBBD3AD" w14:textId="77777777" w:rsidR="00C03542" w:rsidRPr="00C03542" w:rsidRDefault="00C03542" w:rsidP="00C03542">
            <w:pPr>
              <w:pStyle w:val="NormalIndented"/>
              <w:ind w:left="34"/>
              <w:rPr>
                <w:rFonts w:asciiTheme="minorHAnsi" w:hAnsiTheme="minorHAnsi"/>
                <w:color w:val="808080" w:themeColor="background1" w:themeShade="80"/>
                <w:szCs w:val="20"/>
                <w:lang w:eastAsia="en-US"/>
              </w:rPr>
            </w:pPr>
          </w:p>
          <w:p w14:paraId="7A9696AB" w14:textId="09795D99" w:rsidR="00184F1E" w:rsidRPr="00C03542" w:rsidRDefault="00463293" w:rsidP="00C03542">
            <w:pPr>
              <w:pStyle w:val="NormalIndented"/>
              <w:ind w:left="34"/>
              <w:rPr>
                <w:rFonts w:asciiTheme="minorHAnsi" w:hAnsiTheme="minorHAnsi"/>
                <w:color w:val="808080" w:themeColor="background1" w:themeShade="80"/>
                <w:szCs w:val="20"/>
                <w:lang w:eastAsia="en-US"/>
              </w:rPr>
            </w:pPr>
            <w:r w:rsidRPr="00C03542">
              <w:rPr>
                <w:rFonts w:asciiTheme="minorHAnsi" w:hAnsiTheme="minorHAnsi"/>
                <w:color w:val="808080" w:themeColor="background1" w:themeShade="80"/>
                <w:szCs w:val="20"/>
                <w:lang w:eastAsia="en-US"/>
              </w:rPr>
              <w:t>b. A</w:t>
            </w:r>
            <w:r w:rsidR="00F33F79" w:rsidRPr="00C03542">
              <w:rPr>
                <w:rFonts w:asciiTheme="minorHAnsi" w:hAnsiTheme="minorHAnsi"/>
                <w:color w:val="808080" w:themeColor="background1" w:themeShade="80"/>
                <w:szCs w:val="20"/>
                <w:lang w:eastAsia="en-US"/>
              </w:rPr>
              <w:t>verage daily medical consultations per doctor ha</w:t>
            </w:r>
            <w:r w:rsidR="00166CFE" w:rsidRPr="00C03542">
              <w:rPr>
                <w:rFonts w:asciiTheme="minorHAnsi" w:hAnsiTheme="minorHAnsi"/>
                <w:color w:val="808080" w:themeColor="background1" w:themeShade="80"/>
                <w:szCs w:val="20"/>
                <w:lang w:eastAsia="en-US"/>
              </w:rPr>
              <w:t>s</w:t>
            </w:r>
            <w:r w:rsidR="00F33F79" w:rsidRPr="00C03542">
              <w:rPr>
                <w:rFonts w:asciiTheme="minorHAnsi" w:hAnsiTheme="minorHAnsi"/>
                <w:color w:val="808080" w:themeColor="background1" w:themeShade="80"/>
                <w:szCs w:val="20"/>
                <w:lang w:eastAsia="en-US"/>
              </w:rPr>
              <w:t xml:space="preserve"> decreased in</w:t>
            </w:r>
            <w:r w:rsidRPr="00C03542">
              <w:rPr>
                <w:rFonts w:asciiTheme="minorHAnsi" w:hAnsiTheme="minorHAnsi"/>
                <w:color w:val="808080" w:themeColor="background1" w:themeShade="80"/>
                <w:szCs w:val="20"/>
                <w:lang w:eastAsia="en-US"/>
              </w:rPr>
              <w:t xml:space="preserve"> UNRWA health centres (baseline</w:t>
            </w:r>
            <w:r w:rsidR="00F33F79" w:rsidRPr="00C03542">
              <w:rPr>
                <w:rFonts w:asciiTheme="minorHAnsi" w:hAnsiTheme="minorHAnsi"/>
                <w:color w:val="808080" w:themeColor="background1" w:themeShade="80"/>
                <w:szCs w:val="20"/>
                <w:lang w:eastAsia="en-US"/>
              </w:rPr>
              <w:t xml:space="preserve"> 95 in 2014).</w:t>
            </w:r>
          </w:p>
        </w:tc>
        <w:tc>
          <w:tcPr>
            <w:tcW w:w="882" w:type="pct"/>
            <w:tcBorders>
              <w:top w:val="nil"/>
              <w:left w:val="nil"/>
              <w:bottom w:val="single" w:sz="12" w:space="0" w:color="auto"/>
              <w:right w:val="nil"/>
            </w:tcBorders>
          </w:tcPr>
          <w:p w14:paraId="76D8A547" w14:textId="4F5F098E" w:rsidR="00463293" w:rsidRDefault="00463293" w:rsidP="00463293">
            <w:pPr>
              <w:pStyle w:val="NormalIndented"/>
              <w:ind w:left="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As UNRWA measures educational achievement in a standardised manner only every three years; interim measures of educational performance will be used in years where this cannot be reported.</w:t>
            </w:r>
          </w:p>
          <w:p w14:paraId="7A4180E3" w14:textId="103B4C28" w:rsidR="00463293" w:rsidRPr="00BE6C6D" w:rsidRDefault="00463293" w:rsidP="00F33F79">
            <w:pPr>
              <w:pStyle w:val="NormalIndented"/>
              <w:ind w:left="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A reduction from the 2016-17 outcome</w:t>
            </w:r>
          </w:p>
        </w:tc>
        <w:tc>
          <w:tcPr>
            <w:tcW w:w="936" w:type="pct"/>
            <w:tcBorders>
              <w:top w:val="nil"/>
              <w:left w:val="nil"/>
              <w:bottom w:val="single" w:sz="12" w:space="0" w:color="auto"/>
              <w:right w:val="nil"/>
            </w:tcBorders>
          </w:tcPr>
          <w:p w14:paraId="3DFA7263" w14:textId="3203BA8D" w:rsidR="00184F1E" w:rsidRDefault="00F33F79" w:rsidP="00F33F79">
            <w:pPr>
              <w:pStyle w:val="NormalIndented"/>
              <w:ind w:left="33"/>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As UNRWA measures educational achievement in a standardise</w:t>
            </w:r>
            <w:r w:rsidR="00463293">
              <w:rPr>
                <w:rFonts w:asciiTheme="minorHAnsi" w:hAnsiTheme="minorHAnsi"/>
                <w:i/>
                <w:color w:val="808080" w:themeColor="background1" w:themeShade="80"/>
                <w:szCs w:val="20"/>
                <w:lang w:eastAsia="en-US"/>
              </w:rPr>
              <w:t>d manner only every three years;</w:t>
            </w:r>
            <w:r>
              <w:rPr>
                <w:rFonts w:asciiTheme="minorHAnsi" w:hAnsiTheme="minorHAnsi"/>
                <w:i/>
                <w:color w:val="808080" w:themeColor="background1" w:themeShade="80"/>
                <w:szCs w:val="20"/>
                <w:lang w:eastAsia="en-US"/>
              </w:rPr>
              <w:t xml:space="preserve"> interim measures of educational performance will be used in years where this cannot be reported.</w:t>
            </w:r>
          </w:p>
          <w:p w14:paraId="4C03056C" w14:textId="77777777" w:rsidR="00F33F79" w:rsidRDefault="00F33F79" w:rsidP="00F33F79">
            <w:pPr>
              <w:pStyle w:val="NormalIndented"/>
              <w:ind w:left="33"/>
              <w:rPr>
                <w:rFonts w:asciiTheme="minorHAnsi" w:hAnsiTheme="minorHAnsi"/>
                <w:i/>
                <w:color w:val="808080" w:themeColor="background1" w:themeShade="80"/>
                <w:szCs w:val="20"/>
                <w:lang w:eastAsia="en-US"/>
              </w:rPr>
            </w:pPr>
          </w:p>
          <w:p w14:paraId="2AF3E8B0" w14:textId="61AA5584" w:rsidR="00463293" w:rsidRPr="00BE6C6D" w:rsidRDefault="00463293" w:rsidP="00463293">
            <w:pPr>
              <w:pStyle w:val="NormalIndented"/>
              <w:ind w:left="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A reduction from the 2017-18 outcome</w:t>
            </w:r>
          </w:p>
        </w:tc>
        <w:tc>
          <w:tcPr>
            <w:tcW w:w="872" w:type="pct"/>
            <w:tcBorders>
              <w:top w:val="nil"/>
              <w:left w:val="nil"/>
              <w:bottom w:val="single" w:sz="12" w:space="0" w:color="auto"/>
              <w:right w:val="nil"/>
            </w:tcBorders>
          </w:tcPr>
          <w:p w14:paraId="6A32635A" w14:textId="5C208ED5" w:rsidR="00184F1E" w:rsidRPr="00BE6C6D" w:rsidRDefault="00463293" w:rsidP="00463293">
            <w:pPr>
              <w:pStyle w:val="NormalIndented"/>
              <w:ind w:left="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A new Aid Investment Plan with new Performance Benchmarks will be developed in June 2019.</w:t>
            </w:r>
          </w:p>
        </w:tc>
      </w:tr>
    </w:tbl>
    <w:p w14:paraId="54196D83" w14:textId="0EA49269" w:rsidR="00184F1E" w:rsidRDefault="00184F1E" w:rsidP="00184F1E">
      <w:pPr>
        <w:spacing w:after="120" w:line="280" w:lineRule="exact"/>
        <w:rPr>
          <w:rFonts w:ascii="Franklin Gothic Book" w:eastAsia="Times New Roman" w:hAnsi="Franklin Gothic Book"/>
          <w:sz w:val="21"/>
        </w:rPr>
      </w:pPr>
    </w:p>
    <w:p w14:paraId="6E8B0A29" w14:textId="77777777" w:rsidR="00AF1B85" w:rsidRPr="00A8197B" w:rsidRDefault="00184F1E" w:rsidP="00BE1BEB">
      <w:pPr>
        <w:pStyle w:val="Subtitle"/>
        <w:numPr>
          <w:ilvl w:val="0"/>
          <w:numId w:val="0"/>
        </w:numPr>
      </w:pPr>
      <w:r>
        <w:br w:type="page"/>
      </w:r>
      <w:r w:rsidR="00AF1B85" w:rsidRPr="00A8197B">
        <w:lastRenderedPageBreak/>
        <w:t xml:space="preserve">Annex </w:t>
      </w:r>
      <w:r>
        <w:t>C</w:t>
      </w:r>
      <w:r w:rsidR="00AF1B85" w:rsidRPr="00A8197B">
        <w:t xml:space="preserve"> - Evaluation Planning</w:t>
      </w:r>
    </w:p>
    <w:p w14:paraId="6711C359"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14:paraId="4C1CDEC1"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2F80224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61B085D7" w14:textId="77777777" w:rsidR="00AF1B85" w:rsidRPr="00C65EDB" w:rsidRDefault="00AF1B85" w:rsidP="00D15A00">
            <w:pPr>
              <w:keepLines/>
              <w:spacing w:line="200" w:lineRule="atLeast"/>
              <w:rPr>
                <w:rFonts w:asciiTheme="minorHAnsi" w:eastAsia="Times New Roman" w:hAnsiTheme="minorHAnsi"/>
                <w:b w:val="0"/>
                <w:iCs/>
                <w:szCs w:val="17"/>
                <w:lang w:eastAsia="en-US"/>
              </w:rPr>
            </w:pPr>
          </w:p>
          <w:p w14:paraId="4C0B66D7" w14:textId="2FEC967B" w:rsidR="00986FBE" w:rsidRPr="00986FBE" w:rsidRDefault="00C65EDB" w:rsidP="00D15A00">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INM230 – Funding to the PA Through WB Trust Fund</w:t>
            </w:r>
          </w:p>
          <w:p w14:paraId="6C7528DC" w14:textId="77777777" w:rsidR="00986FBE" w:rsidRPr="00C65EDB" w:rsidRDefault="00986FBE" w:rsidP="00D15A00">
            <w:pPr>
              <w:keepLines/>
              <w:spacing w:line="200" w:lineRule="atLeast"/>
              <w:rPr>
                <w:rFonts w:asciiTheme="minorHAnsi" w:eastAsia="Times New Roman" w:hAnsiTheme="minorHAnsi"/>
                <w:b w:val="0"/>
                <w:iCs/>
                <w:szCs w:val="17"/>
                <w:lang w:eastAsia="en-US"/>
              </w:rPr>
            </w:pPr>
          </w:p>
          <w:p w14:paraId="65AD6932" w14:textId="77777777" w:rsidR="00986FBE" w:rsidRPr="00812509" w:rsidRDefault="00986FBE" w:rsidP="00D15A00">
            <w:pPr>
              <w:keepLines/>
              <w:spacing w:line="200" w:lineRule="atLeast"/>
              <w:rPr>
                <w:rFonts w:asciiTheme="minorHAnsi" w:eastAsia="Times New Roman" w:hAnsiTheme="minorHAnsi"/>
                <w:b w:val="0"/>
                <w:iCs/>
                <w:szCs w:val="17"/>
                <w:lang w:eastAsia="en-US"/>
              </w:rPr>
            </w:pPr>
          </w:p>
        </w:tc>
        <w:tc>
          <w:tcPr>
            <w:tcW w:w="3665" w:type="dxa"/>
          </w:tcPr>
          <w:p w14:paraId="4B91C3AF" w14:textId="77777777" w:rsidR="00AF1B85" w:rsidRPr="00C65EDB" w:rsidRDefault="00AF1B85" w:rsidP="00D15A00">
            <w:pPr>
              <w:keepLines/>
              <w:spacing w:line="200" w:lineRule="atLeast"/>
              <w:rPr>
                <w:rFonts w:asciiTheme="minorHAnsi" w:eastAsia="Times New Roman" w:hAnsiTheme="minorHAnsi"/>
                <w:iCs/>
                <w:szCs w:val="17"/>
                <w:lang w:eastAsia="en-US"/>
              </w:rPr>
            </w:pPr>
            <w:r w:rsidRPr="00C65EDB">
              <w:rPr>
                <w:rFonts w:asciiTheme="minorHAnsi" w:eastAsia="Times New Roman" w:hAnsiTheme="minorHAnsi"/>
                <w:iCs/>
                <w:szCs w:val="17"/>
                <w:lang w:eastAsia="en-US"/>
              </w:rPr>
              <w:t>Name of evaluation</w:t>
            </w:r>
          </w:p>
          <w:p w14:paraId="364A2201" w14:textId="77777777" w:rsidR="00C65EDB" w:rsidRPr="00C65EDB" w:rsidRDefault="00C65EDB" w:rsidP="00D15A00">
            <w:pPr>
              <w:keepLines/>
              <w:spacing w:line="200" w:lineRule="atLeast"/>
              <w:rPr>
                <w:rFonts w:asciiTheme="minorHAnsi" w:eastAsia="Times New Roman" w:hAnsiTheme="minorHAnsi"/>
                <w:b w:val="0"/>
                <w:iCs/>
                <w:szCs w:val="17"/>
                <w:lang w:eastAsia="en-US"/>
              </w:rPr>
            </w:pPr>
          </w:p>
          <w:p w14:paraId="2443717D" w14:textId="71A6EEB7" w:rsidR="00C65EDB" w:rsidRPr="00C65EDB" w:rsidRDefault="00C65EDB" w:rsidP="00D15A00">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(Annual) </w:t>
            </w:r>
            <w:r w:rsidRPr="00C65EDB">
              <w:rPr>
                <w:rFonts w:asciiTheme="minorHAnsi" w:eastAsia="Times New Roman" w:hAnsiTheme="minorHAnsi"/>
                <w:b w:val="0"/>
                <w:iCs/>
                <w:szCs w:val="17"/>
                <w:lang w:eastAsia="en-US"/>
              </w:rPr>
              <w:t>Implementation Completion and Results Report (Trust Fund Grant)</w:t>
            </w:r>
          </w:p>
          <w:p w14:paraId="48A984F2" w14:textId="361A267E" w:rsidR="00C65EDB" w:rsidRPr="00C65EDB" w:rsidRDefault="00C65EDB" w:rsidP="00D15A00">
            <w:pPr>
              <w:keepLines/>
              <w:spacing w:line="200" w:lineRule="atLeast"/>
              <w:rPr>
                <w:rFonts w:asciiTheme="minorHAnsi" w:eastAsia="Times New Roman" w:hAnsiTheme="minorHAnsi"/>
                <w:b w:val="0"/>
                <w:iCs/>
                <w:szCs w:val="17"/>
                <w:lang w:eastAsia="en-US"/>
              </w:rPr>
            </w:pPr>
          </w:p>
        </w:tc>
        <w:tc>
          <w:tcPr>
            <w:tcW w:w="1397" w:type="dxa"/>
          </w:tcPr>
          <w:p w14:paraId="3406515A" w14:textId="77777777" w:rsidR="00AF1B85" w:rsidRPr="00C65EDB" w:rsidRDefault="00AF1B85" w:rsidP="00D15A00">
            <w:pPr>
              <w:keepLines/>
              <w:spacing w:line="200" w:lineRule="atLeast"/>
              <w:rPr>
                <w:rFonts w:asciiTheme="minorHAnsi" w:eastAsia="Times New Roman" w:hAnsiTheme="minorHAnsi"/>
                <w:iCs/>
                <w:szCs w:val="17"/>
                <w:lang w:eastAsia="en-US"/>
              </w:rPr>
            </w:pPr>
            <w:r w:rsidRPr="00C65EDB">
              <w:rPr>
                <w:rFonts w:asciiTheme="minorHAnsi" w:eastAsia="Times New Roman" w:hAnsiTheme="minorHAnsi"/>
                <w:iCs/>
                <w:szCs w:val="17"/>
                <w:lang w:eastAsia="en-US"/>
              </w:rPr>
              <w:t>Date completed</w:t>
            </w:r>
          </w:p>
          <w:p w14:paraId="4BA6EE0E" w14:textId="77777777" w:rsidR="00C65EDB" w:rsidRPr="00C65EDB" w:rsidRDefault="00C65EDB" w:rsidP="00D15A00">
            <w:pPr>
              <w:keepLines/>
              <w:spacing w:line="200" w:lineRule="atLeast"/>
              <w:rPr>
                <w:rFonts w:asciiTheme="minorHAnsi" w:eastAsia="Times New Roman" w:hAnsiTheme="minorHAnsi"/>
                <w:b w:val="0"/>
                <w:iCs/>
                <w:szCs w:val="17"/>
                <w:lang w:eastAsia="en-US"/>
              </w:rPr>
            </w:pPr>
          </w:p>
          <w:p w14:paraId="2A5E1354" w14:textId="7F068A1E" w:rsidR="00C65EDB" w:rsidRPr="00C65EDB" w:rsidRDefault="00C65EDB" w:rsidP="00D15A00">
            <w:pPr>
              <w:keepLines/>
              <w:spacing w:line="200" w:lineRule="atLeast"/>
              <w:rPr>
                <w:rFonts w:asciiTheme="minorHAnsi" w:eastAsia="Times New Roman" w:hAnsiTheme="minorHAnsi"/>
                <w:b w:val="0"/>
                <w:iCs/>
                <w:szCs w:val="17"/>
                <w:lang w:eastAsia="en-US"/>
              </w:rPr>
            </w:pPr>
            <w:r w:rsidRPr="00C65EDB">
              <w:rPr>
                <w:rFonts w:asciiTheme="minorHAnsi" w:eastAsia="Times New Roman" w:hAnsiTheme="minorHAnsi"/>
                <w:b w:val="0"/>
                <w:iCs/>
                <w:szCs w:val="17"/>
                <w:lang w:eastAsia="en-US"/>
              </w:rPr>
              <w:t>9 June , 2017</w:t>
            </w:r>
          </w:p>
        </w:tc>
        <w:tc>
          <w:tcPr>
            <w:tcW w:w="1953" w:type="dxa"/>
          </w:tcPr>
          <w:p w14:paraId="10ABC45D" w14:textId="77777777" w:rsidR="00AF1B85" w:rsidRPr="00C65EDB" w:rsidRDefault="00AF1B85" w:rsidP="00D15A00">
            <w:pPr>
              <w:keepLines/>
              <w:spacing w:line="200" w:lineRule="atLeast"/>
              <w:rPr>
                <w:rFonts w:asciiTheme="minorHAnsi" w:eastAsia="Times New Roman" w:hAnsiTheme="minorHAnsi"/>
                <w:iCs/>
                <w:szCs w:val="17"/>
                <w:lang w:eastAsia="en-US"/>
              </w:rPr>
            </w:pPr>
            <w:r w:rsidRPr="00C65EDB">
              <w:rPr>
                <w:rFonts w:asciiTheme="minorHAnsi" w:eastAsia="Times New Roman" w:hAnsiTheme="minorHAnsi"/>
                <w:iCs/>
                <w:szCs w:val="17"/>
                <w:lang w:eastAsia="en-US"/>
              </w:rPr>
              <w:t>Date Evaluation report Uploaded into AidWorks</w:t>
            </w:r>
          </w:p>
          <w:p w14:paraId="4BC13E17" w14:textId="77777777" w:rsidR="00C65EDB" w:rsidRPr="00C65EDB" w:rsidRDefault="00C65EDB" w:rsidP="00D15A00">
            <w:pPr>
              <w:keepLines/>
              <w:spacing w:line="200" w:lineRule="atLeast"/>
              <w:rPr>
                <w:rFonts w:asciiTheme="minorHAnsi" w:eastAsia="Times New Roman" w:hAnsiTheme="minorHAnsi"/>
                <w:b w:val="0"/>
                <w:iCs/>
                <w:szCs w:val="17"/>
                <w:lang w:eastAsia="en-US"/>
              </w:rPr>
            </w:pPr>
            <w:r w:rsidRPr="00C65EDB">
              <w:rPr>
                <w:rFonts w:asciiTheme="minorHAnsi" w:eastAsia="Times New Roman" w:hAnsiTheme="minorHAnsi"/>
                <w:b w:val="0"/>
                <w:iCs/>
                <w:szCs w:val="17"/>
                <w:lang w:eastAsia="en-US"/>
              </w:rPr>
              <w:t>7 September 2017</w:t>
            </w:r>
          </w:p>
          <w:p w14:paraId="76184811" w14:textId="03401062" w:rsidR="00C65EDB" w:rsidRPr="00C65EDB" w:rsidRDefault="00C65EDB" w:rsidP="00D15A00">
            <w:pPr>
              <w:keepLines/>
              <w:spacing w:line="200" w:lineRule="atLeast"/>
              <w:rPr>
                <w:rFonts w:asciiTheme="minorHAnsi" w:eastAsia="Times New Roman" w:hAnsiTheme="minorHAnsi"/>
                <w:b w:val="0"/>
                <w:iCs/>
                <w:szCs w:val="17"/>
                <w:lang w:eastAsia="en-US"/>
              </w:rPr>
            </w:pPr>
          </w:p>
        </w:tc>
        <w:tc>
          <w:tcPr>
            <w:tcW w:w="1671" w:type="dxa"/>
          </w:tcPr>
          <w:p w14:paraId="05B918E9" w14:textId="77777777" w:rsidR="00AF1B85"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p w14:paraId="1C91AA1E" w14:textId="055F756B" w:rsidR="00C65EDB" w:rsidRPr="00C65EDB" w:rsidRDefault="00FB19F5" w:rsidP="00D15A00">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w:t>
            </w:r>
          </w:p>
        </w:tc>
        <w:tc>
          <w:tcPr>
            <w:tcW w:w="2365" w:type="dxa"/>
          </w:tcPr>
          <w:p w14:paraId="5C50AD25" w14:textId="77777777" w:rsidR="00AF1B85"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p w14:paraId="4A003FE3" w14:textId="77777777" w:rsidR="00C65EDB" w:rsidRPr="00C65EDB" w:rsidRDefault="00C65EDB" w:rsidP="00D15A00">
            <w:pPr>
              <w:keepLines/>
              <w:spacing w:line="200" w:lineRule="atLeast"/>
              <w:rPr>
                <w:rFonts w:asciiTheme="minorHAnsi" w:eastAsia="Times New Roman" w:hAnsiTheme="minorHAnsi"/>
                <w:b w:val="0"/>
                <w:iCs/>
                <w:szCs w:val="17"/>
                <w:lang w:eastAsia="en-US"/>
              </w:rPr>
            </w:pPr>
          </w:p>
          <w:p w14:paraId="65B73DFA" w14:textId="6B610707" w:rsidR="00C65EDB" w:rsidRPr="00C65EDB" w:rsidRDefault="00C65EDB" w:rsidP="00D15A00">
            <w:pPr>
              <w:keepLines/>
              <w:spacing w:line="200" w:lineRule="atLeast"/>
              <w:rPr>
                <w:rFonts w:asciiTheme="minorHAnsi" w:eastAsia="Times New Roman" w:hAnsiTheme="minorHAnsi"/>
                <w:b w:val="0"/>
                <w:iCs/>
                <w:szCs w:val="17"/>
                <w:lang w:eastAsia="en-US"/>
              </w:rPr>
            </w:pPr>
            <w:r w:rsidRPr="00C65EDB">
              <w:rPr>
                <w:rFonts w:asciiTheme="minorHAnsi" w:eastAsia="Times New Roman" w:hAnsiTheme="minorHAnsi"/>
                <w:b w:val="0"/>
                <w:iCs/>
                <w:szCs w:val="17"/>
                <w:lang w:eastAsia="en-US"/>
              </w:rPr>
              <w:t xml:space="preserve">Scheduled for </w:t>
            </w:r>
            <w:r w:rsidR="00FB19F5">
              <w:rPr>
                <w:rFonts w:asciiTheme="minorHAnsi" w:eastAsia="Times New Roman" w:hAnsiTheme="minorHAnsi"/>
                <w:b w:val="0"/>
                <w:iCs/>
                <w:szCs w:val="17"/>
                <w:lang w:eastAsia="en-US"/>
              </w:rPr>
              <w:t>September</w:t>
            </w:r>
            <w:r w:rsidRPr="00C65EDB">
              <w:rPr>
                <w:rFonts w:asciiTheme="minorHAnsi" w:eastAsia="Times New Roman" w:hAnsiTheme="minorHAnsi"/>
                <w:b w:val="0"/>
                <w:iCs/>
                <w:szCs w:val="17"/>
                <w:lang w:eastAsia="en-US"/>
              </w:rPr>
              <w:t xml:space="preserve"> 2017</w:t>
            </w:r>
          </w:p>
          <w:p w14:paraId="1B37F0C8" w14:textId="2B43DE63" w:rsidR="00C65EDB" w:rsidRPr="00812509" w:rsidRDefault="00C65EDB" w:rsidP="00D15A00">
            <w:pPr>
              <w:keepLines/>
              <w:spacing w:line="200" w:lineRule="atLeast"/>
              <w:rPr>
                <w:rFonts w:asciiTheme="minorHAnsi" w:eastAsia="Times New Roman" w:hAnsiTheme="minorHAnsi"/>
                <w:iCs/>
                <w:szCs w:val="17"/>
                <w:lang w:eastAsia="en-US"/>
              </w:rPr>
            </w:pPr>
          </w:p>
        </w:tc>
      </w:tr>
    </w:tbl>
    <w:p w14:paraId="0A9A7180"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207350BC" w14:textId="77777777" w:rsidTr="005E606B">
        <w:tc>
          <w:tcPr>
            <w:tcW w:w="2444" w:type="dxa"/>
          </w:tcPr>
          <w:p w14:paraId="6200F7BE"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5A2D0F5C"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0DB32660"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2CD3DE35"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57006CF9"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46615E81"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14:paraId="4C459CA0" w14:textId="77777777" w:rsidTr="005E606B">
        <w:tc>
          <w:tcPr>
            <w:tcW w:w="2444" w:type="dxa"/>
          </w:tcPr>
          <w:p w14:paraId="02ECF5EC" w14:textId="77777777" w:rsidR="00AF1B85" w:rsidRPr="00812509" w:rsidRDefault="00986FB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2356" w:type="dxa"/>
          </w:tcPr>
          <w:p w14:paraId="57A305FF" w14:textId="77777777" w:rsidR="00986FBE" w:rsidRPr="00812509" w:rsidRDefault="00986FBE" w:rsidP="00986FBE">
            <w:pPr>
              <w:keepLines/>
              <w:spacing w:before="40" w:after="40" w:line="200" w:lineRule="atLeast"/>
              <w:rPr>
                <w:rFonts w:asciiTheme="minorHAnsi" w:eastAsia="Times New Roman" w:hAnsiTheme="minorHAnsi"/>
                <w:iCs/>
                <w:szCs w:val="17"/>
                <w:lang w:eastAsia="en-US"/>
              </w:rPr>
            </w:pPr>
          </w:p>
          <w:p w14:paraId="2429E860"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2042" w:type="dxa"/>
          </w:tcPr>
          <w:p w14:paraId="76C46218"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2208" w:type="dxa"/>
          </w:tcPr>
          <w:p w14:paraId="66F42DE6" w14:textId="77777777" w:rsidR="00AF1B85" w:rsidRPr="00812509" w:rsidRDefault="00AF1B85" w:rsidP="00986FB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w:t>
            </w:r>
          </w:p>
        </w:tc>
        <w:tc>
          <w:tcPr>
            <w:tcW w:w="2325" w:type="dxa"/>
          </w:tcPr>
          <w:p w14:paraId="4091C212" w14:textId="77777777" w:rsidR="00AF1B85" w:rsidRPr="00986FBE" w:rsidRDefault="00AF1B85" w:rsidP="00986FB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w:t>
            </w:r>
          </w:p>
        </w:tc>
        <w:tc>
          <w:tcPr>
            <w:tcW w:w="2740" w:type="dxa"/>
          </w:tcPr>
          <w:p w14:paraId="32CF0D7F" w14:textId="77777777" w:rsidR="00AF1B85" w:rsidRPr="00812509" w:rsidRDefault="00AF1B85" w:rsidP="00986FBE">
            <w:pPr>
              <w:keepLines/>
              <w:spacing w:before="40" w:after="40" w:line="200" w:lineRule="atLeast"/>
              <w:rPr>
                <w:rFonts w:asciiTheme="minorHAnsi" w:eastAsia="Times New Roman" w:hAnsiTheme="minorHAnsi"/>
                <w:iCs/>
                <w:szCs w:val="17"/>
                <w:lang w:eastAsia="en-US"/>
              </w:rPr>
            </w:pPr>
          </w:p>
        </w:tc>
      </w:tr>
    </w:tbl>
    <w:p w14:paraId="259677A6" w14:textId="77777777" w:rsidR="0059146A" w:rsidRPr="0059146A" w:rsidRDefault="0059146A" w:rsidP="005B5769">
      <w:pPr>
        <w:pStyle w:val="ListBullet"/>
        <w:tabs>
          <w:tab w:val="clear" w:pos="284"/>
        </w:tabs>
      </w:pPr>
    </w:p>
    <w:p w14:paraId="1878E6C3" w14:textId="77777777" w:rsidR="0059146A" w:rsidRDefault="0059146A" w:rsidP="005B5769">
      <w:pPr>
        <w:pStyle w:val="ListBullet"/>
        <w:tabs>
          <w:tab w:val="clear" w:pos="284"/>
        </w:tabs>
      </w:pPr>
    </w:p>
    <w:p w14:paraId="713976F1" w14:textId="77777777" w:rsidR="005E606B" w:rsidRDefault="005E606B" w:rsidP="005B5769">
      <w:pPr>
        <w:pStyle w:val="ListBullet"/>
        <w:tabs>
          <w:tab w:val="clear" w:pos="284"/>
        </w:tabs>
        <w:sectPr w:rsidR="005E606B" w:rsidSect="00D2653F">
          <w:headerReference w:type="default" r:id="rId33"/>
          <w:headerReference w:type="first" r:id="rId34"/>
          <w:pgSz w:w="16838" w:h="11906" w:orient="landscape" w:code="9"/>
          <w:pgMar w:top="1134" w:right="1952" w:bottom="1134" w:left="851" w:header="1107" w:footer="567" w:gutter="0"/>
          <w:cols w:space="397"/>
          <w:docGrid w:linePitch="360"/>
        </w:sectPr>
      </w:pPr>
    </w:p>
    <w:p w14:paraId="4494ECEB" w14:textId="77777777" w:rsidR="0059146A" w:rsidRDefault="0059146A" w:rsidP="005B5769">
      <w:pPr>
        <w:pStyle w:val="ListBullet"/>
        <w:tabs>
          <w:tab w:val="clear" w:pos="284"/>
        </w:tabs>
      </w:pPr>
    </w:p>
    <w:p w14:paraId="742DA480" w14:textId="77777777" w:rsidR="00463293" w:rsidRDefault="005E606B" w:rsidP="00463293">
      <w:pPr>
        <w:pStyle w:val="Subtitle"/>
      </w:pPr>
      <w:r w:rsidRPr="00A8197B">
        <w:t xml:space="preserve">Annex </w:t>
      </w:r>
      <w:r w:rsidR="00184F1E">
        <w:t>D</w:t>
      </w:r>
      <w:r w:rsidRPr="00A8197B">
        <w:t xml:space="preserve"> - Aid Quality Check ratings</w:t>
      </w:r>
    </w:p>
    <w:p w14:paraId="7F602A1F" w14:textId="77777777" w:rsidR="00463293" w:rsidRDefault="00463293" w:rsidP="00463293">
      <w:pPr>
        <w:pStyle w:val="Subtitle"/>
        <w:rPr>
          <w:rFonts w:asciiTheme="majorHAnsi" w:hAnsiTheme="majorHAnsi"/>
          <w:caps w:val="0"/>
          <w:szCs w:val="26"/>
        </w:rPr>
      </w:pPr>
    </w:p>
    <w:p w14:paraId="7F18501C" w14:textId="36592BB1" w:rsidR="005E606B" w:rsidRDefault="005E606B" w:rsidP="002B2E01">
      <w:pPr>
        <w:pStyle w:val="Subtitle"/>
        <w:spacing w:after="120" w:line="240" w:lineRule="auto"/>
        <w:rPr>
          <w:sz w:val="24"/>
        </w:rPr>
      </w:pPr>
      <w:r w:rsidRPr="00463293">
        <w:rPr>
          <w:sz w:val="24"/>
        </w:rPr>
        <w:t xml:space="preserve">AQC </w:t>
      </w:r>
      <w:r w:rsidR="00463293">
        <w:rPr>
          <w:sz w:val="24"/>
        </w:rPr>
        <w:t xml:space="preserve">- </w:t>
      </w:r>
      <w:r w:rsidRPr="00463293">
        <w:rPr>
          <w:sz w:val="24"/>
        </w:rPr>
        <w:t xml:space="preserve">investment performance over the previous 12 months </w:t>
      </w:r>
    </w:p>
    <w:tbl>
      <w:tblPr>
        <w:tblW w:w="9300" w:type="dxa"/>
        <w:tblLook w:val="04A0" w:firstRow="1" w:lastRow="0" w:firstColumn="1" w:lastColumn="0" w:noHBand="0" w:noVBand="1"/>
      </w:tblPr>
      <w:tblGrid>
        <w:gridCol w:w="2200"/>
        <w:gridCol w:w="960"/>
        <w:gridCol w:w="960"/>
        <w:gridCol w:w="740"/>
        <w:gridCol w:w="740"/>
        <w:gridCol w:w="740"/>
        <w:gridCol w:w="740"/>
        <w:gridCol w:w="740"/>
        <w:gridCol w:w="740"/>
        <w:gridCol w:w="740"/>
      </w:tblGrid>
      <w:tr w:rsidR="002B2E01" w:rsidRPr="002B2E01" w14:paraId="7F9BF08F" w14:textId="77777777" w:rsidTr="002B2E01">
        <w:trPr>
          <w:trHeight w:val="1305"/>
        </w:trPr>
        <w:tc>
          <w:tcPr>
            <w:tcW w:w="2200" w:type="dxa"/>
            <w:tcBorders>
              <w:top w:val="single" w:sz="12" w:space="0" w:color="000000"/>
              <w:left w:val="nil"/>
              <w:bottom w:val="single" w:sz="8" w:space="0" w:color="auto"/>
              <w:right w:val="nil"/>
            </w:tcBorders>
            <w:shd w:val="clear" w:color="auto" w:fill="auto"/>
            <w:vAlign w:val="center"/>
            <w:hideMark/>
          </w:tcPr>
          <w:p w14:paraId="3DF3C723" w14:textId="2CA5AE30" w:rsidR="002B2E01" w:rsidRPr="002B2E01" w:rsidRDefault="002B2E01" w:rsidP="002B2E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76672" behindDoc="0" locked="0" layoutInCell="1" allowOverlap="1" wp14:anchorId="0F25F34F" wp14:editId="711779B9">
                  <wp:simplePos x="0" y="0"/>
                  <wp:positionH relativeFrom="column">
                    <wp:posOffset>0</wp:posOffset>
                  </wp:positionH>
                  <wp:positionV relativeFrom="paragraph">
                    <wp:posOffset>0</wp:posOffset>
                  </wp:positionV>
                  <wp:extent cx="2638425" cy="228600"/>
                  <wp:effectExtent l="0" t="0" r="0" b="0"/>
                  <wp:wrapNone/>
                  <wp:docPr id="3" name="Picture 3"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B2E01">
              <w:rPr>
                <w:rFonts w:ascii="Calibri Light" w:eastAsia="Times New Roman" w:hAnsi="Calibri Light" w:cs="Times New Roman"/>
                <w:b/>
                <w:bCs/>
                <w:iCs/>
                <w:color w:val="495965"/>
                <w:sz w:val="17"/>
                <w:szCs w:val="17"/>
                <w:lang w:eastAsia="en-AU"/>
              </w:rPr>
              <w:t>Investment name</w:t>
            </w:r>
          </w:p>
        </w:tc>
        <w:tc>
          <w:tcPr>
            <w:tcW w:w="960" w:type="dxa"/>
            <w:tcBorders>
              <w:top w:val="single" w:sz="12" w:space="0" w:color="000000"/>
              <w:left w:val="nil"/>
              <w:bottom w:val="single" w:sz="8" w:space="0" w:color="auto"/>
              <w:right w:val="nil"/>
            </w:tcBorders>
            <w:shd w:val="clear" w:color="auto" w:fill="auto"/>
            <w:vAlign w:val="center"/>
            <w:hideMark/>
          </w:tcPr>
          <w:p w14:paraId="4C2B4E59" w14:textId="77777777" w:rsidR="002B2E01" w:rsidRPr="002B2E01" w:rsidRDefault="002B2E01" w:rsidP="002B2E01">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8" w:space="0" w:color="auto"/>
              <w:right w:val="nil"/>
            </w:tcBorders>
            <w:shd w:val="clear" w:color="auto" w:fill="auto"/>
            <w:vAlign w:val="center"/>
            <w:hideMark/>
          </w:tcPr>
          <w:p w14:paraId="346994DC" w14:textId="77777777" w:rsidR="002B2E01" w:rsidRPr="002B2E01" w:rsidRDefault="002B2E01" w:rsidP="002B2E01">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color w:val="495965"/>
                <w:sz w:val="17"/>
                <w:szCs w:val="17"/>
                <w:lang w:eastAsia="en-AU"/>
              </w:rPr>
              <w:t>year on year</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51807E4F" w14:textId="77777777" w:rsidR="002B2E01" w:rsidRPr="002B2E01" w:rsidRDefault="002B2E01" w:rsidP="002B2E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color w:val="495965"/>
                <w:sz w:val="17"/>
                <w:szCs w:val="17"/>
                <w:lang w:eastAsia="en-AU"/>
              </w:rPr>
              <w:t>Relevance</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497A73FE" w14:textId="77777777" w:rsidR="002B2E01" w:rsidRPr="002B2E01" w:rsidRDefault="002B2E01" w:rsidP="002B2E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color w:val="495965"/>
                <w:sz w:val="17"/>
                <w:szCs w:val="17"/>
                <w:lang w:eastAsia="en-AU"/>
              </w:rPr>
              <w:t>Effectiveness</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79C0A233" w14:textId="77777777" w:rsidR="002B2E01" w:rsidRPr="002B2E01" w:rsidRDefault="002B2E01" w:rsidP="002B2E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color w:val="495965"/>
                <w:sz w:val="17"/>
                <w:szCs w:val="17"/>
                <w:lang w:eastAsia="en-AU"/>
              </w:rPr>
              <w:t>Efficiency</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6E1B70F1" w14:textId="77777777" w:rsidR="002B2E01" w:rsidRPr="002B2E01" w:rsidRDefault="002B2E01" w:rsidP="002B2E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color w:val="495965"/>
                <w:sz w:val="17"/>
                <w:szCs w:val="17"/>
                <w:lang w:eastAsia="en-AU"/>
              </w:rPr>
              <w:t>Monitoring and Evaluation</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2DC8B57A" w14:textId="77777777" w:rsidR="002B2E01" w:rsidRPr="002B2E01" w:rsidRDefault="002B2E01" w:rsidP="002B2E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color w:val="495965"/>
                <w:sz w:val="17"/>
                <w:szCs w:val="17"/>
                <w:lang w:eastAsia="en-AU"/>
              </w:rPr>
              <w:t>Sustainability</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07E6E0C4" w14:textId="77777777" w:rsidR="002B2E01" w:rsidRPr="002B2E01" w:rsidRDefault="002B2E01" w:rsidP="002B2E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color w:val="495965"/>
                <w:sz w:val="17"/>
                <w:szCs w:val="17"/>
                <w:lang w:eastAsia="en-AU"/>
              </w:rPr>
              <w:t>Gender equality</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3F4971B5" w14:textId="77777777" w:rsidR="002B2E01" w:rsidRPr="002B2E01" w:rsidRDefault="002B2E01" w:rsidP="002B2E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2B2E01">
              <w:rPr>
                <w:rFonts w:ascii="Calibri Light" w:eastAsia="Times New Roman" w:hAnsi="Calibri Light" w:cs="Times New Roman"/>
                <w:b/>
                <w:bCs/>
                <w:iCs/>
                <w:color w:val="495965"/>
                <w:sz w:val="17"/>
                <w:szCs w:val="17"/>
                <w:lang w:eastAsia="en-AU"/>
              </w:rPr>
              <w:t>Risks  and Safeguards</w:t>
            </w:r>
          </w:p>
        </w:tc>
      </w:tr>
      <w:tr w:rsidR="002B2E01" w:rsidRPr="002B2E01" w14:paraId="58D7163F" w14:textId="77777777" w:rsidTr="002B2E01">
        <w:trPr>
          <w:trHeight w:val="675"/>
        </w:trPr>
        <w:tc>
          <w:tcPr>
            <w:tcW w:w="2200" w:type="dxa"/>
            <w:tcBorders>
              <w:top w:val="nil"/>
              <w:left w:val="nil"/>
              <w:bottom w:val="nil"/>
              <w:right w:val="nil"/>
            </w:tcBorders>
            <w:shd w:val="clear" w:color="auto" w:fill="auto"/>
            <w:vAlign w:val="center"/>
            <w:hideMark/>
          </w:tcPr>
          <w:p w14:paraId="1C68ACEA" w14:textId="77777777" w:rsidR="002B2E01" w:rsidRPr="002B2E01" w:rsidRDefault="002B2E01" w:rsidP="002B2E01">
            <w:pPr>
              <w:suppressAutoHyphens w:val="0"/>
              <w:spacing w:before="0" w:after="0" w:line="240" w:lineRule="auto"/>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INL608- Palestinian Farmers Connecting to Market (AMENCA 3)</w:t>
            </w:r>
          </w:p>
        </w:tc>
        <w:tc>
          <w:tcPr>
            <w:tcW w:w="960" w:type="dxa"/>
            <w:tcBorders>
              <w:top w:val="nil"/>
              <w:left w:val="nil"/>
              <w:bottom w:val="nil"/>
              <w:right w:val="nil"/>
            </w:tcBorders>
            <w:shd w:val="clear" w:color="auto" w:fill="auto"/>
            <w:vAlign w:val="center"/>
            <w:hideMark/>
          </w:tcPr>
          <w:p w14:paraId="76BE565C"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2B2E01">
              <w:rPr>
                <w:rFonts w:ascii="Calibri Light" w:eastAsia="Times New Roman" w:hAnsi="Calibri Light" w:cs="Times New Roman"/>
                <w:color w:val="000000"/>
                <w:sz w:val="17"/>
                <w:szCs w:val="17"/>
                <w:lang w:eastAsia="en-AU"/>
              </w:rPr>
              <w:t xml:space="preserve">$28.3m </w:t>
            </w:r>
          </w:p>
        </w:tc>
        <w:tc>
          <w:tcPr>
            <w:tcW w:w="960" w:type="dxa"/>
            <w:tcBorders>
              <w:top w:val="nil"/>
              <w:left w:val="nil"/>
              <w:bottom w:val="nil"/>
              <w:right w:val="nil"/>
            </w:tcBorders>
            <w:shd w:val="clear" w:color="auto" w:fill="auto"/>
            <w:vAlign w:val="center"/>
            <w:hideMark/>
          </w:tcPr>
          <w:p w14:paraId="7F0400F4" w14:textId="77777777" w:rsidR="002B2E01" w:rsidRPr="002B2E01" w:rsidRDefault="002B2E01" w:rsidP="002B2E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2017 AQC</w:t>
            </w:r>
          </w:p>
        </w:tc>
        <w:tc>
          <w:tcPr>
            <w:tcW w:w="740" w:type="dxa"/>
            <w:tcBorders>
              <w:top w:val="nil"/>
              <w:left w:val="nil"/>
              <w:bottom w:val="nil"/>
              <w:right w:val="nil"/>
            </w:tcBorders>
            <w:shd w:val="clear" w:color="000000" w:fill="FFFF00"/>
            <w:noWrap/>
            <w:vAlign w:val="center"/>
            <w:hideMark/>
          </w:tcPr>
          <w:p w14:paraId="57A58275"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038A990D"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771E3354"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5CA412C7"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1D714079"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1CC3362E"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vAlign w:val="center"/>
            <w:hideMark/>
          </w:tcPr>
          <w:p w14:paraId="08023C7C"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4</w:t>
            </w:r>
          </w:p>
        </w:tc>
      </w:tr>
      <w:tr w:rsidR="002B2E01" w:rsidRPr="002B2E01" w14:paraId="396F3ECC" w14:textId="77777777" w:rsidTr="002B2E01">
        <w:trPr>
          <w:trHeight w:val="315"/>
        </w:trPr>
        <w:tc>
          <w:tcPr>
            <w:tcW w:w="2200" w:type="dxa"/>
            <w:tcBorders>
              <w:top w:val="nil"/>
              <w:left w:val="nil"/>
              <w:bottom w:val="single" w:sz="8" w:space="0" w:color="auto"/>
              <w:right w:val="nil"/>
            </w:tcBorders>
            <w:shd w:val="clear" w:color="auto" w:fill="auto"/>
            <w:vAlign w:val="center"/>
            <w:hideMark/>
          </w:tcPr>
          <w:p w14:paraId="4E7D4760" w14:textId="77777777" w:rsidR="002B2E01" w:rsidRPr="002B2E01" w:rsidRDefault="002B2E01" w:rsidP="002B2E01">
            <w:pPr>
              <w:suppressAutoHyphens w:val="0"/>
              <w:spacing w:before="0" w:after="0" w:line="240" w:lineRule="auto"/>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37281B92"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 xml:space="preserve">2016-21 </w:t>
            </w:r>
          </w:p>
        </w:tc>
        <w:tc>
          <w:tcPr>
            <w:tcW w:w="960" w:type="dxa"/>
            <w:tcBorders>
              <w:top w:val="nil"/>
              <w:left w:val="nil"/>
              <w:bottom w:val="single" w:sz="8" w:space="0" w:color="auto"/>
              <w:right w:val="nil"/>
            </w:tcBorders>
            <w:shd w:val="clear" w:color="auto" w:fill="auto"/>
            <w:vAlign w:val="center"/>
            <w:hideMark/>
          </w:tcPr>
          <w:p w14:paraId="18B686E2" w14:textId="77777777" w:rsidR="002B2E01" w:rsidRPr="002B2E01" w:rsidRDefault="002B2E01" w:rsidP="002B2E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2016 AQC</w:t>
            </w:r>
          </w:p>
        </w:tc>
        <w:tc>
          <w:tcPr>
            <w:tcW w:w="740" w:type="dxa"/>
            <w:tcBorders>
              <w:top w:val="nil"/>
              <w:left w:val="nil"/>
              <w:bottom w:val="single" w:sz="8" w:space="0" w:color="auto"/>
              <w:right w:val="nil"/>
            </w:tcBorders>
            <w:shd w:val="clear" w:color="auto" w:fill="auto"/>
            <w:noWrap/>
            <w:vAlign w:val="center"/>
            <w:hideMark/>
          </w:tcPr>
          <w:p w14:paraId="2D615396"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single" w:sz="8" w:space="0" w:color="auto"/>
              <w:right w:val="nil"/>
            </w:tcBorders>
            <w:shd w:val="clear" w:color="auto" w:fill="auto"/>
            <w:noWrap/>
            <w:vAlign w:val="center"/>
            <w:hideMark/>
          </w:tcPr>
          <w:p w14:paraId="09D05FE9"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single" w:sz="8" w:space="0" w:color="auto"/>
              <w:right w:val="nil"/>
            </w:tcBorders>
            <w:shd w:val="clear" w:color="auto" w:fill="auto"/>
            <w:noWrap/>
            <w:vAlign w:val="center"/>
            <w:hideMark/>
          </w:tcPr>
          <w:p w14:paraId="19FC2CE3"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single" w:sz="8" w:space="0" w:color="auto"/>
              <w:right w:val="nil"/>
            </w:tcBorders>
            <w:shd w:val="clear" w:color="auto" w:fill="auto"/>
            <w:noWrap/>
            <w:vAlign w:val="center"/>
            <w:hideMark/>
          </w:tcPr>
          <w:p w14:paraId="7A52BFA0"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single" w:sz="8" w:space="0" w:color="auto"/>
              <w:right w:val="nil"/>
            </w:tcBorders>
            <w:shd w:val="clear" w:color="auto" w:fill="auto"/>
            <w:noWrap/>
            <w:vAlign w:val="center"/>
            <w:hideMark/>
          </w:tcPr>
          <w:p w14:paraId="538E620C"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single" w:sz="8" w:space="0" w:color="auto"/>
              <w:right w:val="nil"/>
            </w:tcBorders>
            <w:shd w:val="clear" w:color="auto" w:fill="auto"/>
            <w:noWrap/>
            <w:vAlign w:val="center"/>
            <w:hideMark/>
          </w:tcPr>
          <w:p w14:paraId="18544931"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single" w:sz="8" w:space="0" w:color="auto"/>
              <w:right w:val="nil"/>
            </w:tcBorders>
            <w:shd w:val="clear" w:color="auto" w:fill="auto"/>
            <w:vAlign w:val="center"/>
            <w:hideMark/>
          </w:tcPr>
          <w:p w14:paraId="7488A6AD"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r>
      <w:tr w:rsidR="002B2E01" w:rsidRPr="002B2E01" w14:paraId="21C33E1A" w14:textId="77777777" w:rsidTr="002B2E01">
        <w:trPr>
          <w:trHeight w:val="450"/>
        </w:trPr>
        <w:tc>
          <w:tcPr>
            <w:tcW w:w="2200" w:type="dxa"/>
            <w:tcBorders>
              <w:top w:val="nil"/>
              <w:left w:val="nil"/>
              <w:bottom w:val="nil"/>
              <w:right w:val="nil"/>
            </w:tcBorders>
            <w:shd w:val="clear" w:color="auto" w:fill="auto"/>
            <w:vAlign w:val="center"/>
            <w:hideMark/>
          </w:tcPr>
          <w:p w14:paraId="7BC8ED00" w14:textId="77777777" w:rsidR="002B2E01" w:rsidRPr="002B2E01" w:rsidRDefault="002B2E01" w:rsidP="002B2E01">
            <w:pPr>
              <w:suppressAutoHyphens w:val="0"/>
              <w:spacing w:before="0" w:after="0" w:line="240" w:lineRule="auto"/>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INK397- UNICEF WASH in Palestinian schools</w:t>
            </w:r>
          </w:p>
        </w:tc>
        <w:tc>
          <w:tcPr>
            <w:tcW w:w="960" w:type="dxa"/>
            <w:tcBorders>
              <w:top w:val="nil"/>
              <w:left w:val="nil"/>
              <w:bottom w:val="nil"/>
              <w:right w:val="nil"/>
            </w:tcBorders>
            <w:shd w:val="clear" w:color="auto" w:fill="auto"/>
            <w:vAlign w:val="center"/>
            <w:hideMark/>
          </w:tcPr>
          <w:p w14:paraId="6639117C"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2B2E01">
              <w:rPr>
                <w:rFonts w:ascii="Calibri Light" w:eastAsia="Times New Roman" w:hAnsi="Calibri Light" w:cs="Times New Roman"/>
                <w:color w:val="000000"/>
                <w:sz w:val="17"/>
                <w:szCs w:val="17"/>
                <w:lang w:eastAsia="en-AU"/>
              </w:rPr>
              <w:t>$15.1m</w:t>
            </w:r>
          </w:p>
        </w:tc>
        <w:tc>
          <w:tcPr>
            <w:tcW w:w="960" w:type="dxa"/>
            <w:tcBorders>
              <w:top w:val="nil"/>
              <w:left w:val="nil"/>
              <w:bottom w:val="nil"/>
              <w:right w:val="nil"/>
            </w:tcBorders>
            <w:shd w:val="clear" w:color="auto" w:fill="auto"/>
            <w:vAlign w:val="center"/>
            <w:hideMark/>
          </w:tcPr>
          <w:p w14:paraId="36609EE2" w14:textId="77777777" w:rsidR="002B2E01" w:rsidRPr="002B2E01" w:rsidRDefault="002B2E01" w:rsidP="002B2E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2017 AQC</w:t>
            </w:r>
          </w:p>
        </w:tc>
        <w:tc>
          <w:tcPr>
            <w:tcW w:w="740" w:type="dxa"/>
            <w:tcBorders>
              <w:top w:val="nil"/>
              <w:left w:val="nil"/>
              <w:bottom w:val="nil"/>
              <w:right w:val="nil"/>
            </w:tcBorders>
            <w:shd w:val="clear" w:color="auto" w:fill="auto"/>
            <w:noWrap/>
            <w:vAlign w:val="center"/>
            <w:hideMark/>
          </w:tcPr>
          <w:p w14:paraId="33BC1FF7"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nil"/>
              <w:right w:val="nil"/>
            </w:tcBorders>
            <w:shd w:val="clear" w:color="auto" w:fill="auto"/>
            <w:noWrap/>
            <w:vAlign w:val="center"/>
            <w:hideMark/>
          </w:tcPr>
          <w:p w14:paraId="532314BB"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nil"/>
              <w:right w:val="nil"/>
            </w:tcBorders>
            <w:shd w:val="clear" w:color="auto" w:fill="auto"/>
            <w:noWrap/>
            <w:vAlign w:val="center"/>
            <w:hideMark/>
          </w:tcPr>
          <w:p w14:paraId="03DF2726"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nil"/>
              <w:right w:val="nil"/>
            </w:tcBorders>
            <w:shd w:val="clear" w:color="auto" w:fill="auto"/>
            <w:noWrap/>
            <w:vAlign w:val="center"/>
            <w:hideMark/>
          </w:tcPr>
          <w:p w14:paraId="22ED8EC9"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nil"/>
              <w:right w:val="nil"/>
            </w:tcBorders>
            <w:shd w:val="clear" w:color="auto" w:fill="auto"/>
            <w:noWrap/>
            <w:vAlign w:val="center"/>
            <w:hideMark/>
          </w:tcPr>
          <w:p w14:paraId="0E8B6E6B"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nil"/>
              <w:right w:val="nil"/>
            </w:tcBorders>
            <w:shd w:val="clear" w:color="auto" w:fill="auto"/>
            <w:noWrap/>
            <w:vAlign w:val="center"/>
            <w:hideMark/>
          </w:tcPr>
          <w:p w14:paraId="1617B798"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c>
          <w:tcPr>
            <w:tcW w:w="740" w:type="dxa"/>
            <w:tcBorders>
              <w:top w:val="nil"/>
              <w:left w:val="nil"/>
              <w:bottom w:val="nil"/>
              <w:right w:val="nil"/>
            </w:tcBorders>
            <w:shd w:val="clear" w:color="auto" w:fill="auto"/>
            <w:vAlign w:val="center"/>
            <w:hideMark/>
          </w:tcPr>
          <w:p w14:paraId="26EB08F4"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n/a</w:t>
            </w:r>
          </w:p>
        </w:tc>
      </w:tr>
      <w:tr w:rsidR="002B2E01" w:rsidRPr="002B2E01" w14:paraId="6169A133" w14:textId="77777777" w:rsidTr="002B2E01">
        <w:trPr>
          <w:trHeight w:val="315"/>
        </w:trPr>
        <w:tc>
          <w:tcPr>
            <w:tcW w:w="2200" w:type="dxa"/>
            <w:tcBorders>
              <w:top w:val="nil"/>
              <w:left w:val="nil"/>
              <w:bottom w:val="single" w:sz="12" w:space="0" w:color="000000"/>
              <w:right w:val="nil"/>
            </w:tcBorders>
            <w:shd w:val="clear" w:color="auto" w:fill="auto"/>
            <w:vAlign w:val="center"/>
            <w:hideMark/>
          </w:tcPr>
          <w:p w14:paraId="5A322D88" w14:textId="77777777" w:rsidR="002B2E01" w:rsidRPr="002B2E01" w:rsidRDefault="002B2E01" w:rsidP="002B2E01">
            <w:pPr>
              <w:suppressAutoHyphens w:val="0"/>
              <w:spacing w:before="0" w:after="0" w:line="240" w:lineRule="auto"/>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14:paraId="52099C30"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 xml:space="preserve">2011-17 </w:t>
            </w:r>
          </w:p>
        </w:tc>
        <w:tc>
          <w:tcPr>
            <w:tcW w:w="960" w:type="dxa"/>
            <w:tcBorders>
              <w:top w:val="nil"/>
              <w:left w:val="nil"/>
              <w:bottom w:val="single" w:sz="12" w:space="0" w:color="000000"/>
              <w:right w:val="nil"/>
            </w:tcBorders>
            <w:shd w:val="clear" w:color="auto" w:fill="auto"/>
            <w:vAlign w:val="center"/>
            <w:hideMark/>
          </w:tcPr>
          <w:p w14:paraId="55B9B8D9" w14:textId="77777777" w:rsidR="002B2E01" w:rsidRPr="002B2E01" w:rsidRDefault="002B2E01" w:rsidP="002B2E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2016 AQC</w:t>
            </w:r>
          </w:p>
        </w:tc>
        <w:tc>
          <w:tcPr>
            <w:tcW w:w="740" w:type="dxa"/>
            <w:tcBorders>
              <w:top w:val="nil"/>
              <w:left w:val="nil"/>
              <w:bottom w:val="single" w:sz="12" w:space="0" w:color="000000"/>
              <w:right w:val="nil"/>
            </w:tcBorders>
            <w:shd w:val="clear" w:color="000000" w:fill="92D050"/>
            <w:noWrap/>
            <w:vAlign w:val="center"/>
            <w:hideMark/>
          </w:tcPr>
          <w:p w14:paraId="50F54DC0"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5</w:t>
            </w:r>
          </w:p>
        </w:tc>
        <w:tc>
          <w:tcPr>
            <w:tcW w:w="740" w:type="dxa"/>
            <w:tcBorders>
              <w:top w:val="nil"/>
              <w:left w:val="nil"/>
              <w:bottom w:val="single" w:sz="12" w:space="0" w:color="000000"/>
              <w:right w:val="nil"/>
            </w:tcBorders>
            <w:shd w:val="clear" w:color="000000" w:fill="92D050"/>
            <w:noWrap/>
            <w:vAlign w:val="center"/>
            <w:hideMark/>
          </w:tcPr>
          <w:p w14:paraId="6DB48E52"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5</w:t>
            </w:r>
          </w:p>
        </w:tc>
        <w:tc>
          <w:tcPr>
            <w:tcW w:w="740" w:type="dxa"/>
            <w:tcBorders>
              <w:top w:val="nil"/>
              <w:left w:val="nil"/>
              <w:bottom w:val="single" w:sz="12" w:space="0" w:color="000000"/>
              <w:right w:val="nil"/>
            </w:tcBorders>
            <w:shd w:val="clear" w:color="000000" w:fill="92D050"/>
            <w:noWrap/>
            <w:vAlign w:val="center"/>
            <w:hideMark/>
          </w:tcPr>
          <w:p w14:paraId="42C4DC3F"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5</w:t>
            </w:r>
          </w:p>
        </w:tc>
        <w:tc>
          <w:tcPr>
            <w:tcW w:w="740" w:type="dxa"/>
            <w:tcBorders>
              <w:top w:val="nil"/>
              <w:left w:val="nil"/>
              <w:bottom w:val="single" w:sz="12" w:space="0" w:color="000000"/>
              <w:right w:val="nil"/>
            </w:tcBorders>
            <w:shd w:val="clear" w:color="000000" w:fill="92D050"/>
            <w:noWrap/>
            <w:vAlign w:val="center"/>
            <w:hideMark/>
          </w:tcPr>
          <w:p w14:paraId="15422B7D"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5</w:t>
            </w:r>
          </w:p>
        </w:tc>
        <w:tc>
          <w:tcPr>
            <w:tcW w:w="740" w:type="dxa"/>
            <w:tcBorders>
              <w:top w:val="nil"/>
              <w:left w:val="nil"/>
              <w:bottom w:val="single" w:sz="12" w:space="0" w:color="000000"/>
              <w:right w:val="nil"/>
            </w:tcBorders>
            <w:shd w:val="clear" w:color="000000" w:fill="92D050"/>
            <w:noWrap/>
            <w:vAlign w:val="center"/>
            <w:hideMark/>
          </w:tcPr>
          <w:p w14:paraId="268B22A5"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5</w:t>
            </w:r>
          </w:p>
        </w:tc>
        <w:tc>
          <w:tcPr>
            <w:tcW w:w="740" w:type="dxa"/>
            <w:tcBorders>
              <w:top w:val="nil"/>
              <w:left w:val="nil"/>
              <w:bottom w:val="single" w:sz="12" w:space="0" w:color="000000"/>
              <w:right w:val="nil"/>
            </w:tcBorders>
            <w:shd w:val="clear" w:color="000000" w:fill="92D050"/>
            <w:noWrap/>
            <w:vAlign w:val="center"/>
            <w:hideMark/>
          </w:tcPr>
          <w:p w14:paraId="42BCCB50"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5</w:t>
            </w:r>
          </w:p>
        </w:tc>
        <w:tc>
          <w:tcPr>
            <w:tcW w:w="740" w:type="dxa"/>
            <w:tcBorders>
              <w:top w:val="nil"/>
              <w:left w:val="nil"/>
              <w:bottom w:val="single" w:sz="12" w:space="0" w:color="000000"/>
              <w:right w:val="nil"/>
            </w:tcBorders>
            <w:shd w:val="clear" w:color="000000" w:fill="92D050"/>
            <w:vAlign w:val="center"/>
            <w:hideMark/>
          </w:tcPr>
          <w:p w14:paraId="5FD09ED1" w14:textId="77777777" w:rsidR="002B2E01" w:rsidRPr="002B2E01" w:rsidRDefault="002B2E01" w:rsidP="002B2E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2B2E01">
              <w:rPr>
                <w:rFonts w:ascii="Calibri Light" w:eastAsia="Times New Roman" w:hAnsi="Calibri Light" w:cs="Times New Roman"/>
                <w:iCs/>
                <w:color w:val="495965"/>
                <w:sz w:val="17"/>
                <w:szCs w:val="17"/>
                <w:lang w:eastAsia="en-AU"/>
              </w:rPr>
              <w:t>5</w:t>
            </w:r>
          </w:p>
        </w:tc>
      </w:tr>
    </w:tbl>
    <w:p w14:paraId="15EDE584" w14:textId="77777777" w:rsidR="002B2E01" w:rsidRPr="002B2E01" w:rsidRDefault="002B2E01" w:rsidP="002B2E01">
      <w:pPr>
        <w:spacing w:line="240" w:lineRule="auto"/>
      </w:pPr>
    </w:p>
    <w:p w14:paraId="362CC8F5" w14:textId="2899676B" w:rsidR="00A8197B" w:rsidRPr="00463293" w:rsidRDefault="00463293" w:rsidP="00463293">
      <w:pPr>
        <w:pStyle w:val="ListBullet"/>
        <w:tabs>
          <w:tab w:val="clear" w:pos="284"/>
        </w:tabs>
        <w:spacing w:before="400"/>
        <w:rPr>
          <w:rFonts w:asciiTheme="minorHAnsi" w:eastAsiaTheme="majorEastAsia" w:hAnsiTheme="minorHAnsi" w:cstheme="majorBidi"/>
          <w:bCs/>
          <w:iCs/>
          <w:caps/>
          <w:color w:val="495965" w:themeColor="text2"/>
          <w:spacing w:val="-10"/>
          <w:kern w:val="28"/>
          <w:sz w:val="24"/>
          <w:lang w:val="en-GB" w:eastAsia="en-US"/>
        </w:rPr>
      </w:pPr>
      <w:r w:rsidRPr="00463293">
        <w:rPr>
          <w:rFonts w:asciiTheme="minorHAnsi" w:eastAsiaTheme="majorEastAsia" w:hAnsiTheme="minorHAnsi" w:cstheme="majorBidi"/>
          <w:bCs/>
          <w:iCs/>
          <w:caps/>
          <w:color w:val="495965" w:themeColor="text2"/>
          <w:spacing w:val="-10"/>
          <w:kern w:val="28"/>
          <w:sz w:val="24"/>
          <w:lang w:val="en-GB" w:eastAsia="en-US"/>
        </w:rPr>
        <w:t xml:space="preserve">FAQC </w:t>
      </w:r>
      <w:r>
        <w:rPr>
          <w:rFonts w:asciiTheme="minorHAnsi" w:eastAsiaTheme="majorEastAsia" w:hAnsiTheme="minorHAnsi" w:cstheme="majorBidi"/>
          <w:bCs/>
          <w:iCs/>
          <w:caps/>
          <w:color w:val="495965" w:themeColor="text2"/>
          <w:spacing w:val="-10"/>
          <w:kern w:val="28"/>
          <w:sz w:val="24"/>
          <w:lang w:val="en-GB" w:eastAsia="en-US"/>
        </w:rPr>
        <w:t xml:space="preserve">- </w:t>
      </w:r>
      <w:r w:rsidR="00A8197B" w:rsidRPr="00463293">
        <w:rPr>
          <w:rFonts w:asciiTheme="minorHAnsi" w:eastAsiaTheme="majorEastAsia" w:hAnsiTheme="minorHAnsi" w:cstheme="majorBidi"/>
          <w:bCs/>
          <w:iCs/>
          <w:caps/>
          <w:color w:val="495965" w:themeColor="text2"/>
          <w:spacing w:val="-10"/>
          <w:kern w:val="28"/>
          <w:sz w:val="24"/>
          <w:lang w:val="en-GB" w:eastAsia="en-US"/>
        </w:rPr>
        <w:t xml:space="preserve">assess performance over the lifetime of the investment </w:t>
      </w:r>
    </w:p>
    <w:tbl>
      <w:tblPr>
        <w:tblStyle w:val="APPR"/>
        <w:tblW w:w="5000" w:type="pct"/>
        <w:tblLook w:val="0000" w:firstRow="0" w:lastRow="0" w:firstColumn="0" w:lastColumn="0" w:noHBand="0" w:noVBand="0"/>
      </w:tblPr>
      <w:tblGrid>
        <w:gridCol w:w="1769"/>
        <w:gridCol w:w="1490"/>
        <w:gridCol w:w="618"/>
        <w:gridCol w:w="821"/>
        <w:gridCol w:w="823"/>
        <w:gridCol w:w="821"/>
        <w:gridCol w:w="823"/>
        <w:gridCol w:w="821"/>
        <w:gridCol w:w="823"/>
        <w:gridCol w:w="829"/>
      </w:tblGrid>
      <w:tr w:rsidR="00A8197B" w:rsidRPr="00812509" w14:paraId="3E52D4A4" w14:textId="77777777" w:rsidTr="002B2E01">
        <w:trPr>
          <w:cnfStyle w:val="000000010000" w:firstRow="0" w:lastRow="0" w:firstColumn="0" w:lastColumn="0" w:oddVBand="0" w:evenVBand="0" w:oddHBand="0" w:evenHBand="1" w:firstRowFirstColumn="0" w:firstRowLastColumn="0" w:lastRowFirstColumn="0" w:lastRowLastColumn="0"/>
          <w:trHeight w:val="1505"/>
        </w:trPr>
        <w:tc>
          <w:tcPr>
            <w:tcW w:w="896" w:type="pct"/>
          </w:tcPr>
          <w:p w14:paraId="6F263DDC"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27F9FE00" wp14:editId="08A774A0">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759" w:type="pct"/>
          </w:tcPr>
          <w:p w14:paraId="29201F7A" w14:textId="77777777" w:rsidR="00A8197B" w:rsidRPr="00812509" w:rsidRDefault="00A8197B" w:rsidP="002B2E01">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06" w:type="pct"/>
            <w:noWrap/>
            <w:textDirection w:val="btLr"/>
          </w:tcPr>
          <w:p w14:paraId="50645D37" w14:textId="77777777" w:rsidR="00A8197B" w:rsidRPr="00812509" w:rsidRDefault="00A8197B" w:rsidP="002B2E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1" w:type="pct"/>
            <w:noWrap/>
            <w:textDirection w:val="btLr"/>
          </w:tcPr>
          <w:p w14:paraId="3558F547" w14:textId="77777777" w:rsidR="00A8197B" w:rsidRPr="00812509" w:rsidRDefault="00A8197B" w:rsidP="002B2E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2" w:type="pct"/>
            <w:noWrap/>
            <w:textDirection w:val="btLr"/>
          </w:tcPr>
          <w:p w14:paraId="30C666A8" w14:textId="77777777" w:rsidR="00A8197B" w:rsidRPr="00812509" w:rsidRDefault="00A8197B" w:rsidP="002B2E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1" w:type="pct"/>
            <w:noWrap/>
            <w:textDirection w:val="btLr"/>
          </w:tcPr>
          <w:p w14:paraId="465D07E8" w14:textId="77777777" w:rsidR="00A8197B" w:rsidRPr="00812509" w:rsidRDefault="00A8197B" w:rsidP="002B2E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2" w:type="pct"/>
            <w:noWrap/>
            <w:textDirection w:val="btLr"/>
          </w:tcPr>
          <w:p w14:paraId="7A05370E" w14:textId="77777777" w:rsidR="00A8197B" w:rsidRPr="00812509" w:rsidRDefault="00A8197B" w:rsidP="002B2E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1" w:type="pct"/>
            <w:noWrap/>
            <w:textDirection w:val="btLr"/>
          </w:tcPr>
          <w:p w14:paraId="351E03E1" w14:textId="77777777" w:rsidR="00A8197B" w:rsidRPr="00812509" w:rsidRDefault="00A8197B" w:rsidP="002B2E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2" w:type="pct"/>
            <w:textDirection w:val="btLr"/>
          </w:tcPr>
          <w:p w14:paraId="5B87A8E0" w14:textId="77777777" w:rsidR="00A8197B" w:rsidRPr="00812509" w:rsidRDefault="00A8197B" w:rsidP="002B2E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14:paraId="7E6686EB" w14:textId="77777777" w:rsidR="00A8197B" w:rsidRPr="00812509" w:rsidRDefault="00A8197B" w:rsidP="002B2E01">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8197B" w:rsidRPr="00812509" w14:paraId="0FB52C0B" w14:textId="77777777" w:rsidTr="002B2E01">
        <w:trPr>
          <w:cnfStyle w:val="000000010000" w:firstRow="0" w:lastRow="0" w:firstColumn="0" w:lastColumn="0" w:oddVBand="0" w:evenVBand="0" w:oddHBand="0" w:evenHBand="1" w:firstRowFirstColumn="0" w:firstRowLastColumn="0" w:lastRowFirstColumn="0" w:lastRowLastColumn="0"/>
          <w:trHeight w:val="284"/>
        </w:trPr>
        <w:tc>
          <w:tcPr>
            <w:tcW w:w="896" w:type="pct"/>
          </w:tcPr>
          <w:p w14:paraId="0AB46761" w14:textId="77777777" w:rsidR="00A8197B" w:rsidRPr="00812509" w:rsidRDefault="00897EB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w:t>
            </w:r>
            <w:r w:rsidR="003F5749">
              <w:rPr>
                <w:rFonts w:asciiTheme="minorHAnsi" w:eastAsia="Times New Roman" w:hAnsiTheme="minorHAnsi"/>
                <w:iCs/>
                <w:szCs w:val="17"/>
                <w:lang w:eastAsia="en-US"/>
              </w:rPr>
              <w:t>NK</w:t>
            </w:r>
            <w:r>
              <w:rPr>
                <w:rFonts w:asciiTheme="minorHAnsi" w:eastAsia="Times New Roman" w:hAnsiTheme="minorHAnsi"/>
                <w:iCs/>
                <w:szCs w:val="17"/>
                <w:lang w:eastAsia="en-US"/>
              </w:rPr>
              <w:t xml:space="preserve">397- UNICEF WASH in Palestinian </w:t>
            </w:r>
            <w:r w:rsidR="00EB16B1">
              <w:rPr>
                <w:rFonts w:asciiTheme="minorHAnsi" w:eastAsia="Times New Roman" w:hAnsiTheme="minorHAnsi"/>
                <w:iCs/>
                <w:szCs w:val="17"/>
                <w:lang w:eastAsia="en-US"/>
              </w:rPr>
              <w:t>Schools</w:t>
            </w:r>
          </w:p>
        </w:tc>
        <w:tc>
          <w:tcPr>
            <w:tcW w:w="759" w:type="pct"/>
          </w:tcPr>
          <w:p w14:paraId="45EEB8DF" w14:textId="77777777" w:rsidR="00A8197B" w:rsidRPr="00812509" w:rsidRDefault="00897EBE" w:rsidP="002B2E01">
            <w:pPr>
              <w:keepLines/>
              <w:spacing w:before="40" w:after="40" w:line="200" w:lineRule="atLeast"/>
              <w:jc w:val="right"/>
              <w:rPr>
                <w:rFonts w:asciiTheme="minorHAnsi" w:hAnsiTheme="minorHAnsi" w:cs="Franklin Gothic Book"/>
                <w:color w:val="000000"/>
                <w:szCs w:val="17"/>
              </w:rPr>
            </w:pPr>
            <w:r w:rsidRPr="002B2E01">
              <w:rPr>
                <w:rFonts w:asciiTheme="minorHAnsi" w:eastAsia="Times New Roman" w:hAnsiTheme="minorHAnsi"/>
                <w:iCs/>
                <w:szCs w:val="17"/>
                <w:lang w:eastAsia="en-US"/>
              </w:rPr>
              <w:t>$15.1m</w:t>
            </w:r>
          </w:p>
          <w:p w14:paraId="72372B89" w14:textId="77777777" w:rsidR="00A8197B" w:rsidRPr="00812509" w:rsidRDefault="00A8197B" w:rsidP="002B2E01">
            <w:pPr>
              <w:keepLines/>
              <w:spacing w:before="40" w:after="40" w:line="200" w:lineRule="atLeast"/>
              <w:jc w:val="righ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897EBE">
              <w:rPr>
                <w:rFonts w:asciiTheme="minorHAnsi" w:eastAsia="Times New Roman" w:hAnsiTheme="minorHAnsi"/>
                <w:iCs/>
                <w:szCs w:val="17"/>
                <w:lang w:eastAsia="en-US"/>
              </w:rPr>
              <w:t>1-17</w:t>
            </w:r>
            <w:r w:rsidRPr="00812509">
              <w:rPr>
                <w:rFonts w:asciiTheme="minorHAnsi" w:eastAsia="Times New Roman" w:hAnsiTheme="minorHAnsi"/>
                <w:iCs/>
                <w:szCs w:val="17"/>
                <w:lang w:eastAsia="en-US"/>
              </w:rPr>
              <w:t xml:space="preserve"> </w:t>
            </w:r>
          </w:p>
        </w:tc>
        <w:tc>
          <w:tcPr>
            <w:tcW w:w="306" w:type="pct"/>
            <w:shd w:val="clear" w:color="auto" w:fill="FFFF00"/>
            <w:noWrap/>
          </w:tcPr>
          <w:p w14:paraId="498E0F85"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1" w:type="pct"/>
            <w:shd w:val="clear" w:color="auto" w:fill="92D050"/>
            <w:noWrap/>
          </w:tcPr>
          <w:p w14:paraId="69F638C1"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2" w:type="pct"/>
            <w:shd w:val="clear" w:color="auto" w:fill="92D050"/>
            <w:noWrap/>
          </w:tcPr>
          <w:p w14:paraId="25EC4358" w14:textId="77777777" w:rsidR="00A8197B" w:rsidRPr="00812509" w:rsidRDefault="00EB16B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14:paraId="73E04AC7" w14:textId="77777777" w:rsidR="00A8197B" w:rsidRPr="00812509" w:rsidRDefault="00EB16B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FFFF00"/>
            <w:noWrap/>
          </w:tcPr>
          <w:p w14:paraId="7EA19CE4" w14:textId="77777777" w:rsidR="00A8197B" w:rsidRPr="00812509" w:rsidRDefault="00EB16B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14:paraId="190CC68D" w14:textId="77777777" w:rsidR="00A8197B" w:rsidRPr="00812509" w:rsidRDefault="00EB16B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FF00"/>
          </w:tcPr>
          <w:p w14:paraId="1A29BC1B"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08" w:type="pct"/>
            <w:shd w:val="clear" w:color="auto" w:fill="FFFF00"/>
          </w:tcPr>
          <w:p w14:paraId="4E222A14" w14:textId="04F9F054" w:rsidR="00A8197B" w:rsidRPr="00812509" w:rsidRDefault="0034109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bl>
    <w:p w14:paraId="34674F41" w14:textId="77777777" w:rsidR="00A8197B" w:rsidRPr="00812509" w:rsidRDefault="00A8197B" w:rsidP="00A8197B">
      <w:pPr>
        <w:spacing w:before="20" w:after="20" w:line="180" w:lineRule="atLeast"/>
        <w:jc w:val="both"/>
        <w:rPr>
          <w:rFonts w:eastAsia="Times New Roman"/>
          <w:b/>
          <w:sz w:val="14"/>
          <w:szCs w:val="14"/>
        </w:rPr>
      </w:pPr>
    </w:p>
    <w:p w14:paraId="7A583F5C"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2683A8F4"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23F56E49" w14:textId="51DCED43"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w:t>
      </w:r>
      <w:r w:rsidR="00D30765">
        <w:rPr>
          <w:rFonts w:eastAsia="Times New Roman"/>
          <w:b/>
          <w:sz w:val="16"/>
          <w:szCs w:val="14"/>
        </w:rPr>
        <w:t xml:space="preserve"> </w:t>
      </w:r>
      <w:r w:rsidR="002B2E01">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1994B19A"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786E1491"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321804A6"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5E772573" w14:textId="0C7DA175"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w:t>
      </w:r>
      <w:r w:rsidR="002B2E01">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1BE4A21E" w14:textId="77777777" w:rsidR="00A8197B" w:rsidRDefault="00A8197B" w:rsidP="00A8197B">
      <w:pPr>
        <w:pStyle w:val="ListBullet"/>
        <w:tabs>
          <w:tab w:val="clear" w:pos="284"/>
        </w:tabs>
      </w:pPr>
    </w:p>
    <w:sectPr w:rsidR="00A8197B" w:rsidSect="004839E3">
      <w:headerReference w:type="default" r:id="rId35"/>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668A" w14:textId="77777777" w:rsidR="002755AE" w:rsidRDefault="002755AE" w:rsidP="00EF4574">
      <w:pPr>
        <w:spacing w:before="0" w:after="0" w:line="240" w:lineRule="auto"/>
      </w:pPr>
      <w:r>
        <w:separator/>
      </w:r>
    </w:p>
  </w:endnote>
  <w:endnote w:type="continuationSeparator" w:id="0">
    <w:p w14:paraId="661217C0" w14:textId="77777777" w:rsidR="002755AE" w:rsidRDefault="002755AE"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C7B7" w14:textId="77777777" w:rsidR="000B354F" w:rsidRDefault="000B3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5074" w14:textId="77777777" w:rsidR="002755AE" w:rsidRDefault="002755AE" w:rsidP="004839E3">
    <w:pPr>
      <w:pStyle w:val="Footer"/>
      <w:rPr>
        <w:lang w:val="en-AU"/>
      </w:rPr>
    </w:pPr>
  </w:p>
  <w:p w14:paraId="5F09745D" w14:textId="77777777" w:rsidR="002755AE" w:rsidRDefault="002755AE" w:rsidP="004839E3">
    <w:pPr>
      <w:pStyle w:val="Footer"/>
    </w:pPr>
  </w:p>
  <w:p w14:paraId="08C2084D" w14:textId="77777777" w:rsidR="002755AE" w:rsidRPr="00CD0E4B" w:rsidRDefault="002755AE" w:rsidP="004839E3">
    <w:pPr>
      <w:pStyle w:val="Footer"/>
    </w:pPr>
    <w:r w:rsidRPr="00CD0E4B">
      <w:rPr>
        <w:noProof/>
        <w:lang w:val="en-AU" w:eastAsia="en-AU"/>
      </w:rPr>
      <w:drawing>
        <wp:inline distT="0" distB="0" distL="0" distR="0" wp14:anchorId="7B5B60AB" wp14:editId="7B986845">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16C536C2" w14:textId="77777777" w:rsidR="002755AE" w:rsidRPr="00CD0E4B" w:rsidRDefault="002755AE" w:rsidP="004839E3">
    <w:pPr>
      <w:pStyle w:val="Footer"/>
      <w:rPr>
        <w:color w:val="ACD08C" w:themeColor="accent3"/>
      </w:rPr>
    </w:pPr>
    <w:r w:rsidRPr="00CD0E4B">
      <w:rPr>
        <w:color w:val="ACD08C" w:themeColor="accent3"/>
      </w:rPr>
      <w:t>DFAT.GOV.AU</w:t>
    </w:r>
  </w:p>
  <w:p w14:paraId="26D28094" w14:textId="77777777" w:rsidR="002755AE" w:rsidRPr="004839E3" w:rsidRDefault="002755AE"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53BB" w14:textId="77777777" w:rsidR="002755AE" w:rsidRPr="004839E3" w:rsidRDefault="002755AE"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46B0B7C9" wp14:editId="04877450">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2A3FEE0C" w14:textId="77777777" w:rsidR="002755AE" w:rsidRDefault="002755AE"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C073" w14:textId="77777777" w:rsidR="002755AE" w:rsidRDefault="002755AE" w:rsidP="004839E3">
    <w:pPr>
      <w:pStyle w:val="Footer"/>
      <w:rPr>
        <w:lang w:val="en-AU"/>
      </w:rPr>
    </w:pPr>
  </w:p>
  <w:p w14:paraId="7AA3CD12" w14:textId="77777777" w:rsidR="002755AE" w:rsidRDefault="002755AE" w:rsidP="004839E3">
    <w:pPr>
      <w:pStyle w:val="Footer"/>
    </w:pPr>
  </w:p>
  <w:p w14:paraId="78FF2ECF" w14:textId="77777777" w:rsidR="002755AE" w:rsidRPr="00CD0E4B" w:rsidRDefault="002755AE" w:rsidP="004839E3">
    <w:pPr>
      <w:pStyle w:val="Footer"/>
    </w:pPr>
    <w:r w:rsidRPr="00CD0E4B">
      <w:rPr>
        <w:noProof/>
        <w:lang w:val="en-AU" w:eastAsia="en-AU"/>
      </w:rPr>
      <w:drawing>
        <wp:inline distT="0" distB="0" distL="0" distR="0" wp14:anchorId="2174401E" wp14:editId="03CC7586">
          <wp:extent cx="90000" cy="74520"/>
          <wp:effectExtent l="0" t="0" r="571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70B3C464" w14:textId="77777777" w:rsidR="002755AE" w:rsidRPr="00CD0E4B" w:rsidRDefault="002755AE" w:rsidP="004839E3">
    <w:pPr>
      <w:pStyle w:val="Footer"/>
      <w:rPr>
        <w:color w:val="ACD08C" w:themeColor="accent3"/>
      </w:rPr>
    </w:pPr>
    <w:r w:rsidRPr="00CD0E4B">
      <w:rPr>
        <w:color w:val="ACD08C" w:themeColor="accent3"/>
      </w:rPr>
      <w:t>DFAT.GOV.AU</w:t>
    </w:r>
  </w:p>
  <w:p w14:paraId="3B8220A5" w14:textId="77777777" w:rsidR="002755AE" w:rsidRPr="004839E3" w:rsidRDefault="002755AE"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8E9CF" w14:textId="77777777" w:rsidR="002755AE" w:rsidRPr="008C5A0E" w:rsidRDefault="002755AE" w:rsidP="001D663E">
      <w:pPr>
        <w:pStyle w:val="Footer"/>
        <w:pBdr>
          <w:top w:val="single" w:sz="4" w:space="1" w:color="495965" w:themeColor="text2"/>
        </w:pBdr>
      </w:pPr>
    </w:p>
  </w:footnote>
  <w:footnote w:type="continuationSeparator" w:id="0">
    <w:p w14:paraId="409AEB20" w14:textId="77777777" w:rsidR="002755AE" w:rsidRDefault="002755AE" w:rsidP="00EF4574">
      <w:pPr>
        <w:spacing w:before="0" w:after="0" w:line="240" w:lineRule="auto"/>
      </w:pPr>
      <w:r>
        <w:continuationSeparator/>
      </w:r>
    </w:p>
  </w:footnote>
  <w:footnote w:id="1">
    <w:p w14:paraId="119F51E8" w14:textId="5FCB1F3E" w:rsidR="002755AE" w:rsidRPr="00A509C9" w:rsidRDefault="002755AE">
      <w:pPr>
        <w:pStyle w:val="FootnoteText"/>
        <w:rPr>
          <w:lang w:val="en-AU"/>
        </w:rPr>
      </w:pPr>
      <w:r>
        <w:rPr>
          <w:rStyle w:val="FootnoteReference"/>
        </w:rPr>
        <w:footnoteRef/>
      </w:r>
      <w:r>
        <w:t xml:space="preserve"> </w:t>
      </w:r>
      <w:r>
        <w:rPr>
          <w:lang w:val="en-AU"/>
        </w:rPr>
        <w:t>UNRWA’s performance data is compiled on a calendar year basis, except for education data collected on a school year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C33B" w14:textId="77777777" w:rsidR="000B354F" w:rsidRDefault="000B3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5F7C" w14:textId="77777777" w:rsidR="002755AE" w:rsidRPr="00333501" w:rsidRDefault="002755AE" w:rsidP="008F56A8">
    <w:pPr>
      <w:pStyle w:val="Header"/>
      <w:jc w:val="left"/>
    </w:pPr>
    <w:r>
      <w:rPr>
        <w:noProof/>
        <w:lang w:val="en-AU" w:eastAsia="en-AU"/>
      </w:rPr>
      <w:drawing>
        <wp:anchor distT="0" distB="0" distL="114300" distR="114300" simplePos="0" relativeHeight="251671552" behindDoc="1" locked="1" layoutInCell="1" allowOverlap="1" wp14:anchorId="4E2470C0" wp14:editId="670664F1">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2DB0" w14:textId="77777777" w:rsidR="002755AE" w:rsidRPr="003D352D" w:rsidRDefault="002755AE" w:rsidP="003D352D">
    <w:pPr>
      <w:pStyle w:val="Header"/>
      <w:jc w:val="left"/>
    </w:pPr>
    <w:r>
      <w:rPr>
        <w:noProof/>
        <w:lang w:val="en-AU" w:eastAsia="en-AU"/>
      </w:rPr>
      <w:drawing>
        <wp:anchor distT="0" distB="0" distL="114300" distR="114300" simplePos="0" relativeHeight="251669504" behindDoc="1" locked="1" layoutInCell="1" allowOverlap="1" wp14:anchorId="20E50B7D" wp14:editId="0DF68DF5">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8C6B" w14:textId="77777777" w:rsidR="002755AE" w:rsidRPr="00333501" w:rsidRDefault="002755AE" w:rsidP="008F56A8">
    <w:pPr>
      <w:pStyle w:val="Header"/>
      <w:jc w:val="left"/>
    </w:pPr>
    <w:r>
      <w:rPr>
        <w:noProof/>
        <w:lang w:val="en-AU" w:eastAsia="en-AU"/>
      </w:rPr>
      <w:drawing>
        <wp:anchor distT="0" distB="0" distL="114300" distR="114300" simplePos="0" relativeHeight="251685888" behindDoc="1" locked="1" layoutInCell="1" allowOverlap="1" wp14:anchorId="5B85CFD1" wp14:editId="37826BF4">
          <wp:simplePos x="0" y="0"/>
          <wp:positionH relativeFrom="margin">
            <wp:posOffset>-652145</wp:posOffset>
          </wp:positionH>
          <wp:positionV relativeFrom="page">
            <wp:posOffset>122555</wp:posOffset>
          </wp:positionV>
          <wp:extent cx="7409815" cy="10589895"/>
          <wp:effectExtent l="0" t="0" r="635"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3EB5" w14:textId="77777777" w:rsidR="002755AE" w:rsidRPr="003D352D" w:rsidRDefault="002755AE" w:rsidP="003D352D">
    <w:pPr>
      <w:pStyle w:val="Header"/>
      <w:jc w:val="left"/>
    </w:pPr>
    <w:r>
      <w:rPr>
        <w:noProof/>
        <w:lang w:val="en-AU" w:eastAsia="en-AU"/>
      </w:rPr>
      <w:drawing>
        <wp:anchor distT="0" distB="0" distL="114300" distR="114300" simplePos="0" relativeHeight="251673600" behindDoc="1" locked="1" layoutInCell="1" allowOverlap="1" wp14:anchorId="55C5591D" wp14:editId="0EF899A9">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E9BB5" w14:textId="77777777" w:rsidR="002755AE" w:rsidRPr="00333501" w:rsidRDefault="002755AE" w:rsidP="008F56A8">
    <w:pPr>
      <w:pStyle w:val="Header"/>
      <w:jc w:val="left"/>
    </w:pPr>
    <w:r>
      <w:rPr>
        <w:noProof/>
        <w:lang w:val="en-AU" w:eastAsia="en-AU"/>
      </w:rPr>
      <w:drawing>
        <wp:anchor distT="0" distB="0" distL="114300" distR="114300" simplePos="0" relativeHeight="251687936" behindDoc="1" locked="1" layoutInCell="1" allowOverlap="1" wp14:anchorId="722B9FFD" wp14:editId="0EA5A493">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67B0" w14:textId="77777777" w:rsidR="002755AE" w:rsidRPr="003D352D" w:rsidRDefault="002755AE" w:rsidP="003D352D">
    <w:pPr>
      <w:pStyle w:val="Header"/>
      <w:jc w:val="left"/>
    </w:pPr>
    <w:r>
      <w:rPr>
        <w:noProof/>
        <w:lang w:val="en-AU" w:eastAsia="en-AU"/>
      </w:rPr>
      <w:drawing>
        <wp:anchor distT="0" distB="0" distL="114300" distR="114300" simplePos="0" relativeHeight="251675648" behindDoc="1" locked="1" layoutInCell="1" allowOverlap="1" wp14:anchorId="03A75207" wp14:editId="450299FA">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69BE" w14:textId="77777777" w:rsidR="002755AE" w:rsidRPr="00333501" w:rsidRDefault="002755AE" w:rsidP="008F56A8">
    <w:pPr>
      <w:pStyle w:val="Header"/>
      <w:jc w:val="left"/>
    </w:pPr>
    <w:r>
      <w:rPr>
        <w:noProof/>
        <w:lang w:val="en-AU" w:eastAsia="en-AU"/>
      </w:rPr>
      <w:drawing>
        <wp:anchor distT="0" distB="0" distL="114300" distR="114300" simplePos="0" relativeHeight="251683840" behindDoc="1" locked="1" layoutInCell="1" allowOverlap="1" wp14:anchorId="0FD9F7F2" wp14:editId="3809B683">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E31B68"/>
    <w:multiLevelType w:val="hybridMultilevel"/>
    <w:tmpl w:val="3E12C2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B00AC9"/>
    <w:multiLevelType w:val="hybridMultilevel"/>
    <w:tmpl w:val="7EC4B0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AD877B2"/>
    <w:multiLevelType w:val="hybridMultilevel"/>
    <w:tmpl w:val="2CBA34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F4BB2"/>
    <w:multiLevelType w:val="hybridMultilevel"/>
    <w:tmpl w:val="4704E16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C49CE"/>
    <w:multiLevelType w:val="hybridMultilevel"/>
    <w:tmpl w:val="D590779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F508D7"/>
    <w:multiLevelType w:val="hybridMultilevel"/>
    <w:tmpl w:val="E3FE29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7E3856"/>
    <w:multiLevelType w:val="hybridMultilevel"/>
    <w:tmpl w:val="2398EE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04975"/>
    <w:multiLevelType w:val="hybridMultilevel"/>
    <w:tmpl w:val="45A88B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3C1EA7"/>
    <w:multiLevelType w:val="multilevel"/>
    <w:tmpl w:val="43428892"/>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7"/>
  </w:num>
  <w:num w:numId="23">
    <w:abstractNumId w:val="17"/>
  </w:num>
  <w:num w:numId="24">
    <w:abstractNumId w:val="27"/>
  </w:num>
  <w:num w:numId="25">
    <w:abstractNumId w:val="27"/>
  </w:num>
  <w:num w:numId="26">
    <w:abstractNumId w:val="27"/>
  </w:num>
  <w:num w:numId="27">
    <w:abstractNumId w:val="26"/>
  </w:num>
  <w:num w:numId="28">
    <w:abstractNumId w:val="10"/>
  </w:num>
  <w:num w:numId="29">
    <w:abstractNumId w:val="10"/>
  </w:num>
  <w:num w:numId="30">
    <w:abstractNumId w:val="10"/>
  </w:num>
  <w:num w:numId="31">
    <w:abstractNumId w:val="18"/>
  </w:num>
  <w:num w:numId="32">
    <w:abstractNumId w:val="25"/>
  </w:num>
  <w:num w:numId="33">
    <w:abstractNumId w:val="30"/>
  </w:num>
  <w:num w:numId="34">
    <w:abstractNumId w:val="23"/>
  </w:num>
  <w:num w:numId="35">
    <w:abstractNumId w:val="14"/>
  </w:num>
  <w:num w:numId="36">
    <w:abstractNumId w:val="19"/>
  </w:num>
  <w:num w:numId="37">
    <w:abstractNumId w:val="13"/>
  </w:num>
  <w:num w:numId="38">
    <w:abstractNumId w:val="22"/>
  </w:num>
  <w:num w:numId="39">
    <w:abstractNumId w:val="24"/>
  </w:num>
  <w:num w:numId="40">
    <w:abstractNumId w:val="15"/>
  </w:num>
  <w:num w:numId="41">
    <w:abstractNumId w:val="16"/>
  </w:num>
  <w:num w:numId="42">
    <w:abstractNumId w:val="12"/>
  </w:num>
  <w:num w:numId="43">
    <w:abstractNumId w:val="2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FD"/>
    <w:rsid w:val="00010A42"/>
    <w:rsid w:val="00012588"/>
    <w:rsid w:val="00015316"/>
    <w:rsid w:val="0002080A"/>
    <w:rsid w:val="00022278"/>
    <w:rsid w:val="0002556E"/>
    <w:rsid w:val="0002782F"/>
    <w:rsid w:val="00031512"/>
    <w:rsid w:val="00050546"/>
    <w:rsid w:val="00054E4D"/>
    <w:rsid w:val="00057C66"/>
    <w:rsid w:val="00060073"/>
    <w:rsid w:val="00060268"/>
    <w:rsid w:val="0006292A"/>
    <w:rsid w:val="000700E4"/>
    <w:rsid w:val="00073A90"/>
    <w:rsid w:val="00076584"/>
    <w:rsid w:val="00076806"/>
    <w:rsid w:val="00084483"/>
    <w:rsid w:val="0009169F"/>
    <w:rsid w:val="000B354F"/>
    <w:rsid w:val="000B3E05"/>
    <w:rsid w:val="000B754E"/>
    <w:rsid w:val="000C24EE"/>
    <w:rsid w:val="000D0CB4"/>
    <w:rsid w:val="000D5EC9"/>
    <w:rsid w:val="000D66D6"/>
    <w:rsid w:val="000E1E2C"/>
    <w:rsid w:val="000E314A"/>
    <w:rsid w:val="000F7BCA"/>
    <w:rsid w:val="00101B26"/>
    <w:rsid w:val="00102F14"/>
    <w:rsid w:val="00123DCA"/>
    <w:rsid w:val="00125B09"/>
    <w:rsid w:val="00141AA1"/>
    <w:rsid w:val="00142587"/>
    <w:rsid w:val="0014664D"/>
    <w:rsid w:val="001541EA"/>
    <w:rsid w:val="00162DE2"/>
    <w:rsid w:val="00166CFE"/>
    <w:rsid w:val="00166DDA"/>
    <w:rsid w:val="00170EF5"/>
    <w:rsid w:val="00181F8C"/>
    <w:rsid w:val="001827E8"/>
    <w:rsid w:val="00184F1E"/>
    <w:rsid w:val="00193EAE"/>
    <w:rsid w:val="00194FFB"/>
    <w:rsid w:val="001963A0"/>
    <w:rsid w:val="00196649"/>
    <w:rsid w:val="001B2850"/>
    <w:rsid w:val="001B6207"/>
    <w:rsid w:val="001C0BFD"/>
    <w:rsid w:val="001D1434"/>
    <w:rsid w:val="001D663E"/>
    <w:rsid w:val="001E1DC0"/>
    <w:rsid w:val="001E7D0E"/>
    <w:rsid w:val="001F3402"/>
    <w:rsid w:val="001F42C1"/>
    <w:rsid w:val="001F51DB"/>
    <w:rsid w:val="00202B39"/>
    <w:rsid w:val="0020575E"/>
    <w:rsid w:val="00207D72"/>
    <w:rsid w:val="00221006"/>
    <w:rsid w:val="00226D3D"/>
    <w:rsid w:val="00236A53"/>
    <w:rsid w:val="00241011"/>
    <w:rsid w:val="00241B5A"/>
    <w:rsid w:val="00245BA5"/>
    <w:rsid w:val="00261BEE"/>
    <w:rsid w:val="0026332C"/>
    <w:rsid w:val="00265E9A"/>
    <w:rsid w:val="00272FA7"/>
    <w:rsid w:val="002755AE"/>
    <w:rsid w:val="00275DB7"/>
    <w:rsid w:val="00276086"/>
    <w:rsid w:val="00276CB5"/>
    <w:rsid w:val="00283937"/>
    <w:rsid w:val="00284957"/>
    <w:rsid w:val="0028602A"/>
    <w:rsid w:val="00286896"/>
    <w:rsid w:val="00290B21"/>
    <w:rsid w:val="002A4A0E"/>
    <w:rsid w:val="002A51CA"/>
    <w:rsid w:val="002A62C8"/>
    <w:rsid w:val="002B2E01"/>
    <w:rsid w:val="002B3853"/>
    <w:rsid w:val="002B3E95"/>
    <w:rsid w:val="002B5E10"/>
    <w:rsid w:val="002D37D2"/>
    <w:rsid w:val="002E0E40"/>
    <w:rsid w:val="002E3ADF"/>
    <w:rsid w:val="002F59DF"/>
    <w:rsid w:val="003002C0"/>
    <w:rsid w:val="00301144"/>
    <w:rsid w:val="00307F72"/>
    <w:rsid w:val="003148B7"/>
    <w:rsid w:val="003158C3"/>
    <w:rsid w:val="003274CD"/>
    <w:rsid w:val="00333501"/>
    <w:rsid w:val="00341097"/>
    <w:rsid w:val="00343F3A"/>
    <w:rsid w:val="003457C4"/>
    <w:rsid w:val="0035119D"/>
    <w:rsid w:val="00353365"/>
    <w:rsid w:val="00355299"/>
    <w:rsid w:val="0036389C"/>
    <w:rsid w:val="00363F5D"/>
    <w:rsid w:val="00380104"/>
    <w:rsid w:val="00393EF6"/>
    <w:rsid w:val="003B1AD9"/>
    <w:rsid w:val="003B4F12"/>
    <w:rsid w:val="003C14B0"/>
    <w:rsid w:val="003C542D"/>
    <w:rsid w:val="003C63BB"/>
    <w:rsid w:val="003D352D"/>
    <w:rsid w:val="003D7F4D"/>
    <w:rsid w:val="003E305C"/>
    <w:rsid w:val="003F5749"/>
    <w:rsid w:val="00400B0F"/>
    <w:rsid w:val="00402ACC"/>
    <w:rsid w:val="00407DDA"/>
    <w:rsid w:val="00407FF5"/>
    <w:rsid w:val="004120EC"/>
    <w:rsid w:val="004132F3"/>
    <w:rsid w:val="00423F31"/>
    <w:rsid w:val="00431899"/>
    <w:rsid w:val="004321BE"/>
    <w:rsid w:val="0043615E"/>
    <w:rsid w:val="00436782"/>
    <w:rsid w:val="00440C86"/>
    <w:rsid w:val="00442842"/>
    <w:rsid w:val="0045271C"/>
    <w:rsid w:val="00463293"/>
    <w:rsid w:val="004665C7"/>
    <w:rsid w:val="00474163"/>
    <w:rsid w:val="004741A8"/>
    <w:rsid w:val="0047593D"/>
    <w:rsid w:val="00480422"/>
    <w:rsid w:val="00480C2A"/>
    <w:rsid w:val="00480CF2"/>
    <w:rsid w:val="00483696"/>
    <w:rsid w:val="004839E3"/>
    <w:rsid w:val="00486804"/>
    <w:rsid w:val="0049011B"/>
    <w:rsid w:val="004977A1"/>
    <w:rsid w:val="0049791B"/>
    <w:rsid w:val="004A2183"/>
    <w:rsid w:val="004B3775"/>
    <w:rsid w:val="004C10D7"/>
    <w:rsid w:val="004C5E80"/>
    <w:rsid w:val="004D0BA0"/>
    <w:rsid w:val="004D2D38"/>
    <w:rsid w:val="004E0264"/>
    <w:rsid w:val="004E058F"/>
    <w:rsid w:val="004E3B87"/>
    <w:rsid w:val="00507A20"/>
    <w:rsid w:val="00510921"/>
    <w:rsid w:val="00510AD3"/>
    <w:rsid w:val="00513348"/>
    <w:rsid w:val="00530DC2"/>
    <w:rsid w:val="00533B5D"/>
    <w:rsid w:val="00541C07"/>
    <w:rsid w:val="005511BF"/>
    <w:rsid w:val="00565EF2"/>
    <w:rsid w:val="005728BC"/>
    <w:rsid w:val="00575B00"/>
    <w:rsid w:val="00585E78"/>
    <w:rsid w:val="005878D9"/>
    <w:rsid w:val="0059043F"/>
    <w:rsid w:val="0059146A"/>
    <w:rsid w:val="00592B71"/>
    <w:rsid w:val="005B1EB7"/>
    <w:rsid w:val="005B5204"/>
    <w:rsid w:val="005B5769"/>
    <w:rsid w:val="005B6CF8"/>
    <w:rsid w:val="005C78DB"/>
    <w:rsid w:val="005D0CBA"/>
    <w:rsid w:val="005D310B"/>
    <w:rsid w:val="005D3655"/>
    <w:rsid w:val="005E3415"/>
    <w:rsid w:val="005E5435"/>
    <w:rsid w:val="005E606B"/>
    <w:rsid w:val="005E6877"/>
    <w:rsid w:val="005F7BE5"/>
    <w:rsid w:val="00612938"/>
    <w:rsid w:val="00613313"/>
    <w:rsid w:val="00613548"/>
    <w:rsid w:val="00621504"/>
    <w:rsid w:val="006235C8"/>
    <w:rsid w:val="00623BA1"/>
    <w:rsid w:val="006342F4"/>
    <w:rsid w:val="006346BC"/>
    <w:rsid w:val="00642567"/>
    <w:rsid w:val="00644C73"/>
    <w:rsid w:val="00654124"/>
    <w:rsid w:val="0066652A"/>
    <w:rsid w:val="0066762E"/>
    <w:rsid w:val="00680522"/>
    <w:rsid w:val="00681F08"/>
    <w:rsid w:val="00682167"/>
    <w:rsid w:val="00695730"/>
    <w:rsid w:val="006A20FC"/>
    <w:rsid w:val="006B5477"/>
    <w:rsid w:val="006C42AF"/>
    <w:rsid w:val="006C59EB"/>
    <w:rsid w:val="006D1BCC"/>
    <w:rsid w:val="006D3575"/>
    <w:rsid w:val="006E119A"/>
    <w:rsid w:val="006F0B9D"/>
    <w:rsid w:val="006F27B1"/>
    <w:rsid w:val="006F49E7"/>
    <w:rsid w:val="007064CA"/>
    <w:rsid w:val="00711D8E"/>
    <w:rsid w:val="00712672"/>
    <w:rsid w:val="007145B0"/>
    <w:rsid w:val="00724428"/>
    <w:rsid w:val="00724B29"/>
    <w:rsid w:val="0073079A"/>
    <w:rsid w:val="007333DE"/>
    <w:rsid w:val="00734E3F"/>
    <w:rsid w:val="00736985"/>
    <w:rsid w:val="007447CC"/>
    <w:rsid w:val="00745DF5"/>
    <w:rsid w:val="00746A9D"/>
    <w:rsid w:val="00750B24"/>
    <w:rsid w:val="0075316E"/>
    <w:rsid w:val="0076250F"/>
    <w:rsid w:val="00763659"/>
    <w:rsid w:val="007657B5"/>
    <w:rsid w:val="00771B53"/>
    <w:rsid w:val="00784031"/>
    <w:rsid w:val="00792D46"/>
    <w:rsid w:val="007A6119"/>
    <w:rsid w:val="007A61AD"/>
    <w:rsid w:val="007B0D26"/>
    <w:rsid w:val="007B324F"/>
    <w:rsid w:val="007B3BED"/>
    <w:rsid w:val="007B6200"/>
    <w:rsid w:val="007B6847"/>
    <w:rsid w:val="007C3B61"/>
    <w:rsid w:val="007D2B47"/>
    <w:rsid w:val="007F28BD"/>
    <w:rsid w:val="007F3395"/>
    <w:rsid w:val="007F3A7A"/>
    <w:rsid w:val="008005D4"/>
    <w:rsid w:val="00801B9F"/>
    <w:rsid w:val="008057FD"/>
    <w:rsid w:val="00811621"/>
    <w:rsid w:val="00812509"/>
    <w:rsid w:val="008265A6"/>
    <w:rsid w:val="008358D8"/>
    <w:rsid w:val="00835E0B"/>
    <w:rsid w:val="008460BE"/>
    <w:rsid w:val="008475F0"/>
    <w:rsid w:val="0085244E"/>
    <w:rsid w:val="00860A32"/>
    <w:rsid w:val="00864210"/>
    <w:rsid w:val="00865A9D"/>
    <w:rsid w:val="00865EBA"/>
    <w:rsid w:val="00883825"/>
    <w:rsid w:val="00895BD2"/>
    <w:rsid w:val="00897EBE"/>
    <w:rsid w:val="008A5AFE"/>
    <w:rsid w:val="008B68D7"/>
    <w:rsid w:val="008C027A"/>
    <w:rsid w:val="008C2F58"/>
    <w:rsid w:val="008C5A0E"/>
    <w:rsid w:val="008D4779"/>
    <w:rsid w:val="008E53C6"/>
    <w:rsid w:val="008E59C2"/>
    <w:rsid w:val="008E6E16"/>
    <w:rsid w:val="008F56A8"/>
    <w:rsid w:val="00902D07"/>
    <w:rsid w:val="00905E07"/>
    <w:rsid w:val="00915B35"/>
    <w:rsid w:val="00916FB1"/>
    <w:rsid w:val="00930448"/>
    <w:rsid w:val="00932845"/>
    <w:rsid w:val="00967305"/>
    <w:rsid w:val="009701DD"/>
    <w:rsid w:val="009708FC"/>
    <w:rsid w:val="00970A21"/>
    <w:rsid w:val="00971F93"/>
    <w:rsid w:val="00984BE3"/>
    <w:rsid w:val="00986FBE"/>
    <w:rsid w:val="009903F3"/>
    <w:rsid w:val="00992C76"/>
    <w:rsid w:val="009A1148"/>
    <w:rsid w:val="009A1E9A"/>
    <w:rsid w:val="009B4D3B"/>
    <w:rsid w:val="009C19AE"/>
    <w:rsid w:val="009C433C"/>
    <w:rsid w:val="009D7407"/>
    <w:rsid w:val="009E0866"/>
    <w:rsid w:val="009E3F02"/>
    <w:rsid w:val="009E404E"/>
    <w:rsid w:val="009F5488"/>
    <w:rsid w:val="009F6423"/>
    <w:rsid w:val="009F69F3"/>
    <w:rsid w:val="00A21901"/>
    <w:rsid w:val="00A24A62"/>
    <w:rsid w:val="00A31C9F"/>
    <w:rsid w:val="00A346EC"/>
    <w:rsid w:val="00A4144F"/>
    <w:rsid w:val="00A43B92"/>
    <w:rsid w:val="00A509C9"/>
    <w:rsid w:val="00A56F14"/>
    <w:rsid w:val="00A80F95"/>
    <w:rsid w:val="00A8197B"/>
    <w:rsid w:val="00A84162"/>
    <w:rsid w:val="00A92CF2"/>
    <w:rsid w:val="00A94E8A"/>
    <w:rsid w:val="00AA7BE3"/>
    <w:rsid w:val="00AB0729"/>
    <w:rsid w:val="00AB2468"/>
    <w:rsid w:val="00AB5E7F"/>
    <w:rsid w:val="00AB6258"/>
    <w:rsid w:val="00AC164A"/>
    <w:rsid w:val="00AD3116"/>
    <w:rsid w:val="00AE13E5"/>
    <w:rsid w:val="00AE5CB8"/>
    <w:rsid w:val="00AE7E11"/>
    <w:rsid w:val="00AF0F3F"/>
    <w:rsid w:val="00AF1B85"/>
    <w:rsid w:val="00AF2050"/>
    <w:rsid w:val="00AF7675"/>
    <w:rsid w:val="00B03CA8"/>
    <w:rsid w:val="00B062A3"/>
    <w:rsid w:val="00B12980"/>
    <w:rsid w:val="00B169A2"/>
    <w:rsid w:val="00B17E41"/>
    <w:rsid w:val="00B27644"/>
    <w:rsid w:val="00B331DC"/>
    <w:rsid w:val="00B438D3"/>
    <w:rsid w:val="00B55E19"/>
    <w:rsid w:val="00B74218"/>
    <w:rsid w:val="00B754C8"/>
    <w:rsid w:val="00B8475C"/>
    <w:rsid w:val="00B907C7"/>
    <w:rsid w:val="00B97C1D"/>
    <w:rsid w:val="00BA1266"/>
    <w:rsid w:val="00BA4B6D"/>
    <w:rsid w:val="00BB00BE"/>
    <w:rsid w:val="00BB06BF"/>
    <w:rsid w:val="00BB26C5"/>
    <w:rsid w:val="00BB47D6"/>
    <w:rsid w:val="00BC48EC"/>
    <w:rsid w:val="00BD54E6"/>
    <w:rsid w:val="00BE1BEB"/>
    <w:rsid w:val="00BE7EDE"/>
    <w:rsid w:val="00BF2BD5"/>
    <w:rsid w:val="00BF3260"/>
    <w:rsid w:val="00BF4DE6"/>
    <w:rsid w:val="00C03542"/>
    <w:rsid w:val="00C379E2"/>
    <w:rsid w:val="00C41071"/>
    <w:rsid w:val="00C42CDE"/>
    <w:rsid w:val="00C452A6"/>
    <w:rsid w:val="00C5182A"/>
    <w:rsid w:val="00C523F9"/>
    <w:rsid w:val="00C55727"/>
    <w:rsid w:val="00C63EE9"/>
    <w:rsid w:val="00C65EDB"/>
    <w:rsid w:val="00C6626C"/>
    <w:rsid w:val="00C673A6"/>
    <w:rsid w:val="00C67B11"/>
    <w:rsid w:val="00C7139B"/>
    <w:rsid w:val="00C8237B"/>
    <w:rsid w:val="00C8322B"/>
    <w:rsid w:val="00C87E5D"/>
    <w:rsid w:val="00CA37B1"/>
    <w:rsid w:val="00CA4F90"/>
    <w:rsid w:val="00CB1959"/>
    <w:rsid w:val="00CC4767"/>
    <w:rsid w:val="00CC6FEA"/>
    <w:rsid w:val="00CD0E4B"/>
    <w:rsid w:val="00CD1652"/>
    <w:rsid w:val="00CE0155"/>
    <w:rsid w:val="00CF5B3B"/>
    <w:rsid w:val="00CF670F"/>
    <w:rsid w:val="00D00802"/>
    <w:rsid w:val="00D0121F"/>
    <w:rsid w:val="00D0296C"/>
    <w:rsid w:val="00D12400"/>
    <w:rsid w:val="00D146A2"/>
    <w:rsid w:val="00D15A00"/>
    <w:rsid w:val="00D17143"/>
    <w:rsid w:val="00D178D2"/>
    <w:rsid w:val="00D23895"/>
    <w:rsid w:val="00D26483"/>
    <w:rsid w:val="00D2653F"/>
    <w:rsid w:val="00D26780"/>
    <w:rsid w:val="00D30765"/>
    <w:rsid w:val="00D33DC2"/>
    <w:rsid w:val="00D44388"/>
    <w:rsid w:val="00D519D1"/>
    <w:rsid w:val="00D64BD1"/>
    <w:rsid w:val="00D713A4"/>
    <w:rsid w:val="00D71821"/>
    <w:rsid w:val="00D72760"/>
    <w:rsid w:val="00D80571"/>
    <w:rsid w:val="00D87C6E"/>
    <w:rsid w:val="00DA685D"/>
    <w:rsid w:val="00DD1986"/>
    <w:rsid w:val="00DD3FAF"/>
    <w:rsid w:val="00DD6419"/>
    <w:rsid w:val="00DD705E"/>
    <w:rsid w:val="00DE084C"/>
    <w:rsid w:val="00DE1F19"/>
    <w:rsid w:val="00DE7237"/>
    <w:rsid w:val="00DF70EF"/>
    <w:rsid w:val="00E150BE"/>
    <w:rsid w:val="00E16063"/>
    <w:rsid w:val="00E21302"/>
    <w:rsid w:val="00E236DB"/>
    <w:rsid w:val="00E27CF3"/>
    <w:rsid w:val="00E341AB"/>
    <w:rsid w:val="00E347BD"/>
    <w:rsid w:val="00E357B7"/>
    <w:rsid w:val="00E53800"/>
    <w:rsid w:val="00E57BF9"/>
    <w:rsid w:val="00E6081F"/>
    <w:rsid w:val="00E65105"/>
    <w:rsid w:val="00E6654B"/>
    <w:rsid w:val="00E679DC"/>
    <w:rsid w:val="00E67CE2"/>
    <w:rsid w:val="00E80D94"/>
    <w:rsid w:val="00E84680"/>
    <w:rsid w:val="00E84AA8"/>
    <w:rsid w:val="00E93C4D"/>
    <w:rsid w:val="00EA04B2"/>
    <w:rsid w:val="00EA20F3"/>
    <w:rsid w:val="00EA2DBB"/>
    <w:rsid w:val="00EA7454"/>
    <w:rsid w:val="00EB16B1"/>
    <w:rsid w:val="00EB2247"/>
    <w:rsid w:val="00EB367D"/>
    <w:rsid w:val="00EB76DC"/>
    <w:rsid w:val="00EC09F6"/>
    <w:rsid w:val="00EC35AD"/>
    <w:rsid w:val="00ED1CD6"/>
    <w:rsid w:val="00ED2831"/>
    <w:rsid w:val="00ED43D1"/>
    <w:rsid w:val="00ED4A06"/>
    <w:rsid w:val="00EE4EE1"/>
    <w:rsid w:val="00EF4574"/>
    <w:rsid w:val="00EF4AD9"/>
    <w:rsid w:val="00F06182"/>
    <w:rsid w:val="00F1610C"/>
    <w:rsid w:val="00F202CA"/>
    <w:rsid w:val="00F2684E"/>
    <w:rsid w:val="00F33F79"/>
    <w:rsid w:val="00F37417"/>
    <w:rsid w:val="00F37473"/>
    <w:rsid w:val="00F4140A"/>
    <w:rsid w:val="00F422D1"/>
    <w:rsid w:val="00F461F3"/>
    <w:rsid w:val="00F5223A"/>
    <w:rsid w:val="00F5404C"/>
    <w:rsid w:val="00F6761B"/>
    <w:rsid w:val="00F729EF"/>
    <w:rsid w:val="00F77CAE"/>
    <w:rsid w:val="00F80C63"/>
    <w:rsid w:val="00F82271"/>
    <w:rsid w:val="00F83428"/>
    <w:rsid w:val="00F933D1"/>
    <w:rsid w:val="00F93F88"/>
    <w:rsid w:val="00F96BB9"/>
    <w:rsid w:val="00FB19F5"/>
    <w:rsid w:val="00FB496C"/>
    <w:rsid w:val="00FB4F75"/>
    <w:rsid w:val="00FC032D"/>
    <w:rsid w:val="00FC4A1E"/>
    <w:rsid w:val="00FC5D26"/>
    <w:rsid w:val="00FE084B"/>
    <w:rsid w:val="00FE6D5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BE2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PR1">
    <w:name w:val="APPR1"/>
    <w:basedOn w:val="TableNormal"/>
    <w:uiPriority w:val="99"/>
    <w:rsid w:val="00D4438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8E6E16"/>
    <w:rPr>
      <w:color w:val="800080" w:themeColor="followedHyperlink"/>
      <w:u w:val="single"/>
    </w:rPr>
  </w:style>
  <w:style w:type="paragraph" w:styleId="ListParagraph">
    <w:name w:val="List Paragraph"/>
    <w:basedOn w:val="Normal"/>
    <w:uiPriority w:val="34"/>
    <w:qFormat/>
    <w:rsid w:val="009F69F3"/>
    <w:pPr>
      <w:ind w:left="720"/>
      <w:contextualSpacing/>
    </w:pPr>
  </w:style>
  <w:style w:type="character" w:styleId="CommentReference">
    <w:name w:val="annotation reference"/>
    <w:basedOn w:val="DefaultParagraphFont"/>
    <w:uiPriority w:val="99"/>
    <w:semiHidden/>
    <w:unhideWhenUsed/>
    <w:rsid w:val="004C10D7"/>
    <w:rPr>
      <w:sz w:val="16"/>
      <w:szCs w:val="16"/>
    </w:rPr>
  </w:style>
  <w:style w:type="paragraph" w:styleId="CommentText">
    <w:name w:val="annotation text"/>
    <w:basedOn w:val="Normal"/>
    <w:link w:val="CommentTextChar"/>
    <w:uiPriority w:val="99"/>
    <w:semiHidden/>
    <w:unhideWhenUsed/>
    <w:rsid w:val="004C10D7"/>
    <w:pPr>
      <w:spacing w:line="240" w:lineRule="auto"/>
    </w:pPr>
    <w:rPr>
      <w:sz w:val="20"/>
      <w:szCs w:val="20"/>
    </w:rPr>
  </w:style>
  <w:style w:type="character" w:customStyle="1" w:styleId="CommentTextChar">
    <w:name w:val="Comment Text Char"/>
    <w:basedOn w:val="DefaultParagraphFont"/>
    <w:link w:val="CommentText"/>
    <w:uiPriority w:val="99"/>
    <w:semiHidden/>
    <w:rsid w:val="004C10D7"/>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C10D7"/>
    <w:rPr>
      <w:b/>
      <w:bCs/>
    </w:rPr>
  </w:style>
  <w:style w:type="character" w:customStyle="1" w:styleId="CommentSubjectChar">
    <w:name w:val="Comment Subject Char"/>
    <w:basedOn w:val="CommentTextChar"/>
    <w:link w:val="CommentSubject"/>
    <w:uiPriority w:val="99"/>
    <w:semiHidden/>
    <w:rsid w:val="004C10D7"/>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564603453">
      <w:bodyDiv w:val="1"/>
      <w:marLeft w:val="0"/>
      <w:marRight w:val="0"/>
      <w:marTop w:val="0"/>
      <w:marBottom w:val="0"/>
      <w:divBdr>
        <w:top w:val="none" w:sz="0" w:space="0" w:color="auto"/>
        <w:left w:val="none" w:sz="0" w:space="0" w:color="auto"/>
        <w:bottom w:val="none" w:sz="0" w:space="0" w:color="auto"/>
        <w:right w:val="none" w:sz="0" w:space="0" w:color="auto"/>
      </w:divBdr>
    </w:div>
    <w:div w:id="721948818">
      <w:bodyDiv w:val="1"/>
      <w:marLeft w:val="0"/>
      <w:marRight w:val="0"/>
      <w:marTop w:val="0"/>
      <w:marBottom w:val="0"/>
      <w:divBdr>
        <w:top w:val="none" w:sz="0" w:space="0" w:color="auto"/>
        <w:left w:val="none" w:sz="0" w:space="0" w:color="auto"/>
        <w:bottom w:val="none" w:sz="0" w:space="0" w:color="auto"/>
        <w:right w:val="none" w:sz="0" w:space="0" w:color="auto"/>
      </w:divBdr>
    </w:div>
    <w:div w:id="1247958495">
      <w:bodyDiv w:val="1"/>
      <w:marLeft w:val="0"/>
      <w:marRight w:val="0"/>
      <w:marTop w:val="0"/>
      <w:marBottom w:val="0"/>
      <w:divBdr>
        <w:top w:val="none" w:sz="0" w:space="0" w:color="auto"/>
        <w:left w:val="none" w:sz="0" w:space="0" w:color="auto"/>
        <w:bottom w:val="none" w:sz="0" w:space="0" w:color="auto"/>
        <w:right w:val="none" w:sz="0" w:space="0" w:color="auto"/>
      </w:divBdr>
    </w:div>
    <w:div w:id="19492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6.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header" Target="header5.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JP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4.xml"/><Relationship Id="rId35"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9B6267-6CA1-4F19-BD89-1B209DEB72C2}"/>
</file>

<file path=customXml/itemProps2.xml><?xml version="1.0" encoding="utf-8"?>
<ds:datastoreItem xmlns:ds="http://schemas.openxmlformats.org/officeDocument/2006/customXml" ds:itemID="{2562A2A0-2BB5-4E1C-A7B4-A2BD69D9E435}"/>
</file>

<file path=customXml/itemProps3.xml><?xml version="1.0" encoding="utf-8"?>
<ds:datastoreItem xmlns:ds="http://schemas.openxmlformats.org/officeDocument/2006/customXml" ds:itemID="{A6ABAA25-1A47-4F85-BDC8-C8C0A6A98520}"/>
</file>

<file path=customXml/itemProps4.xml><?xml version="1.0" encoding="utf-8"?>
<ds:datastoreItem xmlns:ds="http://schemas.openxmlformats.org/officeDocument/2006/customXml" ds:itemID="{A25CAFCB-09A6-4DC2-B3BB-F2936B59857D}"/>
</file>

<file path=docProps/app.xml><?xml version="1.0" encoding="utf-8"?>
<Properties xmlns="http://schemas.openxmlformats.org/officeDocument/2006/extended-properties" xmlns:vt="http://schemas.openxmlformats.org/officeDocument/2006/docPropsVTypes">
  <Template>Normal.dotm</Template>
  <TotalTime>0</TotalTime>
  <Pages>13</Pages>
  <Words>4457</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Palestinian Territories Aid Program Performance Report 2016-17</vt:lpstr>
    </vt:vector>
  </TitlesOfParts>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Territories Aid Program Performance Report 2016-17</dc:title>
  <dc:creator/>
  <cp:lastModifiedBy/>
  <cp:revision>1</cp:revision>
  <dcterms:created xsi:type="dcterms:W3CDTF">2017-09-21T03:37:00Z</dcterms:created>
  <dcterms:modified xsi:type="dcterms:W3CDTF">2017-09-21T03:37:00Z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be2a0ef2-721b-44d6-ad6e-9273a46696c4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1124800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