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800A7"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1A05470E">
            <wp:simplePos x="0" y="0"/>
            <wp:positionH relativeFrom="page">
              <wp:posOffset>151765</wp:posOffset>
            </wp:positionH>
            <wp:positionV relativeFrom="page">
              <wp:posOffset>231140</wp:posOffset>
            </wp:positionV>
            <wp:extent cx="7559675" cy="10693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0">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p w14:paraId="406DEBD2" w14:textId="77777777" w:rsidR="003D352D" w:rsidRDefault="003D352D" w:rsidP="00D146A2"/>
    <w:p w14:paraId="53FCB95F" w14:textId="77777777" w:rsidR="003D352D" w:rsidRDefault="003D352D" w:rsidP="00D146A2"/>
    <w:p w14:paraId="21604270" w14:textId="77777777" w:rsidR="003D352D" w:rsidRDefault="003D352D" w:rsidP="00D146A2"/>
    <w:p w14:paraId="04E17CC3" w14:textId="77777777" w:rsidR="003D352D" w:rsidRDefault="003D352D" w:rsidP="00D146A2"/>
    <w:p w14:paraId="597BEF8C" w14:textId="77777777" w:rsidR="003D352D" w:rsidRDefault="003D352D" w:rsidP="00D146A2"/>
    <w:p w14:paraId="02A1BC3C" w14:textId="77777777" w:rsidR="003D352D" w:rsidRDefault="003D352D" w:rsidP="00D146A2"/>
    <w:p w14:paraId="11BEEC44" w14:textId="77777777" w:rsidR="003D352D" w:rsidRDefault="003D352D" w:rsidP="00D146A2"/>
    <w:p w14:paraId="647AB575" w14:textId="77777777" w:rsidR="003D352D" w:rsidRDefault="003D352D" w:rsidP="00D146A2"/>
    <w:p w14:paraId="529048A8" w14:textId="77777777" w:rsidR="003D352D" w:rsidRDefault="003D352D" w:rsidP="00D146A2"/>
    <w:p w14:paraId="0440383E" w14:textId="77777777" w:rsidR="003D352D" w:rsidRDefault="003D352D" w:rsidP="00D146A2"/>
    <w:p w14:paraId="2EBA4285" w14:textId="77777777" w:rsidR="003D352D" w:rsidRDefault="003D352D" w:rsidP="00D146A2"/>
    <w:p w14:paraId="3A96B14C" w14:textId="77777777" w:rsidR="003D352D" w:rsidRDefault="003D352D" w:rsidP="00D146A2"/>
    <w:p w14:paraId="421C874D" w14:textId="77777777" w:rsidR="003D352D" w:rsidRDefault="003D352D" w:rsidP="00D146A2"/>
    <w:p w14:paraId="5B7F74E1" w14:textId="77777777" w:rsidR="003D352D" w:rsidRDefault="003D352D" w:rsidP="00D146A2"/>
    <w:p w14:paraId="43B3C8C2" w14:textId="77777777" w:rsidR="003D352D" w:rsidRDefault="003D352D" w:rsidP="00D146A2"/>
    <w:p w14:paraId="63299F54" w14:textId="77777777" w:rsidR="003D352D" w:rsidRPr="0059146A" w:rsidRDefault="003D352D" w:rsidP="0059146A"/>
    <w:p w14:paraId="4ED24616" w14:textId="77777777" w:rsidR="003D352D" w:rsidRPr="0059146A" w:rsidRDefault="003D352D" w:rsidP="0059146A"/>
    <w:p w14:paraId="73D79B65" w14:textId="77777777" w:rsidR="003D352D" w:rsidRPr="0059146A" w:rsidRDefault="003D352D" w:rsidP="0059146A"/>
    <w:p w14:paraId="317176FD" w14:textId="77777777" w:rsidR="003D352D" w:rsidRPr="0059146A" w:rsidRDefault="003D352D" w:rsidP="0059146A"/>
    <w:p w14:paraId="68EEA724" w14:textId="77777777" w:rsidR="003D352D" w:rsidRPr="0059146A" w:rsidRDefault="003D352D" w:rsidP="0059146A"/>
    <w:p w14:paraId="268F0B1D" w14:textId="77777777" w:rsidR="003D352D" w:rsidRPr="0059146A" w:rsidRDefault="003D352D" w:rsidP="0059146A"/>
    <w:p w14:paraId="58AA14C0" w14:textId="77777777" w:rsidR="00A56F14" w:rsidRPr="0059146A" w:rsidRDefault="00A56F14" w:rsidP="00A56F14"/>
    <w:p w14:paraId="0FEAF2F4" w14:textId="77777777" w:rsidR="00A56F14" w:rsidRPr="0059146A" w:rsidRDefault="00A56F14" w:rsidP="0059146A"/>
    <w:p w14:paraId="43772F04" w14:textId="77777777" w:rsidR="00A56F14" w:rsidRDefault="00A56F14" w:rsidP="0059146A"/>
    <w:p w14:paraId="4E538505" w14:textId="77777777" w:rsidR="0059146A" w:rsidRDefault="0059146A" w:rsidP="0059146A"/>
    <w:p w14:paraId="7522DF1D" w14:textId="77777777" w:rsidR="0059146A" w:rsidRDefault="0059146A" w:rsidP="0059146A"/>
    <w:p w14:paraId="55D6549E" w14:textId="77777777" w:rsidR="0059146A" w:rsidRDefault="0059146A" w:rsidP="0059146A"/>
    <w:p w14:paraId="1A791F9F" w14:textId="77777777" w:rsidR="0059146A" w:rsidRPr="0059146A" w:rsidRDefault="0059146A" w:rsidP="0059146A"/>
    <w:p w14:paraId="33BED1A8" w14:textId="77777777"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2015-16</w:t>
      </w:r>
    </w:p>
    <w:p w14:paraId="3A7DEB08" w14:textId="77777777" w:rsidR="0059146A" w:rsidRDefault="00597780" w:rsidP="00A56F14">
      <w:pPr>
        <w:rPr>
          <w:sz w:val="24"/>
        </w:rPr>
        <w:sectPr w:rsidR="0059146A" w:rsidSect="00A56F14">
          <w:headerReference w:type="even" r:id="rId11"/>
          <w:headerReference w:type="default" r:id="rId12"/>
          <w:footerReference w:type="even" r:id="rId13"/>
          <w:footerReference w:type="default" r:id="rId14"/>
          <w:headerReference w:type="first" r:id="rId15"/>
          <w:footerReference w:type="first" r:id="rId16"/>
          <w:pgSz w:w="11906" w:h="16838" w:code="9"/>
          <w:pgMar w:top="1952" w:right="1134" w:bottom="851" w:left="1134" w:header="1814" w:footer="567" w:gutter="0"/>
          <w:cols w:space="397"/>
          <w:titlePg/>
          <w:docGrid w:linePitch="360"/>
        </w:sectPr>
      </w:pPr>
      <w:r>
        <w:rPr>
          <w:sz w:val="40"/>
        </w:rPr>
        <w:t>Palestinian Territories</w:t>
      </w:r>
      <w:r w:rsidR="0059146A">
        <w:rPr>
          <w:sz w:val="40"/>
        </w:rPr>
        <w:br/>
      </w:r>
      <w:r w:rsidR="0059146A" w:rsidRPr="0059146A">
        <w:rPr>
          <w:sz w:val="24"/>
        </w:rPr>
        <w:t>September 2016</w:t>
      </w:r>
    </w:p>
    <w:p w14:paraId="237BF419" w14:textId="77777777" w:rsidR="00E864BE" w:rsidRDefault="00E864BE" w:rsidP="00B438D3">
      <w:pPr>
        <w:pStyle w:val="Title"/>
      </w:pPr>
    </w:p>
    <w:p w14:paraId="0BAE52F3" w14:textId="77777777" w:rsidR="005B5769" w:rsidRPr="00A731A1" w:rsidRDefault="00597780" w:rsidP="00B438D3">
      <w:pPr>
        <w:pStyle w:val="Title"/>
      </w:pPr>
      <w:r w:rsidRPr="00A731A1">
        <w:t>PALESTINIAN TERRITORIES</w:t>
      </w:r>
      <w:r w:rsidR="005B5769" w:rsidRPr="00A731A1">
        <w:t xml:space="preserve"> Aid Program Performance Information 2015-16</w:t>
      </w:r>
    </w:p>
    <w:p w14:paraId="39B0DADE" w14:textId="77777777" w:rsidR="005B5769" w:rsidRPr="00A731A1" w:rsidRDefault="005B5769" w:rsidP="00A731A1">
      <w:pPr>
        <w:pStyle w:val="Subtitle"/>
        <w:numPr>
          <w:ilvl w:val="0"/>
          <w:numId w:val="0"/>
        </w:numPr>
      </w:pPr>
      <w:r w:rsidRPr="00A731A1">
        <w:t>Summary</w:t>
      </w:r>
    </w:p>
    <w:p w14:paraId="50C93F07" w14:textId="64EB91E7" w:rsidR="008F5B8F" w:rsidRPr="00A731A1" w:rsidRDefault="00FE20AD" w:rsidP="007A0641">
      <w:pPr>
        <w:jc w:val="both"/>
      </w:pPr>
      <w:r w:rsidRPr="00A731A1">
        <w:t>The Palestinian Territories (PT</w:t>
      </w:r>
      <w:r w:rsidR="009856A6" w:rsidRPr="00A731A1">
        <w:t>s</w:t>
      </w:r>
      <w:r w:rsidRPr="00A731A1">
        <w:t xml:space="preserve">), consisting of the West Bank and the Gaza Strip, is one of the poorest regions in the Middle East.  </w:t>
      </w:r>
      <w:r w:rsidR="008F5B8F" w:rsidRPr="00A731A1">
        <w:t>The 2015 United Nations Human Development Index</w:t>
      </w:r>
      <w:r w:rsidR="00A07E81">
        <w:t>, which ranks countries on key dimensions of social and economic development,</w:t>
      </w:r>
      <w:r w:rsidR="008F5B8F" w:rsidRPr="00A731A1">
        <w:t xml:space="preserve"> rated the PTs 113</w:t>
      </w:r>
      <w:r w:rsidR="002B6E80" w:rsidRPr="00A731A1">
        <w:t>th</w:t>
      </w:r>
      <w:r w:rsidR="008F5B8F" w:rsidRPr="00A731A1">
        <w:t xml:space="preserve"> out of 188 countries.  </w:t>
      </w:r>
      <w:r w:rsidRPr="00A731A1">
        <w:t xml:space="preserve">Almost </w:t>
      </w:r>
      <w:r w:rsidR="005533F2">
        <w:br/>
      </w:r>
      <w:r w:rsidRPr="00A731A1">
        <w:t>44 per cent of the PTs’ population</w:t>
      </w:r>
      <w:r w:rsidR="0048487D" w:rsidRPr="00A731A1">
        <w:t xml:space="preserve"> of 4.3 million</w:t>
      </w:r>
      <w:r w:rsidRPr="00A731A1">
        <w:t xml:space="preserve"> are refugees. </w:t>
      </w:r>
      <w:r w:rsidR="00A71D4A" w:rsidRPr="00A731A1">
        <w:t xml:space="preserve"> </w:t>
      </w:r>
      <w:r w:rsidRPr="00A731A1">
        <w:t>A further three million Palestinian refugees live in Jordan, Syria and Lebanon</w:t>
      </w:r>
      <w:r w:rsidR="000A4C92" w:rsidRPr="00A731A1">
        <w:t>,</w:t>
      </w:r>
      <w:r w:rsidRPr="00A731A1">
        <w:t xml:space="preserve"> and rely on the United Nations Relief and Works Agency for Palestine Refugees in the Near East (UNRWA) for essential services</w:t>
      </w:r>
      <w:r w:rsidR="008F5B8F" w:rsidRPr="00A731A1">
        <w:t xml:space="preserve"> (such as health and education)</w:t>
      </w:r>
      <w:r w:rsidRPr="00A731A1">
        <w:t>, protection, and, in many cases, food. The PTs face formidable constraints to economic development including</w:t>
      </w:r>
      <w:r w:rsidR="000A4C92" w:rsidRPr="00A731A1">
        <w:t>:</w:t>
      </w:r>
      <w:r w:rsidRPr="00A731A1">
        <w:t xml:space="preserve"> the p</w:t>
      </w:r>
      <w:r w:rsidR="0048487D" w:rsidRPr="00A731A1">
        <w:t>hysical separation of territory</w:t>
      </w:r>
      <w:r w:rsidR="000A4C92" w:rsidRPr="00A731A1">
        <w:t>;</w:t>
      </w:r>
      <w:r w:rsidRPr="00A731A1">
        <w:t xml:space="preserve"> a lack of control over territorial borders and key natural resources such as land and water</w:t>
      </w:r>
      <w:r w:rsidR="000A4C92" w:rsidRPr="00A731A1">
        <w:t>;</w:t>
      </w:r>
      <w:r w:rsidRPr="00A731A1">
        <w:t xml:space="preserve"> restrictions </w:t>
      </w:r>
      <w:r w:rsidR="0048487D" w:rsidRPr="00A731A1">
        <w:t>on movement of goods and people</w:t>
      </w:r>
      <w:r w:rsidR="000A4C92" w:rsidRPr="00A731A1">
        <w:t xml:space="preserve">; </w:t>
      </w:r>
      <w:r w:rsidRPr="00A731A1">
        <w:t xml:space="preserve">and </w:t>
      </w:r>
      <w:r w:rsidR="008F5B8F" w:rsidRPr="00A731A1">
        <w:t>continued conflict and insecurity</w:t>
      </w:r>
      <w:r w:rsidRPr="00A731A1">
        <w:t xml:space="preserve">. </w:t>
      </w:r>
      <w:r w:rsidR="008F5B8F" w:rsidRPr="00A731A1">
        <w:t xml:space="preserve"> These constraints to development are particularly evident in Gaza, where extreme population density, heavy</w:t>
      </w:r>
      <w:r w:rsidR="00E30BB9" w:rsidRPr="00A731A1">
        <w:t xml:space="preserve"> economic</w:t>
      </w:r>
      <w:r w:rsidR="008F5B8F" w:rsidRPr="00A731A1">
        <w:t xml:space="preserve"> restrictions and </w:t>
      </w:r>
      <w:r w:rsidR="00CB4F54" w:rsidRPr="00A731A1">
        <w:t>repeated cycles of conflict have rendered half of its population dependent on food assistance to meet basic needs.</w:t>
      </w:r>
    </w:p>
    <w:p w14:paraId="5383DB37" w14:textId="3B8FA1F3" w:rsidR="008F5B8F" w:rsidRPr="00A731A1" w:rsidRDefault="008F5B8F" w:rsidP="007A0641">
      <w:pPr>
        <w:jc w:val="both"/>
      </w:pPr>
      <w:r w:rsidRPr="00A731A1">
        <w:t>Despite</w:t>
      </w:r>
      <w:r w:rsidR="00E30BB9" w:rsidRPr="00A731A1">
        <w:t xml:space="preserve"> recent</w:t>
      </w:r>
      <w:r w:rsidRPr="00A731A1">
        <w:t xml:space="preserve"> improvements to </w:t>
      </w:r>
      <w:r w:rsidR="00007218" w:rsidRPr="00A731A1">
        <w:t xml:space="preserve">women’s </w:t>
      </w:r>
      <w:r w:rsidRPr="00A731A1">
        <w:t xml:space="preserve">health and education outcomes, Palestinian women </w:t>
      </w:r>
      <w:r w:rsidR="00E30BB9" w:rsidRPr="00A731A1">
        <w:t>encounter</w:t>
      </w:r>
      <w:r w:rsidRPr="00A731A1">
        <w:t xml:space="preserve"> considerable barriers to gender equality</w:t>
      </w:r>
      <w:r w:rsidR="003378D2" w:rsidRPr="00A731A1">
        <w:t xml:space="preserve"> in daily life</w:t>
      </w:r>
      <w:r w:rsidRPr="00A731A1">
        <w:t xml:space="preserve">.  Women </w:t>
      </w:r>
      <w:r w:rsidR="001467CF" w:rsidRPr="00A731A1">
        <w:t xml:space="preserve">remain </w:t>
      </w:r>
      <w:r w:rsidRPr="00A731A1">
        <w:t xml:space="preserve">significantly under-represented in governance </w:t>
      </w:r>
      <w:r w:rsidR="001467CF" w:rsidRPr="00A731A1">
        <w:t xml:space="preserve">mechanisms such as boards and in </w:t>
      </w:r>
      <w:r w:rsidRPr="00A731A1">
        <w:t>workforce participation</w:t>
      </w:r>
      <w:r w:rsidR="00794DB5" w:rsidRPr="00A731A1">
        <w:t xml:space="preserve"> rates</w:t>
      </w:r>
      <w:r w:rsidR="00E30BB9" w:rsidRPr="00A731A1">
        <w:t xml:space="preserve">, and endure </w:t>
      </w:r>
      <w:r w:rsidR="00007218" w:rsidRPr="00A731A1">
        <w:t>structural and cultural</w:t>
      </w:r>
      <w:r w:rsidR="00E30BB9" w:rsidRPr="00A731A1">
        <w:t xml:space="preserve"> discrimination</w:t>
      </w:r>
      <w:r w:rsidRPr="00A731A1">
        <w:t xml:space="preserve">. </w:t>
      </w:r>
      <w:r w:rsidR="00E30BB9" w:rsidRPr="00A731A1">
        <w:t xml:space="preserve"> </w:t>
      </w:r>
      <w:r w:rsidRPr="00A731A1">
        <w:t xml:space="preserve">Gender based violence </w:t>
      </w:r>
      <w:r w:rsidR="00794DB5" w:rsidRPr="00A731A1">
        <w:t>remains</w:t>
      </w:r>
      <w:r w:rsidRPr="00A731A1">
        <w:t xml:space="preserve"> </w:t>
      </w:r>
      <w:r w:rsidR="003378D2" w:rsidRPr="00A731A1">
        <w:t>evident</w:t>
      </w:r>
      <w:r w:rsidRPr="00A731A1">
        <w:t>, particularly in times of emergency.</w:t>
      </w:r>
    </w:p>
    <w:p w14:paraId="047DA77F" w14:textId="6DE8838A" w:rsidR="00E30BB9" w:rsidRPr="00A731A1" w:rsidRDefault="00FE20AD" w:rsidP="007A0641">
      <w:pPr>
        <w:jc w:val="both"/>
      </w:pPr>
      <w:r w:rsidRPr="00A731A1">
        <w:t>Australia provided an estimated $42.</w:t>
      </w:r>
      <w:r w:rsidR="00CB4F54" w:rsidRPr="00A731A1">
        <w:t>9</w:t>
      </w:r>
      <w:r w:rsidRPr="00A731A1">
        <w:t xml:space="preserve"> million in development assistance to the PTs in 2015-16</w:t>
      </w:r>
      <w:r w:rsidR="00A71D4A" w:rsidRPr="00A731A1">
        <w:t xml:space="preserve">, </w:t>
      </w:r>
      <w:r w:rsidR="006A1395" w:rsidRPr="00A731A1">
        <w:t xml:space="preserve">equating to </w:t>
      </w:r>
      <w:r w:rsidR="00A71D4A" w:rsidRPr="00A731A1">
        <w:t>less than half a percent of</w:t>
      </w:r>
      <w:r w:rsidR="00007218" w:rsidRPr="00A731A1">
        <w:t xml:space="preserve"> the PTs’</w:t>
      </w:r>
      <w:r w:rsidR="00A71D4A" w:rsidRPr="00A731A1">
        <w:t xml:space="preserve"> </w:t>
      </w:r>
      <w:r w:rsidR="00A07E81">
        <w:t>gross domestic product (</w:t>
      </w:r>
      <w:r w:rsidR="00A71D4A" w:rsidRPr="00A731A1">
        <w:t>GDP</w:t>
      </w:r>
      <w:r w:rsidR="00A07E81">
        <w:t>)</w:t>
      </w:r>
      <w:r w:rsidR="00E66D7A" w:rsidRPr="00A731A1">
        <w:t xml:space="preserve">.  As a relatively modest donor, our development priorities are realistic and commensurate with the size of our </w:t>
      </w:r>
      <w:r w:rsidR="007822DA" w:rsidRPr="00A731A1">
        <w:t>program</w:t>
      </w:r>
      <w:r w:rsidRPr="00A731A1">
        <w:t>.  Our objectives, set out in the Aid Investment Plan 2015-19</w:t>
      </w:r>
      <w:r w:rsidR="00E30BB9" w:rsidRPr="00A731A1">
        <w:t xml:space="preserve"> (AIP)</w:t>
      </w:r>
      <w:r w:rsidRPr="00A731A1">
        <w:t>, are to</w:t>
      </w:r>
      <w:r w:rsidR="008D7990" w:rsidRPr="00A731A1">
        <w:t>:</w:t>
      </w:r>
      <w:r w:rsidRPr="00A731A1">
        <w:t xml:space="preserve"> support improved public financial management and a more c</w:t>
      </w:r>
      <w:r w:rsidR="006A1395" w:rsidRPr="00A731A1">
        <w:t>ompetitive agricultural economy</w:t>
      </w:r>
      <w:r w:rsidR="008D7990" w:rsidRPr="00A731A1">
        <w:t>;</w:t>
      </w:r>
      <w:r w:rsidRPr="00A731A1">
        <w:t xml:space="preserve"> and to see Palestinian refugees in the PTs and across the region access quality basic services.</w:t>
      </w:r>
      <w:r w:rsidR="00E66D7A" w:rsidRPr="00A731A1">
        <w:t xml:space="preserve">  </w:t>
      </w:r>
      <w:r w:rsidR="008C2293" w:rsidRPr="00A731A1">
        <w:t>These objectives contribute to stability and inclusive economic growth in the PTs, and complement other donor priorities.</w:t>
      </w:r>
    </w:p>
    <w:p w14:paraId="638F76CC" w14:textId="54FCD8B1" w:rsidR="0018586F" w:rsidRPr="00A731A1" w:rsidRDefault="0018586F" w:rsidP="007A0641">
      <w:pPr>
        <w:jc w:val="both"/>
      </w:pPr>
      <w:r w:rsidRPr="00A731A1">
        <w:t xml:space="preserve">The AIP consolidated Australia’s portfolio of development assistance in a limited number of well targeted investments.  </w:t>
      </w:r>
      <w:r w:rsidR="00007218" w:rsidRPr="00A731A1">
        <w:t xml:space="preserve">In 2015-16, </w:t>
      </w:r>
      <w:r w:rsidR="001E3A9B" w:rsidRPr="00A731A1">
        <w:t>Australia</w:t>
      </w:r>
      <w:r w:rsidR="00007218" w:rsidRPr="00A731A1">
        <w:t xml:space="preserve"> </w:t>
      </w:r>
      <w:r w:rsidR="00E66D7A" w:rsidRPr="00A731A1">
        <w:t>support</w:t>
      </w:r>
      <w:r w:rsidR="00007218" w:rsidRPr="00A731A1">
        <w:t>ed</w:t>
      </w:r>
      <w:r w:rsidR="00E66D7A" w:rsidRPr="00A731A1">
        <w:t xml:space="preserve"> the Palestinian Authority</w:t>
      </w:r>
      <w:r w:rsidR="00CC6250" w:rsidRPr="00A731A1">
        <w:t xml:space="preserve"> (PA)</w:t>
      </w:r>
      <w:r w:rsidR="00E66D7A" w:rsidRPr="00A731A1">
        <w:t xml:space="preserve"> through the World Bank’s Palestine Reform and Development Plan Multi-Donor Trust Fund</w:t>
      </w:r>
      <w:r w:rsidR="00E30BB9" w:rsidRPr="00A731A1">
        <w:t>,</w:t>
      </w:r>
      <w:r w:rsidR="00E66D7A" w:rsidRPr="00A731A1">
        <w:t xml:space="preserve"> which</w:t>
      </w:r>
      <w:r w:rsidR="00007218" w:rsidRPr="00A731A1">
        <w:t xml:space="preserve"> works to</w:t>
      </w:r>
      <w:r w:rsidR="00E66D7A" w:rsidRPr="00A731A1">
        <w:t xml:space="preserve"> </w:t>
      </w:r>
      <w:r w:rsidR="00CB4F54" w:rsidRPr="00A731A1">
        <w:t>improves</w:t>
      </w:r>
      <w:r w:rsidR="00E66D7A" w:rsidRPr="00A731A1">
        <w:t xml:space="preserve"> </w:t>
      </w:r>
      <w:r w:rsidR="005533F2">
        <w:t>p</w:t>
      </w:r>
      <w:r w:rsidR="00E66D7A" w:rsidRPr="00A731A1">
        <w:t xml:space="preserve">ublic </w:t>
      </w:r>
      <w:r w:rsidR="005533F2">
        <w:t>f</w:t>
      </w:r>
      <w:r w:rsidR="00E66D7A" w:rsidRPr="00A731A1">
        <w:t xml:space="preserve">inancial </w:t>
      </w:r>
      <w:r w:rsidR="005533F2">
        <w:t>m</w:t>
      </w:r>
      <w:r w:rsidR="00E66D7A" w:rsidRPr="00A731A1">
        <w:t>anagement</w:t>
      </w:r>
      <w:r w:rsidR="001E3A9B" w:rsidRPr="00A731A1">
        <w:t xml:space="preserve"> </w:t>
      </w:r>
      <w:r w:rsidR="003378D2" w:rsidRPr="00A731A1">
        <w:t xml:space="preserve">(PFM) </w:t>
      </w:r>
      <w:r w:rsidR="001E3A9B" w:rsidRPr="00A731A1">
        <w:t>capacity</w:t>
      </w:r>
      <w:r w:rsidR="00CC6250" w:rsidRPr="00A731A1">
        <w:t>.</w:t>
      </w:r>
      <w:r w:rsidR="00A71D4A" w:rsidRPr="00A731A1">
        <w:t xml:space="preserve"> </w:t>
      </w:r>
      <w:r w:rsidR="00CC6250" w:rsidRPr="00A731A1">
        <w:t xml:space="preserve"> T</w:t>
      </w:r>
      <w:r w:rsidR="00E66D7A" w:rsidRPr="00A731A1">
        <w:t xml:space="preserve">he third phase of the Australian Middle East NGO Cooperation Agreement (AMENCA 3: Palestinian Farmers Connecting to Markets) commenced in 2016 </w:t>
      </w:r>
      <w:r w:rsidR="00CC6250" w:rsidRPr="00A731A1">
        <w:t xml:space="preserve">and </w:t>
      </w:r>
      <w:r w:rsidR="00E66D7A" w:rsidRPr="00A731A1">
        <w:t xml:space="preserve">is supporting Palestinian farmers in agricultural value chain </w:t>
      </w:r>
      <w:r w:rsidR="001467CF" w:rsidRPr="00A731A1">
        <w:t xml:space="preserve">development </w:t>
      </w:r>
      <w:r w:rsidR="00E66D7A" w:rsidRPr="00A731A1">
        <w:t>through Australian NGOs and Palestinian civil society organisations</w:t>
      </w:r>
      <w:r w:rsidR="00CC6250" w:rsidRPr="00A731A1">
        <w:t xml:space="preserve">.  </w:t>
      </w:r>
      <w:r w:rsidR="00E30BB9" w:rsidRPr="00A731A1">
        <w:t>We provide</w:t>
      </w:r>
      <w:r w:rsidR="00373E33">
        <w:t>d</w:t>
      </w:r>
      <w:r w:rsidR="00E30BB9" w:rsidRPr="00A731A1">
        <w:t xml:space="preserve"> Australia Awards scholarships to help build public sector management skills within the PA and other institutions</w:t>
      </w:r>
      <w:r w:rsidR="00B96F0D">
        <w:t>, and we</w:t>
      </w:r>
      <w:r w:rsidR="009A4E6D">
        <w:t xml:space="preserve"> </w:t>
      </w:r>
      <w:r w:rsidR="00E66D7A" w:rsidRPr="00A731A1">
        <w:t>continu</w:t>
      </w:r>
      <w:r w:rsidR="00007218" w:rsidRPr="00A731A1">
        <w:t>ed</w:t>
      </w:r>
      <w:r w:rsidR="00E66D7A" w:rsidRPr="00A731A1">
        <w:t xml:space="preserve"> to support UNRWA to provide protection and basic services to Palestinian refugees </w:t>
      </w:r>
      <w:r w:rsidR="00CB4F54" w:rsidRPr="00A731A1">
        <w:t xml:space="preserve">across the region. </w:t>
      </w:r>
      <w:r w:rsidRPr="00A731A1">
        <w:t xml:space="preserve"> This </w:t>
      </w:r>
      <w:r w:rsidR="00103205">
        <w:t>document</w:t>
      </w:r>
      <w:r w:rsidRPr="00A731A1">
        <w:t xml:space="preserve"> </w:t>
      </w:r>
      <w:r w:rsidR="003378D2" w:rsidRPr="00A731A1">
        <w:t xml:space="preserve">also </w:t>
      </w:r>
      <w:r w:rsidRPr="00A731A1">
        <w:t xml:space="preserve">reports on achievements </w:t>
      </w:r>
      <w:r w:rsidR="003378D2" w:rsidRPr="00A731A1">
        <w:t xml:space="preserve">of </w:t>
      </w:r>
      <w:r w:rsidR="00A07E81">
        <w:t>our funding</w:t>
      </w:r>
      <w:r w:rsidRPr="00A731A1">
        <w:t xml:space="preserve"> to UNICEF</w:t>
      </w:r>
      <w:r w:rsidR="00A07E81">
        <w:t xml:space="preserve"> for water, sanitation and hygiene (WASH) in Palestinian schools</w:t>
      </w:r>
      <w:r w:rsidRPr="00A731A1">
        <w:t xml:space="preserve"> and UN</w:t>
      </w:r>
      <w:r w:rsidR="003378D2" w:rsidRPr="00A731A1">
        <w:t xml:space="preserve"> Office for Project Services (UN</w:t>
      </w:r>
      <w:r w:rsidRPr="00A731A1">
        <w:t>OPS</w:t>
      </w:r>
      <w:r w:rsidR="003378D2" w:rsidRPr="00A731A1">
        <w:t>)</w:t>
      </w:r>
      <w:r w:rsidR="00A07E81">
        <w:t xml:space="preserve"> for the Access Coordination Unit (ACU) which facilitates movement of personnel and goods throughout the PTs</w:t>
      </w:r>
      <w:r w:rsidRPr="00A731A1">
        <w:t>.</w:t>
      </w:r>
    </w:p>
    <w:p w14:paraId="1001EAAA" w14:textId="77777777" w:rsidR="00924587" w:rsidRDefault="00924587">
      <w:pPr>
        <w:suppressAutoHyphens w:val="0"/>
        <w:spacing w:before="0" w:after="120" w:line="440" w:lineRule="atLeast"/>
        <w:rPr>
          <w:rFonts w:asciiTheme="majorHAnsi" w:eastAsiaTheme="majorEastAsia" w:hAnsiTheme="majorHAnsi" w:cstheme="majorBidi"/>
          <w:caps/>
          <w:sz w:val="36"/>
          <w:szCs w:val="26"/>
        </w:rPr>
      </w:pPr>
      <w:r>
        <w:rPr>
          <w:rFonts w:asciiTheme="majorHAnsi" w:eastAsiaTheme="majorEastAsia" w:hAnsiTheme="majorHAnsi" w:cstheme="majorBidi"/>
          <w:caps/>
          <w:sz w:val="36"/>
          <w:szCs w:val="26"/>
        </w:rPr>
        <w:br w:type="page"/>
      </w:r>
    </w:p>
    <w:p w14:paraId="11CD4AC7" w14:textId="147CBA40" w:rsidR="005B5769" w:rsidRPr="008C2F58" w:rsidRDefault="005B5769" w:rsidP="00B438D3">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lastRenderedPageBreak/>
        <w:t>Performance against Strategic Objectives</w:t>
      </w:r>
    </w:p>
    <w:tbl>
      <w:tblPr>
        <w:tblStyle w:val="APPR"/>
        <w:tblW w:w="5000" w:type="pct"/>
        <w:tblLook w:val="0000" w:firstRow="0" w:lastRow="0" w:firstColumn="0" w:lastColumn="0" w:noHBand="0" w:noVBand="0"/>
      </w:tblPr>
      <w:tblGrid>
        <w:gridCol w:w="7046"/>
        <w:gridCol w:w="1157"/>
        <w:gridCol w:w="479"/>
        <w:gridCol w:w="1228"/>
      </w:tblGrid>
      <w:tr w:rsidR="005B5769" w:rsidRPr="003B0793" w14:paraId="2D46BEF1" w14:textId="77777777" w:rsidTr="00FC50CE">
        <w:trPr>
          <w:cnfStyle w:val="000000010000" w:firstRow="0" w:lastRow="0" w:firstColumn="0" w:lastColumn="0" w:oddVBand="0" w:evenVBand="0" w:oddHBand="0" w:evenHBand="1" w:firstRowFirstColumn="0" w:firstRowLastColumn="0" w:lastRowFirstColumn="0" w:lastRowLastColumn="0"/>
          <w:trHeight w:val="651"/>
        </w:trPr>
        <w:tc>
          <w:tcPr>
            <w:tcW w:w="7004" w:type="dxa"/>
          </w:tcPr>
          <w:p w14:paraId="0BBA5F88" w14:textId="77777777" w:rsidR="005B5769" w:rsidRPr="003B0793" w:rsidRDefault="005B5769" w:rsidP="00D15A00">
            <w:pPr>
              <w:pStyle w:val="TableTextColumnHeading"/>
              <w:rPr>
                <w:rFonts w:asciiTheme="minorHAnsi" w:hAnsiTheme="minorHAnsi"/>
              </w:rPr>
            </w:pPr>
            <w:r w:rsidRPr="003B0793">
              <w:rPr>
                <w:rFonts w:asciiTheme="minorHAnsi" w:hAnsiTheme="minorHAnsi"/>
                <w:noProof/>
              </w:rPr>
              <w:drawing>
                <wp:anchor distT="0" distB="0" distL="114300" distR="114300" simplePos="0" relativeHeight="251666432" behindDoc="0" locked="0" layoutInCell="1" allowOverlap="1" wp14:anchorId="1F32DF91" wp14:editId="7DB7751F">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hAnsiTheme="minorHAnsi"/>
              </w:rPr>
              <w:t>Objective</w:t>
            </w:r>
          </w:p>
        </w:tc>
        <w:tc>
          <w:tcPr>
            <w:tcW w:w="1129" w:type="dxa"/>
          </w:tcPr>
          <w:p w14:paraId="07EF9078" w14:textId="77777777" w:rsidR="005B5769" w:rsidRPr="003B0793" w:rsidRDefault="005B5769" w:rsidP="00D15A00">
            <w:pPr>
              <w:pStyle w:val="TableTextColumnHeading"/>
              <w:rPr>
                <w:rFonts w:asciiTheme="minorHAnsi" w:hAnsiTheme="minorHAnsi"/>
              </w:rPr>
            </w:pPr>
            <w:r w:rsidRPr="003B0793">
              <w:rPr>
                <w:rFonts w:asciiTheme="minorHAnsi" w:hAnsiTheme="minorHAnsi"/>
              </w:rPr>
              <w:t>Previous Rating</w:t>
            </w:r>
          </w:p>
        </w:tc>
        <w:tc>
          <w:tcPr>
            <w:tcW w:w="451" w:type="dxa"/>
          </w:tcPr>
          <w:p w14:paraId="0C85F795" w14:textId="77777777" w:rsidR="005B5769" w:rsidRPr="003B0793" w:rsidRDefault="005B5769" w:rsidP="00D15A00">
            <w:pPr>
              <w:pStyle w:val="TableTextColumnHeading"/>
              <w:rPr>
                <w:rFonts w:asciiTheme="minorHAnsi" w:hAnsiTheme="minorHAnsi"/>
              </w:rPr>
            </w:pPr>
          </w:p>
        </w:tc>
        <w:tc>
          <w:tcPr>
            <w:tcW w:w="1186" w:type="dxa"/>
          </w:tcPr>
          <w:p w14:paraId="0A77B426" w14:textId="77777777" w:rsidR="005B5769" w:rsidRPr="003B0793" w:rsidRDefault="005B5769" w:rsidP="00D15A00">
            <w:pPr>
              <w:pStyle w:val="TableTextColumnHeading"/>
              <w:rPr>
                <w:rFonts w:asciiTheme="minorHAnsi" w:hAnsiTheme="minorHAnsi"/>
              </w:rPr>
            </w:pPr>
            <w:r w:rsidRPr="003B0793">
              <w:rPr>
                <w:rFonts w:asciiTheme="minorHAnsi" w:hAnsiTheme="minorHAnsi"/>
              </w:rPr>
              <w:t>Current Rating</w:t>
            </w:r>
          </w:p>
        </w:tc>
      </w:tr>
      <w:tr w:rsidR="005B5769" w:rsidRPr="003B0793" w14:paraId="53851B92" w14:textId="77777777" w:rsidTr="00015D5A">
        <w:trPr>
          <w:cnfStyle w:val="000000010000" w:firstRow="0" w:lastRow="0" w:firstColumn="0" w:lastColumn="0" w:oddVBand="0" w:evenVBand="0" w:oddHBand="0" w:evenHBand="1" w:firstRowFirstColumn="0" w:firstRowLastColumn="0" w:lastRowFirstColumn="0" w:lastRowLastColumn="0"/>
        </w:trPr>
        <w:tc>
          <w:tcPr>
            <w:tcW w:w="7004" w:type="dxa"/>
          </w:tcPr>
          <w:p w14:paraId="0E17F2AE" w14:textId="6AB73D1B" w:rsidR="005B5769" w:rsidRPr="003B0793" w:rsidRDefault="00FC50CE" w:rsidP="00015D5A">
            <w:pPr>
              <w:pStyle w:val="TableTextEntries"/>
              <w:numPr>
                <w:ilvl w:val="0"/>
                <w:numId w:val="46"/>
              </w:numPr>
              <w:rPr>
                <w:rFonts w:asciiTheme="minorHAnsi" w:hAnsiTheme="minorHAnsi"/>
              </w:rPr>
            </w:pPr>
            <w:r>
              <w:rPr>
                <w:rFonts w:asciiTheme="minorHAnsi" w:hAnsiTheme="minorHAnsi"/>
              </w:rPr>
              <w:t>Improved public financial management and a more competitive agricultural economy in the PTs</w:t>
            </w:r>
          </w:p>
        </w:tc>
        <w:tc>
          <w:tcPr>
            <w:tcW w:w="1129" w:type="dxa"/>
            <w:shd w:val="clear" w:color="auto" w:fill="92D050"/>
            <w:noWrap/>
          </w:tcPr>
          <w:p w14:paraId="47C5A97E" w14:textId="77777777" w:rsidR="005B5769" w:rsidRPr="003B0793" w:rsidRDefault="00E371DF" w:rsidP="00D15A00">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451" w:type="dxa"/>
            <w:shd w:val="clear" w:color="auto" w:fill="FFFFFF" w:themeFill="background1"/>
          </w:tcPr>
          <w:p w14:paraId="05042E07" w14:textId="77777777" w:rsidR="005B5769" w:rsidRPr="003B0793" w:rsidRDefault="005B5769" w:rsidP="00D15A00">
            <w:pPr>
              <w:pStyle w:val="TableTextEntries"/>
              <w:jc w:val="center"/>
              <w:rPr>
                <w:rFonts w:asciiTheme="minorHAnsi" w:hAnsiTheme="minorHAnsi"/>
                <w:color w:val="FFFFFF" w:themeColor="background1"/>
              </w:rPr>
            </w:pPr>
          </w:p>
        </w:tc>
        <w:tc>
          <w:tcPr>
            <w:tcW w:w="1186" w:type="dxa"/>
            <w:shd w:val="clear" w:color="auto" w:fill="92D050"/>
            <w:noWrap/>
          </w:tcPr>
          <w:p w14:paraId="0C668190" w14:textId="6F78405B" w:rsidR="005B5769" w:rsidRPr="003B0793" w:rsidRDefault="00E50A30" w:rsidP="00D15A00">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r w:rsidR="005B5769" w:rsidRPr="003B0793" w14:paraId="78CD3684" w14:textId="77777777" w:rsidTr="00E371DF">
        <w:trPr>
          <w:cnfStyle w:val="000000010000" w:firstRow="0" w:lastRow="0" w:firstColumn="0" w:lastColumn="0" w:oddVBand="0" w:evenVBand="0" w:oddHBand="0" w:evenHBand="1" w:firstRowFirstColumn="0" w:firstRowLastColumn="0" w:lastRowFirstColumn="0" w:lastRowLastColumn="0"/>
        </w:trPr>
        <w:tc>
          <w:tcPr>
            <w:tcW w:w="7004" w:type="dxa"/>
          </w:tcPr>
          <w:p w14:paraId="347F9AF6" w14:textId="41DABF8B" w:rsidR="005B5769" w:rsidRPr="003B0793" w:rsidRDefault="00FC50CE" w:rsidP="00015D5A">
            <w:pPr>
              <w:pStyle w:val="TableTextEntries"/>
              <w:numPr>
                <w:ilvl w:val="0"/>
                <w:numId w:val="46"/>
              </w:numPr>
              <w:rPr>
                <w:rFonts w:asciiTheme="minorHAnsi" w:hAnsiTheme="minorHAnsi"/>
              </w:rPr>
            </w:pPr>
            <w:r>
              <w:rPr>
                <w:rFonts w:asciiTheme="minorHAnsi" w:hAnsiTheme="minorHAnsi"/>
              </w:rPr>
              <w:t>Palestinian refugees in the PTs and across the region are able to access quality basic services</w:t>
            </w:r>
          </w:p>
        </w:tc>
        <w:tc>
          <w:tcPr>
            <w:tcW w:w="1129" w:type="dxa"/>
            <w:shd w:val="clear" w:color="auto" w:fill="92D050"/>
            <w:noWrap/>
          </w:tcPr>
          <w:p w14:paraId="1E68B0ED" w14:textId="77777777" w:rsidR="005B5769" w:rsidRPr="003B0793" w:rsidRDefault="00E371DF" w:rsidP="00D15A00">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451" w:type="dxa"/>
            <w:shd w:val="clear" w:color="auto" w:fill="FFFFFF" w:themeFill="background1"/>
          </w:tcPr>
          <w:p w14:paraId="31583A9B" w14:textId="77777777" w:rsidR="005B5769" w:rsidRPr="003B0793" w:rsidRDefault="005B5769" w:rsidP="00D15A00">
            <w:pPr>
              <w:pStyle w:val="TableTextEntries"/>
              <w:jc w:val="center"/>
              <w:rPr>
                <w:rFonts w:asciiTheme="minorHAnsi" w:hAnsiTheme="minorHAnsi"/>
                <w:color w:val="FFFFFF" w:themeColor="background1"/>
              </w:rPr>
            </w:pPr>
          </w:p>
        </w:tc>
        <w:tc>
          <w:tcPr>
            <w:tcW w:w="1186" w:type="dxa"/>
            <w:shd w:val="clear" w:color="auto" w:fill="92D050"/>
            <w:noWrap/>
          </w:tcPr>
          <w:p w14:paraId="20CD233A" w14:textId="77777777" w:rsidR="005B5769" w:rsidRPr="003B0793" w:rsidRDefault="00E50A30" w:rsidP="00D15A00">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r>
    </w:tbl>
    <w:p w14:paraId="73B16CF9" w14:textId="77777777" w:rsidR="005B5769" w:rsidRPr="003B0793" w:rsidRDefault="005B5769" w:rsidP="005B5769">
      <w:pPr>
        <w:pStyle w:val="Note"/>
        <w:rPr>
          <w:rFonts w:asciiTheme="minorHAnsi" w:hAnsiTheme="minorHAnsi"/>
          <w:sz w:val="16"/>
        </w:rPr>
      </w:pPr>
      <w:r w:rsidRPr="003B0793">
        <w:rPr>
          <w:rFonts w:asciiTheme="minorHAnsi" w:hAnsiTheme="minorHAnsi"/>
          <w:sz w:val="16"/>
        </w:rPr>
        <w:t xml:space="preserve">Note: </w:t>
      </w:r>
    </w:p>
    <w:p w14:paraId="78AE726E" w14:textId="77777777" w:rsidR="005B5769" w:rsidRPr="003B0793" w:rsidRDefault="005B5769" w:rsidP="005B5769">
      <w:pPr>
        <w:pStyle w:val="Note"/>
        <w:rPr>
          <w:rFonts w:asciiTheme="minorHAnsi" w:hAnsiTheme="minorHAnsi"/>
          <w:sz w:val="16"/>
        </w:rPr>
      </w:pPr>
      <w:r w:rsidRPr="003B0793">
        <w:rPr>
          <w:rFonts w:asciiTheme="minorHAnsi" w:hAnsiTheme="minorHAnsi"/>
          <w:color w:val="72AF2F"/>
          <w:sz w:val="16"/>
        </w:rPr>
        <w:sym w:font="Webdings" w:char="F067"/>
      </w:r>
      <w:r w:rsidRPr="003B0793">
        <w:rPr>
          <w:rFonts w:asciiTheme="minorHAnsi" w:hAnsiTheme="minorHAnsi"/>
          <w:sz w:val="16"/>
        </w:rPr>
        <w:t> </w:t>
      </w:r>
      <w:r w:rsidRPr="003B0793">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5768EE67" w14:textId="77777777" w:rsidR="005B5769" w:rsidRPr="003B0793" w:rsidRDefault="005B5769" w:rsidP="005B5769">
      <w:pPr>
        <w:pStyle w:val="Note"/>
        <w:rPr>
          <w:rFonts w:asciiTheme="minorHAnsi" w:hAnsiTheme="minorHAnsi"/>
          <w:sz w:val="16"/>
        </w:rPr>
      </w:pPr>
      <w:r w:rsidRPr="003B0793">
        <w:rPr>
          <w:rFonts w:asciiTheme="minorHAnsi" w:hAnsiTheme="minorHAnsi"/>
          <w:color w:val="E36C0A"/>
          <w:sz w:val="16"/>
        </w:rPr>
        <w:sym w:font="Webdings" w:char="F067"/>
      </w:r>
      <w:r w:rsidRPr="003B0793">
        <w:rPr>
          <w:rFonts w:asciiTheme="minorHAnsi" w:hAnsiTheme="minorHAnsi"/>
          <w:sz w:val="16"/>
        </w:rPr>
        <w:t> </w:t>
      </w:r>
      <w:r w:rsidRPr="003B0793">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6F8EDCC7" w14:textId="77777777" w:rsidR="005B5769" w:rsidRPr="003B0793" w:rsidRDefault="005B5769" w:rsidP="005B5769">
      <w:pPr>
        <w:pStyle w:val="Note"/>
        <w:rPr>
          <w:rFonts w:asciiTheme="minorHAnsi" w:hAnsiTheme="minorHAnsi"/>
          <w:sz w:val="16"/>
        </w:rPr>
      </w:pPr>
      <w:r w:rsidRPr="003B0793">
        <w:rPr>
          <w:rFonts w:asciiTheme="minorHAnsi" w:hAnsiTheme="minorHAnsi"/>
          <w:color w:val="FF0000"/>
          <w:sz w:val="16"/>
        </w:rPr>
        <w:sym w:font="Webdings" w:char="F067"/>
      </w:r>
      <w:r w:rsidRPr="003B0793">
        <w:rPr>
          <w:rFonts w:asciiTheme="minorHAnsi" w:hAnsiTheme="minorHAnsi"/>
          <w:sz w:val="16"/>
        </w:rPr>
        <w:t> </w:t>
      </w:r>
      <w:r w:rsidRPr="003B0793">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56B8A5B1" w14:textId="77777777" w:rsidR="005B5769" w:rsidRPr="00C4114C" w:rsidRDefault="005B5769" w:rsidP="005B5769">
      <w:pPr>
        <w:pStyle w:val="Note"/>
      </w:pPr>
      <w:r w:rsidRPr="00C4114C">
        <w:t xml:space="preserve">  </w:t>
      </w:r>
    </w:p>
    <w:p w14:paraId="06618466" w14:textId="34DB0882" w:rsidR="009A4E6D" w:rsidRDefault="00924AEE" w:rsidP="007A0641">
      <w:pPr>
        <w:jc w:val="both"/>
        <w:rPr>
          <w:b/>
        </w:rPr>
      </w:pPr>
      <w:r w:rsidRPr="00A731A1">
        <w:rPr>
          <w:b/>
        </w:rPr>
        <w:t>Two Australian investments contributed to enhanced economic development of the PTs as articulated in Objective 1</w:t>
      </w:r>
      <w:r w:rsidR="00015D5A" w:rsidRPr="00A731A1">
        <w:rPr>
          <w:b/>
        </w:rPr>
        <w:t>.</w:t>
      </w:r>
      <w:r w:rsidRPr="00A731A1">
        <w:rPr>
          <w:b/>
        </w:rPr>
        <w:t xml:space="preserve">  Australia</w:t>
      </w:r>
      <w:r w:rsidR="009A4E6D">
        <w:rPr>
          <w:b/>
        </w:rPr>
        <w:t xml:space="preserve"> continued to support the PA</w:t>
      </w:r>
      <w:r w:rsidR="00C940A7">
        <w:rPr>
          <w:b/>
        </w:rPr>
        <w:t>’s public financial management reforms</w:t>
      </w:r>
      <w:r w:rsidR="009A4E6D">
        <w:rPr>
          <w:b/>
        </w:rPr>
        <w:t xml:space="preserve"> and launched the third phase of AMENCA to strengthen agricultural value chains and connect farmers to markets.</w:t>
      </w:r>
    </w:p>
    <w:p w14:paraId="583BF7C7" w14:textId="0311D91E" w:rsidR="008723D4" w:rsidRPr="00A731A1" w:rsidRDefault="008723D4" w:rsidP="007A0641">
      <w:pPr>
        <w:jc w:val="both"/>
      </w:pPr>
      <w:r w:rsidRPr="00A731A1">
        <w:t>Australia’s support to the PA</w:t>
      </w:r>
      <w:r w:rsidR="00C940A7">
        <w:t xml:space="preserve"> ($98.5 million </w:t>
      </w:r>
      <w:r w:rsidR="00A07E81">
        <w:t>from 2011-16</w:t>
      </w:r>
      <w:r w:rsidR="00C940A7">
        <w:t>; $16 million in 2015-16)</w:t>
      </w:r>
      <w:r w:rsidRPr="00A731A1">
        <w:t xml:space="preserve"> </w:t>
      </w:r>
      <w:r w:rsidR="008664EC" w:rsidRPr="00A731A1">
        <w:t xml:space="preserve">was provided based on the PA meeting key conditions focussed on fiscal and PFM benchmarks, as </w:t>
      </w:r>
      <w:r w:rsidRPr="00A731A1">
        <w:t>articulated in the</w:t>
      </w:r>
      <w:r w:rsidR="009A70D7" w:rsidRPr="00A731A1">
        <w:t xml:space="preserve"> World</w:t>
      </w:r>
      <w:r w:rsidRPr="00A731A1">
        <w:t xml:space="preserve"> Bank’s annual Policy Reform Matrix. </w:t>
      </w:r>
      <w:r w:rsidR="008664EC" w:rsidRPr="00A731A1">
        <w:t xml:space="preserve"> </w:t>
      </w:r>
      <w:r w:rsidR="002B361A" w:rsidRPr="00A731A1">
        <w:t xml:space="preserve">By pooling our relatively modest funds with those of other donors and releasing them only in line with achievement of important PFM reforms, we </w:t>
      </w:r>
      <w:r w:rsidR="005533F2">
        <w:t>have been</w:t>
      </w:r>
      <w:r w:rsidR="002B361A" w:rsidRPr="00A731A1">
        <w:t xml:space="preserve"> able to contribute to growing fiscal sustainability.  </w:t>
      </w:r>
      <w:r w:rsidR="001467CF" w:rsidRPr="00A731A1">
        <w:t xml:space="preserve">During 2015-16, </w:t>
      </w:r>
      <w:r w:rsidR="008664EC" w:rsidRPr="00A731A1">
        <w:t>Australia assesse</w:t>
      </w:r>
      <w:r w:rsidR="001467CF" w:rsidRPr="00A731A1">
        <w:t>d</w:t>
      </w:r>
      <w:r w:rsidR="008664EC" w:rsidRPr="00A731A1">
        <w:t xml:space="preserve"> that t</w:t>
      </w:r>
      <w:r w:rsidRPr="00A731A1">
        <w:t>he PA has manag</w:t>
      </w:r>
      <w:r w:rsidR="008664EC" w:rsidRPr="00A731A1">
        <w:t>ed</w:t>
      </w:r>
      <w:r w:rsidRPr="00A731A1">
        <w:t xml:space="preserve"> </w:t>
      </w:r>
      <w:r w:rsidR="00007218" w:rsidRPr="00A731A1">
        <w:t>its</w:t>
      </w:r>
      <w:r w:rsidRPr="00A731A1">
        <w:t xml:space="preserve"> economy</w:t>
      </w:r>
      <w:r w:rsidR="008664EC" w:rsidRPr="00A731A1">
        <w:t xml:space="preserve"> well</w:t>
      </w:r>
      <w:r w:rsidR="00794DB5" w:rsidRPr="00A731A1">
        <w:t>,</w:t>
      </w:r>
      <w:r w:rsidR="001467CF" w:rsidRPr="00A731A1">
        <w:t xml:space="preserve"> including against the </w:t>
      </w:r>
      <w:r w:rsidR="00924AEE" w:rsidRPr="00A731A1">
        <w:t>Matrix</w:t>
      </w:r>
      <w:r w:rsidR="001467CF" w:rsidRPr="00A731A1">
        <w:t xml:space="preserve"> parameters</w:t>
      </w:r>
      <w:r w:rsidR="00794DB5" w:rsidRPr="00A731A1">
        <w:t>,</w:t>
      </w:r>
      <w:r w:rsidR="008664EC" w:rsidRPr="00A731A1">
        <w:t xml:space="preserve"> given</w:t>
      </w:r>
      <w:r w:rsidRPr="00A731A1">
        <w:t xml:space="preserve"> extremely difficult circumstances.  Both the World Bank and </w:t>
      </w:r>
      <w:r w:rsidR="00103205">
        <w:t>International Monetary Fund</w:t>
      </w:r>
      <w:r w:rsidRPr="00A731A1">
        <w:t xml:space="preserve"> most recently confirmed this assessment at the Ad-Hoc Liaison Committee</w:t>
      </w:r>
      <w:r w:rsidR="00007218" w:rsidRPr="00A731A1">
        <w:t>, the principal coordination mechanism for development assistance to the Palestinian people,</w:t>
      </w:r>
      <w:r w:rsidRPr="00A731A1">
        <w:t xml:space="preserve"> </w:t>
      </w:r>
      <w:r w:rsidR="00007218" w:rsidRPr="00A731A1">
        <w:t>in Brussels in April 2016.  However, they</w:t>
      </w:r>
      <w:r w:rsidRPr="00A731A1">
        <w:t xml:space="preserve"> </w:t>
      </w:r>
      <w:r w:rsidR="00007218" w:rsidRPr="00A731A1">
        <w:t>noted</w:t>
      </w:r>
      <w:r w:rsidRPr="00A731A1">
        <w:t xml:space="preserve"> more reform was required </w:t>
      </w:r>
      <w:r w:rsidR="008664EC" w:rsidRPr="00A731A1">
        <w:t>to</w:t>
      </w:r>
      <w:r w:rsidRPr="00A731A1">
        <w:t xml:space="preserve"> reduc</w:t>
      </w:r>
      <w:r w:rsidR="008664EC" w:rsidRPr="00A731A1">
        <w:t>e</w:t>
      </w:r>
      <w:r w:rsidRPr="00A731A1">
        <w:t xml:space="preserve"> arrears debt</w:t>
      </w:r>
      <w:r w:rsidR="0020105A" w:rsidRPr="00A731A1">
        <w:t>,</w:t>
      </w:r>
      <w:r w:rsidRPr="00A731A1">
        <w:t xml:space="preserve"> broaden the revenue base</w:t>
      </w:r>
      <w:r w:rsidR="0020105A" w:rsidRPr="00A731A1">
        <w:t>,</w:t>
      </w:r>
      <w:r w:rsidRPr="00A731A1">
        <w:t xml:space="preserve"> and keep a tight rein over expenditure – particularly the public sector wage bill.  The revenue to GDP ratio has increased </w:t>
      </w:r>
      <w:r w:rsidR="007E1575" w:rsidRPr="00A731A1">
        <w:t>in recent</w:t>
      </w:r>
      <w:r w:rsidRPr="00A731A1">
        <w:t xml:space="preserve"> years, increasing by 0.1 </w:t>
      </w:r>
      <w:r w:rsidR="00CC6250" w:rsidRPr="00A731A1">
        <w:t>per cent</w:t>
      </w:r>
      <w:r w:rsidRPr="00A731A1">
        <w:t xml:space="preserve"> to reach 21.7 per cent in 2015, after increasing by 3 </w:t>
      </w:r>
      <w:r w:rsidR="00CC6250" w:rsidRPr="00A731A1">
        <w:t>per cent</w:t>
      </w:r>
      <w:r w:rsidRPr="00A731A1">
        <w:t xml:space="preserve"> in 2014.  </w:t>
      </w:r>
      <w:r w:rsidR="00E50A30" w:rsidRPr="00A731A1">
        <w:t xml:space="preserve">The gradual </w:t>
      </w:r>
      <w:r w:rsidR="00C940A7">
        <w:t>rises</w:t>
      </w:r>
      <w:r w:rsidR="00E50A30" w:rsidRPr="00A731A1">
        <w:t xml:space="preserve"> in</w:t>
      </w:r>
      <w:r w:rsidR="00C940A7">
        <w:t xml:space="preserve"> the</w:t>
      </w:r>
      <w:r w:rsidR="00E50A30" w:rsidRPr="00A731A1">
        <w:t xml:space="preserve"> revenue to GDP ratio represent an increase in the PA’s ability to sustainably manage its budget in a constrained environment.</w:t>
      </w:r>
      <w:r w:rsidR="00345615" w:rsidRPr="00A731A1">
        <w:t xml:space="preserve">  </w:t>
      </w:r>
    </w:p>
    <w:p w14:paraId="0F9D78F8" w14:textId="3AADE0E0" w:rsidR="00256FB8" w:rsidRPr="00A731A1" w:rsidRDefault="009A70D7" w:rsidP="007A0641">
      <w:pPr>
        <w:jc w:val="both"/>
      </w:pPr>
      <w:r w:rsidRPr="00A731A1">
        <w:t>B</w:t>
      </w:r>
      <w:r w:rsidR="007E1575" w:rsidRPr="00A731A1">
        <w:t>uilding</w:t>
      </w:r>
      <w:r w:rsidR="00CC6250" w:rsidRPr="00A731A1">
        <w:t xml:space="preserve"> on </w:t>
      </w:r>
      <w:r w:rsidRPr="00A731A1">
        <w:t>its</w:t>
      </w:r>
      <w:r w:rsidR="00CC6250" w:rsidRPr="00A731A1">
        <w:t xml:space="preserve"> successful second phase which ended in </w:t>
      </w:r>
      <w:r w:rsidR="00CB4F54" w:rsidRPr="00A731A1">
        <w:t>June 2015</w:t>
      </w:r>
      <w:r w:rsidR="007E1575" w:rsidRPr="00A731A1">
        <w:t>,</w:t>
      </w:r>
      <w:r w:rsidR="00CC6250" w:rsidRPr="00A731A1">
        <w:t xml:space="preserve"> </w:t>
      </w:r>
      <w:r w:rsidRPr="00A731A1">
        <w:t>AMENCA 3</w:t>
      </w:r>
      <w:r w:rsidR="00A07E81">
        <w:t xml:space="preserve"> ($40 million </w:t>
      </w:r>
      <w:r w:rsidR="00FF37CD">
        <w:t>from</w:t>
      </w:r>
      <w:r w:rsidR="00A07E81">
        <w:t xml:space="preserve"> 2016-21</w:t>
      </w:r>
      <w:r w:rsidR="00C940A7">
        <w:t>; $3.6 million in 2015-16)</w:t>
      </w:r>
      <w:r w:rsidRPr="00A731A1">
        <w:t xml:space="preserve"> </w:t>
      </w:r>
      <w:r w:rsidR="008723D4" w:rsidRPr="00A731A1">
        <w:t>was mobilised</w:t>
      </w:r>
      <w:r w:rsidR="00D51145" w:rsidRPr="00A731A1">
        <w:t xml:space="preserve"> in 2015-16</w:t>
      </w:r>
      <w:r w:rsidR="008723D4" w:rsidRPr="00A731A1">
        <w:t xml:space="preserve"> </w:t>
      </w:r>
      <w:r w:rsidR="00E85E3F" w:rsidRPr="00A731A1">
        <w:t xml:space="preserve">following a selection process for implementing partners and </w:t>
      </w:r>
      <w:r w:rsidR="00214299" w:rsidRPr="00A731A1">
        <w:t xml:space="preserve">the </w:t>
      </w:r>
      <w:r w:rsidR="00E85E3F" w:rsidRPr="00A731A1">
        <w:t>establishment of</w:t>
      </w:r>
      <w:r w:rsidR="00214299" w:rsidRPr="00A731A1">
        <w:t xml:space="preserve"> a Technical Support Team (TST)</w:t>
      </w:r>
      <w:r w:rsidR="00E85E3F" w:rsidRPr="00A731A1">
        <w:t xml:space="preserve">.  </w:t>
      </w:r>
      <w:r w:rsidR="008723D4" w:rsidRPr="00A731A1">
        <w:t>AMENCA 3</w:t>
      </w:r>
      <w:r w:rsidR="00256FB8" w:rsidRPr="00A731A1">
        <w:t>’s inception period</w:t>
      </w:r>
      <w:r w:rsidR="008723D4" w:rsidRPr="00A731A1">
        <w:t xml:space="preserve"> commenced in April 2016</w:t>
      </w:r>
      <w:r w:rsidR="00E85E3F" w:rsidRPr="00A731A1">
        <w:t xml:space="preserve"> but encountered initial setbacks due to the turnover of some TST advisors, </w:t>
      </w:r>
      <w:r w:rsidR="00256FB8" w:rsidRPr="00A731A1">
        <w:t>delaying</w:t>
      </w:r>
      <w:r w:rsidR="0020105A" w:rsidRPr="00A731A1">
        <w:t xml:space="preserve"> the</w:t>
      </w:r>
      <w:r w:rsidR="008723D4" w:rsidRPr="00A731A1">
        <w:t xml:space="preserve"> development of a program-wide </w:t>
      </w:r>
      <w:r w:rsidR="00103205">
        <w:t>monitoring and evaluation</w:t>
      </w:r>
      <w:r w:rsidR="008723D4" w:rsidRPr="00A731A1">
        <w:t xml:space="preserve"> framework and gender action plan</w:t>
      </w:r>
      <w:r w:rsidR="00256FB8" w:rsidRPr="00A731A1">
        <w:t>.</w:t>
      </w:r>
      <w:r w:rsidR="008723D4" w:rsidRPr="00A731A1">
        <w:t xml:space="preserve"> </w:t>
      </w:r>
      <w:r w:rsidR="00256FB8" w:rsidRPr="00A731A1">
        <w:t xml:space="preserve"> H</w:t>
      </w:r>
      <w:r w:rsidR="008723D4" w:rsidRPr="00A731A1">
        <w:t>owever</w:t>
      </w:r>
      <w:r w:rsidR="00CC6250" w:rsidRPr="00A731A1">
        <w:t>,</w:t>
      </w:r>
      <w:r w:rsidR="008723D4" w:rsidRPr="00A731A1">
        <w:t xml:space="preserve"> replacements are in t</w:t>
      </w:r>
      <w:r w:rsidR="0020105A" w:rsidRPr="00A731A1">
        <w:t xml:space="preserve">rain and other </w:t>
      </w:r>
      <w:r w:rsidR="00E85E3F" w:rsidRPr="00A731A1">
        <w:t>aspects</w:t>
      </w:r>
      <w:r w:rsidR="0020105A" w:rsidRPr="00A731A1">
        <w:t xml:space="preserve"> of </w:t>
      </w:r>
      <w:r w:rsidR="00E85E3F" w:rsidRPr="00A731A1">
        <w:t>inception</w:t>
      </w:r>
      <w:r w:rsidR="0020105A" w:rsidRPr="00A731A1">
        <w:t xml:space="preserve"> </w:t>
      </w:r>
      <w:r w:rsidR="0042603C" w:rsidRPr="00A731A1">
        <w:t>are on track</w:t>
      </w:r>
      <w:r w:rsidR="00E85E3F" w:rsidRPr="00A731A1">
        <w:t xml:space="preserve">.  Governance, advisory and accountability </w:t>
      </w:r>
      <w:r w:rsidR="008723D4" w:rsidRPr="00A731A1">
        <w:t>structures</w:t>
      </w:r>
      <w:r w:rsidR="00E85E3F" w:rsidRPr="00A731A1">
        <w:t xml:space="preserve"> </w:t>
      </w:r>
      <w:r w:rsidR="008723D4" w:rsidRPr="00A731A1">
        <w:t xml:space="preserve">have been developed and DFAT has worked to </w:t>
      </w:r>
      <w:r w:rsidR="00CB4F54" w:rsidRPr="00A731A1">
        <w:t xml:space="preserve">effectively </w:t>
      </w:r>
      <w:r w:rsidR="008723D4" w:rsidRPr="00A731A1">
        <w:t>engage the Palestini</w:t>
      </w:r>
      <w:r w:rsidR="00103205">
        <w:t>an Ministry of Agriculture</w:t>
      </w:r>
      <w:r w:rsidR="008723D4" w:rsidRPr="00A731A1">
        <w:t xml:space="preserve"> </w:t>
      </w:r>
      <w:r w:rsidR="00A07E81">
        <w:t>throughout</w:t>
      </w:r>
      <w:r w:rsidR="008723D4" w:rsidRPr="00A731A1">
        <w:t xml:space="preserve"> the program. </w:t>
      </w:r>
      <w:r w:rsidR="00E85E3F" w:rsidRPr="00A731A1">
        <w:t xml:space="preserve"> </w:t>
      </w:r>
      <w:r w:rsidR="00D51145" w:rsidRPr="00A731A1">
        <w:t>A</w:t>
      </w:r>
      <w:r w:rsidR="00256FB8" w:rsidRPr="00A731A1">
        <w:t>ctivities will commence in</w:t>
      </w:r>
      <w:r w:rsidR="00A9288D" w:rsidRPr="00A731A1">
        <w:t xml:space="preserve"> September</w:t>
      </w:r>
      <w:r w:rsidR="00214299" w:rsidRPr="00A731A1">
        <w:t xml:space="preserve"> 2016</w:t>
      </w:r>
      <w:r w:rsidR="00A9288D" w:rsidRPr="00A731A1">
        <w:t xml:space="preserve"> </w:t>
      </w:r>
      <w:r w:rsidR="00256FB8" w:rsidRPr="00A731A1">
        <w:t>and will be well positioned to contribute to a more competitive agricultural economy.</w:t>
      </w:r>
    </w:p>
    <w:p w14:paraId="2736763F" w14:textId="7A7FFAB6" w:rsidR="00214299" w:rsidRPr="00A731A1" w:rsidRDefault="00214299" w:rsidP="007A0641">
      <w:pPr>
        <w:jc w:val="both"/>
      </w:pPr>
      <w:r w:rsidRPr="00A731A1">
        <w:t>During 2015-16, 11 scholarships were due to be awarded to Palestinians.  Due to budget uncertainty around the scholarships program during 2015 and conformity</w:t>
      </w:r>
      <w:r w:rsidR="008D7990" w:rsidRPr="00A731A1">
        <w:t xml:space="preserve"> of candidates</w:t>
      </w:r>
      <w:r w:rsidRPr="00A731A1">
        <w:t xml:space="preserve"> with selection processes, only </w:t>
      </w:r>
      <w:r w:rsidR="001E3590" w:rsidRPr="00A731A1">
        <w:t>five</w:t>
      </w:r>
      <w:r w:rsidRPr="00A731A1">
        <w:t xml:space="preserve"> scholarships were awarded </w:t>
      </w:r>
      <w:r w:rsidR="00293E6E" w:rsidRPr="00A731A1">
        <w:t xml:space="preserve">(three male, two female) </w:t>
      </w:r>
      <w:r w:rsidRPr="00A731A1">
        <w:t>during 2015-16.</w:t>
      </w:r>
      <w:r w:rsidR="003C6794" w:rsidRPr="00A731A1">
        <w:t xml:space="preserve">  </w:t>
      </w:r>
    </w:p>
    <w:p w14:paraId="161FF946" w14:textId="77777777" w:rsidR="008947C5" w:rsidRPr="00A731A1" w:rsidRDefault="008947C5" w:rsidP="007A0641">
      <w:pPr>
        <w:jc w:val="both"/>
      </w:pPr>
      <w:r w:rsidRPr="00A731A1">
        <w:br w:type="page"/>
      </w:r>
    </w:p>
    <w:p w14:paraId="6F63128B" w14:textId="70858E3D" w:rsidR="00DF72AB" w:rsidRPr="00A731A1" w:rsidRDefault="00D51145" w:rsidP="007A0641">
      <w:pPr>
        <w:jc w:val="both"/>
        <w:rPr>
          <w:b/>
        </w:rPr>
      </w:pPr>
      <w:r w:rsidRPr="00A731A1">
        <w:rPr>
          <w:b/>
        </w:rPr>
        <w:lastRenderedPageBreak/>
        <w:t>W</w:t>
      </w:r>
      <w:r w:rsidR="00BC7169" w:rsidRPr="00A731A1">
        <w:rPr>
          <w:b/>
        </w:rPr>
        <w:t>e work</w:t>
      </w:r>
      <w:r w:rsidR="009A4E6D">
        <w:rPr>
          <w:b/>
        </w:rPr>
        <w:t>ed</w:t>
      </w:r>
      <w:r w:rsidR="00BC7169" w:rsidRPr="00A731A1">
        <w:rPr>
          <w:b/>
        </w:rPr>
        <w:t xml:space="preserve"> with UNRWA, </w:t>
      </w:r>
      <w:r w:rsidR="00CC6250" w:rsidRPr="00A731A1">
        <w:rPr>
          <w:b/>
        </w:rPr>
        <w:t>UNICEF</w:t>
      </w:r>
      <w:r w:rsidR="00BC7169" w:rsidRPr="00A731A1">
        <w:rPr>
          <w:b/>
        </w:rPr>
        <w:t xml:space="preserve"> and </w:t>
      </w:r>
      <w:r w:rsidR="00A9288D" w:rsidRPr="00A731A1">
        <w:rPr>
          <w:b/>
        </w:rPr>
        <w:t>U</w:t>
      </w:r>
      <w:r w:rsidR="00BC7169" w:rsidRPr="00A731A1">
        <w:rPr>
          <w:b/>
        </w:rPr>
        <w:t>NOPS to support the provision of quality basic services to Palestinian refugees</w:t>
      </w:r>
      <w:r w:rsidR="00DF72AB" w:rsidRPr="00A731A1">
        <w:rPr>
          <w:b/>
        </w:rPr>
        <w:t xml:space="preserve"> including health, educ</w:t>
      </w:r>
      <w:r w:rsidR="00F65B87">
        <w:rPr>
          <w:b/>
        </w:rPr>
        <w:t xml:space="preserve">ation and water and sanitation </w:t>
      </w:r>
      <w:r w:rsidRPr="00A731A1">
        <w:rPr>
          <w:b/>
        </w:rPr>
        <w:t>to achieve our goals under Objective 2.</w:t>
      </w:r>
      <w:r w:rsidR="00BC7169" w:rsidRPr="00A731A1">
        <w:rPr>
          <w:b/>
        </w:rPr>
        <w:t xml:space="preserve"> </w:t>
      </w:r>
    </w:p>
    <w:p w14:paraId="46CB5F86" w14:textId="48AE2168" w:rsidR="009A70D7" w:rsidRPr="00D51145" w:rsidRDefault="001D33FB" w:rsidP="007A0641">
      <w:pPr>
        <w:jc w:val="both"/>
      </w:pPr>
      <w:r w:rsidRPr="00D51145">
        <w:t xml:space="preserve">UNRWA continues to play a key role in maintaining </w:t>
      </w:r>
      <w:r w:rsidR="00DF72AB" w:rsidRPr="00D51145">
        <w:t>relative</w:t>
      </w:r>
      <w:r w:rsidRPr="00D51145">
        <w:t xml:space="preserve"> social and economic stability in the five Field Areas</w:t>
      </w:r>
      <w:r w:rsidR="00577C14">
        <w:t xml:space="preserve"> (West Bank, Gaza Strip, Lebanon, Jordan and Syria)</w:t>
      </w:r>
      <w:r w:rsidRPr="00D51145">
        <w:t xml:space="preserve">, where a total of 5.6 million people are registered for the Agency’s services. </w:t>
      </w:r>
      <w:r w:rsidR="00CC6250" w:rsidRPr="00D51145">
        <w:t xml:space="preserve"> </w:t>
      </w:r>
      <w:r w:rsidR="00CF49A6" w:rsidRPr="00D51145">
        <w:t>Australia provided</w:t>
      </w:r>
      <w:r w:rsidR="00D51145">
        <w:t xml:space="preserve"> un-earmarked support </w:t>
      </w:r>
      <w:r w:rsidR="00924AEE">
        <w:t xml:space="preserve">of </w:t>
      </w:r>
      <w:r w:rsidR="00924AEE" w:rsidRPr="00D51145">
        <w:t>$</w:t>
      </w:r>
      <w:r w:rsidR="00CF49A6" w:rsidRPr="00D51145">
        <w:t>19.</w:t>
      </w:r>
      <w:r w:rsidR="00CC6250" w:rsidRPr="00D51145">
        <w:t>3</w:t>
      </w:r>
      <w:r w:rsidR="00CF49A6" w:rsidRPr="00D51145">
        <w:t xml:space="preserve"> million to </w:t>
      </w:r>
      <w:r w:rsidR="00214299" w:rsidRPr="00D51145">
        <w:t>the UNRWA General Fund</w:t>
      </w:r>
      <w:r w:rsidR="00CF49A6" w:rsidRPr="00D51145">
        <w:t xml:space="preserve"> in 2015-16</w:t>
      </w:r>
      <w:r w:rsidR="00A07E81">
        <w:t>, the final payment in our 2011-16 $</w:t>
      </w:r>
      <w:r w:rsidR="00F02EEF">
        <w:t>90</w:t>
      </w:r>
      <w:r w:rsidR="00A07E81">
        <w:t xml:space="preserve"> million Partnership Agreement</w:t>
      </w:r>
      <w:r w:rsidR="00F02EEF">
        <w:t xml:space="preserve"> (supplemented by a further $16 million throughout the</w:t>
      </w:r>
      <w:r w:rsidR="00EE025A">
        <w:t xml:space="preserve"> life of the</w:t>
      </w:r>
      <w:r w:rsidR="00F02EEF">
        <w:t xml:space="preserve"> Partnership)</w:t>
      </w:r>
      <w:r w:rsidR="00CF49A6" w:rsidRPr="00D51145">
        <w:t xml:space="preserve">. </w:t>
      </w:r>
      <w:r w:rsidR="00281DF5" w:rsidRPr="00D51145">
        <w:t>Other major donors include the US, the EU</w:t>
      </w:r>
      <w:r w:rsidR="0020105A" w:rsidRPr="00D51145">
        <w:t>,</w:t>
      </w:r>
      <w:r w:rsidR="00281DF5" w:rsidRPr="00D51145">
        <w:t xml:space="preserve"> and the UK.</w:t>
      </w:r>
      <w:r w:rsidR="00DF72AB" w:rsidRPr="00D51145">
        <w:t xml:space="preserve"> </w:t>
      </w:r>
      <w:r w:rsidR="00281DF5" w:rsidRPr="00D51145">
        <w:t xml:space="preserve"> </w:t>
      </w:r>
      <w:r w:rsidR="00924AEE">
        <w:t xml:space="preserve">Australia’s un-earmarked support enables UNRWA to allocate our funding to where it is most needed, and is consistent with good humanitarian donorship principles.  </w:t>
      </w:r>
      <w:r w:rsidR="00924AEE" w:rsidRPr="00D51145">
        <w:t>UNWRA provides</w:t>
      </w:r>
      <w:r w:rsidR="00C940A7">
        <w:t>: direct services in education; health care;</w:t>
      </w:r>
      <w:r w:rsidR="00924AEE" w:rsidRPr="00D51145">
        <w:t xml:space="preserve"> relie</w:t>
      </w:r>
      <w:r w:rsidR="00C940A7">
        <w:t>f and social services; microfinance;</w:t>
      </w:r>
      <w:r w:rsidR="00924AEE">
        <w:t xml:space="preserve"> </w:t>
      </w:r>
      <w:r w:rsidR="00924AEE" w:rsidRPr="00D51145">
        <w:t>infrastructu</w:t>
      </w:r>
      <w:r w:rsidR="00C940A7">
        <w:t>re and refugee camp improvement;</w:t>
      </w:r>
      <w:r w:rsidR="00924AEE" w:rsidRPr="00D51145">
        <w:t xml:space="preserve"> emergency assistance</w:t>
      </w:r>
      <w:r w:rsidR="00C940A7">
        <w:t>;</w:t>
      </w:r>
      <w:r w:rsidR="00924AEE" w:rsidRPr="00D51145">
        <w:t xml:space="preserve"> and protection of refugees’ rights under international law. </w:t>
      </w:r>
      <w:r w:rsidRPr="00D51145">
        <w:t>The deterioration of security, political and economic conditions</w:t>
      </w:r>
      <w:r w:rsidR="009E6212">
        <w:t xml:space="preserve"> throughout the region</w:t>
      </w:r>
      <w:r w:rsidRPr="00D51145">
        <w:t xml:space="preserve"> has made refugees increasingly reliant on UNRWA for these services</w:t>
      </w:r>
      <w:r w:rsidR="00CF49A6" w:rsidRPr="00D51145">
        <w:t xml:space="preserve">. </w:t>
      </w:r>
      <w:r w:rsidR="00DF72AB" w:rsidRPr="00D51145">
        <w:t xml:space="preserve"> </w:t>
      </w:r>
    </w:p>
    <w:p w14:paraId="031C6948" w14:textId="19F79895" w:rsidR="00791113" w:rsidRPr="00D51145" w:rsidRDefault="00791113" w:rsidP="007A0641">
      <w:pPr>
        <w:jc w:val="both"/>
      </w:pPr>
      <w:r w:rsidRPr="00D51145">
        <w:t>Despite</w:t>
      </w:r>
      <w:r w:rsidR="00214299" w:rsidRPr="00D51145">
        <w:t xml:space="preserve"> an</w:t>
      </w:r>
      <w:r w:rsidRPr="00D51145">
        <w:t xml:space="preserve"> increasing </w:t>
      </w:r>
      <w:r w:rsidR="00214299" w:rsidRPr="00D51145">
        <w:t>workload and only a modest increase in donor contributions</w:t>
      </w:r>
      <w:r w:rsidRPr="00D51145">
        <w:t xml:space="preserve">, UNRWA has met key performance targets and succeeded in delivering quality services.  </w:t>
      </w:r>
      <w:r w:rsidR="005B5CAB" w:rsidRPr="00D51145">
        <w:t>In 2015</w:t>
      </w:r>
      <w:r w:rsidR="00A731A1">
        <w:rPr>
          <w:rStyle w:val="FootnoteReference"/>
        </w:rPr>
        <w:footnoteReference w:id="2"/>
      </w:r>
      <w:r w:rsidR="005B5CAB" w:rsidRPr="00D51145">
        <w:t xml:space="preserve"> </w:t>
      </w:r>
      <w:r w:rsidR="00A9288D" w:rsidRPr="00D51145">
        <w:t>UNRWA provided</w:t>
      </w:r>
      <w:r w:rsidR="008D7990" w:rsidRPr="00D51145">
        <w:t>:</w:t>
      </w:r>
      <w:r w:rsidR="00A9288D" w:rsidRPr="00D51145">
        <w:t xml:space="preserve"> education to 500,698 children</w:t>
      </w:r>
      <w:r w:rsidR="008D7990" w:rsidRPr="00D51145">
        <w:t>;</w:t>
      </w:r>
      <w:r w:rsidR="00A9288D" w:rsidRPr="00D51145">
        <w:t xml:space="preserve"> over 9.1 million primary health-care consultations</w:t>
      </w:r>
      <w:r w:rsidR="008D7990" w:rsidRPr="00D51145">
        <w:t>;</w:t>
      </w:r>
      <w:r w:rsidR="00A9288D" w:rsidRPr="00D51145">
        <w:t xml:space="preserve"> social safety net assistance to 290,896 people</w:t>
      </w:r>
      <w:r w:rsidR="008D7990" w:rsidRPr="00D51145">
        <w:t>;</w:t>
      </w:r>
      <w:r w:rsidR="00A9288D" w:rsidRPr="00D51145">
        <w:t xml:space="preserve"> and microfinance loans to over 38,000 people. </w:t>
      </w:r>
      <w:r w:rsidR="00343446">
        <w:t xml:space="preserve"> </w:t>
      </w:r>
      <w:r w:rsidR="00343446" w:rsidRPr="00A731A1">
        <w:t xml:space="preserve">While UNRWA works across a range of sectors, our </w:t>
      </w:r>
      <w:r w:rsidR="0021433C">
        <w:t xml:space="preserve">chosen </w:t>
      </w:r>
      <w:r w:rsidR="00343446" w:rsidRPr="00A731A1">
        <w:t xml:space="preserve">benchmarks highlight progress in the health and education sectors, two of the most important areas of the </w:t>
      </w:r>
      <w:r w:rsidR="00C940A7">
        <w:t>A</w:t>
      </w:r>
      <w:r w:rsidR="00343446" w:rsidRPr="00A731A1">
        <w:t>gency’s work.</w:t>
      </w:r>
      <w:r w:rsidR="00343446">
        <w:t xml:space="preserve">  </w:t>
      </w:r>
      <w:r w:rsidR="00214299" w:rsidRPr="00D51145">
        <w:t xml:space="preserve">Improved educational outcomes are a key </w:t>
      </w:r>
      <w:r w:rsidR="009A70D7" w:rsidRPr="00D51145">
        <w:t>marker</w:t>
      </w:r>
      <w:r w:rsidR="00214299" w:rsidRPr="00D51145">
        <w:t xml:space="preserve"> of our progress in the PTs: i</w:t>
      </w:r>
      <w:r w:rsidRPr="00D51145">
        <w:t>n the 2014</w:t>
      </w:r>
      <w:r w:rsidR="0021433C">
        <w:t>-</w:t>
      </w:r>
      <w:r w:rsidRPr="00D51145">
        <w:t xml:space="preserve">15 school year, the </w:t>
      </w:r>
      <w:r w:rsidR="009A70D7" w:rsidRPr="00D51145">
        <w:t>average</w:t>
      </w:r>
      <w:r w:rsidRPr="00D51145">
        <w:t xml:space="preserve"> pass rate for UNRWA students in Gaza in Maths was 88.1</w:t>
      </w:r>
      <w:r w:rsidR="005F05FE">
        <w:t xml:space="preserve"> per cent</w:t>
      </w:r>
      <w:r w:rsidRPr="00D51145">
        <w:t xml:space="preserve"> </w:t>
      </w:r>
      <w:r w:rsidR="0021433C">
        <w:br/>
      </w:r>
      <w:r w:rsidRPr="00D51145">
        <w:t xml:space="preserve">(M: 85.2, F: 91.2), </w:t>
      </w:r>
      <w:r w:rsidR="008D7990" w:rsidRPr="00D51145">
        <w:t>exceeding the</w:t>
      </w:r>
      <w:r w:rsidRPr="00D51145">
        <w:t xml:space="preserve"> target of M</w:t>
      </w:r>
      <w:r w:rsidR="00924AEE" w:rsidRPr="00D51145">
        <w:t>: 72</w:t>
      </w:r>
      <w:r w:rsidRPr="00D51145">
        <w:t xml:space="preserve"> F</w:t>
      </w:r>
      <w:r w:rsidR="00924AEE" w:rsidRPr="00D51145">
        <w:t>: 81</w:t>
      </w:r>
      <w:r w:rsidRPr="00D51145">
        <w:t>.  This represents an increase from 81.2</w:t>
      </w:r>
      <w:r w:rsidR="005F05FE">
        <w:t xml:space="preserve"> per cent</w:t>
      </w:r>
      <w:r w:rsidRPr="00D51145">
        <w:t xml:space="preserve"> in 2013</w:t>
      </w:r>
      <w:r w:rsidR="0021433C">
        <w:t>-</w:t>
      </w:r>
      <w:r w:rsidRPr="00D51145">
        <w:t>14 and 71.0</w:t>
      </w:r>
      <w:r w:rsidR="005F05FE">
        <w:t xml:space="preserve"> per cent</w:t>
      </w:r>
      <w:r w:rsidRPr="00D51145">
        <w:t xml:space="preserve"> in 2012</w:t>
      </w:r>
      <w:r w:rsidR="0021433C">
        <w:t>-</w:t>
      </w:r>
      <w:r w:rsidRPr="00D51145">
        <w:t xml:space="preserve">13.  </w:t>
      </w:r>
      <w:r w:rsidR="00794DB5">
        <w:t>D</w:t>
      </w:r>
      <w:r w:rsidRPr="00D51145">
        <w:t xml:space="preserve">espite ongoing regional insecurity, UNRWA has performed very well to institute </w:t>
      </w:r>
      <w:r w:rsidR="007822DA" w:rsidRPr="00D51145">
        <w:t>the</w:t>
      </w:r>
      <w:r w:rsidRPr="00D51145">
        <w:t xml:space="preserve"> </w:t>
      </w:r>
      <w:r w:rsidR="007822DA" w:rsidRPr="00D51145">
        <w:t>holistic F</w:t>
      </w:r>
      <w:r w:rsidRPr="00D51145">
        <w:t xml:space="preserve">amily </w:t>
      </w:r>
      <w:r w:rsidR="007822DA" w:rsidRPr="00D51145">
        <w:t>H</w:t>
      </w:r>
      <w:r w:rsidRPr="00D51145">
        <w:t>ealth</w:t>
      </w:r>
      <w:r w:rsidR="007822DA" w:rsidRPr="00D51145">
        <w:t xml:space="preserve"> Team approach</w:t>
      </w:r>
      <w:r w:rsidR="009856A6" w:rsidRPr="00D51145">
        <w:t xml:space="preserve"> in 115 of its 117 health centres. This approach</w:t>
      </w:r>
      <w:r w:rsidR="007822DA" w:rsidRPr="00D51145">
        <w:t xml:space="preserve"> focus</w:t>
      </w:r>
      <w:r w:rsidR="0021433C">
        <w:t>s</w:t>
      </w:r>
      <w:r w:rsidR="007822DA" w:rsidRPr="00D51145">
        <w:t>es not only on quality curative care but also on household-based health education and promotion interventions</w:t>
      </w:r>
      <w:r w:rsidR="009856A6" w:rsidRPr="00D51145">
        <w:t>.</w:t>
      </w:r>
      <w:r w:rsidRPr="00D51145">
        <w:t xml:space="preserve"> </w:t>
      </w:r>
      <w:r w:rsidR="009856A6" w:rsidRPr="00D51145">
        <w:t xml:space="preserve"> </w:t>
      </w:r>
      <w:r w:rsidR="0021433C">
        <w:t xml:space="preserve">We note that </w:t>
      </w:r>
      <w:r w:rsidR="002A4D89" w:rsidRPr="00D51145">
        <w:t>UNRWA’s continued achievement of its targets, in light of increasing demands, continues to be dependent on support from donors</w:t>
      </w:r>
      <w:r w:rsidR="009856A6" w:rsidRPr="00D51145">
        <w:t>.</w:t>
      </w:r>
    </w:p>
    <w:p w14:paraId="73FF9B36" w14:textId="488CD447" w:rsidR="00C23A09" w:rsidRPr="00D51145" w:rsidRDefault="00CC6250" w:rsidP="007A0641">
      <w:pPr>
        <w:jc w:val="both"/>
      </w:pPr>
      <w:r w:rsidRPr="00D51145">
        <w:t>With</w:t>
      </w:r>
      <w:r w:rsidR="0020476D" w:rsidRPr="00D51145">
        <w:t xml:space="preserve"> DFAT funding</w:t>
      </w:r>
      <w:r w:rsidR="00791113" w:rsidRPr="00D51145">
        <w:t xml:space="preserve"> ($11.4 million</w:t>
      </w:r>
      <w:r w:rsidR="00794DB5">
        <w:t>; 20</w:t>
      </w:r>
      <w:r w:rsidR="00784B53">
        <w:t>12-17</w:t>
      </w:r>
      <w:r w:rsidR="00791113" w:rsidRPr="00D51145">
        <w:t>)</w:t>
      </w:r>
      <w:r w:rsidR="0020476D" w:rsidRPr="00D51145">
        <w:t>, UNICEF completed the rehabilitation and construction of WASH facilities in 52 schools in Gaza in the reporting period</w:t>
      </w:r>
      <w:r w:rsidR="00F02E3D" w:rsidRPr="00D51145">
        <w:t xml:space="preserve"> (exceeding the target of 51</w:t>
      </w:r>
      <w:r w:rsidR="00794DB5">
        <w:t xml:space="preserve"> schools</w:t>
      </w:r>
      <w:r w:rsidR="00F02E3D" w:rsidRPr="00D51145">
        <w:t>)</w:t>
      </w:r>
      <w:r w:rsidR="005F05FE">
        <w:t xml:space="preserve">, </w:t>
      </w:r>
      <w:r w:rsidR="005F05FE" w:rsidRPr="00A731A1">
        <w:t xml:space="preserve">having completed this in all 40 </w:t>
      </w:r>
      <w:r w:rsidR="00F65B87">
        <w:t>targeted</w:t>
      </w:r>
      <w:r w:rsidR="005F05FE" w:rsidRPr="00A731A1">
        <w:t xml:space="preserve"> schools in the West Bank the previous year</w:t>
      </w:r>
      <w:r w:rsidR="0020476D" w:rsidRPr="00A731A1">
        <w:t>.</w:t>
      </w:r>
      <w:r w:rsidR="0020476D" w:rsidRPr="00D51145">
        <w:t xml:space="preserve"> Through these works, a total o</w:t>
      </w:r>
      <w:r w:rsidR="00F02EEF">
        <w:t>f 30,412 children</w:t>
      </w:r>
      <w:r w:rsidR="0020476D" w:rsidRPr="00D51145">
        <w:t xml:space="preserve"> have benefited from improved access to drinking water, toilet and hand washing facilities. Special toilets and ramps for students with disabilities were included in the new construction.</w:t>
      </w:r>
      <w:r w:rsidR="00032F2F" w:rsidRPr="00D51145">
        <w:t xml:space="preserve"> </w:t>
      </w:r>
      <w:r w:rsidR="00A9288D" w:rsidRPr="00D51145">
        <w:t xml:space="preserve"> </w:t>
      </w:r>
      <w:r w:rsidR="0014781A" w:rsidRPr="00D51145">
        <w:t xml:space="preserve">Australia also provides support to </w:t>
      </w:r>
      <w:r w:rsidRPr="00D51145">
        <w:t>UNOPS</w:t>
      </w:r>
      <w:r w:rsidR="00512A1D" w:rsidRPr="00D51145">
        <w:t xml:space="preserve"> ($1.16 million in 2015-16)</w:t>
      </w:r>
      <w:r w:rsidRPr="00D51145">
        <w:t xml:space="preserve"> </w:t>
      </w:r>
      <w:r w:rsidR="006B5ED3" w:rsidRPr="00D51145">
        <w:t xml:space="preserve">to administer the </w:t>
      </w:r>
      <w:r w:rsidR="00A07E81">
        <w:t>ACU</w:t>
      </w:r>
      <w:r w:rsidR="008B2E7B" w:rsidRPr="00D51145">
        <w:t>, which</w:t>
      </w:r>
      <w:r w:rsidR="006B5ED3" w:rsidRPr="00D51145">
        <w:t xml:space="preserve"> </w:t>
      </w:r>
      <w:r w:rsidR="0014781A" w:rsidRPr="00D51145">
        <w:t>enable</w:t>
      </w:r>
      <w:r w:rsidR="006B5ED3" w:rsidRPr="00D51145">
        <w:t>s</w:t>
      </w:r>
      <w:r w:rsidR="0014781A" w:rsidRPr="00D51145">
        <w:t xml:space="preserve"> the movement of humanitarian and development personnel and goods through checkpoints and border crossings throughout the Palestinian Territories.</w:t>
      </w:r>
      <w:r w:rsidR="00DF72AB" w:rsidRPr="00D51145">
        <w:t xml:space="preserve"> </w:t>
      </w:r>
      <w:r w:rsidR="0014781A" w:rsidRPr="00D51145">
        <w:t xml:space="preserve"> </w:t>
      </w:r>
      <w:r w:rsidR="00794DB5">
        <w:t>With Australian and other donors</w:t>
      </w:r>
      <w:r w:rsidR="00F65B87">
        <w:t>’</w:t>
      </w:r>
      <w:r w:rsidR="00794DB5">
        <w:t xml:space="preserve"> support d</w:t>
      </w:r>
      <w:r w:rsidR="0014781A" w:rsidRPr="00D51145">
        <w:t xml:space="preserve">uring 2015-16, a total of </w:t>
      </w:r>
      <w:r w:rsidR="008C1CFD" w:rsidRPr="00D51145">
        <w:t>6,787</w:t>
      </w:r>
      <w:r w:rsidR="0014781A" w:rsidRPr="00D51145">
        <w:t xml:space="preserve"> UN, </w:t>
      </w:r>
      <w:r w:rsidR="00F65B87">
        <w:t xml:space="preserve">international and Palestinian </w:t>
      </w:r>
      <w:r w:rsidR="0014781A" w:rsidRPr="00D51145">
        <w:t>NGO, and diplomatic personnel received support in obtaining visas, permits</w:t>
      </w:r>
      <w:r w:rsidR="0020105A" w:rsidRPr="00D51145">
        <w:t xml:space="preserve"> and</w:t>
      </w:r>
      <w:r w:rsidR="0014781A" w:rsidRPr="00D51145">
        <w:t xml:space="preserve"> approvals</w:t>
      </w:r>
      <w:r w:rsidR="008C1CFD" w:rsidRPr="00D51145">
        <w:t xml:space="preserve"> (an average of 487 per month well exceeding the target of 125)</w:t>
      </w:r>
      <w:r w:rsidR="0014781A" w:rsidRPr="00D51145">
        <w:t>.</w:t>
      </w:r>
      <w:r w:rsidR="00A9288D" w:rsidRPr="00D51145">
        <w:t xml:space="preserve"> </w:t>
      </w:r>
      <w:r w:rsidR="006B5ED3" w:rsidRPr="00D51145">
        <w:t xml:space="preserve"> </w:t>
      </w:r>
      <w:r w:rsidR="008E116C" w:rsidRPr="00D51145">
        <w:t xml:space="preserve">In the aftermath of the Gaza conflict in 2014, Australia supported the creation of the Materials Monitoring Unit (MMU), which facilitates the Gaza Reconstruction Mechanism, an agreement between the Government of Israel and Palestinian Authority to monitor entry, supply and use of </w:t>
      </w:r>
      <w:r w:rsidR="008D7990" w:rsidRPr="00D51145">
        <w:t>‘</w:t>
      </w:r>
      <w:r w:rsidR="008E116C" w:rsidRPr="00D51145">
        <w:t>dual-use</w:t>
      </w:r>
      <w:r w:rsidR="008D7990" w:rsidRPr="00D51145">
        <w:t>’</w:t>
      </w:r>
      <w:r w:rsidR="008E116C" w:rsidRPr="00D51145">
        <w:t xml:space="preserve"> materials in Gaza.  In 2015-16, the MMU facilitated the movement of more than 646,000 tonnes of cement and almost 112,000 tonnes of rebar, allowing </w:t>
      </w:r>
      <w:r w:rsidR="009E6212">
        <w:t xml:space="preserve">significant </w:t>
      </w:r>
      <w:r w:rsidR="008E116C" w:rsidRPr="00D51145">
        <w:t>reconstruction to take place in Gaza</w:t>
      </w:r>
      <w:r w:rsidR="00F65B87">
        <w:t>.</w:t>
      </w:r>
    </w:p>
    <w:p w14:paraId="2FF25F55" w14:textId="2BB2617E" w:rsidR="008E116C" w:rsidRPr="00D51145" w:rsidRDefault="009856A6" w:rsidP="007A0641">
      <w:pPr>
        <w:jc w:val="both"/>
      </w:pPr>
      <w:r w:rsidRPr="00D51145">
        <w:t>Finally, u</w:t>
      </w:r>
      <w:r w:rsidR="008E116C" w:rsidRPr="00D51145">
        <w:t>nder the Australia-NGO Cooperation Program, Australia fund</w:t>
      </w:r>
      <w:r w:rsidR="009E6212">
        <w:t>ed</w:t>
      </w:r>
      <w:r w:rsidR="008E116C" w:rsidRPr="00D51145">
        <w:t xml:space="preserve"> small civil society projects in the PTs</w:t>
      </w:r>
      <w:r w:rsidR="009E6212">
        <w:t xml:space="preserve"> in 2015-16</w:t>
      </w:r>
      <w:r w:rsidR="008E116C" w:rsidRPr="00D51145">
        <w:t>.  Some achievements of these projects have included: vulnerable women accessing business and skills training; and mothers and children developing better preventative practices for hygiene related diseases.</w:t>
      </w:r>
    </w:p>
    <w:p w14:paraId="003FFBE7" w14:textId="0B43D7E4" w:rsidR="00562187" w:rsidRPr="00A731A1" w:rsidRDefault="00562187" w:rsidP="00A731A1">
      <w:r w:rsidRPr="00A731A1">
        <w:br w:type="page"/>
      </w:r>
    </w:p>
    <w:p w14:paraId="31AF6CFD" w14:textId="77777777" w:rsidR="005B5769" w:rsidRPr="008C2F58" w:rsidRDefault="005B5769" w:rsidP="00B438D3">
      <w:pPr>
        <w:pStyle w:val="ListBullet"/>
        <w:tabs>
          <w:tab w:val="clear" w:pos="284"/>
        </w:tabs>
        <w:spacing w:before="40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lastRenderedPageBreak/>
        <w:t>Progress towards Performance Benchmarks in 2015</w:t>
      </w:r>
      <w:r w:rsidR="00B438D3" w:rsidRPr="008C2F58">
        <w:rPr>
          <w:rFonts w:asciiTheme="majorHAnsi" w:eastAsiaTheme="majorEastAsia" w:hAnsiTheme="majorHAnsi" w:cstheme="majorBidi"/>
          <w:caps/>
          <w:color w:val="495965" w:themeColor="text2"/>
          <w:sz w:val="36"/>
          <w:szCs w:val="26"/>
          <w:lang w:val="en-GB" w:eastAsia="en-US"/>
        </w:rPr>
        <w:noBreakHyphen/>
      </w:r>
      <w:r w:rsidRPr="008C2F58">
        <w:rPr>
          <w:rFonts w:asciiTheme="majorHAnsi" w:eastAsiaTheme="majorEastAsia" w:hAnsiTheme="majorHAnsi" w:cstheme="majorBidi"/>
          <w:caps/>
          <w:color w:val="495965" w:themeColor="text2"/>
          <w:sz w:val="36"/>
          <w:szCs w:val="26"/>
          <w:lang w:val="en-GB" w:eastAsia="en-US"/>
        </w:rPr>
        <w:t>16</w:t>
      </w:r>
    </w:p>
    <w:tbl>
      <w:tblPr>
        <w:tblStyle w:val="DFATTable"/>
        <w:tblW w:w="5111" w:type="pct"/>
        <w:tblLook w:val="04A0" w:firstRow="1" w:lastRow="0" w:firstColumn="1" w:lastColumn="0" w:noHBand="0" w:noVBand="1"/>
      </w:tblPr>
      <w:tblGrid>
        <w:gridCol w:w="1669"/>
        <w:gridCol w:w="1557"/>
        <w:gridCol w:w="1275"/>
        <w:gridCol w:w="5572"/>
      </w:tblGrid>
      <w:tr w:rsidR="005B5769" w:rsidRPr="00C4114C" w14:paraId="628C74AB" w14:textId="77777777" w:rsidTr="008D7990">
        <w:trPr>
          <w:tblHeader/>
        </w:trPr>
        <w:tc>
          <w:tcPr>
            <w:tcW w:w="828" w:type="pct"/>
            <w:tcMar>
              <w:top w:w="57" w:type="dxa"/>
              <w:bottom w:w="57" w:type="dxa"/>
            </w:tcMar>
          </w:tcPr>
          <w:p w14:paraId="31F4F5DC" w14:textId="77777777" w:rsidR="005B5769" w:rsidRPr="003B0793" w:rsidRDefault="005B5769" w:rsidP="00D15A00">
            <w:pPr>
              <w:pStyle w:val="TableHeading1"/>
              <w:keepNext/>
              <w:rPr>
                <w:rFonts w:asciiTheme="minorHAnsi" w:hAnsiTheme="minorHAnsi"/>
              </w:rPr>
            </w:pPr>
            <w:r w:rsidRPr="003B0793">
              <w:rPr>
                <w:rFonts w:asciiTheme="minorHAnsi" w:hAnsiTheme="minorHAnsi"/>
              </w:rPr>
              <w:t>Aid objective</w:t>
            </w:r>
          </w:p>
        </w:tc>
        <w:tc>
          <w:tcPr>
            <w:tcW w:w="773" w:type="pct"/>
          </w:tcPr>
          <w:p w14:paraId="1D88D9E2" w14:textId="77777777" w:rsidR="005B5769" w:rsidRPr="003B0793" w:rsidRDefault="005B5769" w:rsidP="00D15A00">
            <w:pPr>
              <w:pStyle w:val="TableHeading1"/>
              <w:keepNext/>
              <w:rPr>
                <w:rFonts w:asciiTheme="minorHAnsi" w:hAnsiTheme="minorHAnsi"/>
              </w:rPr>
            </w:pPr>
            <w:r w:rsidRPr="003B0793">
              <w:rPr>
                <w:rFonts w:asciiTheme="minorHAnsi" w:hAnsiTheme="minorHAnsi"/>
              </w:rPr>
              <w:t xml:space="preserve">2015-16 benchmark </w:t>
            </w:r>
          </w:p>
        </w:tc>
        <w:tc>
          <w:tcPr>
            <w:tcW w:w="633" w:type="pct"/>
          </w:tcPr>
          <w:p w14:paraId="261B683A" w14:textId="77777777" w:rsidR="005B5769" w:rsidRPr="003B0793" w:rsidRDefault="005B5769" w:rsidP="003B0793">
            <w:pPr>
              <w:pStyle w:val="TableHeading1"/>
              <w:keepNext/>
              <w:jc w:val="center"/>
              <w:rPr>
                <w:rFonts w:asciiTheme="minorHAnsi" w:hAnsiTheme="minorHAnsi"/>
              </w:rPr>
            </w:pPr>
            <w:r w:rsidRPr="003B0793">
              <w:rPr>
                <w:rFonts w:asciiTheme="minorHAnsi" w:hAnsiTheme="minorHAnsi"/>
              </w:rPr>
              <w:t>Rating</w:t>
            </w:r>
          </w:p>
        </w:tc>
        <w:tc>
          <w:tcPr>
            <w:tcW w:w="2765" w:type="pct"/>
          </w:tcPr>
          <w:p w14:paraId="047A4A99" w14:textId="77777777" w:rsidR="005B5769" w:rsidRPr="003B0793" w:rsidRDefault="005B5769" w:rsidP="003B0793">
            <w:pPr>
              <w:pStyle w:val="TableHeading1"/>
              <w:keepNext/>
              <w:jc w:val="center"/>
              <w:rPr>
                <w:rFonts w:asciiTheme="minorHAnsi" w:hAnsiTheme="minorHAnsi"/>
              </w:rPr>
            </w:pPr>
            <w:r w:rsidRPr="003B0793">
              <w:rPr>
                <w:rFonts w:asciiTheme="minorHAnsi" w:hAnsiTheme="minorHAnsi"/>
              </w:rPr>
              <w:t>Progress in 2015-16</w:t>
            </w:r>
          </w:p>
        </w:tc>
      </w:tr>
      <w:tr w:rsidR="005B5769" w:rsidRPr="00C4114C" w14:paraId="3142E70E" w14:textId="77777777" w:rsidTr="008D7990">
        <w:tc>
          <w:tcPr>
            <w:tcW w:w="828" w:type="pct"/>
            <w:tcMar>
              <w:top w:w="57" w:type="dxa"/>
              <w:bottom w:w="57" w:type="dxa"/>
            </w:tcMar>
          </w:tcPr>
          <w:p w14:paraId="4164C0F4" w14:textId="056D7C7F" w:rsidR="005B5769" w:rsidRPr="003B0793" w:rsidRDefault="00784B53" w:rsidP="00784B53">
            <w:pPr>
              <w:pStyle w:val="TableTextEntries"/>
              <w:keepNext/>
              <w:rPr>
                <w:rFonts w:asciiTheme="minorHAnsi" w:hAnsiTheme="minorHAnsi"/>
              </w:rPr>
            </w:pPr>
            <w:r>
              <w:rPr>
                <w:rFonts w:asciiTheme="minorHAnsi" w:hAnsiTheme="minorHAnsi"/>
              </w:rPr>
              <w:t xml:space="preserve">1. </w:t>
            </w:r>
            <w:r w:rsidR="00FC50CE">
              <w:rPr>
                <w:rFonts w:asciiTheme="minorHAnsi" w:hAnsiTheme="minorHAnsi"/>
              </w:rPr>
              <w:t>Improved public financial management and a more competitive agricultural economy in the PTs</w:t>
            </w:r>
          </w:p>
        </w:tc>
        <w:tc>
          <w:tcPr>
            <w:tcW w:w="773" w:type="pct"/>
          </w:tcPr>
          <w:p w14:paraId="514B1BA5" w14:textId="7E9B09CF" w:rsidR="005B5769" w:rsidRPr="003B0793" w:rsidRDefault="00794DB5" w:rsidP="00D15A00">
            <w:pPr>
              <w:pStyle w:val="TableTextEntries"/>
              <w:keepNext/>
              <w:rPr>
                <w:rFonts w:asciiTheme="minorHAnsi" w:hAnsiTheme="minorHAnsi"/>
              </w:rPr>
            </w:pPr>
            <w:r>
              <w:rPr>
                <w:rFonts w:asciiTheme="minorHAnsi" w:hAnsiTheme="minorHAnsi"/>
              </w:rPr>
              <w:t xml:space="preserve">a. </w:t>
            </w:r>
            <w:r w:rsidR="00FC50CE">
              <w:rPr>
                <w:rFonts w:asciiTheme="minorHAnsi" w:hAnsiTheme="minorHAnsi"/>
              </w:rPr>
              <w:t>Gross domestic tax revenues have increased in nominal terms and as a percentage of 2015 GDP</w:t>
            </w:r>
            <w:r w:rsidR="005B5769" w:rsidRPr="003B0793">
              <w:rPr>
                <w:rFonts w:asciiTheme="minorHAnsi" w:hAnsiTheme="minorHAnsi"/>
              </w:rPr>
              <w:t xml:space="preserve">  </w:t>
            </w:r>
          </w:p>
        </w:tc>
        <w:tc>
          <w:tcPr>
            <w:tcW w:w="633" w:type="pct"/>
            <w:shd w:val="clear" w:color="auto" w:fill="92D050"/>
          </w:tcPr>
          <w:p w14:paraId="49705BF6" w14:textId="77777777" w:rsidR="005B5769" w:rsidRPr="003B0793" w:rsidRDefault="008723D4" w:rsidP="008723D4">
            <w:pPr>
              <w:pStyle w:val="TableTextEntries"/>
              <w:keepNext/>
              <w:jc w:val="center"/>
              <w:rPr>
                <w:rFonts w:asciiTheme="minorHAnsi" w:hAnsiTheme="minorHAnsi"/>
                <w:color w:val="FFFFFF" w:themeColor="background1"/>
              </w:rPr>
            </w:pPr>
            <w:r w:rsidRPr="0020105A">
              <w:rPr>
                <w:rFonts w:asciiTheme="minorHAnsi" w:hAnsiTheme="minorHAnsi"/>
                <w:color w:val="FFFFFF" w:themeColor="background1"/>
              </w:rPr>
              <w:t>A</w:t>
            </w:r>
            <w:r w:rsidR="004D188E" w:rsidRPr="0020105A">
              <w:rPr>
                <w:rFonts w:asciiTheme="minorHAnsi" w:hAnsiTheme="minorHAnsi"/>
                <w:color w:val="FFFFFF" w:themeColor="background1"/>
              </w:rPr>
              <w:t>chieved</w:t>
            </w:r>
          </w:p>
        </w:tc>
        <w:tc>
          <w:tcPr>
            <w:tcW w:w="2765" w:type="pct"/>
          </w:tcPr>
          <w:p w14:paraId="7684D018" w14:textId="77777777" w:rsidR="008723D4" w:rsidRPr="00533ED5" w:rsidRDefault="001E01B3" w:rsidP="008723D4">
            <w:pPr>
              <w:pStyle w:val="TableTextEntries"/>
              <w:keepNext/>
              <w:rPr>
                <w:rFonts w:asciiTheme="minorHAnsi" w:hAnsiTheme="minorHAnsi"/>
              </w:rPr>
            </w:pPr>
            <w:r>
              <w:rPr>
                <w:rFonts w:asciiTheme="minorHAnsi" w:hAnsiTheme="minorHAnsi"/>
              </w:rPr>
              <w:t xml:space="preserve">Domestic taxes grew by 9.6 per cent in nominal terms.  </w:t>
            </w:r>
            <w:r w:rsidR="008723D4" w:rsidRPr="00533ED5">
              <w:rPr>
                <w:rFonts w:asciiTheme="minorHAnsi" w:hAnsiTheme="minorHAnsi"/>
              </w:rPr>
              <w:t xml:space="preserve">The revenue to GDP ratio </w:t>
            </w:r>
            <w:r w:rsidR="0020105A">
              <w:rPr>
                <w:rFonts w:asciiTheme="minorHAnsi" w:hAnsiTheme="minorHAnsi"/>
              </w:rPr>
              <w:t>reached 21.7 per cent in 2015.  This represents an increase of 0.1 per cent from 2014, after a 3 per cent increase in 2014.</w:t>
            </w:r>
            <w:r w:rsidR="008723D4" w:rsidRPr="00533ED5">
              <w:rPr>
                <w:rFonts w:asciiTheme="minorHAnsi" w:hAnsiTheme="minorHAnsi"/>
              </w:rPr>
              <w:t xml:space="preserve"> </w:t>
            </w:r>
          </w:p>
          <w:p w14:paraId="60301FDA" w14:textId="77777777" w:rsidR="005B5769" w:rsidRPr="003B0793" w:rsidRDefault="005B5769" w:rsidP="001E01B3">
            <w:pPr>
              <w:pStyle w:val="TableTextEntries"/>
              <w:keepNext/>
              <w:rPr>
                <w:rFonts w:asciiTheme="minorHAnsi" w:hAnsiTheme="minorHAnsi"/>
              </w:rPr>
            </w:pPr>
          </w:p>
        </w:tc>
      </w:tr>
      <w:tr w:rsidR="005B5769" w:rsidRPr="00C4114C" w14:paraId="45DA5E7E" w14:textId="77777777" w:rsidTr="00015D5A">
        <w:tc>
          <w:tcPr>
            <w:tcW w:w="828" w:type="pct"/>
            <w:tcMar>
              <w:top w:w="57" w:type="dxa"/>
              <w:bottom w:w="57" w:type="dxa"/>
            </w:tcMar>
          </w:tcPr>
          <w:p w14:paraId="6EA6DD66" w14:textId="77777777" w:rsidR="005B5769" w:rsidRPr="003B0793" w:rsidRDefault="005B5769" w:rsidP="00D15A00">
            <w:pPr>
              <w:pStyle w:val="TableTextEntries"/>
              <w:keepNext/>
              <w:rPr>
                <w:rFonts w:asciiTheme="minorHAnsi" w:hAnsiTheme="minorHAnsi"/>
              </w:rPr>
            </w:pPr>
          </w:p>
        </w:tc>
        <w:tc>
          <w:tcPr>
            <w:tcW w:w="773" w:type="pct"/>
          </w:tcPr>
          <w:p w14:paraId="12887FAE" w14:textId="1520C29A" w:rsidR="005B5769" w:rsidRPr="003B0793" w:rsidRDefault="00794DB5" w:rsidP="00D15A00">
            <w:pPr>
              <w:pStyle w:val="TableTextEntries"/>
              <w:keepNext/>
              <w:rPr>
                <w:rFonts w:asciiTheme="minorHAnsi" w:hAnsiTheme="minorHAnsi"/>
              </w:rPr>
            </w:pPr>
            <w:r>
              <w:rPr>
                <w:rFonts w:asciiTheme="minorHAnsi" w:hAnsiTheme="minorHAnsi"/>
              </w:rPr>
              <w:t xml:space="preserve">b. </w:t>
            </w:r>
            <w:r w:rsidR="00FC50CE">
              <w:rPr>
                <w:rFonts w:asciiTheme="minorHAnsi" w:hAnsiTheme="minorHAnsi"/>
              </w:rPr>
              <w:t>AMENCA 3 successfully mobilised</w:t>
            </w:r>
          </w:p>
        </w:tc>
        <w:tc>
          <w:tcPr>
            <w:tcW w:w="633" w:type="pct"/>
            <w:shd w:val="clear" w:color="auto" w:fill="92D050"/>
          </w:tcPr>
          <w:p w14:paraId="1996DFCC" w14:textId="598F8BF4" w:rsidR="005B5769" w:rsidRPr="003B0793" w:rsidRDefault="00015D5A" w:rsidP="00806027">
            <w:pPr>
              <w:pStyle w:val="TableTextEntries"/>
              <w:keepNext/>
              <w:jc w:val="center"/>
              <w:rPr>
                <w:rFonts w:asciiTheme="minorHAnsi" w:hAnsiTheme="minorHAnsi"/>
              </w:rPr>
            </w:pPr>
            <w:r>
              <w:rPr>
                <w:rFonts w:asciiTheme="minorHAnsi" w:hAnsiTheme="minorHAnsi"/>
                <w:color w:val="FFFFFF" w:themeColor="background1"/>
              </w:rPr>
              <w:t>Achieved</w:t>
            </w:r>
          </w:p>
        </w:tc>
        <w:tc>
          <w:tcPr>
            <w:tcW w:w="2765" w:type="pct"/>
          </w:tcPr>
          <w:p w14:paraId="4C1467AE" w14:textId="7552E67A" w:rsidR="005B5769" w:rsidRPr="003B0793" w:rsidRDefault="008723D4" w:rsidP="009E6212">
            <w:pPr>
              <w:pStyle w:val="TableTextEntries"/>
              <w:keepNext/>
              <w:rPr>
                <w:rFonts w:asciiTheme="minorHAnsi" w:hAnsiTheme="minorHAnsi"/>
              </w:rPr>
            </w:pPr>
            <w:r w:rsidRPr="00D52574">
              <w:rPr>
                <w:rFonts w:asciiTheme="minorHAnsi" w:hAnsiTheme="minorHAnsi"/>
              </w:rPr>
              <w:t xml:space="preserve">AMENCA 3 was </w:t>
            </w:r>
            <w:r w:rsidR="00015D5A">
              <w:rPr>
                <w:rFonts w:asciiTheme="minorHAnsi" w:hAnsiTheme="minorHAnsi"/>
              </w:rPr>
              <w:t xml:space="preserve">successfully </w:t>
            </w:r>
            <w:r w:rsidRPr="00D52574">
              <w:rPr>
                <w:rFonts w:asciiTheme="minorHAnsi" w:hAnsiTheme="minorHAnsi"/>
              </w:rPr>
              <w:t>mobilised</w:t>
            </w:r>
            <w:r w:rsidR="00624604">
              <w:rPr>
                <w:rFonts w:asciiTheme="minorHAnsi" w:hAnsiTheme="minorHAnsi"/>
              </w:rPr>
              <w:t xml:space="preserve"> during the reporting period</w:t>
            </w:r>
            <w:r>
              <w:rPr>
                <w:rFonts w:asciiTheme="minorHAnsi" w:hAnsiTheme="minorHAnsi"/>
              </w:rPr>
              <w:t xml:space="preserve"> but has </w:t>
            </w:r>
            <w:r w:rsidR="00DF72AB">
              <w:rPr>
                <w:rFonts w:asciiTheme="minorHAnsi" w:hAnsiTheme="minorHAnsi"/>
              </w:rPr>
              <w:t>encountered</w:t>
            </w:r>
            <w:r>
              <w:rPr>
                <w:rFonts w:asciiTheme="minorHAnsi" w:hAnsiTheme="minorHAnsi"/>
              </w:rPr>
              <w:t xml:space="preserve"> some initial </w:t>
            </w:r>
            <w:r w:rsidR="00624604">
              <w:rPr>
                <w:rFonts w:asciiTheme="minorHAnsi" w:hAnsiTheme="minorHAnsi"/>
              </w:rPr>
              <w:t>delay</w:t>
            </w:r>
            <w:r>
              <w:rPr>
                <w:rFonts w:asciiTheme="minorHAnsi" w:hAnsiTheme="minorHAnsi"/>
              </w:rPr>
              <w:t xml:space="preserve">s due to turnover of Technical Support Team (TST) advisors. </w:t>
            </w:r>
            <w:r>
              <w:t xml:space="preserve"> </w:t>
            </w:r>
          </w:p>
        </w:tc>
      </w:tr>
      <w:tr w:rsidR="005B5769" w:rsidRPr="00C4114C" w14:paraId="5969BECC" w14:textId="77777777" w:rsidTr="008D7990">
        <w:tc>
          <w:tcPr>
            <w:tcW w:w="828" w:type="pct"/>
            <w:tcMar>
              <w:top w:w="57" w:type="dxa"/>
              <w:bottom w:w="57" w:type="dxa"/>
            </w:tcMar>
          </w:tcPr>
          <w:p w14:paraId="6567F145" w14:textId="72797A28" w:rsidR="005B5769" w:rsidRPr="003B0793" w:rsidRDefault="00784B53" w:rsidP="00784B53">
            <w:pPr>
              <w:pStyle w:val="TableTextEntries"/>
              <w:keepNext/>
              <w:rPr>
                <w:rFonts w:asciiTheme="minorHAnsi" w:hAnsiTheme="minorHAnsi"/>
              </w:rPr>
            </w:pPr>
            <w:r>
              <w:rPr>
                <w:rFonts w:asciiTheme="minorHAnsi" w:hAnsiTheme="minorHAnsi"/>
              </w:rPr>
              <w:t xml:space="preserve">2. </w:t>
            </w:r>
            <w:r w:rsidR="00FC50CE">
              <w:rPr>
                <w:rFonts w:asciiTheme="minorHAnsi" w:hAnsiTheme="minorHAnsi"/>
              </w:rPr>
              <w:t>Palestinian refugees in the PTs and across the region are able to access quality basic services</w:t>
            </w:r>
          </w:p>
        </w:tc>
        <w:tc>
          <w:tcPr>
            <w:tcW w:w="773" w:type="pct"/>
          </w:tcPr>
          <w:p w14:paraId="5F9FDAAD" w14:textId="762251B5" w:rsidR="005B5769" w:rsidRPr="003B0793" w:rsidRDefault="00624604" w:rsidP="00624604">
            <w:pPr>
              <w:pStyle w:val="TableTextEntries"/>
              <w:keepNext/>
              <w:rPr>
                <w:rFonts w:asciiTheme="minorHAnsi" w:hAnsiTheme="minorHAnsi"/>
              </w:rPr>
            </w:pPr>
            <w:r>
              <w:rPr>
                <w:rFonts w:asciiTheme="minorHAnsi" w:hAnsiTheme="minorHAnsi"/>
              </w:rPr>
              <w:t>a.</w:t>
            </w:r>
            <w:r w:rsidR="00F65B87">
              <w:rPr>
                <w:rFonts w:asciiTheme="minorHAnsi" w:hAnsiTheme="minorHAnsi"/>
              </w:rPr>
              <w:t xml:space="preserve"> </w:t>
            </w:r>
            <w:r w:rsidR="00FC50CE">
              <w:rPr>
                <w:rFonts w:asciiTheme="minorHAnsi" w:hAnsiTheme="minorHAnsi"/>
              </w:rPr>
              <w:t>At least half of Grade 4 students in UNRWA schools are performing at or above the expected level in mathematics</w:t>
            </w:r>
            <w:r w:rsidR="005B5769" w:rsidRPr="003B0793">
              <w:rPr>
                <w:rFonts w:asciiTheme="minorHAnsi" w:hAnsiTheme="minorHAnsi"/>
              </w:rPr>
              <w:t xml:space="preserve"> </w:t>
            </w:r>
          </w:p>
        </w:tc>
        <w:tc>
          <w:tcPr>
            <w:tcW w:w="633" w:type="pct"/>
            <w:shd w:val="clear" w:color="auto" w:fill="EEB500"/>
          </w:tcPr>
          <w:p w14:paraId="12950D4C" w14:textId="77777777" w:rsidR="005B5769" w:rsidRPr="003B0793" w:rsidRDefault="004D188E" w:rsidP="001E01B3">
            <w:pPr>
              <w:pStyle w:val="TableTextEntries"/>
              <w:keepNext/>
              <w:jc w:val="center"/>
              <w:rPr>
                <w:rFonts w:asciiTheme="minorHAnsi" w:hAnsiTheme="minorHAnsi"/>
              </w:rPr>
            </w:pPr>
            <w:r w:rsidRPr="003B0793">
              <w:rPr>
                <w:rFonts w:asciiTheme="minorHAnsi" w:hAnsiTheme="minorHAnsi"/>
                <w:color w:val="FFFFFF" w:themeColor="background1"/>
              </w:rPr>
              <w:t>Partly achieved</w:t>
            </w:r>
          </w:p>
        </w:tc>
        <w:tc>
          <w:tcPr>
            <w:tcW w:w="2765" w:type="pct"/>
          </w:tcPr>
          <w:p w14:paraId="7B2BC60B" w14:textId="246B24A0" w:rsidR="001E01B3" w:rsidRPr="00794DB5" w:rsidRDefault="001E01B3" w:rsidP="00D15A00">
            <w:pPr>
              <w:pStyle w:val="TableTextEntries"/>
              <w:keepNext/>
              <w:rPr>
                <w:rFonts w:asciiTheme="minorHAnsi" w:hAnsiTheme="minorHAnsi"/>
                <w:i/>
              </w:rPr>
            </w:pPr>
            <w:r w:rsidRPr="00794DB5">
              <w:rPr>
                <w:rFonts w:asciiTheme="minorHAnsi" w:hAnsiTheme="minorHAnsi"/>
                <w:i/>
              </w:rPr>
              <w:t>This indicator was last captured in 2013 and will be measured again later in</w:t>
            </w:r>
            <w:r w:rsidR="00DF72AB" w:rsidRPr="00794DB5">
              <w:rPr>
                <w:rFonts w:asciiTheme="minorHAnsi" w:hAnsiTheme="minorHAnsi"/>
                <w:i/>
              </w:rPr>
              <w:t xml:space="preserve"> a</w:t>
            </w:r>
            <w:r w:rsidRPr="00794DB5">
              <w:rPr>
                <w:rFonts w:asciiTheme="minorHAnsi" w:hAnsiTheme="minorHAnsi"/>
                <w:i/>
              </w:rPr>
              <w:t xml:space="preserve"> 2016</w:t>
            </w:r>
            <w:r w:rsidR="00837EE6" w:rsidRPr="00794DB5">
              <w:rPr>
                <w:rFonts w:asciiTheme="minorHAnsi" w:hAnsiTheme="minorHAnsi"/>
                <w:i/>
              </w:rPr>
              <w:t xml:space="preserve"> Monitoring Learning Achievement (MLA)</w:t>
            </w:r>
            <w:r w:rsidR="00DF72AB" w:rsidRPr="00794DB5">
              <w:rPr>
                <w:rFonts w:asciiTheme="minorHAnsi" w:hAnsiTheme="minorHAnsi"/>
                <w:i/>
              </w:rPr>
              <w:t xml:space="preserve"> survey.  </w:t>
            </w:r>
            <w:r w:rsidR="00837EE6" w:rsidRPr="00794DB5">
              <w:rPr>
                <w:rFonts w:asciiTheme="minorHAnsi" w:hAnsiTheme="minorHAnsi"/>
                <w:i/>
              </w:rPr>
              <w:t xml:space="preserve">The MLA is an in-depth study of student achievement that is not completed annually due to the logistical challenge of a major study that requires extended time for analysis before publishing results.  </w:t>
            </w:r>
            <w:r w:rsidRPr="00794DB5">
              <w:rPr>
                <w:rFonts w:asciiTheme="minorHAnsi" w:hAnsiTheme="minorHAnsi"/>
                <w:i/>
              </w:rPr>
              <w:t xml:space="preserve">DFAT will provide an update on progress in the 2016-17 APPR.  </w:t>
            </w:r>
            <w:r w:rsidR="00735345" w:rsidRPr="00794DB5">
              <w:rPr>
                <w:rFonts w:asciiTheme="minorHAnsi" w:hAnsiTheme="minorHAnsi"/>
                <w:i/>
              </w:rPr>
              <w:t xml:space="preserve">The following </w:t>
            </w:r>
            <w:r w:rsidR="00837EE6" w:rsidRPr="00794DB5">
              <w:rPr>
                <w:rFonts w:asciiTheme="minorHAnsi" w:hAnsiTheme="minorHAnsi"/>
                <w:i/>
              </w:rPr>
              <w:t xml:space="preserve">proxy </w:t>
            </w:r>
            <w:r w:rsidR="00735345" w:rsidRPr="00794DB5">
              <w:rPr>
                <w:rFonts w:asciiTheme="minorHAnsi" w:hAnsiTheme="minorHAnsi"/>
                <w:i/>
              </w:rPr>
              <w:t>measure gives an interim</w:t>
            </w:r>
            <w:r w:rsidR="007B0450" w:rsidRPr="00794DB5">
              <w:rPr>
                <w:rFonts w:asciiTheme="minorHAnsi" w:hAnsiTheme="minorHAnsi"/>
                <w:i/>
              </w:rPr>
              <w:t xml:space="preserve"> </w:t>
            </w:r>
            <w:r w:rsidR="008D7990" w:rsidRPr="00794DB5">
              <w:rPr>
                <w:rFonts w:asciiTheme="minorHAnsi" w:hAnsiTheme="minorHAnsi"/>
                <w:i/>
              </w:rPr>
              <w:t>indication of good progress</w:t>
            </w:r>
            <w:r w:rsidR="00837EE6" w:rsidRPr="00794DB5">
              <w:rPr>
                <w:rFonts w:asciiTheme="minorHAnsi" w:hAnsiTheme="minorHAnsi"/>
                <w:i/>
              </w:rPr>
              <w:t xml:space="preserve"> while not </w:t>
            </w:r>
            <w:r w:rsidR="00F65B87">
              <w:rPr>
                <w:rFonts w:asciiTheme="minorHAnsi" w:hAnsiTheme="minorHAnsi"/>
                <w:i/>
              </w:rPr>
              <w:t>directly comparable with the</w:t>
            </w:r>
            <w:r w:rsidR="00837EE6" w:rsidRPr="00794DB5">
              <w:rPr>
                <w:rFonts w:asciiTheme="minorHAnsi" w:hAnsiTheme="minorHAnsi"/>
                <w:i/>
              </w:rPr>
              <w:t xml:space="preserve"> MLA result</w:t>
            </w:r>
            <w:r w:rsidR="008D7990" w:rsidRPr="00794DB5">
              <w:rPr>
                <w:rFonts w:asciiTheme="minorHAnsi" w:hAnsiTheme="minorHAnsi"/>
                <w:i/>
              </w:rPr>
              <w:t>.</w:t>
            </w:r>
          </w:p>
          <w:p w14:paraId="59597EFE" w14:textId="77A13990" w:rsidR="009A70D7" w:rsidRPr="003B0793" w:rsidRDefault="001E01B3" w:rsidP="005F05FE">
            <w:pPr>
              <w:pStyle w:val="TableTextEntries"/>
              <w:keepNext/>
              <w:rPr>
                <w:rFonts w:asciiTheme="minorHAnsi" w:hAnsiTheme="minorHAnsi"/>
              </w:rPr>
            </w:pPr>
            <w:r>
              <w:rPr>
                <w:rFonts w:asciiTheme="minorHAnsi" w:hAnsiTheme="minorHAnsi"/>
              </w:rPr>
              <w:t xml:space="preserve">In the 2014-15 school year, the average pass rate for UNRWA students in Gaza in Maths was </w:t>
            </w:r>
            <w:r w:rsidR="00F65B87">
              <w:rPr>
                <w:rFonts w:asciiTheme="minorHAnsi" w:hAnsiTheme="minorHAnsi"/>
              </w:rPr>
              <w:t>88.1 per</w:t>
            </w:r>
            <w:r w:rsidR="005F05FE">
              <w:rPr>
                <w:rFonts w:asciiTheme="minorHAnsi" w:hAnsiTheme="minorHAnsi"/>
              </w:rPr>
              <w:t xml:space="preserve"> cent </w:t>
            </w:r>
            <w:r>
              <w:rPr>
                <w:rFonts w:asciiTheme="minorHAnsi" w:hAnsiTheme="minorHAnsi"/>
              </w:rPr>
              <w:t>(</w:t>
            </w:r>
            <w:r w:rsidR="005F05FE">
              <w:rPr>
                <w:rFonts w:asciiTheme="minorHAnsi" w:hAnsiTheme="minorHAnsi"/>
              </w:rPr>
              <w:t>M</w:t>
            </w:r>
            <w:r>
              <w:rPr>
                <w:rFonts w:asciiTheme="minorHAnsi" w:hAnsiTheme="minorHAnsi"/>
              </w:rPr>
              <w:t>: 85.2,</w:t>
            </w:r>
            <w:r w:rsidR="005F05FE">
              <w:rPr>
                <w:rFonts w:asciiTheme="minorHAnsi" w:hAnsiTheme="minorHAnsi"/>
              </w:rPr>
              <w:t xml:space="preserve"> F</w:t>
            </w:r>
            <w:r>
              <w:rPr>
                <w:rFonts w:asciiTheme="minorHAnsi" w:hAnsiTheme="minorHAnsi"/>
              </w:rPr>
              <w:t>: 91.2) compared with a target of M:</w:t>
            </w:r>
            <w:r w:rsidR="00F65B87">
              <w:rPr>
                <w:rFonts w:asciiTheme="minorHAnsi" w:hAnsiTheme="minorHAnsi"/>
              </w:rPr>
              <w:t xml:space="preserve"> </w:t>
            </w:r>
            <w:r>
              <w:rPr>
                <w:rFonts w:asciiTheme="minorHAnsi" w:hAnsiTheme="minorHAnsi"/>
              </w:rPr>
              <w:t>72 F:</w:t>
            </w:r>
            <w:r w:rsidR="00F65B87">
              <w:rPr>
                <w:rFonts w:asciiTheme="minorHAnsi" w:hAnsiTheme="minorHAnsi"/>
              </w:rPr>
              <w:t xml:space="preserve"> </w:t>
            </w:r>
            <w:r>
              <w:rPr>
                <w:rFonts w:asciiTheme="minorHAnsi" w:hAnsiTheme="minorHAnsi"/>
              </w:rPr>
              <w:t>81.  This represents an increase from 81.2</w:t>
            </w:r>
            <w:r w:rsidR="00F05CD0">
              <w:rPr>
                <w:rFonts w:asciiTheme="minorHAnsi" w:hAnsiTheme="minorHAnsi"/>
              </w:rPr>
              <w:t xml:space="preserve"> per cent</w:t>
            </w:r>
            <w:r>
              <w:rPr>
                <w:rFonts w:asciiTheme="minorHAnsi" w:hAnsiTheme="minorHAnsi"/>
              </w:rPr>
              <w:t xml:space="preserve"> in 2013-14 and 71.0</w:t>
            </w:r>
            <w:r w:rsidR="00F05CD0">
              <w:rPr>
                <w:rFonts w:asciiTheme="minorHAnsi" w:hAnsiTheme="minorHAnsi"/>
              </w:rPr>
              <w:t xml:space="preserve"> per cent</w:t>
            </w:r>
            <w:r>
              <w:rPr>
                <w:rFonts w:asciiTheme="minorHAnsi" w:hAnsiTheme="minorHAnsi"/>
              </w:rPr>
              <w:t xml:space="preserve"> in 2012-13.</w:t>
            </w:r>
          </w:p>
        </w:tc>
      </w:tr>
      <w:tr w:rsidR="00FC50CE" w:rsidRPr="00C4114C" w14:paraId="1D30E95B" w14:textId="77777777" w:rsidTr="008D7990">
        <w:tc>
          <w:tcPr>
            <w:tcW w:w="828" w:type="pct"/>
            <w:tcMar>
              <w:top w:w="57" w:type="dxa"/>
              <w:bottom w:w="57" w:type="dxa"/>
            </w:tcMar>
          </w:tcPr>
          <w:p w14:paraId="48C980DC" w14:textId="77777777" w:rsidR="00FC50CE" w:rsidRDefault="00FC50CE" w:rsidP="00D15A00">
            <w:pPr>
              <w:pStyle w:val="TableTextEntries"/>
              <w:keepNext/>
              <w:rPr>
                <w:rFonts w:asciiTheme="minorHAnsi" w:hAnsiTheme="minorHAnsi"/>
              </w:rPr>
            </w:pPr>
          </w:p>
        </w:tc>
        <w:tc>
          <w:tcPr>
            <w:tcW w:w="773" w:type="pct"/>
          </w:tcPr>
          <w:p w14:paraId="75614F36" w14:textId="0BF4AAC3" w:rsidR="00FC50CE" w:rsidRDefault="00794DB5" w:rsidP="00CB4F54">
            <w:pPr>
              <w:pStyle w:val="TableTextEntries"/>
              <w:keepNext/>
              <w:rPr>
                <w:rFonts w:asciiTheme="minorHAnsi" w:hAnsiTheme="minorHAnsi"/>
              </w:rPr>
            </w:pPr>
            <w:r>
              <w:rPr>
                <w:rFonts w:asciiTheme="minorHAnsi" w:hAnsiTheme="minorHAnsi"/>
              </w:rPr>
              <w:t xml:space="preserve">b. </w:t>
            </w:r>
            <w:r w:rsidR="00FC50CE">
              <w:rPr>
                <w:rFonts w:asciiTheme="minorHAnsi" w:hAnsiTheme="minorHAnsi"/>
              </w:rPr>
              <w:t xml:space="preserve">The Family </w:t>
            </w:r>
            <w:r w:rsidR="00CB4F54">
              <w:rPr>
                <w:rFonts w:asciiTheme="minorHAnsi" w:hAnsiTheme="minorHAnsi"/>
              </w:rPr>
              <w:t>H</w:t>
            </w:r>
            <w:r w:rsidR="00FC50CE">
              <w:rPr>
                <w:rFonts w:asciiTheme="minorHAnsi" w:hAnsiTheme="minorHAnsi"/>
              </w:rPr>
              <w:t xml:space="preserve">ealth </w:t>
            </w:r>
            <w:r w:rsidR="00CB4F54">
              <w:rPr>
                <w:rFonts w:asciiTheme="minorHAnsi" w:hAnsiTheme="minorHAnsi"/>
              </w:rPr>
              <w:t>T</w:t>
            </w:r>
            <w:r w:rsidR="00FC50CE">
              <w:rPr>
                <w:rFonts w:asciiTheme="minorHAnsi" w:hAnsiTheme="minorHAnsi"/>
              </w:rPr>
              <w:t>eam</w:t>
            </w:r>
            <w:r w:rsidR="001E01B3">
              <w:rPr>
                <w:rFonts w:asciiTheme="minorHAnsi" w:hAnsiTheme="minorHAnsi"/>
              </w:rPr>
              <w:t xml:space="preserve"> (FHT)</w:t>
            </w:r>
            <w:r w:rsidR="00FC50CE">
              <w:rPr>
                <w:rFonts w:asciiTheme="minorHAnsi" w:hAnsiTheme="minorHAnsi"/>
              </w:rPr>
              <w:t xml:space="preserve"> reforms are in place in all UNRWA health centres</w:t>
            </w:r>
          </w:p>
        </w:tc>
        <w:tc>
          <w:tcPr>
            <w:tcW w:w="633" w:type="pct"/>
            <w:shd w:val="clear" w:color="auto" w:fill="92D050"/>
          </w:tcPr>
          <w:p w14:paraId="3128BBE9" w14:textId="77777777" w:rsidR="00FC50CE" w:rsidRPr="003B0793" w:rsidRDefault="00C1562D" w:rsidP="001E01B3">
            <w:pPr>
              <w:pStyle w:val="TableTextEntries"/>
              <w:keepNext/>
              <w:jc w:val="center"/>
              <w:rPr>
                <w:rFonts w:asciiTheme="minorHAnsi" w:hAnsiTheme="minorHAnsi"/>
                <w:color w:val="FFFFFF" w:themeColor="background1"/>
              </w:rPr>
            </w:pPr>
            <w:r>
              <w:rPr>
                <w:rFonts w:asciiTheme="minorHAnsi" w:hAnsiTheme="minorHAnsi"/>
                <w:color w:val="FFFFFF" w:themeColor="background1"/>
              </w:rPr>
              <w:t>A</w:t>
            </w:r>
            <w:r w:rsidR="001E01B3">
              <w:rPr>
                <w:rFonts w:asciiTheme="minorHAnsi" w:hAnsiTheme="minorHAnsi"/>
                <w:color w:val="FFFFFF" w:themeColor="background1"/>
              </w:rPr>
              <w:t>chieved</w:t>
            </w:r>
          </w:p>
        </w:tc>
        <w:tc>
          <w:tcPr>
            <w:tcW w:w="2765" w:type="pct"/>
          </w:tcPr>
          <w:p w14:paraId="05188F9B" w14:textId="77777777" w:rsidR="009E6212" w:rsidRDefault="001E01B3" w:rsidP="009E6212">
            <w:pPr>
              <w:pStyle w:val="TableTextEntries"/>
              <w:keepNext/>
              <w:rPr>
                <w:rFonts w:asciiTheme="minorHAnsi" w:hAnsiTheme="minorHAnsi"/>
              </w:rPr>
            </w:pPr>
            <w:r>
              <w:rPr>
                <w:rFonts w:asciiTheme="minorHAnsi" w:hAnsiTheme="minorHAnsi"/>
              </w:rPr>
              <w:t xml:space="preserve">By the end of 2015, 115 of </w:t>
            </w:r>
            <w:r w:rsidRPr="001E01B3">
              <w:rPr>
                <w:rFonts w:asciiTheme="minorHAnsi" w:hAnsiTheme="minorHAnsi"/>
              </w:rPr>
              <w:t xml:space="preserve">117 </w:t>
            </w:r>
            <w:r>
              <w:rPr>
                <w:rFonts w:asciiTheme="minorHAnsi" w:hAnsiTheme="minorHAnsi"/>
              </w:rPr>
              <w:t>health centres</w:t>
            </w:r>
            <w:r w:rsidRPr="001E01B3">
              <w:rPr>
                <w:rFonts w:asciiTheme="minorHAnsi" w:hAnsiTheme="minorHAnsi"/>
              </w:rPr>
              <w:t xml:space="preserve"> in four fields of UNRWA</w:t>
            </w:r>
            <w:r w:rsidR="00806027">
              <w:rPr>
                <w:rFonts w:asciiTheme="minorHAnsi" w:hAnsiTheme="minorHAnsi"/>
              </w:rPr>
              <w:t xml:space="preserve"> </w:t>
            </w:r>
            <w:r w:rsidRPr="001E01B3">
              <w:rPr>
                <w:rFonts w:asciiTheme="minorHAnsi" w:hAnsiTheme="minorHAnsi"/>
              </w:rPr>
              <w:t xml:space="preserve">operations (excluding Syria) had implemented the FHT approach (two </w:t>
            </w:r>
            <w:r>
              <w:rPr>
                <w:rFonts w:asciiTheme="minorHAnsi" w:hAnsiTheme="minorHAnsi"/>
              </w:rPr>
              <w:t>centres</w:t>
            </w:r>
            <w:r w:rsidRPr="001E01B3">
              <w:rPr>
                <w:rFonts w:asciiTheme="minorHAnsi" w:hAnsiTheme="minorHAnsi"/>
              </w:rPr>
              <w:t xml:space="preserve"> being constructed in Gaza are outstanding). </w:t>
            </w:r>
          </w:p>
          <w:p w14:paraId="408A8584" w14:textId="1A49ED9A" w:rsidR="00FC50CE" w:rsidRPr="003B0793" w:rsidRDefault="00C1562D" w:rsidP="009E6212">
            <w:pPr>
              <w:pStyle w:val="TableTextEntries"/>
              <w:keepNext/>
              <w:rPr>
                <w:rFonts w:asciiTheme="minorHAnsi" w:hAnsiTheme="minorHAnsi"/>
              </w:rPr>
            </w:pPr>
            <w:r>
              <w:rPr>
                <w:rFonts w:asciiTheme="minorHAnsi" w:hAnsiTheme="minorHAnsi"/>
              </w:rPr>
              <w:t>In light of security constraints, the adoption of FHT in 115 centres represents an achievement of the target.</w:t>
            </w:r>
          </w:p>
        </w:tc>
      </w:tr>
    </w:tbl>
    <w:p w14:paraId="3DFBB2A5" w14:textId="45A399D0" w:rsidR="001958A7" w:rsidRPr="00A731A1" w:rsidRDefault="00D96F7B" w:rsidP="007A0641">
      <w:pPr>
        <w:spacing w:after="120" w:line="280" w:lineRule="exact"/>
        <w:jc w:val="both"/>
        <w:rPr>
          <w:rFonts w:eastAsia="Times New Roman"/>
        </w:rPr>
      </w:pPr>
      <w:r w:rsidRPr="00A731A1">
        <w:rPr>
          <w:rFonts w:eastAsia="Times New Roman"/>
        </w:rPr>
        <w:t>The AIP</w:t>
      </w:r>
      <w:r w:rsidR="00214299" w:rsidRPr="00A731A1">
        <w:rPr>
          <w:rFonts w:eastAsia="Times New Roman"/>
        </w:rPr>
        <w:t>, finalised in 2014-15,</w:t>
      </w:r>
      <w:r w:rsidRPr="00A731A1">
        <w:rPr>
          <w:rFonts w:eastAsia="Times New Roman"/>
        </w:rPr>
        <w:t xml:space="preserve"> only identified benchmarks for 2015-16.  Accordingly, the following table sets new benchmarks for the years 2016-17 to 2018-19.</w:t>
      </w:r>
      <w:r w:rsidR="00000594" w:rsidRPr="00A731A1">
        <w:rPr>
          <w:rFonts w:eastAsia="Times New Roman"/>
        </w:rPr>
        <w:t xml:space="preserve">  In order to correspond with performance benchmarks </w:t>
      </w:r>
      <w:r w:rsidR="001958A7" w:rsidRPr="00A731A1">
        <w:rPr>
          <w:rFonts w:eastAsia="Times New Roman"/>
        </w:rPr>
        <w:t>used by our partners and other donors</w:t>
      </w:r>
      <w:r w:rsidR="00000594" w:rsidRPr="00A731A1">
        <w:rPr>
          <w:rFonts w:eastAsia="Times New Roman"/>
        </w:rPr>
        <w:t>, this APPR only set</w:t>
      </w:r>
      <w:r w:rsidR="00E801F9" w:rsidRPr="00A731A1">
        <w:rPr>
          <w:rFonts w:eastAsia="Times New Roman"/>
        </w:rPr>
        <w:t>s</w:t>
      </w:r>
      <w:r w:rsidR="00000594" w:rsidRPr="00A731A1">
        <w:rPr>
          <w:rFonts w:eastAsia="Times New Roman"/>
        </w:rPr>
        <w:t xml:space="preserve"> a 2016-17 target for the </w:t>
      </w:r>
      <w:r w:rsidR="00806027" w:rsidRPr="00A731A1">
        <w:rPr>
          <w:rFonts w:eastAsia="Times New Roman"/>
        </w:rPr>
        <w:t xml:space="preserve">World Bank </w:t>
      </w:r>
      <w:r w:rsidR="004E709C" w:rsidRPr="00A731A1">
        <w:rPr>
          <w:rFonts w:eastAsia="Times New Roman"/>
        </w:rPr>
        <w:t>PFM</w:t>
      </w:r>
      <w:r w:rsidR="00000594" w:rsidRPr="00A731A1">
        <w:rPr>
          <w:rFonts w:eastAsia="Times New Roman"/>
        </w:rPr>
        <w:t xml:space="preserve"> </w:t>
      </w:r>
      <w:r w:rsidR="00806027" w:rsidRPr="00A731A1">
        <w:rPr>
          <w:rFonts w:eastAsia="Times New Roman"/>
        </w:rPr>
        <w:t>and UNRWA education benchmarks</w:t>
      </w:r>
      <w:r w:rsidR="00000594" w:rsidRPr="00A731A1">
        <w:rPr>
          <w:rFonts w:eastAsia="Times New Roman"/>
        </w:rPr>
        <w:t>.</w:t>
      </w:r>
      <w:r w:rsidR="00624604" w:rsidRPr="00A731A1">
        <w:rPr>
          <w:rFonts w:eastAsia="Times New Roman"/>
        </w:rPr>
        <w:t xml:space="preserve">  While we prefer</w:t>
      </w:r>
      <w:r w:rsidR="00806027" w:rsidRPr="00A731A1">
        <w:rPr>
          <w:rFonts w:eastAsia="Times New Roman"/>
        </w:rPr>
        <w:t xml:space="preserve"> </w:t>
      </w:r>
      <w:r w:rsidR="00624604" w:rsidRPr="00A731A1">
        <w:rPr>
          <w:rFonts w:eastAsia="Times New Roman"/>
        </w:rPr>
        <w:t xml:space="preserve">selecting and tracking </w:t>
      </w:r>
      <w:r w:rsidR="00806027" w:rsidRPr="00A731A1">
        <w:rPr>
          <w:rFonts w:eastAsia="Times New Roman"/>
        </w:rPr>
        <w:t xml:space="preserve">multi-year targets where possible, </w:t>
      </w:r>
      <w:r w:rsidR="001958A7" w:rsidRPr="00A731A1">
        <w:rPr>
          <w:rFonts w:eastAsia="Times New Roman"/>
        </w:rPr>
        <w:t>we</w:t>
      </w:r>
      <w:r w:rsidR="00624604" w:rsidRPr="00A731A1">
        <w:rPr>
          <w:rFonts w:eastAsia="Times New Roman"/>
        </w:rPr>
        <w:t xml:space="preserve"> </w:t>
      </w:r>
      <w:r w:rsidR="00924AEE" w:rsidRPr="00A731A1">
        <w:rPr>
          <w:rFonts w:eastAsia="Times New Roman"/>
        </w:rPr>
        <w:t>prioritise</w:t>
      </w:r>
      <w:r w:rsidR="00624604" w:rsidRPr="00A731A1">
        <w:rPr>
          <w:rFonts w:eastAsia="Times New Roman"/>
        </w:rPr>
        <w:t xml:space="preserve"> </w:t>
      </w:r>
      <w:r w:rsidR="00806027" w:rsidRPr="00A731A1">
        <w:rPr>
          <w:rFonts w:eastAsia="Times New Roman"/>
        </w:rPr>
        <w:t>alignment with reporting structures of partners as a modest donor in a difficult environment.</w:t>
      </w:r>
      <w:r w:rsidR="009A70D7" w:rsidRPr="00A731A1">
        <w:rPr>
          <w:rFonts w:eastAsia="Times New Roman"/>
        </w:rPr>
        <w:t xml:space="preserve">  </w:t>
      </w:r>
    </w:p>
    <w:p w14:paraId="78750EB6" w14:textId="0F193A57" w:rsidR="00D96F7B" w:rsidRPr="00A731A1" w:rsidRDefault="009A70D7" w:rsidP="007A0641">
      <w:pPr>
        <w:spacing w:after="120" w:line="280" w:lineRule="exact"/>
        <w:jc w:val="both"/>
        <w:rPr>
          <w:rFonts w:eastAsia="Times New Roman"/>
        </w:rPr>
      </w:pPr>
      <w:r w:rsidRPr="00A731A1">
        <w:rPr>
          <w:rFonts w:eastAsia="Times New Roman"/>
        </w:rPr>
        <w:t>The health benchmark ha</w:t>
      </w:r>
      <w:r w:rsidR="00806027" w:rsidRPr="00A731A1">
        <w:rPr>
          <w:rFonts w:eastAsia="Times New Roman"/>
        </w:rPr>
        <w:t>s</w:t>
      </w:r>
      <w:r w:rsidRPr="00A731A1">
        <w:rPr>
          <w:rFonts w:eastAsia="Times New Roman"/>
        </w:rPr>
        <w:t xml:space="preserve"> been changed in consultation with UNRWA to enable reporting to be closely aligned with that of other donors</w:t>
      </w:r>
      <w:r w:rsidR="00A731A1">
        <w:rPr>
          <w:rStyle w:val="FootnoteReference"/>
          <w:rFonts w:eastAsia="Times New Roman"/>
        </w:rPr>
        <w:footnoteReference w:id="3"/>
      </w:r>
      <w:r w:rsidR="001E3590" w:rsidRPr="00A731A1">
        <w:rPr>
          <w:rFonts w:eastAsia="Times New Roman"/>
        </w:rPr>
        <w:t>.</w:t>
      </w:r>
      <w:r w:rsidR="007922AB" w:rsidRPr="00A731A1">
        <w:rPr>
          <w:rFonts w:eastAsia="Times New Roman"/>
        </w:rPr>
        <w:t xml:space="preserve">  Fewer daily medical consultations per doctor is one of the positive outcomes of</w:t>
      </w:r>
      <w:r w:rsidR="009E6212">
        <w:rPr>
          <w:rFonts w:eastAsia="Times New Roman"/>
        </w:rPr>
        <w:t xml:space="preserve"> the</w:t>
      </w:r>
      <w:r w:rsidR="007922AB" w:rsidRPr="00A731A1">
        <w:rPr>
          <w:rFonts w:eastAsia="Times New Roman"/>
        </w:rPr>
        <w:t xml:space="preserve"> introduction of UNRWA’s Family Health Team system, which helps to streamline doctors’ workloads and improve coverage and quality of </w:t>
      </w:r>
      <w:r w:rsidR="0042603C" w:rsidRPr="00A731A1">
        <w:rPr>
          <w:rFonts w:eastAsia="Times New Roman"/>
        </w:rPr>
        <w:t xml:space="preserve">comprehensive </w:t>
      </w:r>
      <w:r w:rsidR="007922AB" w:rsidRPr="00A731A1">
        <w:rPr>
          <w:rFonts w:eastAsia="Times New Roman"/>
        </w:rPr>
        <w:t>medical care.</w:t>
      </w:r>
      <w:r w:rsidR="0042603C" w:rsidRPr="00A731A1">
        <w:rPr>
          <w:rFonts w:eastAsia="Times New Roman"/>
        </w:rPr>
        <w:t xml:space="preserve">  Where possible, we will concurrently report on other health indicators in future APPRs in order to provide the fullest picture possible </w:t>
      </w:r>
      <w:r w:rsidR="009E6212">
        <w:rPr>
          <w:rFonts w:eastAsia="Times New Roman"/>
        </w:rPr>
        <w:t>of</w:t>
      </w:r>
      <w:r w:rsidR="0042603C" w:rsidRPr="00A731A1">
        <w:rPr>
          <w:rFonts w:eastAsia="Times New Roman"/>
        </w:rPr>
        <w:t xml:space="preserve"> the quality of health care </w:t>
      </w:r>
      <w:r w:rsidR="009E6212">
        <w:rPr>
          <w:rFonts w:eastAsia="Times New Roman"/>
        </w:rPr>
        <w:t>provided</w:t>
      </w:r>
      <w:r w:rsidR="0042603C" w:rsidRPr="00A731A1">
        <w:rPr>
          <w:rFonts w:eastAsia="Times New Roman"/>
        </w:rPr>
        <w:t xml:space="preserve"> by UNWRA.</w:t>
      </w:r>
    </w:p>
    <w:p w14:paraId="3DC26756" w14:textId="77777777" w:rsidR="008F7C5C" w:rsidRDefault="008F7C5C">
      <w:pPr>
        <w:suppressAutoHyphens w:val="0"/>
        <w:spacing w:before="0" w:after="120" w:line="440" w:lineRule="atLeast"/>
        <w:rPr>
          <w:b/>
          <w:iCs/>
          <w:color w:val="000000" w:themeColor="text1"/>
          <w:sz w:val="24"/>
          <w:szCs w:val="18"/>
        </w:rPr>
      </w:pPr>
      <w:r>
        <w:rPr>
          <w:sz w:val="24"/>
        </w:rPr>
        <w:br w:type="page"/>
      </w:r>
    </w:p>
    <w:p w14:paraId="66031473" w14:textId="77777777" w:rsidR="005B5769" w:rsidRPr="001958A7" w:rsidRDefault="005B5769" w:rsidP="005B5769">
      <w:pPr>
        <w:pStyle w:val="Caption"/>
        <w:rPr>
          <w:sz w:val="24"/>
        </w:rPr>
      </w:pPr>
      <w:r w:rsidRPr="001958A7">
        <w:rPr>
          <w:sz w:val="24"/>
        </w:rPr>
        <w:lastRenderedPageBreak/>
        <w:t xml:space="preserve">Performance Benchmarks 2016-17 to 2018-19 </w:t>
      </w:r>
    </w:p>
    <w:tbl>
      <w:tblPr>
        <w:tblStyle w:val="DFATTable"/>
        <w:tblW w:w="4874" w:type="pct"/>
        <w:tblLook w:val="04A0" w:firstRow="1" w:lastRow="0" w:firstColumn="1" w:lastColumn="0" w:noHBand="0" w:noVBand="1"/>
      </w:tblPr>
      <w:tblGrid>
        <w:gridCol w:w="1280"/>
        <w:gridCol w:w="2657"/>
        <w:gridCol w:w="2267"/>
        <w:gridCol w:w="1842"/>
        <w:gridCol w:w="1560"/>
      </w:tblGrid>
      <w:tr w:rsidR="001958A7" w:rsidRPr="001958A7" w14:paraId="4A6239B3" w14:textId="77777777" w:rsidTr="00794DB5">
        <w:trPr>
          <w:trHeight w:val="331"/>
        </w:trPr>
        <w:tc>
          <w:tcPr>
            <w:tcW w:w="666" w:type="pct"/>
            <w:tcBorders>
              <w:top w:val="single" w:sz="12" w:space="0" w:color="auto"/>
              <w:left w:val="nil"/>
              <w:bottom w:val="nil"/>
              <w:right w:val="nil"/>
            </w:tcBorders>
          </w:tcPr>
          <w:p w14:paraId="1F346130" w14:textId="77777777" w:rsidR="003B0793" w:rsidRPr="00794DB5" w:rsidRDefault="003B0793" w:rsidP="00D15A00">
            <w:pPr>
              <w:pStyle w:val="TableHeading1"/>
              <w:rPr>
                <w:rFonts w:asciiTheme="minorHAnsi" w:hAnsiTheme="minorHAnsi"/>
                <w:color w:val="000000" w:themeColor="text1"/>
              </w:rPr>
            </w:pPr>
          </w:p>
        </w:tc>
        <w:tc>
          <w:tcPr>
            <w:tcW w:w="1383" w:type="pct"/>
            <w:tcBorders>
              <w:top w:val="single" w:sz="12" w:space="0" w:color="auto"/>
              <w:left w:val="nil"/>
              <w:bottom w:val="nil"/>
              <w:right w:val="nil"/>
            </w:tcBorders>
          </w:tcPr>
          <w:p w14:paraId="37812702" w14:textId="77777777" w:rsidR="003B0793" w:rsidRPr="00794DB5" w:rsidRDefault="003B0793" w:rsidP="00D15A00">
            <w:pPr>
              <w:pStyle w:val="TableHeading1"/>
              <w:rPr>
                <w:rFonts w:asciiTheme="minorHAnsi" w:hAnsiTheme="minorHAnsi"/>
                <w:color w:val="000000" w:themeColor="text1"/>
              </w:rPr>
            </w:pPr>
          </w:p>
        </w:tc>
        <w:tc>
          <w:tcPr>
            <w:tcW w:w="1180" w:type="pct"/>
            <w:tcBorders>
              <w:top w:val="single" w:sz="12" w:space="0" w:color="auto"/>
              <w:left w:val="nil"/>
              <w:bottom w:val="nil"/>
              <w:right w:val="nil"/>
            </w:tcBorders>
            <w:hideMark/>
          </w:tcPr>
          <w:p w14:paraId="70C256E2" w14:textId="77777777" w:rsidR="003B0793" w:rsidRPr="00794DB5" w:rsidRDefault="003B0793" w:rsidP="001E3590">
            <w:pPr>
              <w:pStyle w:val="TableHeading1"/>
              <w:rPr>
                <w:rFonts w:asciiTheme="minorHAnsi" w:hAnsiTheme="minorHAnsi"/>
                <w:color w:val="000000" w:themeColor="text1"/>
              </w:rPr>
            </w:pPr>
            <w:r w:rsidRPr="00794DB5">
              <w:rPr>
                <w:rFonts w:asciiTheme="minorHAnsi" w:hAnsiTheme="minorHAnsi"/>
                <w:color w:val="000000" w:themeColor="text1"/>
              </w:rPr>
              <w:t>2016-17</w:t>
            </w:r>
          </w:p>
        </w:tc>
        <w:tc>
          <w:tcPr>
            <w:tcW w:w="959" w:type="pct"/>
            <w:tcBorders>
              <w:top w:val="single" w:sz="12" w:space="0" w:color="auto"/>
              <w:left w:val="nil"/>
              <w:bottom w:val="nil"/>
              <w:right w:val="nil"/>
            </w:tcBorders>
            <w:hideMark/>
          </w:tcPr>
          <w:p w14:paraId="6A8C102A" w14:textId="77777777" w:rsidR="003B0793" w:rsidRPr="00794DB5" w:rsidRDefault="003B0793" w:rsidP="001E3590">
            <w:pPr>
              <w:pStyle w:val="TableHeading1"/>
              <w:rPr>
                <w:rFonts w:asciiTheme="minorHAnsi" w:hAnsiTheme="minorHAnsi"/>
                <w:color w:val="000000" w:themeColor="text1"/>
              </w:rPr>
            </w:pPr>
            <w:r w:rsidRPr="00794DB5">
              <w:rPr>
                <w:rFonts w:asciiTheme="minorHAnsi" w:hAnsiTheme="minorHAnsi"/>
                <w:color w:val="000000" w:themeColor="text1"/>
              </w:rPr>
              <w:t>2017-18</w:t>
            </w:r>
          </w:p>
        </w:tc>
        <w:tc>
          <w:tcPr>
            <w:tcW w:w="812" w:type="pct"/>
            <w:tcBorders>
              <w:top w:val="single" w:sz="12" w:space="0" w:color="auto"/>
              <w:left w:val="nil"/>
              <w:bottom w:val="nil"/>
              <w:right w:val="nil"/>
            </w:tcBorders>
            <w:hideMark/>
          </w:tcPr>
          <w:p w14:paraId="1A550309" w14:textId="77777777" w:rsidR="003B0793" w:rsidRPr="00794DB5" w:rsidRDefault="003B0793" w:rsidP="001E3590">
            <w:pPr>
              <w:pStyle w:val="TableHeading1"/>
              <w:rPr>
                <w:rFonts w:asciiTheme="minorHAnsi" w:hAnsiTheme="minorHAnsi"/>
                <w:color w:val="000000" w:themeColor="text1"/>
              </w:rPr>
            </w:pPr>
            <w:r w:rsidRPr="00794DB5">
              <w:rPr>
                <w:rFonts w:asciiTheme="minorHAnsi" w:hAnsiTheme="minorHAnsi"/>
                <w:color w:val="000000" w:themeColor="text1"/>
              </w:rPr>
              <w:t>2018-19</w:t>
            </w:r>
          </w:p>
        </w:tc>
      </w:tr>
      <w:tr w:rsidR="001958A7" w:rsidRPr="001958A7" w14:paraId="26C9F1BE" w14:textId="77777777" w:rsidTr="002A4D89">
        <w:trPr>
          <w:trHeight w:val="425"/>
        </w:trPr>
        <w:tc>
          <w:tcPr>
            <w:tcW w:w="666" w:type="pct"/>
            <w:tcBorders>
              <w:top w:val="nil"/>
              <w:left w:val="nil"/>
              <w:bottom w:val="nil"/>
              <w:right w:val="nil"/>
            </w:tcBorders>
            <w:hideMark/>
          </w:tcPr>
          <w:p w14:paraId="354C622B" w14:textId="77777777" w:rsidR="003B0793" w:rsidRPr="00794DB5" w:rsidRDefault="003B0793" w:rsidP="00D15A00">
            <w:pPr>
              <w:pStyle w:val="TableHeading1"/>
              <w:rPr>
                <w:rFonts w:asciiTheme="minorHAnsi" w:hAnsiTheme="minorHAnsi"/>
                <w:i/>
                <w:color w:val="000000" w:themeColor="text1"/>
              </w:rPr>
            </w:pPr>
            <w:r w:rsidRPr="00794DB5">
              <w:rPr>
                <w:rFonts w:asciiTheme="minorHAnsi" w:hAnsiTheme="minorHAnsi"/>
                <w:color w:val="000000" w:themeColor="text1"/>
              </w:rPr>
              <w:t>Aid objective</w:t>
            </w:r>
          </w:p>
        </w:tc>
        <w:tc>
          <w:tcPr>
            <w:tcW w:w="4334" w:type="pct"/>
            <w:gridSpan w:val="4"/>
            <w:tcBorders>
              <w:top w:val="nil"/>
              <w:left w:val="nil"/>
              <w:bottom w:val="nil"/>
            </w:tcBorders>
            <w:hideMark/>
          </w:tcPr>
          <w:p w14:paraId="4E5ED2CD" w14:textId="110B0551" w:rsidR="003B0793" w:rsidRPr="009E6212" w:rsidRDefault="009E6212" w:rsidP="009E6212">
            <w:pPr>
              <w:spacing w:after="120"/>
              <w:rPr>
                <w:b/>
              </w:rPr>
            </w:pPr>
            <w:r w:rsidRPr="00EE025A">
              <w:rPr>
                <w:rFonts w:asciiTheme="minorHAnsi" w:hAnsiTheme="minorHAnsi"/>
                <w:b/>
              </w:rPr>
              <w:t xml:space="preserve">1. </w:t>
            </w:r>
            <w:r w:rsidR="00FC50CE" w:rsidRPr="00EE025A">
              <w:rPr>
                <w:rFonts w:asciiTheme="minorHAnsi" w:hAnsiTheme="minorHAnsi"/>
                <w:b/>
              </w:rPr>
              <w:t>Improved public financial management and a more competitive agricultural economy in the PTs</w:t>
            </w:r>
          </w:p>
        </w:tc>
      </w:tr>
      <w:tr w:rsidR="001958A7" w:rsidRPr="001958A7" w14:paraId="74A66A4E" w14:textId="77777777" w:rsidTr="008C06DA">
        <w:trPr>
          <w:trHeight w:val="984"/>
        </w:trPr>
        <w:tc>
          <w:tcPr>
            <w:tcW w:w="666" w:type="pct"/>
            <w:tcBorders>
              <w:top w:val="nil"/>
              <w:left w:val="nil"/>
              <w:bottom w:val="nil"/>
              <w:right w:val="nil"/>
            </w:tcBorders>
            <w:hideMark/>
          </w:tcPr>
          <w:p w14:paraId="2C4BD5C0" w14:textId="77777777" w:rsidR="00C1562D" w:rsidRPr="00794DB5" w:rsidRDefault="00C1562D" w:rsidP="00D15A00">
            <w:pPr>
              <w:pStyle w:val="TableHeading1"/>
              <w:rPr>
                <w:rFonts w:asciiTheme="minorHAnsi" w:hAnsiTheme="minorHAnsi"/>
                <w:i/>
                <w:color w:val="000000" w:themeColor="text1"/>
              </w:rPr>
            </w:pPr>
            <w:r w:rsidRPr="00794DB5">
              <w:rPr>
                <w:rFonts w:asciiTheme="minorHAnsi" w:hAnsiTheme="minorHAnsi"/>
                <w:color w:val="000000" w:themeColor="text1"/>
              </w:rPr>
              <w:t>Performance</w:t>
            </w:r>
            <w:r w:rsidRPr="00794DB5">
              <w:rPr>
                <w:rFonts w:asciiTheme="minorHAnsi" w:hAnsiTheme="minorHAnsi"/>
                <w:color w:val="000000" w:themeColor="text1"/>
              </w:rPr>
              <w:br/>
              <w:t>benchmark</w:t>
            </w:r>
          </w:p>
        </w:tc>
        <w:tc>
          <w:tcPr>
            <w:tcW w:w="1383" w:type="pct"/>
            <w:tcBorders>
              <w:top w:val="nil"/>
              <w:left w:val="nil"/>
              <w:bottom w:val="nil"/>
              <w:right w:val="nil"/>
            </w:tcBorders>
            <w:hideMark/>
          </w:tcPr>
          <w:p w14:paraId="7453E46A" w14:textId="5B2E411D" w:rsidR="00C1562D" w:rsidRPr="00A731A1" w:rsidRDefault="009E6212" w:rsidP="009E6212">
            <w:pPr>
              <w:spacing w:after="120"/>
              <w:rPr>
                <w:rFonts w:asciiTheme="minorHAnsi" w:hAnsiTheme="minorHAnsi"/>
              </w:rPr>
            </w:pPr>
            <w:r>
              <w:rPr>
                <w:rFonts w:asciiTheme="minorHAnsi" w:hAnsiTheme="minorHAnsi"/>
              </w:rPr>
              <w:t xml:space="preserve">a. </w:t>
            </w:r>
            <w:r w:rsidR="001E3590" w:rsidRPr="00A731A1">
              <w:rPr>
                <w:rFonts w:asciiTheme="minorHAnsi" w:hAnsiTheme="minorHAnsi"/>
              </w:rPr>
              <w:t xml:space="preserve">The stock of income tax debt </w:t>
            </w:r>
            <w:r w:rsidR="008D7990" w:rsidRPr="00A731A1">
              <w:rPr>
                <w:rFonts w:asciiTheme="minorHAnsi" w:hAnsiTheme="minorHAnsi"/>
              </w:rPr>
              <w:t xml:space="preserve">has decreased, </w:t>
            </w:r>
            <w:r w:rsidR="001E3590" w:rsidRPr="00A731A1">
              <w:rPr>
                <w:rFonts w:asciiTheme="minorHAnsi" w:hAnsiTheme="minorHAnsi"/>
              </w:rPr>
              <w:t xml:space="preserve">based upon official income tax filings verified through </w:t>
            </w:r>
            <w:r w:rsidR="002B6E80" w:rsidRPr="00A731A1">
              <w:rPr>
                <w:rFonts w:asciiTheme="minorHAnsi" w:hAnsiTheme="minorHAnsi"/>
              </w:rPr>
              <w:t>Ministry of Finance</w:t>
            </w:r>
            <w:r w:rsidR="001E3590" w:rsidRPr="00A731A1">
              <w:rPr>
                <w:rFonts w:asciiTheme="minorHAnsi" w:hAnsiTheme="minorHAnsi"/>
              </w:rPr>
              <w:t xml:space="preserve"> audits</w:t>
            </w:r>
          </w:p>
        </w:tc>
        <w:tc>
          <w:tcPr>
            <w:tcW w:w="1180" w:type="pct"/>
            <w:tcBorders>
              <w:top w:val="nil"/>
              <w:left w:val="nil"/>
              <w:bottom w:val="nil"/>
              <w:right w:val="nil"/>
            </w:tcBorders>
            <w:hideMark/>
          </w:tcPr>
          <w:p w14:paraId="516EA327" w14:textId="4DA1BE3B" w:rsidR="00C1562D" w:rsidRPr="00A731A1" w:rsidRDefault="00C1562D" w:rsidP="002B6E80">
            <w:pPr>
              <w:rPr>
                <w:rFonts w:asciiTheme="minorHAnsi" w:hAnsiTheme="minorHAnsi"/>
              </w:rPr>
            </w:pPr>
            <w:r w:rsidRPr="00A731A1">
              <w:rPr>
                <w:rFonts w:asciiTheme="minorHAnsi" w:hAnsiTheme="minorHAnsi"/>
              </w:rPr>
              <w:t>The stock of income tax debt is 15 percent lower in 2016 than it was in October 2015</w:t>
            </w:r>
            <w:r w:rsidR="005B77E5" w:rsidRPr="00A731A1">
              <w:rPr>
                <w:rFonts w:asciiTheme="minorHAnsi" w:hAnsiTheme="minorHAnsi"/>
              </w:rPr>
              <w:t xml:space="preserve"> (NIS100 million)</w:t>
            </w:r>
          </w:p>
        </w:tc>
        <w:tc>
          <w:tcPr>
            <w:tcW w:w="1771" w:type="pct"/>
            <w:gridSpan w:val="2"/>
            <w:tcBorders>
              <w:top w:val="nil"/>
              <w:left w:val="nil"/>
              <w:bottom w:val="nil"/>
              <w:right w:val="nil"/>
            </w:tcBorders>
            <w:hideMark/>
          </w:tcPr>
          <w:p w14:paraId="1C75F78C" w14:textId="77777777" w:rsidR="00C1562D" w:rsidRPr="00A731A1" w:rsidRDefault="00C1562D" w:rsidP="00214299">
            <w:pPr>
              <w:jc w:val="center"/>
              <w:rPr>
                <w:rFonts w:asciiTheme="minorHAnsi" w:hAnsiTheme="minorHAnsi"/>
                <w:i/>
              </w:rPr>
            </w:pPr>
            <w:r w:rsidRPr="00A731A1">
              <w:rPr>
                <w:rFonts w:asciiTheme="minorHAnsi" w:hAnsiTheme="minorHAnsi"/>
                <w:i/>
              </w:rPr>
              <w:t xml:space="preserve">As contributions to the Palestinian Authority </w:t>
            </w:r>
            <w:r w:rsidR="00214299" w:rsidRPr="00A731A1">
              <w:rPr>
                <w:rFonts w:asciiTheme="minorHAnsi" w:hAnsiTheme="minorHAnsi"/>
                <w:i/>
              </w:rPr>
              <w:t>will be</w:t>
            </w:r>
            <w:r w:rsidRPr="00A731A1">
              <w:rPr>
                <w:rFonts w:asciiTheme="minorHAnsi" w:hAnsiTheme="minorHAnsi"/>
                <w:i/>
              </w:rPr>
              <w:t xml:space="preserve"> made on an annual basis</w:t>
            </w:r>
            <w:r w:rsidR="00214299" w:rsidRPr="00A731A1">
              <w:rPr>
                <w:rFonts w:asciiTheme="minorHAnsi" w:hAnsiTheme="minorHAnsi"/>
                <w:i/>
              </w:rPr>
              <w:t xml:space="preserve"> from 2016-17</w:t>
            </w:r>
            <w:r w:rsidRPr="00A731A1">
              <w:rPr>
                <w:rFonts w:asciiTheme="minorHAnsi" w:hAnsiTheme="minorHAnsi"/>
                <w:i/>
              </w:rPr>
              <w:t>, future year benchmarks will be reflected in each year’s APPR.</w:t>
            </w:r>
          </w:p>
        </w:tc>
      </w:tr>
      <w:tr w:rsidR="001958A7" w:rsidRPr="001958A7" w14:paraId="4F4A665E" w14:textId="77777777" w:rsidTr="00794DB5">
        <w:trPr>
          <w:trHeight w:val="614"/>
        </w:trPr>
        <w:tc>
          <w:tcPr>
            <w:tcW w:w="666" w:type="pct"/>
            <w:tcBorders>
              <w:top w:val="nil"/>
              <w:left w:val="nil"/>
              <w:bottom w:val="nil"/>
              <w:right w:val="nil"/>
            </w:tcBorders>
            <w:hideMark/>
          </w:tcPr>
          <w:p w14:paraId="2F49383C" w14:textId="77777777" w:rsidR="003B0793" w:rsidRPr="00794DB5" w:rsidRDefault="003B0793" w:rsidP="00D15A00">
            <w:pPr>
              <w:pStyle w:val="TableHeading1"/>
              <w:rPr>
                <w:rFonts w:asciiTheme="minorHAnsi" w:hAnsiTheme="minorHAnsi"/>
                <w:i/>
                <w:color w:val="000000" w:themeColor="text1"/>
              </w:rPr>
            </w:pPr>
            <w:r w:rsidRPr="00794DB5">
              <w:rPr>
                <w:rFonts w:asciiTheme="minorHAnsi" w:hAnsiTheme="minorHAnsi"/>
                <w:color w:val="000000" w:themeColor="text1"/>
              </w:rPr>
              <w:t>Performance</w:t>
            </w:r>
            <w:r w:rsidRPr="00794DB5">
              <w:rPr>
                <w:rFonts w:asciiTheme="minorHAnsi" w:hAnsiTheme="minorHAnsi"/>
                <w:color w:val="000000" w:themeColor="text1"/>
              </w:rPr>
              <w:br/>
              <w:t>benchmark</w:t>
            </w:r>
          </w:p>
        </w:tc>
        <w:tc>
          <w:tcPr>
            <w:tcW w:w="1383" w:type="pct"/>
            <w:tcBorders>
              <w:top w:val="nil"/>
              <w:left w:val="nil"/>
              <w:bottom w:val="nil"/>
              <w:right w:val="nil"/>
            </w:tcBorders>
          </w:tcPr>
          <w:p w14:paraId="26FF200D" w14:textId="65679706" w:rsidR="00F9255E" w:rsidRPr="00A731A1" w:rsidRDefault="009E6212" w:rsidP="00F9255E">
            <w:pPr>
              <w:spacing w:after="120"/>
              <w:rPr>
                <w:rFonts w:asciiTheme="minorHAnsi" w:hAnsiTheme="minorHAnsi"/>
              </w:rPr>
            </w:pPr>
            <w:r>
              <w:rPr>
                <w:rFonts w:asciiTheme="minorHAnsi" w:hAnsiTheme="minorHAnsi"/>
              </w:rPr>
              <w:t xml:space="preserve">b. </w:t>
            </w:r>
            <w:r w:rsidR="001E3590" w:rsidRPr="00A731A1">
              <w:rPr>
                <w:rFonts w:asciiTheme="minorHAnsi" w:hAnsiTheme="minorHAnsi"/>
              </w:rPr>
              <w:t xml:space="preserve">Farmers report increased income from </w:t>
            </w:r>
            <w:r w:rsidR="00F9255E" w:rsidRPr="00A731A1">
              <w:rPr>
                <w:rFonts w:asciiTheme="minorHAnsi" w:hAnsiTheme="minorHAnsi"/>
              </w:rPr>
              <w:t xml:space="preserve">better functioning, </w:t>
            </w:r>
            <w:r w:rsidR="001958A7" w:rsidRPr="00A731A1">
              <w:rPr>
                <w:rFonts w:asciiTheme="minorHAnsi" w:hAnsiTheme="minorHAnsi"/>
              </w:rPr>
              <w:br/>
            </w:r>
            <w:r w:rsidR="00F9255E" w:rsidRPr="00A731A1">
              <w:rPr>
                <w:rFonts w:asciiTheme="minorHAnsi" w:hAnsiTheme="minorHAnsi"/>
              </w:rPr>
              <w:t xml:space="preserve">AMENCA 3-supported, value chains </w:t>
            </w:r>
          </w:p>
          <w:p w14:paraId="247D6CCA" w14:textId="77777777" w:rsidR="003B0793" w:rsidRPr="00A731A1" w:rsidRDefault="003B0793" w:rsidP="00F9255E">
            <w:pPr>
              <w:spacing w:after="120"/>
              <w:rPr>
                <w:rFonts w:asciiTheme="minorHAnsi" w:hAnsiTheme="minorHAnsi"/>
              </w:rPr>
            </w:pPr>
          </w:p>
        </w:tc>
        <w:tc>
          <w:tcPr>
            <w:tcW w:w="1180" w:type="pct"/>
            <w:tcBorders>
              <w:top w:val="nil"/>
              <w:left w:val="nil"/>
              <w:bottom w:val="nil"/>
              <w:right w:val="nil"/>
            </w:tcBorders>
          </w:tcPr>
          <w:p w14:paraId="7AC34198" w14:textId="4B90D26F" w:rsidR="003B0793" w:rsidRPr="00A731A1" w:rsidRDefault="00F1027C" w:rsidP="007D285F">
            <w:pPr>
              <w:spacing w:after="120"/>
              <w:rPr>
                <w:rFonts w:asciiTheme="minorHAnsi" w:hAnsiTheme="minorHAnsi"/>
              </w:rPr>
            </w:pPr>
            <w:r w:rsidRPr="00A731A1">
              <w:rPr>
                <w:rFonts w:asciiTheme="minorHAnsi" w:hAnsiTheme="minorHAnsi"/>
              </w:rPr>
              <w:t>Five private sector partnerships established, with at least two providing opportunities for women’s livelihood opportunities</w:t>
            </w:r>
          </w:p>
        </w:tc>
        <w:tc>
          <w:tcPr>
            <w:tcW w:w="959" w:type="pct"/>
            <w:tcBorders>
              <w:top w:val="nil"/>
              <w:left w:val="nil"/>
              <w:bottom w:val="nil"/>
              <w:right w:val="nil"/>
            </w:tcBorders>
          </w:tcPr>
          <w:p w14:paraId="2FB8579C" w14:textId="43C5A924" w:rsidR="003B0793" w:rsidRPr="00A731A1" w:rsidRDefault="008F5B8F" w:rsidP="008F5B8F">
            <w:pPr>
              <w:spacing w:after="120"/>
              <w:rPr>
                <w:rFonts w:asciiTheme="minorHAnsi" w:hAnsiTheme="minorHAnsi"/>
              </w:rPr>
            </w:pPr>
            <w:r w:rsidRPr="00A731A1">
              <w:rPr>
                <w:rFonts w:asciiTheme="minorHAnsi" w:hAnsiTheme="minorHAnsi"/>
              </w:rPr>
              <w:t xml:space="preserve">At least 5,000 farmers report increased income from </w:t>
            </w:r>
            <w:r w:rsidR="001958A7" w:rsidRPr="00A731A1">
              <w:rPr>
                <w:rFonts w:asciiTheme="minorHAnsi" w:hAnsiTheme="minorHAnsi"/>
              </w:rPr>
              <w:br/>
            </w:r>
            <w:r w:rsidRPr="00A731A1">
              <w:rPr>
                <w:rFonts w:asciiTheme="minorHAnsi" w:hAnsiTheme="minorHAnsi"/>
              </w:rPr>
              <w:t>AMENCA 3 interventions</w:t>
            </w:r>
          </w:p>
        </w:tc>
        <w:tc>
          <w:tcPr>
            <w:tcW w:w="812" w:type="pct"/>
            <w:tcBorders>
              <w:top w:val="nil"/>
              <w:left w:val="nil"/>
              <w:bottom w:val="nil"/>
              <w:right w:val="nil"/>
            </w:tcBorders>
          </w:tcPr>
          <w:p w14:paraId="4E05CB05" w14:textId="77777777" w:rsidR="003B0793" w:rsidRPr="00A731A1" w:rsidRDefault="008F5B8F" w:rsidP="008F5B8F">
            <w:pPr>
              <w:spacing w:after="120"/>
              <w:rPr>
                <w:rFonts w:asciiTheme="minorHAnsi" w:hAnsiTheme="minorHAnsi"/>
              </w:rPr>
            </w:pPr>
            <w:r w:rsidRPr="00A731A1">
              <w:rPr>
                <w:rFonts w:asciiTheme="minorHAnsi" w:hAnsiTheme="minorHAnsi"/>
              </w:rPr>
              <w:t>At least 15,000 farmers report increased income from AMENCA 3 interventions</w:t>
            </w:r>
          </w:p>
        </w:tc>
      </w:tr>
      <w:tr w:rsidR="001958A7" w:rsidRPr="001958A7" w14:paraId="45E98BFD" w14:textId="77777777" w:rsidTr="002A4D89">
        <w:trPr>
          <w:trHeight w:val="614"/>
        </w:trPr>
        <w:tc>
          <w:tcPr>
            <w:tcW w:w="666" w:type="pct"/>
            <w:tcBorders>
              <w:top w:val="nil"/>
              <w:left w:val="nil"/>
              <w:bottom w:val="nil"/>
              <w:right w:val="nil"/>
            </w:tcBorders>
          </w:tcPr>
          <w:p w14:paraId="7445FF09" w14:textId="77777777" w:rsidR="00FC50CE" w:rsidRPr="00794DB5" w:rsidRDefault="00FC50CE" w:rsidP="000B6211">
            <w:pPr>
              <w:pStyle w:val="TableHeading1"/>
              <w:rPr>
                <w:rFonts w:asciiTheme="minorHAnsi" w:hAnsiTheme="minorHAnsi"/>
                <w:i/>
                <w:color w:val="000000" w:themeColor="text1"/>
              </w:rPr>
            </w:pPr>
            <w:r w:rsidRPr="00794DB5">
              <w:rPr>
                <w:rFonts w:asciiTheme="minorHAnsi" w:hAnsiTheme="minorHAnsi"/>
                <w:color w:val="000000" w:themeColor="text1"/>
              </w:rPr>
              <w:t>Aid objective</w:t>
            </w:r>
          </w:p>
        </w:tc>
        <w:tc>
          <w:tcPr>
            <w:tcW w:w="4334" w:type="pct"/>
            <w:gridSpan w:val="4"/>
            <w:tcBorders>
              <w:top w:val="nil"/>
              <w:left w:val="nil"/>
              <w:bottom w:val="nil"/>
              <w:right w:val="nil"/>
            </w:tcBorders>
          </w:tcPr>
          <w:p w14:paraId="3C55E2C6" w14:textId="5219AC40" w:rsidR="00FC50CE" w:rsidRPr="00A731A1" w:rsidRDefault="009E6212" w:rsidP="00A731A1">
            <w:pPr>
              <w:spacing w:after="120"/>
              <w:rPr>
                <w:rFonts w:asciiTheme="minorHAnsi" w:hAnsiTheme="minorHAnsi"/>
                <w:b/>
              </w:rPr>
            </w:pPr>
            <w:r>
              <w:rPr>
                <w:rFonts w:asciiTheme="minorHAnsi" w:hAnsiTheme="minorHAnsi"/>
                <w:b/>
              </w:rPr>
              <w:t xml:space="preserve">2. </w:t>
            </w:r>
            <w:r w:rsidR="00FC50CE" w:rsidRPr="00A731A1">
              <w:rPr>
                <w:rFonts w:asciiTheme="minorHAnsi" w:hAnsiTheme="minorHAnsi"/>
                <w:b/>
              </w:rPr>
              <w:t>Palestinian refugees in the PTs and across the region are able to access quality basic services</w:t>
            </w:r>
          </w:p>
        </w:tc>
      </w:tr>
      <w:tr w:rsidR="001958A7" w:rsidRPr="001958A7" w14:paraId="616689B5" w14:textId="7960944D" w:rsidTr="008C06DA">
        <w:trPr>
          <w:trHeight w:val="614"/>
        </w:trPr>
        <w:tc>
          <w:tcPr>
            <w:tcW w:w="666" w:type="pct"/>
            <w:tcBorders>
              <w:top w:val="nil"/>
              <w:left w:val="nil"/>
              <w:bottom w:val="nil"/>
              <w:right w:val="nil"/>
            </w:tcBorders>
          </w:tcPr>
          <w:p w14:paraId="2BAC3C62" w14:textId="77777777" w:rsidR="002A4D89" w:rsidRPr="00794DB5" w:rsidRDefault="002A4D89" w:rsidP="000B6211">
            <w:pPr>
              <w:pStyle w:val="TableHeading1"/>
              <w:rPr>
                <w:rFonts w:asciiTheme="minorHAnsi" w:hAnsiTheme="minorHAnsi"/>
                <w:i/>
                <w:color w:val="000000" w:themeColor="text1"/>
              </w:rPr>
            </w:pPr>
            <w:r w:rsidRPr="00794DB5">
              <w:rPr>
                <w:rFonts w:asciiTheme="minorHAnsi" w:hAnsiTheme="minorHAnsi"/>
                <w:color w:val="000000" w:themeColor="text1"/>
              </w:rPr>
              <w:t>Performance</w:t>
            </w:r>
            <w:r w:rsidRPr="00794DB5">
              <w:rPr>
                <w:rFonts w:asciiTheme="minorHAnsi" w:hAnsiTheme="minorHAnsi"/>
                <w:color w:val="000000" w:themeColor="text1"/>
              </w:rPr>
              <w:br/>
              <w:t>benchmark</w:t>
            </w:r>
          </w:p>
        </w:tc>
        <w:tc>
          <w:tcPr>
            <w:tcW w:w="1383" w:type="pct"/>
            <w:tcBorders>
              <w:top w:val="nil"/>
              <w:left w:val="nil"/>
              <w:bottom w:val="nil"/>
              <w:right w:val="nil"/>
            </w:tcBorders>
          </w:tcPr>
          <w:p w14:paraId="09953C6B" w14:textId="086017A8" w:rsidR="002A4D89" w:rsidRPr="00A731A1" w:rsidRDefault="009E6212" w:rsidP="008D7990">
            <w:pPr>
              <w:spacing w:after="120"/>
              <w:rPr>
                <w:rFonts w:asciiTheme="minorHAnsi" w:hAnsiTheme="minorHAnsi"/>
              </w:rPr>
            </w:pPr>
            <w:r>
              <w:rPr>
                <w:rFonts w:asciiTheme="minorHAnsi" w:hAnsiTheme="minorHAnsi"/>
              </w:rPr>
              <w:t xml:space="preserve">a. </w:t>
            </w:r>
            <w:r w:rsidR="002A4D89" w:rsidRPr="00A731A1">
              <w:rPr>
                <w:rFonts w:asciiTheme="minorHAnsi" w:hAnsiTheme="minorHAnsi"/>
              </w:rPr>
              <w:t>The number of Grade 4 students in UNRWA schools that are performing at or above the expected level in mathematics has increased (</w:t>
            </w:r>
            <w:r w:rsidR="00577C14">
              <w:rPr>
                <w:rFonts w:asciiTheme="minorHAnsi" w:hAnsiTheme="minorHAnsi"/>
              </w:rPr>
              <w:t>from a 2013 baseline of M: 24.3 per cent; F: 38.8 per cent</w:t>
            </w:r>
            <w:r w:rsidR="002A4D89" w:rsidRPr="00A731A1">
              <w:rPr>
                <w:rFonts w:asciiTheme="minorHAnsi" w:hAnsiTheme="minorHAnsi"/>
              </w:rPr>
              <w:t>)</w:t>
            </w:r>
          </w:p>
        </w:tc>
        <w:tc>
          <w:tcPr>
            <w:tcW w:w="1180" w:type="pct"/>
            <w:tcBorders>
              <w:top w:val="nil"/>
              <w:left w:val="nil"/>
              <w:bottom w:val="nil"/>
              <w:right w:val="nil"/>
            </w:tcBorders>
          </w:tcPr>
          <w:p w14:paraId="3D3B8CEB" w14:textId="66F7EDBF" w:rsidR="002A4D89" w:rsidRPr="00A731A1" w:rsidRDefault="00F02EEF" w:rsidP="001E3590">
            <w:pPr>
              <w:rPr>
                <w:rFonts w:asciiTheme="minorHAnsi" w:hAnsiTheme="minorHAnsi"/>
              </w:rPr>
            </w:pPr>
            <w:r>
              <w:rPr>
                <w:rFonts w:asciiTheme="minorHAnsi" w:hAnsiTheme="minorHAnsi"/>
              </w:rPr>
              <w:t xml:space="preserve">At least 50 per cent </w:t>
            </w:r>
            <w:r w:rsidR="002A4D89" w:rsidRPr="00A731A1">
              <w:rPr>
                <w:rFonts w:asciiTheme="minorHAnsi" w:hAnsiTheme="minorHAnsi"/>
              </w:rPr>
              <w:t>of Grade 4 students in UNRWA schools are performing at or above the expected level in mathematics</w:t>
            </w:r>
          </w:p>
        </w:tc>
        <w:tc>
          <w:tcPr>
            <w:tcW w:w="1771" w:type="pct"/>
            <w:gridSpan w:val="2"/>
            <w:tcBorders>
              <w:top w:val="nil"/>
              <w:left w:val="nil"/>
              <w:bottom w:val="nil"/>
              <w:right w:val="nil"/>
            </w:tcBorders>
          </w:tcPr>
          <w:p w14:paraId="4CEF7CED" w14:textId="54B20748" w:rsidR="002A4D89" w:rsidRPr="00A731A1" w:rsidRDefault="002A4D89" w:rsidP="00794DB5">
            <w:pPr>
              <w:jc w:val="center"/>
              <w:rPr>
                <w:rFonts w:asciiTheme="minorHAnsi" w:hAnsiTheme="minorHAnsi"/>
                <w:i/>
              </w:rPr>
            </w:pPr>
            <w:r w:rsidRPr="00A731A1">
              <w:rPr>
                <w:rFonts w:asciiTheme="minorHAnsi" w:hAnsiTheme="minorHAnsi"/>
                <w:i/>
              </w:rPr>
              <w:t>As UNRWA measures educational achievement i</w:t>
            </w:r>
            <w:r w:rsidR="00F02EEF">
              <w:rPr>
                <w:rFonts w:asciiTheme="minorHAnsi" w:hAnsiTheme="minorHAnsi"/>
                <w:i/>
              </w:rPr>
              <w:t>n a standardised manner only every</w:t>
            </w:r>
            <w:r w:rsidRPr="00A731A1">
              <w:rPr>
                <w:rFonts w:asciiTheme="minorHAnsi" w:hAnsiTheme="minorHAnsi"/>
                <w:i/>
              </w:rPr>
              <w:t xml:space="preserve"> three years, interim measures of educational performance will be used in years where this cannot be reported.</w:t>
            </w:r>
          </w:p>
          <w:p w14:paraId="535F2DD2" w14:textId="4190B520" w:rsidR="002A4D89" w:rsidRPr="00A731A1" w:rsidRDefault="002A4D89" w:rsidP="001E3590">
            <w:pPr>
              <w:rPr>
                <w:rFonts w:asciiTheme="minorHAnsi" w:hAnsiTheme="minorHAnsi"/>
              </w:rPr>
            </w:pPr>
          </w:p>
        </w:tc>
      </w:tr>
      <w:tr w:rsidR="001958A7" w:rsidRPr="001958A7" w14:paraId="68177921" w14:textId="77777777" w:rsidTr="00794DB5">
        <w:trPr>
          <w:trHeight w:val="614"/>
        </w:trPr>
        <w:tc>
          <w:tcPr>
            <w:tcW w:w="666" w:type="pct"/>
            <w:tcBorders>
              <w:top w:val="nil"/>
              <w:left w:val="nil"/>
              <w:bottom w:val="single" w:sz="12" w:space="0" w:color="auto"/>
              <w:right w:val="nil"/>
            </w:tcBorders>
          </w:tcPr>
          <w:p w14:paraId="35BDBFDE" w14:textId="77777777" w:rsidR="00FC50CE" w:rsidRPr="00794DB5" w:rsidRDefault="00FC50CE" w:rsidP="000B6211">
            <w:pPr>
              <w:pStyle w:val="TableHeading1"/>
              <w:rPr>
                <w:rFonts w:asciiTheme="minorHAnsi" w:hAnsiTheme="minorHAnsi"/>
                <w:i/>
                <w:color w:val="000000" w:themeColor="text1"/>
              </w:rPr>
            </w:pPr>
            <w:r w:rsidRPr="00794DB5">
              <w:rPr>
                <w:rFonts w:asciiTheme="minorHAnsi" w:hAnsiTheme="minorHAnsi"/>
                <w:color w:val="000000" w:themeColor="text1"/>
              </w:rPr>
              <w:t>Performance</w:t>
            </w:r>
            <w:r w:rsidRPr="00794DB5">
              <w:rPr>
                <w:rFonts w:asciiTheme="minorHAnsi" w:hAnsiTheme="minorHAnsi"/>
                <w:color w:val="000000" w:themeColor="text1"/>
              </w:rPr>
              <w:br/>
              <w:t>benchmark</w:t>
            </w:r>
          </w:p>
        </w:tc>
        <w:tc>
          <w:tcPr>
            <w:tcW w:w="1383" w:type="pct"/>
            <w:tcBorders>
              <w:top w:val="nil"/>
              <w:left w:val="nil"/>
              <w:bottom w:val="single" w:sz="12" w:space="0" w:color="auto"/>
              <w:right w:val="nil"/>
            </w:tcBorders>
          </w:tcPr>
          <w:p w14:paraId="4B767CB1" w14:textId="69783955" w:rsidR="00FC50CE" w:rsidRPr="00A731A1" w:rsidRDefault="009E6212" w:rsidP="00CB4F54">
            <w:pPr>
              <w:spacing w:after="120"/>
              <w:rPr>
                <w:rFonts w:asciiTheme="minorHAnsi" w:hAnsiTheme="minorHAnsi"/>
              </w:rPr>
            </w:pPr>
            <w:r>
              <w:rPr>
                <w:rFonts w:asciiTheme="minorHAnsi" w:hAnsiTheme="minorHAnsi"/>
              </w:rPr>
              <w:t xml:space="preserve">b. </w:t>
            </w:r>
            <w:r w:rsidR="0018775A" w:rsidRPr="00A731A1">
              <w:rPr>
                <w:rFonts w:asciiTheme="minorHAnsi" w:hAnsiTheme="minorHAnsi"/>
              </w:rPr>
              <w:t>The average daily medical consultations per doctor has decreased in UNWRA health centres</w:t>
            </w:r>
            <w:r w:rsidR="005B77E5" w:rsidRPr="00A731A1">
              <w:rPr>
                <w:rFonts w:asciiTheme="minorHAnsi" w:hAnsiTheme="minorHAnsi"/>
              </w:rPr>
              <w:t xml:space="preserve"> (baseline 95 in 2014)</w:t>
            </w:r>
          </w:p>
        </w:tc>
        <w:tc>
          <w:tcPr>
            <w:tcW w:w="1180" w:type="pct"/>
            <w:tcBorders>
              <w:top w:val="nil"/>
              <w:left w:val="nil"/>
              <w:bottom w:val="single" w:sz="12" w:space="0" w:color="auto"/>
              <w:right w:val="nil"/>
            </w:tcBorders>
          </w:tcPr>
          <w:p w14:paraId="1B9A725D" w14:textId="26EEC7A1" w:rsidR="00FC50CE" w:rsidRPr="00A731A1" w:rsidRDefault="0018775A" w:rsidP="0084690B">
            <w:pPr>
              <w:spacing w:after="120"/>
              <w:rPr>
                <w:rFonts w:asciiTheme="minorHAnsi" w:hAnsiTheme="minorHAnsi"/>
              </w:rPr>
            </w:pPr>
            <w:r w:rsidRPr="00A731A1">
              <w:rPr>
                <w:rFonts w:asciiTheme="minorHAnsi" w:hAnsiTheme="minorHAnsi"/>
              </w:rPr>
              <w:t>9</w:t>
            </w:r>
            <w:r w:rsidR="005B77E5" w:rsidRPr="00A731A1">
              <w:rPr>
                <w:rFonts w:asciiTheme="minorHAnsi" w:hAnsiTheme="minorHAnsi"/>
              </w:rPr>
              <w:t>1</w:t>
            </w:r>
            <w:r w:rsidRPr="00A731A1">
              <w:rPr>
                <w:rFonts w:asciiTheme="minorHAnsi" w:hAnsiTheme="minorHAnsi"/>
              </w:rPr>
              <w:t xml:space="preserve"> consultations per doctor per day</w:t>
            </w:r>
            <w:r w:rsidR="00FD5BCA" w:rsidRPr="00A731A1">
              <w:rPr>
                <w:rFonts w:asciiTheme="minorHAnsi" w:hAnsiTheme="minorHAnsi"/>
              </w:rPr>
              <w:t xml:space="preserve"> </w:t>
            </w:r>
          </w:p>
        </w:tc>
        <w:tc>
          <w:tcPr>
            <w:tcW w:w="959" w:type="pct"/>
            <w:tcBorders>
              <w:top w:val="nil"/>
              <w:left w:val="nil"/>
              <w:bottom w:val="single" w:sz="12" w:space="0" w:color="auto"/>
              <w:right w:val="nil"/>
            </w:tcBorders>
          </w:tcPr>
          <w:p w14:paraId="0F220805" w14:textId="316D4388" w:rsidR="00FC50CE" w:rsidRPr="00A731A1" w:rsidRDefault="005B77E5" w:rsidP="005B77E5">
            <w:pPr>
              <w:spacing w:after="120"/>
              <w:rPr>
                <w:rFonts w:asciiTheme="minorHAnsi" w:hAnsiTheme="minorHAnsi"/>
              </w:rPr>
            </w:pPr>
            <w:r w:rsidRPr="00A731A1">
              <w:rPr>
                <w:rFonts w:asciiTheme="minorHAnsi" w:hAnsiTheme="minorHAnsi"/>
              </w:rPr>
              <w:t>89</w:t>
            </w:r>
            <w:r w:rsidR="0018775A" w:rsidRPr="00A731A1">
              <w:rPr>
                <w:rFonts w:asciiTheme="minorHAnsi" w:hAnsiTheme="minorHAnsi"/>
              </w:rPr>
              <w:t xml:space="preserve"> consultations per doctor per day</w:t>
            </w:r>
            <w:r w:rsidR="00FD5BCA" w:rsidRPr="00A731A1">
              <w:rPr>
                <w:rFonts w:asciiTheme="minorHAnsi" w:hAnsiTheme="minorHAnsi"/>
              </w:rPr>
              <w:t xml:space="preserve"> </w:t>
            </w:r>
          </w:p>
        </w:tc>
        <w:tc>
          <w:tcPr>
            <w:tcW w:w="812" w:type="pct"/>
            <w:tcBorders>
              <w:top w:val="nil"/>
              <w:left w:val="nil"/>
              <w:bottom w:val="single" w:sz="12" w:space="0" w:color="auto"/>
              <w:right w:val="nil"/>
            </w:tcBorders>
          </w:tcPr>
          <w:p w14:paraId="279A5E11" w14:textId="678174B3" w:rsidR="00FC50CE" w:rsidRPr="00A731A1" w:rsidRDefault="005B77E5" w:rsidP="0084690B">
            <w:pPr>
              <w:spacing w:after="120"/>
              <w:rPr>
                <w:rFonts w:asciiTheme="minorHAnsi" w:hAnsiTheme="minorHAnsi"/>
              </w:rPr>
            </w:pPr>
            <w:r w:rsidRPr="00A731A1">
              <w:rPr>
                <w:rFonts w:asciiTheme="minorHAnsi" w:hAnsiTheme="minorHAnsi"/>
              </w:rPr>
              <w:t>87 consultations per doctor per day</w:t>
            </w:r>
            <w:r w:rsidR="009B073B" w:rsidRPr="00A731A1">
              <w:rPr>
                <w:rFonts w:asciiTheme="minorHAnsi" w:hAnsiTheme="minorHAnsi"/>
              </w:rPr>
              <w:t xml:space="preserve"> </w:t>
            </w:r>
          </w:p>
        </w:tc>
      </w:tr>
    </w:tbl>
    <w:p w14:paraId="678EE7B7" w14:textId="77777777" w:rsidR="005B5769" w:rsidRPr="00A731A1"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731A1">
        <w:rPr>
          <w:rFonts w:asciiTheme="majorHAnsi" w:eastAsiaTheme="majorEastAsia" w:hAnsiTheme="majorHAnsi" w:cstheme="majorBidi"/>
          <w:caps/>
          <w:color w:val="495965" w:themeColor="text2"/>
          <w:sz w:val="38"/>
          <w:szCs w:val="26"/>
          <w:lang w:val="en-GB" w:eastAsia="en-US"/>
        </w:rPr>
        <w:t>Mutual Obligations</w:t>
      </w:r>
    </w:p>
    <w:p w14:paraId="705C3391" w14:textId="7EC07DCA" w:rsidR="00314B64" w:rsidRPr="00A731A1" w:rsidRDefault="00F02EEF" w:rsidP="007A0641">
      <w:pPr>
        <w:jc w:val="both"/>
      </w:pPr>
      <w:r>
        <w:t xml:space="preserve">During 2015-16, we </w:t>
      </w:r>
      <w:r w:rsidR="00314B64" w:rsidRPr="00A731A1">
        <w:t>continue</w:t>
      </w:r>
      <w:r>
        <w:t xml:space="preserve">d our </w:t>
      </w:r>
      <w:r w:rsidR="00314B64" w:rsidRPr="00A731A1">
        <w:t>practice of engaging with the Palestinian Authority</w:t>
      </w:r>
      <w:r w:rsidR="00624604" w:rsidRPr="00A731A1">
        <w:t xml:space="preserve"> (PA)</w:t>
      </w:r>
      <w:r w:rsidR="00314B64" w:rsidRPr="00A731A1">
        <w:t xml:space="preserve"> on the Australian aid program when senior Australia</w:t>
      </w:r>
      <w:r w:rsidR="004E709C" w:rsidRPr="00A731A1">
        <w:t>n</w:t>
      </w:r>
      <w:r w:rsidR="00314B64" w:rsidRPr="00A731A1">
        <w:t xml:space="preserve"> officials visit</w:t>
      </w:r>
      <w:r>
        <w:t>ed the PTs.  This was</w:t>
      </w:r>
      <w:r w:rsidR="00314B64" w:rsidRPr="00A731A1">
        <w:t xml:space="preserve"> compl</w:t>
      </w:r>
      <w:r w:rsidR="0084690B" w:rsidRPr="00A731A1">
        <w:t>e</w:t>
      </w:r>
      <w:r w:rsidR="00314B64" w:rsidRPr="00A731A1">
        <w:t xml:space="preserve">mented by regular engagement on specific issues with the PA by </w:t>
      </w:r>
      <w:r w:rsidR="00624604" w:rsidRPr="00A731A1">
        <w:t xml:space="preserve">the Australian Representative Office </w:t>
      </w:r>
      <w:r w:rsidR="00314B64" w:rsidRPr="00A731A1">
        <w:t xml:space="preserve">in Ramallah as well as the Palestinian General Delegation in Canberra.  </w:t>
      </w:r>
    </w:p>
    <w:p w14:paraId="1C332495" w14:textId="1AC20FDB" w:rsidR="00042B15" w:rsidRPr="00A731A1" w:rsidRDefault="00314B64" w:rsidP="007A0641">
      <w:pPr>
        <w:jc w:val="both"/>
      </w:pPr>
      <w:r w:rsidRPr="00A731A1">
        <w:t xml:space="preserve">Each activity within the PTs aid program also </w:t>
      </w:r>
      <w:r w:rsidR="004E709C" w:rsidRPr="00A731A1">
        <w:t>incorporates</w:t>
      </w:r>
      <w:r w:rsidRPr="00A731A1">
        <w:t xml:space="preserve"> governance arrangements that provide formal and ad hoc opportunities to review and address issues of concern</w:t>
      </w:r>
      <w:r w:rsidR="002A4D89" w:rsidRPr="00A731A1">
        <w:t>, in coordination with other donors</w:t>
      </w:r>
      <w:r w:rsidR="00624604" w:rsidRPr="00A731A1">
        <w:t xml:space="preserve"> and the PA</w:t>
      </w:r>
      <w:r w:rsidRPr="00A731A1">
        <w:t xml:space="preserve">.  For instance, Australia’s commitment to the World Bank </w:t>
      </w:r>
      <w:r w:rsidR="0084690B" w:rsidRPr="00A731A1">
        <w:t>T</w:t>
      </w:r>
      <w:r w:rsidRPr="00A731A1">
        <w:t>rust Fund for the PA enable</w:t>
      </w:r>
      <w:r w:rsidR="00F02EEF">
        <w:t>d</w:t>
      </w:r>
      <w:r w:rsidRPr="00A731A1">
        <w:t xml:space="preserve"> us to participate at Ad</w:t>
      </w:r>
      <w:r w:rsidR="00103205">
        <w:t>-</w:t>
      </w:r>
      <w:r w:rsidRPr="00A731A1">
        <w:t>Hoc Liaison</w:t>
      </w:r>
      <w:r w:rsidR="00F02EEF">
        <w:t xml:space="preserve"> Committee meetings twice during 2015-16</w:t>
      </w:r>
      <w:r w:rsidRPr="00A731A1">
        <w:t xml:space="preserve"> as well as</w:t>
      </w:r>
      <w:r w:rsidR="0084690B" w:rsidRPr="00A731A1">
        <w:t xml:space="preserve"> at</w:t>
      </w:r>
      <w:r w:rsidRPr="00A731A1">
        <w:t xml:space="preserve"> bi-annual updates with the World </w:t>
      </w:r>
      <w:r w:rsidR="004E709C" w:rsidRPr="00A731A1">
        <w:t>B</w:t>
      </w:r>
      <w:r w:rsidR="00624604" w:rsidRPr="00A731A1">
        <w:t>ank in Ramallah</w:t>
      </w:r>
      <w:r w:rsidRPr="00A731A1">
        <w:t xml:space="preserve">. </w:t>
      </w:r>
      <w:r w:rsidR="004E709C" w:rsidRPr="00A731A1">
        <w:t xml:space="preserve"> </w:t>
      </w:r>
      <w:r w:rsidRPr="00A731A1">
        <w:t>We also contribute</w:t>
      </w:r>
      <w:r w:rsidR="00F02EEF">
        <w:t>d</w:t>
      </w:r>
      <w:r w:rsidRPr="00A731A1">
        <w:t xml:space="preserve"> to the </w:t>
      </w:r>
      <w:r w:rsidR="009E6212">
        <w:t xml:space="preserve">World </w:t>
      </w:r>
      <w:r w:rsidRPr="00A731A1">
        <w:t>Bank’s Fiscal Sector Working Group which brings donors and the PA’s Ministry of Finance and Planning together to assess, monitor and report on progress</w:t>
      </w:r>
      <w:r w:rsidR="004E709C" w:rsidRPr="00A731A1">
        <w:t>.</w:t>
      </w:r>
      <w:r w:rsidRPr="00A731A1">
        <w:t xml:space="preserve">  Australia</w:t>
      </w:r>
      <w:r w:rsidR="00624604" w:rsidRPr="00A731A1">
        <w:t xml:space="preserve"> also </w:t>
      </w:r>
      <w:r w:rsidR="00F02EEF">
        <w:t>received</w:t>
      </w:r>
      <w:r w:rsidRPr="00A731A1">
        <w:t xml:space="preserve"> regular performance assessments produced by the Bank on both the performance of the PA generally as well as</w:t>
      </w:r>
      <w:r w:rsidR="004E709C" w:rsidRPr="00A731A1">
        <w:t xml:space="preserve"> that of</w:t>
      </w:r>
      <w:r w:rsidRPr="00A731A1">
        <w:t xml:space="preserve"> the Trust Fund.  </w:t>
      </w:r>
    </w:p>
    <w:p w14:paraId="710F38F9" w14:textId="7997252D" w:rsidR="00314B64" w:rsidRPr="00A731A1" w:rsidRDefault="00314B64" w:rsidP="007A0641">
      <w:pPr>
        <w:jc w:val="both"/>
      </w:pPr>
      <w:r w:rsidRPr="00A731A1">
        <w:t>Australia</w:t>
      </w:r>
      <w:r w:rsidR="00F02EEF">
        <w:t>’s contribution to UNRWA enabled</w:t>
      </w:r>
      <w:r w:rsidRPr="00A731A1">
        <w:t xml:space="preserve"> Australian </w:t>
      </w:r>
      <w:r w:rsidR="00624604" w:rsidRPr="00A731A1">
        <w:t xml:space="preserve">participation </w:t>
      </w:r>
      <w:r w:rsidRPr="00A731A1">
        <w:t>at the Agency’s twice yearly Advisory Committee and Sub-Commission meetings</w:t>
      </w:r>
      <w:r w:rsidR="00F02EEF">
        <w:t xml:space="preserve"> in 2015-16</w:t>
      </w:r>
      <w:r w:rsidRPr="00A731A1">
        <w:t xml:space="preserve">. Australia </w:t>
      </w:r>
      <w:r w:rsidR="00F02EEF">
        <w:t>also actively contributed</w:t>
      </w:r>
      <w:r w:rsidRPr="00A731A1">
        <w:t xml:space="preserve"> to the joint donor performance assessment group which is leading on harmonised monitoring and reporting.  Australia</w:t>
      </w:r>
      <w:r w:rsidR="009E6212">
        <w:t xml:space="preserve"> also</w:t>
      </w:r>
      <w:r w:rsidR="00F02EEF">
        <w:t xml:space="preserve"> received</w:t>
      </w:r>
      <w:r w:rsidRPr="00A731A1">
        <w:t xml:space="preserve"> regular performance assessments produced by UNRWA.</w:t>
      </w:r>
    </w:p>
    <w:p w14:paraId="50EDAA89" w14:textId="77777777" w:rsidR="00E864BE" w:rsidRDefault="00E864BE" w:rsidP="007A0641">
      <w:pPr>
        <w:suppressAutoHyphens w:val="0"/>
        <w:spacing w:before="0" w:after="120" w:line="440" w:lineRule="atLeast"/>
        <w:jc w:val="both"/>
      </w:pPr>
      <w:r>
        <w:br w:type="page"/>
      </w:r>
    </w:p>
    <w:p w14:paraId="7009A848" w14:textId="2189471B" w:rsidR="00314B64" w:rsidRPr="00A731A1" w:rsidRDefault="00314B64" w:rsidP="007A0641">
      <w:pPr>
        <w:jc w:val="both"/>
      </w:pPr>
      <w:r w:rsidRPr="00A731A1">
        <w:lastRenderedPageBreak/>
        <w:t xml:space="preserve">Australia’s key bilateral </w:t>
      </w:r>
      <w:r w:rsidR="009E6212">
        <w:t xml:space="preserve">aid </w:t>
      </w:r>
      <w:r w:rsidRPr="00A731A1">
        <w:t>activity, AMENCA 3, is managed by a Program Steering Committee</w:t>
      </w:r>
      <w:r w:rsidR="00DA2FAA">
        <w:t xml:space="preserve"> (PSC)</w:t>
      </w:r>
      <w:r w:rsidRPr="00A731A1">
        <w:t xml:space="preserve"> co-chaired by the Australian Representative Office</w:t>
      </w:r>
      <w:r w:rsidR="00DA2FAA">
        <w:t xml:space="preserve"> (ARO)</w:t>
      </w:r>
      <w:r w:rsidRPr="00A731A1">
        <w:t xml:space="preserve"> and the PA Deputy Minister for Agriculture. This</w:t>
      </w:r>
      <w:r w:rsidR="00DA2FAA">
        <w:t xml:space="preserve"> is</w:t>
      </w:r>
      <w:r w:rsidRPr="00A731A1">
        <w:t xml:space="preserve"> </w:t>
      </w:r>
      <w:r w:rsidR="00F02EEF">
        <w:t>to ensure</w:t>
      </w:r>
      <w:r w:rsidRPr="00A731A1">
        <w:t xml:space="preserve"> alignment with PA </w:t>
      </w:r>
      <w:r w:rsidR="00924AEE" w:rsidRPr="00A731A1">
        <w:t>objectives</w:t>
      </w:r>
      <w:r w:rsidR="00577C14">
        <w:t>,</w:t>
      </w:r>
      <w:r w:rsidR="00F02EEF">
        <w:t xml:space="preserve"> strengthen</w:t>
      </w:r>
      <w:r w:rsidRPr="00A731A1">
        <w:t xml:space="preserve"> ownership</w:t>
      </w:r>
      <w:r w:rsidR="00577C14">
        <w:t>,</w:t>
      </w:r>
      <w:r w:rsidR="00F02EEF">
        <w:t xml:space="preserve"> and enable</w:t>
      </w:r>
      <w:r w:rsidRPr="00A731A1">
        <w:t xml:space="preserve"> both parties a regular </w:t>
      </w:r>
      <w:r w:rsidR="004E709C" w:rsidRPr="00A731A1">
        <w:t>forum</w:t>
      </w:r>
      <w:r w:rsidRPr="00A731A1">
        <w:t xml:space="preserve"> to assess strategic direction and key</w:t>
      </w:r>
      <w:r w:rsidR="004E709C" w:rsidRPr="00A731A1">
        <w:t xml:space="preserve"> program</w:t>
      </w:r>
      <w:r w:rsidRPr="00A731A1">
        <w:t xml:space="preserve"> issues.  </w:t>
      </w:r>
      <w:r w:rsidR="00DA2FAA">
        <w:t>Though the first PSC had not occurred by the end of 2015-16, ARO met regularly with the PA throughout the reporting period to discuss AMENCA 3 implementation issues.</w:t>
      </w:r>
    </w:p>
    <w:p w14:paraId="3D89CDB7" w14:textId="77777777" w:rsidR="005B5769" w:rsidRPr="00A731A1" w:rsidRDefault="005B5769" w:rsidP="00A731A1">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731A1">
        <w:rPr>
          <w:rFonts w:asciiTheme="majorHAnsi" w:eastAsiaTheme="majorEastAsia" w:hAnsiTheme="majorHAnsi" w:cstheme="majorBidi"/>
          <w:caps/>
          <w:color w:val="495965" w:themeColor="text2"/>
          <w:sz w:val="38"/>
          <w:szCs w:val="26"/>
          <w:lang w:val="en-GB" w:eastAsia="en-US"/>
        </w:rPr>
        <w:t>Program Quality</w:t>
      </w:r>
    </w:p>
    <w:p w14:paraId="6AA5AD2F" w14:textId="6401F92D" w:rsidR="00C945C5" w:rsidRPr="00A731A1" w:rsidRDefault="00295B2C" w:rsidP="00A713D5">
      <w:pPr>
        <w:jc w:val="both"/>
      </w:pPr>
      <w:r w:rsidRPr="00A713D5">
        <w:rPr>
          <w:b/>
        </w:rPr>
        <w:t>Performance of the PTs portfolio of aid investments was sound in 2015-16.</w:t>
      </w:r>
      <w:r w:rsidR="00000594" w:rsidRPr="00A731A1">
        <w:t xml:space="preserve">  </w:t>
      </w:r>
      <w:r w:rsidR="00924AEE" w:rsidRPr="00A731A1">
        <w:t>In 2015-16, the program completed an Aid Quality Check (AQC) for the UNICEF WASH in Palestinian Schools partnership and a Final Aid Quality Check (FAQC) for the Australia-PA Partnership Arrangement.  AMENCA P</w:t>
      </w:r>
      <w:r w:rsidR="00C945C5" w:rsidRPr="00A731A1">
        <w:t xml:space="preserve">hase 3 will be assessed </w:t>
      </w:r>
      <w:r w:rsidR="00624604" w:rsidRPr="00A731A1">
        <w:t xml:space="preserve">through an AQC </w:t>
      </w:r>
      <w:r w:rsidR="00C945C5" w:rsidRPr="00A731A1">
        <w:t>for the first time in 2016-17.</w:t>
      </w:r>
    </w:p>
    <w:p w14:paraId="70F1DDC1" w14:textId="77777777" w:rsidR="003C2551" w:rsidRPr="00A731A1" w:rsidRDefault="00C945C5" w:rsidP="00A713D5">
      <w:pPr>
        <w:jc w:val="both"/>
      </w:pPr>
      <w:r w:rsidRPr="00A731A1">
        <w:t xml:space="preserve">Results in the 2015-16 Investment Quality Reporting round were largely positive, with the UNICEF program scoring </w:t>
      </w:r>
      <w:r w:rsidR="003C2551" w:rsidRPr="00A731A1">
        <w:t>g</w:t>
      </w:r>
      <w:r w:rsidRPr="00A731A1">
        <w:t>ood (5) for all criteria</w:t>
      </w:r>
      <w:r w:rsidR="003C2551" w:rsidRPr="00A731A1">
        <w:t>, with notable improvements in scores for monitoring and evaluation and sustainability from the previous year’s AQC.</w:t>
      </w:r>
      <w:r w:rsidRPr="00A731A1">
        <w:t xml:space="preserve"> </w:t>
      </w:r>
      <w:r w:rsidR="003C2551" w:rsidRPr="00A731A1">
        <w:t xml:space="preserve"> </w:t>
      </w:r>
      <w:r w:rsidRPr="00A731A1">
        <w:t xml:space="preserve">The Australia-PA Partnership mostly received final scores between </w:t>
      </w:r>
      <w:r w:rsidR="003C2551" w:rsidRPr="00A731A1">
        <w:t>a</w:t>
      </w:r>
      <w:r w:rsidRPr="00A731A1">
        <w:t xml:space="preserve">dequate (4) and </w:t>
      </w:r>
      <w:r w:rsidR="003C2551" w:rsidRPr="00A731A1">
        <w:t>g</w:t>
      </w:r>
      <w:r w:rsidRPr="00A731A1">
        <w:t xml:space="preserve">ood (5), with the exception of a </w:t>
      </w:r>
      <w:r w:rsidR="003C2551" w:rsidRPr="00A731A1">
        <w:t>less than adequate</w:t>
      </w:r>
      <w:r w:rsidRPr="00A731A1">
        <w:t xml:space="preserve"> score for </w:t>
      </w:r>
      <w:r w:rsidR="00791113" w:rsidRPr="00A731A1">
        <w:t>s</w:t>
      </w:r>
      <w:r w:rsidRPr="00A731A1">
        <w:t xml:space="preserve">ustainability.  This was </w:t>
      </w:r>
      <w:r w:rsidR="003C2551" w:rsidRPr="00A731A1">
        <w:t>not because it was a poorly performing investment but rather a reflection of the extremely challenging oper</w:t>
      </w:r>
      <w:r w:rsidR="00000594" w:rsidRPr="00A731A1">
        <w:t>ating environment, where the PT</w:t>
      </w:r>
      <w:r w:rsidR="003C2551" w:rsidRPr="00A731A1">
        <w:t>s</w:t>
      </w:r>
      <w:r w:rsidR="00000594" w:rsidRPr="00A731A1">
        <w:t>’</w:t>
      </w:r>
      <w:r w:rsidR="003C2551" w:rsidRPr="00A731A1">
        <w:t xml:space="preserve"> economic sustainability is dependent on political negotiations </w:t>
      </w:r>
      <w:r w:rsidR="00000594" w:rsidRPr="00A731A1">
        <w:t>beyond the scope of the investment</w:t>
      </w:r>
      <w:r w:rsidR="003C2551" w:rsidRPr="00A731A1">
        <w:t>.</w:t>
      </w:r>
      <w:r w:rsidR="00000594" w:rsidRPr="00A731A1">
        <w:t xml:space="preserve">  </w:t>
      </w:r>
      <w:r w:rsidR="003C2551" w:rsidRPr="00A731A1">
        <w:t xml:space="preserve">  </w:t>
      </w:r>
    </w:p>
    <w:p w14:paraId="09D534B8" w14:textId="77777777" w:rsidR="00CB4F54" w:rsidRPr="00A731A1" w:rsidRDefault="00CB4F54" w:rsidP="00A713D5">
      <w:pPr>
        <w:jc w:val="both"/>
      </w:pPr>
      <w:r w:rsidRPr="00A731A1">
        <w:t>Support to UNRWA was assessed through a Multilateral Performance Assessment completed in early 2016, which found that it is an effective partner delivering high quality and cost-effective key services and is committed to undertaking the necessary reforms to manage its finances more sustainably.</w:t>
      </w:r>
    </w:p>
    <w:p w14:paraId="53543735" w14:textId="3B08285A" w:rsidR="00C945C5" w:rsidRPr="00A731A1" w:rsidRDefault="00000594" w:rsidP="00A713D5">
      <w:pPr>
        <w:jc w:val="both"/>
      </w:pPr>
      <w:r w:rsidRPr="00A731A1">
        <w:t>No evaluations</w:t>
      </w:r>
      <w:r w:rsidR="009E6212">
        <w:t xml:space="preserve"> of the PTs aid program</w:t>
      </w:r>
      <w:r w:rsidRPr="00A731A1">
        <w:t xml:space="preserve"> were completed by DFAT</w:t>
      </w:r>
      <w:r w:rsidR="00522E79" w:rsidRPr="00A731A1">
        <w:t xml:space="preserve"> </w:t>
      </w:r>
      <w:r w:rsidR="00314B64" w:rsidRPr="00A731A1">
        <w:t>during 2015-16</w:t>
      </w:r>
      <w:r w:rsidR="00522E79" w:rsidRPr="00A731A1">
        <w:t>, giv</w:t>
      </w:r>
      <w:r w:rsidR="00C945C5" w:rsidRPr="00A731A1">
        <w:t>e</w:t>
      </w:r>
      <w:r w:rsidR="00522E79" w:rsidRPr="00A731A1">
        <w:t>n the</w:t>
      </w:r>
      <w:r w:rsidR="00C945C5" w:rsidRPr="00A731A1">
        <w:t xml:space="preserve"> </w:t>
      </w:r>
      <w:r w:rsidR="00EC7D74">
        <w:t>value</w:t>
      </w:r>
      <w:r w:rsidR="00EC7D74" w:rsidRPr="00A731A1">
        <w:t xml:space="preserve"> </w:t>
      </w:r>
      <w:r w:rsidR="00C945C5" w:rsidRPr="00A731A1">
        <w:t xml:space="preserve">of investments </w:t>
      </w:r>
      <w:r w:rsidR="00EC7D74">
        <w:t xml:space="preserve">and </w:t>
      </w:r>
      <w:r w:rsidR="000E6859">
        <w:t>given AMENCA 3 is at an early stage of mobilisation</w:t>
      </w:r>
      <w:r w:rsidR="00C945C5" w:rsidRPr="00A731A1">
        <w:t>.</w:t>
      </w:r>
      <w:r w:rsidR="00D96F7B" w:rsidRPr="00A731A1">
        <w:t xml:space="preserve">  The World Bank conducts annual evaluations of its support to the PA, which have been highlighted in Annex B.</w:t>
      </w:r>
    </w:p>
    <w:p w14:paraId="60D6C737" w14:textId="51B8ABAB" w:rsidR="008F5B8F" w:rsidRPr="00A731A1" w:rsidRDefault="008F5B8F" w:rsidP="00A713D5">
      <w:pPr>
        <w:jc w:val="both"/>
      </w:pPr>
      <w:r w:rsidRPr="00A713D5">
        <w:rPr>
          <w:b/>
        </w:rPr>
        <w:t>Promotion of gender equality is</w:t>
      </w:r>
      <w:r w:rsidR="00466926" w:rsidRPr="00A713D5">
        <w:rPr>
          <w:b/>
        </w:rPr>
        <w:t xml:space="preserve"> an </w:t>
      </w:r>
      <w:r w:rsidR="0084690B" w:rsidRPr="00A713D5">
        <w:rPr>
          <w:b/>
        </w:rPr>
        <w:t>integral</w:t>
      </w:r>
      <w:r w:rsidR="00466926" w:rsidRPr="00A713D5">
        <w:rPr>
          <w:b/>
        </w:rPr>
        <w:t xml:space="preserve"> part of Australia’s</w:t>
      </w:r>
      <w:r w:rsidRPr="00A713D5">
        <w:rPr>
          <w:b/>
        </w:rPr>
        <w:t xml:space="preserve"> aid to the Palestinian Territories.</w:t>
      </w:r>
      <w:r w:rsidR="003E0A2E" w:rsidRPr="00A731A1">
        <w:t xml:space="preserve"> </w:t>
      </w:r>
      <w:r w:rsidRPr="00A731A1">
        <w:t xml:space="preserve"> Gender features prominently in investments related to social and economic welfare, and good progress has been made in 2015-16. </w:t>
      </w:r>
      <w:r w:rsidR="0084690B" w:rsidRPr="00A731A1">
        <w:t xml:space="preserve"> </w:t>
      </w:r>
      <w:r w:rsidRPr="00A731A1">
        <w:t xml:space="preserve">Women’s economic empowerment is a priority for </w:t>
      </w:r>
      <w:r w:rsidR="00000594" w:rsidRPr="00A731A1">
        <w:t>AMENCA 3</w:t>
      </w:r>
      <w:r w:rsidR="00577C14">
        <w:t>;</w:t>
      </w:r>
      <w:r w:rsidR="0084690B" w:rsidRPr="00A731A1">
        <w:t xml:space="preserve"> its</w:t>
      </w:r>
      <w:r w:rsidRPr="00A731A1">
        <w:t xml:space="preserve"> design, completed in September 201</w:t>
      </w:r>
      <w:r w:rsidR="00000594" w:rsidRPr="00A731A1">
        <w:t>5</w:t>
      </w:r>
      <w:r w:rsidRPr="00A731A1">
        <w:t>, includes gender specific objectives and targets, a gender strategy</w:t>
      </w:r>
      <w:r w:rsidR="00000594" w:rsidRPr="00A731A1">
        <w:t>,</w:t>
      </w:r>
      <w:r w:rsidRPr="00A731A1">
        <w:t xml:space="preserve"> and resources for women’s economic engagement. </w:t>
      </w:r>
      <w:r w:rsidR="00000594" w:rsidRPr="00A731A1">
        <w:t xml:space="preserve"> </w:t>
      </w:r>
      <w:r w:rsidRPr="00A731A1">
        <w:t xml:space="preserve">The ability of NGO partners to demonstrate sound approaches to women’s economic empowerment accounted for approximately 20 per cent of </w:t>
      </w:r>
      <w:r w:rsidR="0084690B" w:rsidRPr="00A731A1">
        <w:t xml:space="preserve">the </w:t>
      </w:r>
      <w:r w:rsidRPr="00A731A1">
        <w:t>selection criteria</w:t>
      </w:r>
      <w:r w:rsidR="00522E79" w:rsidRPr="00A731A1">
        <w:t xml:space="preserve"> in the AMENCA 3 competitive grants process. </w:t>
      </w:r>
    </w:p>
    <w:p w14:paraId="2AA57674" w14:textId="11CF03FB" w:rsidR="008F5B8F" w:rsidRPr="00A731A1" w:rsidRDefault="008F5B8F" w:rsidP="00A713D5">
      <w:pPr>
        <w:jc w:val="both"/>
      </w:pPr>
      <w:r w:rsidRPr="00A731A1">
        <w:t>In 2015-16</w:t>
      </w:r>
      <w:r w:rsidR="009E6212">
        <w:t>,</w:t>
      </w:r>
      <w:r w:rsidRPr="00A731A1">
        <w:t xml:space="preserve"> UNRWA concluded implementation of its first Gender Equality Strategy (20</w:t>
      </w:r>
      <w:r w:rsidR="00577C14">
        <w:t>08-</w:t>
      </w:r>
      <w:r w:rsidRPr="00A731A1">
        <w:t xml:space="preserve">15) and in May 2016 was finalising the Gender Equality Strategy </w:t>
      </w:r>
      <w:r w:rsidR="009E6212">
        <w:t>(</w:t>
      </w:r>
      <w:r w:rsidRPr="00A731A1">
        <w:t>2016-21</w:t>
      </w:r>
      <w:r w:rsidR="009E6212">
        <w:t>)</w:t>
      </w:r>
      <w:r w:rsidRPr="00A731A1">
        <w:t xml:space="preserve"> and Gender Action Plans.</w:t>
      </w:r>
      <w:r w:rsidR="00522E79" w:rsidRPr="00A731A1">
        <w:t xml:space="preserve"> </w:t>
      </w:r>
      <w:r w:rsidRPr="00A731A1">
        <w:t xml:space="preserve"> In 2015, UNRWA’s rank on UN-SWAP, the UN’s systems-wide gender mainstreaming accountability framework, improved from ‘approaches’ to ‘exceeds’ the UN Evaluation Group norms and standards of gender equality, indicating success in planning, monitoring and reporting, and capacity development.</w:t>
      </w:r>
      <w:r w:rsidR="002A4D89" w:rsidRPr="00A731A1">
        <w:t xml:space="preserve">  UNRWA’s Family Health Team approach also includes gender based violence screening and counselling in its health centres.</w:t>
      </w:r>
    </w:p>
    <w:p w14:paraId="573B1F57" w14:textId="113A0C07" w:rsidR="001C66E2" w:rsidRPr="00A731A1" w:rsidRDefault="008F5B8F" w:rsidP="00A713D5">
      <w:pPr>
        <w:jc w:val="both"/>
      </w:pPr>
      <w:r w:rsidRPr="00A731A1">
        <w:t>The UNICEF WASH program continued to demonstrate strong results for girls, with female students accounting for at least 50 per cent of beneficiaries.  A Knowledge, Attitudes and Practices study in 441 schools in West Bank and Gaza during the reporting period included aspects relating to feminine hygiene</w:t>
      </w:r>
      <w:r w:rsidR="00667572" w:rsidRPr="00A731A1">
        <w:t xml:space="preserve"> and showed (according to school principals) that cleanliness</w:t>
      </w:r>
      <w:r w:rsidR="009E6212">
        <w:t>, adequacy and</w:t>
      </w:r>
      <w:r w:rsidR="00DA2FAA">
        <w:t xml:space="preserve"> </w:t>
      </w:r>
      <w:r w:rsidR="00667572" w:rsidRPr="00A731A1">
        <w:t>safety of female toilets had increased</w:t>
      </w:r>
      <w:r w:rsidR="00924AEE" w:rsidRPr="00A731A1">
        <w:t>, albeit from a low</w:t>
      </w:r>
      <w:r w:rsidR="00667572" w:rsidRPr="00A731A1">
        <w:t xml:space="preserve"> base. </w:t>
      </w:r>
    </w:p>
    <w:p w14:paraId="5747DE7D" w14:textId="77777777" w:rsidR="005533F2" w:rsidRDefault="005533F2">
      <w:pPr>
        <w:suppressAutoHyphens w:val="0"/>
        <w:spacing w:before="0" w:after="120" w:line="440" w:lineRule="atLeast"/>
        <w:rPr>
          <w:b/>
        </w:rPr>
      </w:pPr>
      <w:r>
        <w:rPr>
          <w:b/>
        </w:rPr>
        <w:br w:type="page"/>
      </w:r>
    </w:p>
    <w:p w14:paraId="2925DD9A" w14:textId="238C4536" w:rsidR="009B1CFA" w:rsidRPr="00A731A1" w:rsidRDefault="009B1CFA" w:rsidP="00A713D5">
      <w:pPr>
        <w:jc w:val="both"/>
      </w:pPr>
      <w:r w:rsidRPr="00A713D5">
        <w:rPr>
          <w:b/>
        </w:rPr>
        <w:lastRenderedPageBreak/>
        <w:t>Supporting d</w:t>
      </w:r>
      <w:r w:rsidR="00894996" w:rsidRPr="00A713D5">
        <w:rPr>
          <w:b/>
        </w:rPr>
        <w:t xml:space="preserve">isability inclusion is important in </w:t>
      </w:r>
      <w:r w:rsidRPr="00A713D5">
        <w:rPr>
          <w:b/>
        </w:rPr>
        <w:t>our program in the</w:t>
      </w:r>
      <w:r w:rsidR="00894996" w:rsidRPr="00A713D5">
        <w:rPr>
          <w:b/>
        </w:rPr>
        <w:t xml:space="preserve"> PTs.</w:t>
      </w:r>
      <w:r w:rsidR="00894996" w:rsidRPr="00A731A1">
        <w:t xml:space="preserve">  </w:t>
      </w:r>
      <w:r w:rsidRPr="00A731A1">
        <w:t>The construction of new WASH facilities in Gaza through UNICEF has included special toilets and ramps for students with disabilities.  All new constructions have provided at least one disability-accessible toilet.  Protection design standards are progressively being rolled out across UNRWA’s health centres: these include standards for safety, accessibility and gender.</w:t>
      </w:r>
    </w:p>
    <w:p w14:paraId="6882AD53" w14:textId="08C05ECB" w:rsidR="00C414F0" w:rsidRPr="00A731A1" w:rsidRDefault="00EA74C0" w:rsidP="00A713D5">
      <w:pPr>
        <w:jc w:val="both"/>
      </w:pPr>
      <w:r w:rsidRPr="00A713D5">
        <w:rPr>
          <w:b/>
        </w:rPr>
        <w:t xml:space="preserve">DFAT places the highest priority on risk management across </w:t>
      </w:r>
      <w:r w:rsidR="009E6212">
        <w:rPr>
          <w:b/>
        </w:rPr>
        <w:t>its</w:t>
      </w:r>
      <w:r w:rsidRPr="00A713D5">
        <w:rPr>
          <w:b/>
        </w:rPr>
        <w:t xml:space="preserve"> aid portfolio.</w:t>
      </w:r>
      <w:r w:rsidRPr="00A731A1">
        <w:t xml:space="preserve">  Operating in the PTs is high risk </w:t>
      </w:r>
      <w:r w:rsidR="000E6859">
        <w:t xml:space="preserve">given that the operating </w:t>
      </w:r>
      <w:r w:rsidRPr="00A731A1">
        <w:t>environment is characterised by conflict</w:t>
      </w:r>
      <w:r w:rsidR="000E6859">
        <w:t>, with the pervasive presence of sanctioned entities</w:t>
      </w:r>
      <w:r w:rsidRPr="00A731A1">
        <w:t xml:space="preserve">.  The PTs </w:t>
      </w:r>
      <w:r w:rsidR="00DA2FAA">
        <w:t xml:space="preserve">aid </w:t>
      </w:r>
      <w:r w:rsidRPr="00A731A1">
        <w:t xml:space="preserve">program, and the Australian aid program more broadly, has strong measures in place to manage these risks.  We maintain a zero tolerance approach to corruption and fraud, and we continue to make use of and monitor our systems and processes (and those of our partners) to help prevent, detect and control fraud.  All contractual arrangements have counter-terrorism clauses to </w:t>
      </w:r>
      <w:r w:rsidR="00924AEE" w:rsidRPr="00A731A1">
        <w:t xml:space="preserve">minimise the risk of Australian aid funding being diverted </w:t>
      </w:r>
      <w:r w:rsidR="009E6212">
        <w:t>for</w:t>
      </w:r>
      <w:r w:rsidR="00924AEE" w:rsidRPr="00A731A1">
        <w:t xml:space="preserve"> terrorist purposes</w:t>
      </w:r>
      <w:r w:rsidR="00037779">
        <w:t>.</w:t>
      </w:r>
      <w:r w:rsidR="00924AEE" w:rsidRPr="00A731A1">
        <w:t xml:space="preserve"> </w:t>
      </w:r>
      <w:r w:rsidR="00037779">
        <w:t xml:space="preserve"> W</w:t>
      </w:r>
      <w:r w:rsidR="00924AEE" w:rsidRPr="00A731A1">
        <w:t>e</w:t>
      </w:r>
      <w:r w:rsidRPr="00A731A1">
        <w:t xml:space="preserve"> continue to work with our partners closely to minimise other risks by applying robust social and environmental safeguards policies and processes including </w:t>
      </w:r>
      <w:r w:rsidR="009E6212">
        <w:t xml:space="preserve">on </w:t>
      </w:r>
      <w:r w:rsidRPr="00A731A1">
        <w:t xml:space="preserve">child protection.  </w:t>
      </w:r>
    </w:p>
    <w:p w14:paraId="1C628D1D" w14:textId="77777777" w:rsidR="005B5769" w:rsidRPr="00A731A1"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731A1">
        <w:rPr>
          <w:rFonts w:asciiTheme="majorHAnsi" w:eastAsiaTheme="majorEastAsia" w:hAnsiTheme="majorHAnsi" w:cstheme="majorBidi"/>
          <w:caps/>
          <w:color w:val="495965" w:themeColor="text2"/>
          <w:sz w:val="38"/>
          <w:szCs w:val="26"/>
          <w:lang w:val="en-GB" w:eastAsia="en-US"/>
        </w:rPr>
        <w:t>Management Responses</w:t>
      </w:r>
    </w:p>
    <w:p w14:paraId="0BCC4ED4" w14:textId="50CFF895" w:rsidR="00314B64" w:rsidRPr="00A731A1" w:rsidRDefault="00314B64" w:rsidP="007A0641">
      <w:pPr>
        <w:jc w:val="both"/>
      </w:pPr>
      <w:r w:rsidRPr="00A731A1">
        <w:t>During 2015-16,</w:t>
      </w:r>
      <w:r w:rsidR="004E709C" w:rsidRPr="00A731A1">
        <w:t xml:space="preserve"> AMENCA 3’s</w:t>
      </w:r>
      <w:r w:rsidRPr="00A731A1">
        <w:t xml:space="preserve"> design </w:t>
      </w:r>
      <w:r w:rsidR="00924AEE" w:rsidRPr="00A731A1">
        <w:t>was completed and</w:t>
      </w:r>
      <w:r w:rsidRPr="00A731A1">
        <w:t xml:space="preserve"> procurement, contracting and initial inception activities were undertaken.  In the early parts of 2016-17, we will finalise all administrative and inception-related activities to ensure all implementing partner</w:t>
      </w:r>
      <w:r w:rsidR="004E709C" w:rsidRPr="00A731A1">
        <w:t>s</w:t>
      </w:r>
      <w:r w:rsidRPr="00A731A1">
        <w:t xml:space="preserve"> have the remainder of the financial year for program implementation.  This will require continued intensive management</w:t>
      </w:r>
      <w:r w:rsidR="00924AEE" w:rsidRPr="00A731A1">
        <w:t xml:space="preserve"> effort from DFAT.</w:t>
      </w:r>
    </w:p>
    <w:p w14:paraId="37F8E4D2" w14:textId="7D080E79" w:rsidR="00314B64" w:rsidRPr="00A731A1" w:rsidRDefault="00314B64" w:rsidP="007A0641">
      <w:pPr>
        <w:jc w:val="both"/>
      </w:pPr>
      <w:r w:rsidRPr="00A731A1">
        <w:t xml:space="preserve">Approval for a new multi-year funding agreement for UNRWA was secured in 2015-16.  In the first quarter of </w:t>
      </w:r>
      <w:r w:rsidR="00DA2FAA">
        <w:t>2016-17, we will finalise an Australia</w:t>
      </w:r>
      <w:r w:rsidRPr="00A731A1">
        <w:t>-UNRWA Partnership Framework and make our first payment.  Our future commitments to the Palestinian Authority via the World Bank Trust Fund will be made on an annual basis.  During 2016-17 we will determine our initial allocation and determine appropriate performance and reporting obligations</w:t>
      </w:r>
      <w:r w:rsidR="00DA2FAA">
        <w:t xml:space="preserve"> commensurate with our </w:t>
      </w:r>
      <w:r w:rsidRPr="00A731A1">
        <w:t xml:space="preserve">contribution.  </w:t>
      </w:r>
    </w:p>
    <w:p w14:paraId="626F22E8" w14:textId="77777777" w:rsidR="00314B64" w:rsidRPr="00A731A1" w:rsidRDefault="00314B64" w:rsidP="007A0641">
      <w:pPr>
        <w:jc w:val="both"/>
      </w:pPr>
      <w:r w:rsidRPr="00A731A1">
        <w:t>New multi-year performance benchmarks for the PTs aid program are proposed in this year’s APPR.  During 2016-17 we will develop a fit-for-purpose Performance Assessment Framework to enable us to capture and report on this information.</w:t>
      </w:r>
    </w:p>
    <w:p w14:paraId="5C9AF738" w14:textId="335CC009" w:rsidR="00314B64" w:rsidRPr="00A731A1" w:rsidRDefault="00314B64" w:rsidP="007A0641">
      <w:pPr>
        <w:jc w:val="both"/>
      </w:pPr>
      <w:r w:rsidRPr="00A731A1">
        <w:t>Administrative issues</w:t>
      </w:r>
      <w:r w:rsidR="00806027" w:rsidRPr="00A731A1">
        <w:t xml:space="preserve"> and budget uncertainty</w:t>
      </w:r>
      <w:r w:rsidRPr="00A731A1">
        <w:t xml:space="preserve"> compromised the achievement of our target of awarding of </w:t>
      </w:r>
      <w:r w:rsidR="004E709C" w:rsidRPr="00A731A1">
        <w:t>11</w:t>
      </w:r>
      <w:r w:rsidRPr="00A731A1">
        <w:t xml:space="preserve"> scholarships during 2015-16.  These issues have been resolved and position us well to meet our target </w:t>
      </w:r>
      <w:r w:rsidR="004E709C" w:rsidRPr="00A731A1">
        <w:t xml:space="preserve">of </w:t>
      </w:r>
      <w:r w:rsidR="009E6212">
        <w:t xml:space="preserve">awarding </w:t>
      </w:r>
      <w:r w:rsidR="004E709C" w:rsidRPr="00A731A1">
        <w:t>10</w:t>
      </w:r>
      <w:r w:rsidR="00924AEE" w:rsidRPr="00A731A1">
        <w:t xml:space="preserve"> scholars</w:t>
      </w:r>
      <w:r w:rsidR="009E6212">
        <w:t>hips</w:t>
      </w:r>
      <w:r w:rsidR="00042B15" w:rsidRPr="00A731A1">
        <w:t xml:space="preserve"> </w:t>
      </w:r>
      <w:r w:rsidRPr="00A731A1">
        <w:t>in 2016-17</w:t>
      </w:r>
      <w:r w:rsidR="00293E6E" w:rsidRPr="00A731A1">
        <w:t xml:space="preserve"> (5 female)</w:t>
      </w:r>
      <w:r w:rsidRPr="00A731A1">
        <w:t>.  We will develop a Performance Assessment Framework for our scholarship program in 2016-17 to better capture the outcomes, and will strengthen our alumni network for returning scholars.</w:t>
      </w:r>
    </w:p>
    <w:p w14:paraId="400B107C" w14:textId="77777777" w:rsidR="00015316" w:rsidRDefault="00015316" w:rsidP="007A0641">
      <w:pPr>
        <w:pStyle w:val="ListBullet"/>
        <w:tabs>
          <w:tab w:val="clear" w:pos="284"/>
        </w:tabs>
        <w:jc w:val="both"/>
      </w:pPr>
    </w:p>
    <w:p w14:paraId="03844988" w14:textId="77777777" w:rsidR="00015316" w:rsidRDefault="00015316" w:rsidP="005B5769">
      <w:pPr>
        <w:pStyle w:val="ListBullet"/>
        <w:tabs>
          <w:tab w:val="clear" w:pos="284"/>
        </w:tabs>
      </w:pPr>
    </w:p>
    <w:p w14:paraId="050589C7" w14:textId="77777777" w:rsidR="00015316" w:rsidRDefault="00015316" w:rsidP="005B5769">
      <w:pPr>
        <w:pStyle w:val="ListBullet"/>
        <w:tabs>
          <w:tab w:val="clear" w:pos="284"/>
        </w:tabs>
      </w:pPr>
    </w:p>
    <w:p w14:paraId="40834094" w14:textId="77777777" w:rsidR="00015316" w:rsidRDefault="00015316" w:rsidP="005B5769">
      <w:pPr>
        <w:pStyle w:val="ListBullet"/>
        <w:tabs>
          <w:tab w:val="clear" w:pos="284"/>
        </w:tabs>
      </w:pPr>
    </w:p>
    <w:p w14:paraId="06514AD5" w14:textId="77777777" w:rsidR="00D00802" w:rsidRDefault="00D00802" w:rsidP="005B5769">
      <w:pPr>
        <w:pStyle w:val="ListBullet"/>
        <w:tabs>
          <w:tab w:val="clear" w:pos="284"/>
        </w:tabs>
        <w:sectPr w:rsidR="00D00802" w:rsidSect="00D00802">
          <w:pgSz w:w="11906" w:h="16838" w:code="9"/>
          <w:pgMar w:top="1811" w:right="1134" w:bottom="851" w:left="1134" w:header="1565" w:footer="567" w:gutter="0"/>
          <w:cols w:space="397"/>
          <w:titlePg/>
          <w:docGrid w:linePitch="360"/>
        </w:sectPr>
      </w:pPr>
    </w:p>
    <w:p w14:paraId="77B0716B" w14:textId="77777777" w:rsidR="00015316" w:rsidRDefault="00015316" w:rsidP="005B5769">
      <w:pPr>
        <w:pStyle w:val="ListBullet"/>
        <w:tabs>
          <w:tab w:val="clear" w:pos="284"/>
        </w:tabs>
      </w:pPr>
    </w:p>
    <w:p w14:paraId="46FBFDDF" w14:textId="77777777" w:rsidR="00D00802" w:rsidRDefault="00D00802" w:rsidP="005B5769">
      <w:pPr>
        <w:pStyle w:val="ListBullet"/>
        <w:tabs>
          <w:tab w:val="clear" w:pos="284"/>
        </w:tabs>
      </w:pPr>
    </w:p>
    <w:p w14:paraId="62634E1B" w14:textId="4AB38A9B" w:rsidR="00AF1B85" w:rsidRPr="00C61187" w:rsidRDefault="00AF1B85" w:rsidP="00037779">
      <w:pPr>
        <w:pStyle w:val="Subtitle"/>
      </w:pPr>
      <w:r w:rsidRPr="00A8197B">
        <w:t>Annex A - Progress in Addressing Management Responses</w:t>
      </w:r>
    </w:p>
    <w:tbl>
      <w:tblPr>
        <w:tblStyle w:val="APPR"/>
        <w:tblpPr w:leftFromText="180" w:rightFromText="180" w:vertAnchor="text" w:tblpY="1"/>
        <w:tblW w:w="5000" w:type="pct"/>
        <w:tblLayout w:type="fixed"/>
        <w:tblLook w:val="0000" w:firstRow="0" w:lastRow="0" w:firstColumn="0" w:lastColumn="0" w:noHBand="0" w:noVBand="0"/>
      </w:tblPr>
      <w:tblGrid>
        <w:gridCol w:w="6451"/>
        <w:gridCol w:w="985"/>
        <w:gridCol w:w="6871"/>
      </w:tblGrid>
      <w:tr w:rsidR="00AF1B85" w:rsidRPr="003B0793" w14:paraId="3D112E36" w14:textId="77777777" w:rsidTr="009D1563">
        <w:trPr>
          <w:cnfStyle w:val="000000010000" w:firstRow="0" w:lastRow="0" w:firstColumn="0" w:lastColumn="0" w:oddVBand="0" w:evenVBand="0" w:oddHBand="0" w:evenHBand="1" w:firstRowFirstColumn="0" w:firstRowLastColumn="0" w:lastRowFirstColumn="0" w:lastRowLastColumn="0"/>
        </w:trPr>
        <w:tc>
          <w:tcPr>
            <w:tcW w:w="6409" w:type="dxa"/>
          </w:tcPr>
          <w:p w14:paraId="16B8507B" w14:textId="77777777"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Management responses identified in 2014-15 APPR</w:t>
            </w:r>
            <w:r w:rsidRPr="003B0793">
              <w:rPr>
                <w:rFonts w:asciiTheme="minorHAnsi" w:eastAsia="Times New Roman" w:hAnsiTheme="minorHAnsi"/>
                <w:b/>
                <w:iCs/>
                <w:szCs w:val="17"/>
                <w:lang w:eastAsia="en-US"/>
              </w:rPr>
              <w:tab/>
            </w:r>
          </w:p>
        </w:tc>
        <w:tc>
          <w:tcPr>
            <w:tcW w:w="957" w:type="dxa"/>
          </w:tcPr>
          <w:p w14:paraId="37F43D06" w14:textId="77777777"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Rating</w:t>
            </w:r>
          </w:p>
        </w:tc>
        <w:tc>
          <w:tcPr>
            <w:tcW w:w="6829" w:type="dxa"/>
          </w:tcPr>
          <w:p w14:paraId="2FD5EDD1" w14:textId="77777777"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4E709C">
              <w:rPr>
                <w:rFonts w:asciiTheme="minorHAnsi" w:eastAsia="Times New Roman" w:hAnsiTheme="minorHAnsi"/>
                <w:b/>
                <w:iCs/>
                <w:szCs w:val="17"/>
                <w:lang w:eastAsia="en-US"/>
              </w:rPr>
              <w:t>Progress made  in 2015-16</w:t>
            </w:r>
            <w:r w:rsidRPr="003B0793">
              <w:rPr>
                <w:rFonts w:asciiTheme="minorHAnsi" w:eastAsia="Times New Roman" w:hAnsiTheme="minorHAnsi"/>
                <w:b/>
                <w:iCs/>
                <w:szCs w:val="17"/>
                <w:lang w:eastAsia="en-US"/>
              </w:rPr>
              <w:tab/>
            </w:r>
          </w:p>
        </w:tc>
      </w:tr>
      <w:tr w:rsidR="00AF1B85" w:rsidRPr="003B0793" w14:paraId="75D3EF1E" w14:textId="77777777" w:rsidTr="009D1563">
        <w:trPr>
          <w:cnfStyle w:val="000000010000" w:firstRow="0" w:lastRow="0" w:firstColumn="0" w:lastColumn="0" w:oddVBand="0" w:evenVBand="0" w:oddHBand="0" w:evenHBand="1" w:firstRowFirstColumn="0" w:firstRowLastColumn="0" w:lastRowFirstColumn="0" w:lastRowLastColumn="0"/>
        </w:trPr>
        <w:tc>
          <w:tcPr>
            <w:tcW w:w="6409" w:type="dxa"/>
          </w:tcPr>
          <w:p w14:paraId="5726ABCD" w14:textId="77777777" w:rsidR="00AF1B85" w:rsidRPr="003B0793" w:rsidRDefault="00FC50CE" w:rsidP="009D1563">
            <w:pPr>
              <w:keepLines/>
              <w:spacing w:before="40" w:after="40" w:line="200" w:lineRule="atLeast"/>
              <w:rPr>
                <w:rFonts w:asciiTheme="minorHAnsi" w:eastAsia="Times New Roman" w:hAnsiTheme="minorHAnsi"/>
                <w:iCs/>
                <w:szCs w:val="17"/>
                <w:lang w:eastAsia="en-US"/>
              </w:rPr>
            </w:pPr>
            <w:r w:rsidRPr="00FC50CE">
              <w:rPr>
                <w:rFonts w:asciiTheme="minorHAnsi" w:eastAsia="Times New Roman" w:hAnsiTheme="minorHAnsi"/>
                <w:iCs/>
                <w:szCs w:val="17"/>
                <w:lang w:eastAsia="en-US"/>
              </w:rPr>
              <w:t xml:space="preserve">During 2015-16, we will implement the changes reflected in the </w:t>
            </w:r>
            <w:r>
              <w:rPr>
                <w:rFonts w:asciiTheme="minorHAnsi" w:eastAsia="Times New Roman" w:hAnsiTheme="minorHAnsi"/>
                <w:iCs/>
                <w:szCs w:val="17"/>
                <w:lang w:eastAsia="en-US"/>
              </w:rPr>
              <w:t xml:space="preserve">2015-19 PTs </w:t>
            </w:r>
            <w:r w:rsidRPr="00FC50CE">
              <w:rPr>
                <w:rFonts w:asciiTheme="minorHAnsi" w:eastAsia="Times New Roman" w:hAnsiTheme="minorHAnsi"/>
                <w:iCs/>
                <w:szCs w:val="17"/>
                <w:lang w:eastAsia="en-US"/>
              </w:rPr>
              <w:t>A</w:t>
            </w:r>
            <w:r>
              <w:rPr>
                <w:rFonts w:asciiTheme="minorHAnsi" w:eastAsia="Times New Roman" w:hAnsiTheme="minorHAnsi"/>
                <w:iCs/>
                <w:szCs w:val="17"/>
                <w:lang w:eastAsia="en-US"/>
              </w:rPr>
              <w:t xml:space="preserve">id Investment </w:t>
            </w:r>
            <w:r w:rsidRPr="00FC50CE">
              <w:rPr>
                <w:rFonts w:asciiTheme="minorHAnsi" w:eastAsia="Times New Roman" w:hAnsiTheme="minorHAnsi"/>
                <w:iCs/>
                <w:szCs w:val="17"/>
                <w:lang w:eastAsia="en-US"/>
              </w:rPr>
              <w:t>P</w:t>
            </w:r>
            <w:r w:rsidR="009D1563">
              <w:rPr>
                <w:rFonts w:asciiTheme="minorHAnsi" w:eastAsia="Times New Roman" w:hAnsiTheme="minorHAnsi"/>
                <w:iCs/>
                <w:szCs w:val="17"/>
                <w:lang w:eastAsia="en-US"/>
              </w:rPr>
              <w:t>lan</w:t>
            </w:r>
          </w:p>
        </w:tc>
        <w:tc>
          <w:tcPr>
            <w:tcW w:w="957" w:type="dxa"/>
            <w:shd w:val="clear" w:color="auto" w:fill="72AF2F"/>
          </w:tcPr>
          <w:p w14:paraId="0199BDAE" w14:textId="77777777" w:rsidR="00AF1B85" w:rsidRPr="003B0793"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Achieved</w:t>
            </w:r>
          </w:p>
        </w:tc>
        <w:tc>
          <w:tcPr>
            <w:tcW w:w="6829" w:type="dxa"/>
          </w:tcPr>
          <w:p w14:paraId="7D7B14A5" w14:textId="1855AB3C" w:rsidR="008B1922" w:rsidRPr="008B1922" w:rsidRDefault="008B1922" w:rsidP="008B1922">
            <w:pPr>
              <w:keepLines/>
              <w:spacing w:before="40" w:after="40" w:line="200" w:lineRule="atLeast"/>
              <w:rPr>
                <w:rFonts w:asciiTheme="minorHAnsi" w:eastAsia="Times New Roman" w:hAnsiTheme="minorHAnsi"/>
                <w:iCs/>
                <w:szCs w:val="17"/>
                <w:lang w:eastAsia="en-US"/>
              </w:rPr>
            </w:pPr>
            <w:r w:rsidRPr="008B1922">
              <w:rPr>
                <w:rFonts w:asciiTheme="minorHAnsi" w:eastAsia="Times New Roman" w:hAnsiTheme="minorHAnsi"/>
                <w:iCs/>
                <w:szCs w:val="17"/>
                <w:lang w:eastAsia="en-US"/>
              </w:rPr>
              <w:t>AMENCA 3, which promotes economic growth in the agriculture sector</w:t>
            </w:r>
            <w:r w:rsidR="00042B15">
              <w:rPr>
                <w:rFonts w:asciiTheme="minorHAnsi" w:eastAsia="Times New Roman" w:hAnsiTheme="minorHAnsi"/>
                <w:iCs/>
                <w:szCs w:val="17"/>
                <w:lang w:eastAsia="en-US"/>
              </w:rPr>
              <w:t>,</w:t>
            </w:r>
            <w:r>
              <w:rPr>
                <w:rFonts w:asciiTheme="minorHAnsi" w:eastAsia="Times New Roman" w:hAnsiTheme="minorHAnsi"/>
                <w:iCs/>
                <w:szCs w:val="17"/>
                <w:lang w:eastAsia="en-US"/>
              </w:rPr>
              <w:t xml:space="preserve"> has been mobilised. </w:t>
            </w:r>
          </w:p>
        </w:tc>
      </w:tr>
      <w:tr w:rsidR="00AF1B85" w:rsidRPr="003B0793" w14:paraId="230A7820" w14:textId="77777777" w:rsidTr="009D1563">
        <w:trPr>
          <w:cnfStyle w:val="000000010000" w:firstRow="0" w:lastRow="0" w:firstColumn="0" w:lastColumn="0" w:oddVBand="0" w:evenVBand="0" w:oddHBand="0" w:evenHBand="1" w:firstRowFirstColumn="0" w:firstRowLastColumn="0" w:lastRowFirstColumn="0" w:lastRowLastColumn="0"/>
        </w:trPr>
        <w:tc>
          <w:tcPr>
            <w:tcW w:w="6409" w:type="dxa"/>
          </w:tcPr>
          <w:p w14:paraId="5E893613" w14:textId="61F33957" w:rsidR="00AF1B85" w:rsidRPr="003B0793" w:rsidRDefault="009D1563" w:rsidP="00D15A00">
            <w:pPr>
              <w:keepLines/>
              <w:spacing w:before="40" w:after="40" w:line="200" w:lineRule="atLeast"/>
              <w:rPr>
                <w:rFonts w:asciiTheme="minorHAnsi" w:eastAsia="Times New Roman" w:hAnsiTheme="minorHAnsi"/>
                <w:iCs/>
                <w:szCs w:val="17"/>
                <w:lang w:eastAsia="en-US"/>
              </w:rPr>
            </w:pPr>
            <w:r w:rsidRPr="009D1563">
              <w:rPr>
                <w:rFonts w:asciiTheme="minorHAnsi" w:eastAsia="Times New Roman" w:hAnsiTheme="minorHAnsi"/>
                <w:iCs/>
                <w:szCs w:val="17"/>
                <w:lang w:eastAsia="en-US"/>
              </w:rPr>
              <w:t xml:space="preserve">With budget certainty, the </w:t>
            </w:r>
            <w:r w:rsidR="00924AEE">
              <w:rPr>
                <w:rFonts w:asciiTheme="minorHAnsi" w:eastAsia="Times New Roman" w:hAnsiTheme="minorHAnsi"/>
                <w:iCs/>
                <w:szCs w:val="17"/>
                <w:lang w:eastAsia="en-US"/>
              </w:rPr>
              <w:t>Aid Investment Plan (</w:t>
            </w:r>
            <w:r w:rsidRPr="009D1563">
              <w:rPr>
                <w:rFonts w:asciiTheme="minorHAnsi" w:eastAsia="Times New Roman" w:hAnsiTheme="minorHAnsi"/>
                <w:iCs/>
                <w:szCs w:val="17"/>
                <w:lang w:eastAsia="en-US"/>
              </w:rPr>
              <w:t>AIP</w:t>
            </w:r>
            <w:r w:rsidR="00924AEE">
              <w:rPr>
                <w:rFonts w:asciiTheme="minorHAnsi" w:eastAsia="Times New Roman" w:hAnsiTheme="minorHAnsi"/>
                <w:iCs/>
                <w:szCs w:val="17"/>
                <w:lang w:eastAsia="en-US"/>
              </w:rPr>
              <w:t>)</w:t>
            </w:r>
            <w:r w:rsidRPr="009D1563">
              <w:rPr>
                <w:rFonts w:asciiTheme="minorHAnsi" w:eastAsia="Times New Roman" w:hAnsiTheme="minorHAnsi"/>
                <w:iCs/>
                <w:szCs w:val="17"/>
                <w:lang w:eastAsia="en-US"/>
              </w:rPr>
              <w:t xml:space="preserve"> now completed and AMENCA 3 moving to implementation in 2016, we will be able to report on our new objectives and associated performance benchmarks with greater clarity in 2015-16’s APPR.</w:t>
            </w:r>
          </w:p>
        </w:tc>
        <w:tc>
          <w:tcPr>
            <w:tcW w:w="957" w:type="dxa"/>
            <w:shd w:val="clear" w:color="auto" w:fill="72AF2F"/>
          </w:tcPr>
          <w:p w14:paraId="50EC718F" w14:textId="77777777" w:rsidR="00AF1B85" w:rsidRPr="003B0793"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Achieved</w:t>
            </w:r>
            <w:r w:rsidRPr="003B0793">
              <w:rPr>
                <w:rFonts w:eastAsia="Times New Roman"/>
                <w:iCs/>
                <w:color w:val="FFFFFF" w:themeColor="background1"/>
                <w:szCs w:val="17"/>
              </w:rPr>
              <w:fldChar w:fldCharType="begin"/>
            </w:r>
            <w:r w:rsidRPr="003B0793">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3B0793">
              <w:rPr>
                <w:rFonts w:eastAsia="Times New Roman"/>
                <w:iCs/>
                <w:color w:val="FFFFFF" w:themeColor="background1"/>
                <w:szCs w:val="17"/>
              </w:rPr>
              <w:fldChar w:fldCharType="end"/>
            </w:r>
          </w:p>
        </w:tc>
        <w:tc>
          <w:tcPr>
            <w:tcW w:w="6829" w:type="dxa"/>
          </w:tcPr>
          <w:p w14:paraId="19CD620E" w14:textId="07C692EF" w:rsidR="00AF1B85" w:rsidRDefault="00314B64"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See benchmarks table on page</w:t>
            </w:r>
            <w:r w:rsidR="00E06B5F">
              <w:rPr>
                <w:rFonts w:asciiTheme="minorHAnsi" w:eastAsia="Times New Roman" w:hAnsiTheme="minorHAnsi"/>
                <w:iCs/>
                <w:szCs w:val="17"/>
                <w:lang w:eastAsia="en-US"/>
              </w:rPr>
              <w:t xml:space="preserve"> 6</w:t>
            </w:r>
            <w:r w:rsidR="0084690B">
              <w:rPr>
                <w:rFonts w:asciiTheme="minorHAnsi" w:eastAsia="Times New Roman" w:hAnsiTheme="minorHAnsi"/>
                <w:iCs/>
                <w:szCs w:val="17"/>
                <w:lang w:eastAsia="en-US"/>
              </w:rPr>
              <w:t xml:space="preserve">.  </w:t>
            </w:r>
          </w:p>
          <w:p w14:paraId="77376429" w14:textId="77777777" w:rsidR="0084690B" w:rsidRPr="008B1922" w:rsidRDefault="0084690B" w:rsidP="0084690B">
            <w:pPr>
              <w:keepLines/>
              <w:spacing w:before="40" w:after="40" w:line="200" w:lineRule="atLeast"/>
              <w:rPr>
                <w:rFonts w:asciiTheme="minorHAnsi" w:eastAsia="Times New Roman" w:hAnsiTheme="minorHAnsi"/>
                <w:iCs/>
                <w:szCs w:val="17"/>
                <w:lang w:eastAsia="en-US"/>
              </w:rPr>
            </w:pPr>
          </w:p>
        </w:tc>
      </w:tr>
      <w:tr w:rsidR="000E6859" w:rsidRPr="003B0793" w14:paraId="240F4B50" w14:textId="77777777" w:rsidTr="009D1563">
        <w:trPr>
          <w:cnfStyle w:val="000000010000" w:firstRow="0" w:lastRow="0" w:firstColumn="0" w:lastColumn="0" w:oddVBand="0" w:evenVBand="0" w:oddHBand="0" w:evenHBand="1" w:firstRowFirstColumn="0" w:firstRowLastColumn="0" w:lastRowFirstColumn="0" w:lastRowLastColumn="0"/>
        </w:trPr>
        <w:tc>
          <w:tcPr>
            <w:tcW w:w="6409" w:type="dxa"/>
          </w:tcPr>
          <w:p w14:paraId="63AF276F" w14:textId="4AEBA16F" w:rsidR="000E6859" w:rsidRPr="003B0793" w:rsidRDefault="000E6859" w:rsidP="00D15A00">
            <w:pPr>
              <w:keepLines/>
              <w:spacing w:before="40" w:after="40" w:line="200" w:lineRule="atLeast"/>
              <w:rPr>
                <w:rFonts w:asciiTheme="minorHAnsi" w:eastAsia="Times New Roman" w:hAnsiTheme="minorHAnsi"/>
                <w:iCs/>
                <w:szCs w:val="17"/>
                <w:lang w:eastAsia="en-US"/>
              </w:rPr>
            </w:pPr>
            <w:r w:rsidRPr="009D1563">
              <w:rPr>
                <w:rFonts w:asciiTheme="minorHAnsi" w:eastAsia="Times New Roman" w:hAnsiTheme="minorHAnsi"/>
                <w:iCs/>
                <w:szCs w:val="17"/>
                <w:lang w:eastAsia="en-US"/>
              </w:rPr>
              <w:t>In the context of implementing the new Aid Investment Plan</w:t>
            </w:r>
            <w:r>
              <w:rPr>
                <w:rFonts w:asciiTheme="minorHAnsi" w:eastAsia="Times New Roman" w:hAnsiTheme="minorHAnsi"/>
                <w:iCs/>
                <w:szCs w:val="17"/>
                <w:lang w:eastAsia="en-US"/>
              </w:rPr>
              <w:t xml:space="preserve"> (AIP)</w:t>
            </w:r>
            <w:r w:rsidRPr="009D1563">
              <w:rPr>
                <w:rFonts w:asciiTheme="minorHAnsi" w:eastAsia="Times New Roman" w:hAnsiTheme="minorHAnsi"/>
                <w:iCs/>
                <w:szCs w:val="17"/>
                <w:lang w:eastAsia="en-US"/>
              </w:rPr>
              <w:t xml:space="preserve"> we will engage with PA on the most effective way to regularly evaluate the program and consult on development issues.</w:t>
            </w:r>
          </w:p>
        </w:tc>
        <w:tc>
          <w:tcPr>
            <w:tcW w:w="957" w:type="dxa"/>
            <w:shd w:val="clear" w:color="auto" w:fill="72AF2F"/>
          </w:tcPr>
          <w:p w14:paraId="47EC7613" w14:textId="77777777" w:rsidR="000E6859" w:rsidRPr="003B0793" w:rsidRDefault="000E6859"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Achieved</w:t>
            </w:r>
          </w:p>
          <w:p w14:paraId="5188B5EC" w14:textId="5701467F" w:rsidR="000E6859" w:rsidRPr="003B0793" w:rsidRDefault="000E6859" w:rsidP="00820C97">
            <w:pPr>
              <w:keepLines/>
              <w:spacing w:before="40" w:after="40" w:line="200" w:lineRule="atLeast"/>
              <w:jc w:val="center"/>
              <w:rPr>
                <w:rFonts w:asciiTheme="minorHAnsi" w:eastAsia="Times New Roman" w:hAnsiTheme="minorHAnsi"/>
                <w:iCs/>
                <w:color w:val="FFFFFF" w:themeColor="background1"/>
                <w:szCs w:val="17"/>
                <w:lang w:eastAsia="en-US"/>
              </w:rPr>
            </w:pPr>
          </w:p>
        </w:tc>
        <w:tc>
          <w:tcPr>
            <w:tcW w:w="6829" w:type="dxa"/>
          </w:tcPr>
          <w:p w14:paraId="04B80E75" w14:textId="2DE02788" w:rsidR="000E6859" w:rsidRPr="008B1922" w:rsidRDefault="000E6859" w:rsidP="009E621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We continued to consult with the PA when senior DFAT officials visited the PTs.  High level meetings, scheduled in conjunction with various investments, enabled regular dialogue with the PA on development issues. These included Australia’s participation in the </w:t>
            </w:r>
            <w:r w:rsidRPr="008B1922">
              <w:rPr>
                <w:rFonts w:asciiTheme="minorHAnsi" w:eastAsia="Times New Roman" w:hAnsiTheme="minorHAnsi"/>
                <w:iCs/>
                <w:szCs w:val="17"/>
                <w:lang w:eastAsia="en-US"/>
              </w:rPr>
              <w:t xml:space="preserve">Fiscal Sector Working Group </w:t>
            </w:r>
            <w:r>
              <w:rPr>
                <w:rFonts w:asciiTheme="minorHAnsi" w:eastAsia="Times New Roman" w:hAnsiTheme="minorHAnsi"/>
                <w:iCs/>
                <w:szCs w:val="17"/>
                <w:lang w:eastAsia="en-US"/>
              </w:rPr>
              <w:t xml:space="preserve">with the Ministry of Finance associated with the World Bank’s Multi-Donor Trust Fund.  Australia also regularly participated in the Ad-Hoc Liaison Committee meetings </w:t>
            </w:r>
            <w:r w:rsidRPr="009E6212">
              <w:rPr>
                <w:rFonts w:asciiTheme="minorHAnsi" w:eastAsia="Times New Roman" w:hAnsiTheme="minorHAnsi"/>
                <w:iCs/>
                <w:szCs w:val="17"/>
                <w:lang w:eastAsia="en-US"/>
              </w:rPr>
              <w:t xml:space="preserve">which </w:t>
            </w:r>
            <w:r>
              <w:rPr>
                <w:rFonts w:asciiTheme="minorHAnsi" w:eastAsia="Times New Roman" w:hAnsiTheme="minorHAnsi"/>
                <w:iCs/>
                <w:szCs w:val="17"/>
                <w:lang w:eastAsia="en-US"/>
              </w:rPr>
              <w:t xml:space="preserve">facilitate </w:t>
            </w:r>
            <w:r w:rsidRPr="00FF756B">
              <w:rPr>
                <w:rFonts w:asciiTheme="minorHAnsi" w:eastAsia="Times New Roman" w:hAnsiTheme="minorHAnsi"/>
                <w:iCs/>
                <w:szCs w:val="17"/>
                <w:lang w:eastAsia="en-US"/>
              </w:rPr>
              <w:t>dialogue between donors, the Palestinian Authority and the Government of Israel</w:t>
            </w:r>
            <w:r>
              <w:rPr>
                <w:rFonts w:asciiTheme="minorHAnsi" w:eastAsia="Times New Roman" w:hAnsiTheme="minorHAnsi"/>
                <w:iCs/>
                <w:szCs w:val="17"/>
                <w:lang w:eastAsia="en-US"/>
              </w:rPr>
              <w:t xml:space="preserve">. </w:t>
            </w:r>
          </w:p>
        </w:tc>
      </w:tr>
      <w:tr w:rsidR="000E6859" w:rsidRPr="003B0793" w14:paraId="47CBEBB4" w14:textId="77777777" w:rsidTr="000E6859">
        <w:trPr>
          <w:cnfStyle w:val="000000010000" w:firstRow="0" w:lastRow="0" w:firstColumn="0" w:lastColumn="0" w:oddVBand="0" w:evenVBand="0" w:oddHBand="0" w:evenHBand="1" w:firstRowFirstColumn="0" w:firstRowLastColumn="0" w:lastRowFirstColumn="0" w:lastRowLastColumn="0"/>
        </w:trPr>
        <w:tc>
          <w:tcPr>
            <w:tcW w:w="6409" w:type="dxa"/>
          </w:tcPr>
          <w:p w14:paraId="79C9075D" w14:textId="77777777" w:rsidR="000E6859" w:rsidRPr="003B0793" w:rsidRDefault="000E6859" w:rsidP="00D15A00">
            <w:pPr>
              <w:keepLines/>
              <w:spacing w:before="40" w:after="40" w:line="200" w:lineRule="atLeast"/>
              <w:rPr>
                <w:rFonts w:asciiTheme="minorHAnsi" w:eastAsia="Times New Roman" w:hAnsiTheme="minorHAnsi"/>
                <w:iCs/>
                <w:szCs w:val="17"/>
                <w:lang w:eastAsia="en-US"/>
              </w:rPr>
            </w:pPr>
            <w:r w:rsidRPr="009D1563">
              <w:rPr>
                <w:rFonts w:asciiTheme="minorHAnsi" w:eastAsia="Times New Roman" w:hAnsiTheme="minorHAnsi"/>
                <w:iCs/>
                <w:szCs w:val="17"/>
                <w:lang w:eastAsia="en-US"/>
              </w:rPr>
              <w:t xml:space="preserve">During 2015-16, we will determine our future funding arrangements with the Palestinian Authority and UNRWA.  </w:t>
            </w:r>
          </w:p>
        </w:tc>
        <w:tc>
          <w:tcPr>
            <w:tcW w:w="957" w:type="dxa"/>
            <w:shd w:val="clear" w:color="auto" w:fill="72AF2F"/>
          </w:tcPr>
          <w:p w14:paraId="302C69AE" w14:textId="051CE39F" w:rsidR="000E6859" w:rsidRPr="003B0793" w:rsidRDefault="000E6859" w:rsidP="000E6859">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w:t>
            </w:r>
            <w:r w:rsidRPr="003B0793">
              <w:rPr>
                <w:rFonts w:asciiTheme="minorHAnsi" w:eastAsia="Times New Roman" w:hAnsiTheme="minorHAnsi"/>
                <w:iCs/>
                <w:color w:val="FFFFFF" w:themeColor="background1"/>
                <w:szCs w:val="17"/>
                <w:lang w:eastAsia="en-US"/>
              </w:rPr>
              <w:t>chieved</w:t>
            </w:r>
          </w:p>
        </w:tc>
        <w:tc>
          <w:tcPr>
            <w:tcW w:w="6829" w:type="dxa"/>
          </w:tcPr>
          <w:p w14:paraId="32DF0B75" w14:textId="77777777" w:rsidR="000E6859" w:rsidRDefault="000E6859" w:rsidP="00314B64">
            <w:pPr>
              <w:keepLines/>
              <w:spacing w:before="40" w:after="40" w:line="200" w:lineRule="atLeast"/>
              <w:rPr>
                <w:rFonts w:asciiTheme="minorHAnsi" w:eastAsia="Times New Roman" w:hAnsiTheme="minorHAnsi"/>
                <w:iCs/>
                <w:szCs w:val="17"/>
                <w:lang w:eastAsia="en-US"/>
              </w:rPr>
            </w:pPr>
            <w:r w:rsidRPr="008B1922">
              <w:rPr>
                <w:rFonts w:asciiTheme="minorHAnsi" w:eastAsia="Times New Roman" w:hAnsiTheme="minorHAnsi"/>
                <w:iCs/>
                <w:szCs w:val="17"/>
                <w:lang w:eastAsia="en-US"/>
              </w:rPr>
              <w:t>Given UNRWA’s important role and strong performance during the previous multi-year partnership period, the Australian Government approved $80 million in funding for UNRWA over the next four years (2016-20</w:t>
            </w:r>
            <w:r>
              <w:rPr>
                <w:rFonts w:asciiTheme="minorHAnsi" w:eastAsia="Times New Roman" w:hAnsiTheme="minorHAnsi"/>
                <w:iCs/>
                <w:szCs w:val="17"/>
                <w:lang w:eastAsia="en-US"/>
              </w:rPr>
              <w:t xml:space="preserve">) in April 2016. </w:t>
            </w:r>
          </w:p>
          <w:p w14:paraId="31C759C7" w14:textId="1227128A" w:rsidR="000E6859" w:rsidRPr="008B1922" w:rsidRDefault="000E6859" w:rsidP="00924AEE">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Australia’s future contributions to the World Bank’s Trust Fund for the PA will be determined on an annual basis.  </w:t>
            </w:r>
          </w:p>
        </w:tc>
      </w:tr>
    </w:tbl>
    <w:p w14:paraId="751E2C02" w14:textId="77777777" w:rsidR="00AF1B85" w:rsidRPr="003B0793" w:rsidRDefault="00AF1B85" w:rsidP="00AF1B85">
      <w:pPr>
        <w:spacing w:before="20" w:after="20" w:line="180" w:lineRule="atLeast"/>
        <w:jc w:val="both"/>
        <w:rPr>
          <w:rFonts w:eastAsia="Times New Roman"/>
          <w:b/>
          <w:sz w:val="16"/>
          <w:szCs w:val="14"/>
        </w:rPr>
      </w:pPr>
      <w:r w:rsidRPr="003B0793">
        <w:rPr>
          <w:rFonts w:eastAsia="Times New Roman"/>
          <w:b/>
          <w:sz w:val="16"/>
          <w:szCs w:val="14"/>
        </w:rPr>
        <w:t xml:space="preserve">Note: </w:t>
      </w:r>
    </w:p>
    <w:p w14:paraId="218B3DD7" w14:textId="77777777" w:rsidR="00AF1B85" w:rsidRPr="003B0793" w:rsidRDefault="00AF1B85" w:rsidP="00AF1B85">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w:t>
      </w:r>
      <w:r w:rsidRPr="003B0793">
        <w:rPr>
          <w:rFonts w:eastAsia="Times New Roman"/>
          <w:b/>
          <w:sz w:val="16"/>
          <w:szCs w:val="14"/>
        </w:rPr>
        <w:t xml:space="preserve"> Achieved.  Significant progress has been made in addressing the issue </w:t>
      </w:r>
    </w:p>
    <w:p w14:paraId="75D03758" w14:textId="77777777" w:rsidR="00AF1B85" w:rsidRPr="003B0793" w:rsidRDefault="00AF1B85" w:rsidP="00AF1B85">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Partly achieved.  Some progress has been made in addressing the issue, but the issue has not been resolved </w:t>
      </w:r>
    </w:p>
    <w:p w14:paraId="4FE82DCB" w14:textId="77777777" w:rsidR="00AF1B85" w:rsidRPr="003B0793" w:rsidRDefault="00AF1B85" w:rsidP="00AF1B85">
      <w:pPr>
        <w:spacing w:before="20" w:after="2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Not achieved. Progress in addressing the issue has been significantly below expectations</w:t>
      </w:r>
    </w:p>
    <w:p w14:paraId="1931A422" w14:textId="77777777" w:rsidR="00D00802" w:rsidRDefault="00D00802" w:rsidP="005B5769">
      <w:pPr>
        <w:pStyle w:val="ListBullet"/>
        <w:tabs>
          <w:tab w:val="clear" w:pos="284"/>
        </w:tabs>
        <w:sectPr w:rsidR="00D00802" w:rsidSect="00D00802">
          <w:headerReference w:type="first" r:id="rId18"/>
          <w:pgSz w:w="16838" w:h="11906" w:orient="landscape" w:code="9"/>
          <w:pgMar w:top="1134" w:right="1952" w:bottom="1134" w:left="851" w:header="1107" w:footer="567" w:gutter="0"/>
          <w:cols w:space="397"/>
          <w:titlePg/>
          <w:docGrid w:linePitch="360"/>
        </w:sectPr>
      </w:pPr>
    </w:p>
    <w:p w14:paraId="20726899" w14:textId="77777777" w:rsidR="00AF1B85" w:rsidRPr="00A8197B" w:rsidRDefault="00AF1B85" w:rsidP="005E606B">
      <w:pPr>
        <w:pStyle w:val="Subtitle"/>
      </w:pPr>
      <w:r w:rsidRPr="00A8197B">
        <w:lastRenderedPageBreak/>
        <w:t>Annex B - Evaluation Planning</w:t>
      </w:r>
    </w:p>
    <w:p w14:paraId="60236A8E" w14:textId="77777777" w:rsidR="00AF1B85" w:rsidRPr="003B0793" w:rsidRDefault="00AF1B85" w:rsidP="003B0793">
      <w:pPr>
        <w:pStyle w:val="Caption"/>
        <w:rPr>
          <w:sz w:val="24"/>
        </w:rPr>
      </w:pPr>
      <w:r w:rsidRPr="003B0793">
        <w:rPr>
          <w:sz w:val="24"/>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14:paraId="75002CE8"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49BBB389" w14:textId="77777777"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 xml:space="preserve">Investment number and name </w:t>
            </w:r>
          </w:p>
          <w:p w14:paraId="40E36277" w14:textId="65CD6C2C" w:rsidR="00AF1B85" w:rsidRPr="003B0793" w:rsidRDefault="00AF1B85" w:rsidP="00D15A00">
            <w:pPr>
              <w:keepLines/>
              <w:spacing w:line="200" w:lineRule="atLeast"/>
              <w:rPr>
                <w:rFonts w:asciiTheme="minorHAnsi" w:eastAsia="Times New Roman" w:hAnsiTheme="minorHAnsi"/>
                <w:b w:val="0"/>
                <w:iCs/>
                <w:szCs w:val="17"/>
                <w:lang w:eastAsia="en-US"/>
              </w:rPr>
            </w:pPr>
          </w:p>
        </w:tc>
        <w:tc>
          <w:tcPr>
            <w:tcW w:w="3665" w:type="dxa"/>
          </w:tcPr>
          <w:p w14:paraId="6E4544F2" w14:textId="77777777"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Name of evaluation</w:t>
            </w:r>
          </w:p>
        </w:tc>
        <w:tc>
          <w:tcPr>
            <w:tcW w:w="1397" w:type="dxa"/>
          </w:tcPr>
          <w:p w14:paraId="7272F052" w14:textId="77777777"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completed</w:t>
            </w:r>
          </w:p>
        </w:tc>
        <w:tc>
          <w:tcPr>
            <w:tcW w:w="1953" w:type="dxa"/>
          </w:tcPr>
          <w:p w14:paraId="3E7A7618" w14:textId="77777777"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Evaluation report Uploaded into AidWorks</w:t>
            </w:r>
          </w:p>
        </w:tc>
        <w:tc>
          <w:tcPr>
            <w:tcW w:w="1671" w:type="dxa"/>
          </w:tcPr>
          <w:p w14:paraId="7B115DBE" w14:textId="77777777"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Date Management response uploaded into AidWorks</w:t>
            </w:r>
          </w:p>
        </w:tc>
        <w:tc>
          <w:tcPr>
            <w:tcW w:w="2365" w:type="dxa"/>
          </w:tcPr>
          <w:p w14:paraId="644638DC" w14:textId="77777777" w:rsidR="00AF1B85" w:rsidRPr="003B0793" w:rsidRDefault="00AF1B85" w:rsidP="00D15A00">
            <w:pPr>
              <w:keepLines/>
              <w:spacing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Published on website</w:t>
            </w:r>
          </w:p>
        </w:tc>
      </w:tr>
      <w:tr w:rsidR="003F6C4A" w:rsidRPr="003F6C4A" w14:paraId="6CE9262B"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22C7AA15" w14:textId="77777777" w:rsidR="003F6C4A" w:rsidRPr="002B6E80" w:rsidRDefault="003F6C4A" w:rsidP="00042B15">
            <w:pPr>
              <w:keepLines/>
              <w:spacing w:line="200" w:lineRule="atLeast"/>
              <w:rPr>
                <w:rFonts w:asciiTheme="minorHAnsi" w:eastAsia="Times New Roman" w:hAnsiTheme="minorHAnsi"/>
                <w:b w:val="0"/>
                <w:iCs/>
                <w:szCs w:val="17"/>
              </w:rPr>
            </w:pPr>
            <w:r w:rsidRPr="002B6E80">
              <w:rPr>
                <w:rFonts w:asciiTheme="minorHAnsi" w:eastAsia="Times New Roman" w:hAnsiTheme="minorHAnsi"/>
                <w:b w:val="0"/>
                <w:iCs/>
                <w:szCs w:val="17"/>
              </w:rPr>
              <w:t>INJ843 -  Australia- PA Partnership Arrangement</w:t>
            </w:r>
          </w:p>
        </w:tc>
        <w:tc>
          <w:tcPr>
            <w:tcW w:w="3665" w:type="dxa"/>
          </w:tcPr>
          <w:p w14:paraId="60D4AD63" w14:textId="77777777" w:rsidR="003F6C4A" w:rsidRPr="002B6E80" w:rsidRDefault="003F6C4A" w:rsidP="00667572">
            <w:pPr>
              <w:keepLines/>
              <w:spacing w:line="200" w:lineRule="atLeast"/>
              <w:rPr>
                <w:rFonts w:asciiTheme="minorHAnsi" w:eastAsia="Times New Roman" w:hAnsiTheme="minorHAnsi"/>
                <w:b w:val="0"/>
                <w:iCs/>
                <w:szCs w:val="17"/>
              </w:rPr>
            </w:pPr>
            <w:r w:rsidRPr="002B6E80">
              <w:rPr>
                <w:rFonts w:asciiTheme="minorHAnsi" w:eastAsia="Times New Roman" w:hAnsiTheme="minorHAnsi"/>
                <w:b w:val="0"/>
                <w:iCs/>
                <w:szCs w:val="17"/>
              </w:rPr>
              <w:t xml:space="preserve">World Bank: </w:t>
            </w:r>
            <w:r w:rsidR="00FF756B" w:rsidRPr="002B6E80">
              <w:rPr>
                <w:rFonts w:asciiTheme="minorHAnsi" w:eastAsia="Times New Roman" w:hAnsiTheme="minorHAnsi"/>
                <w:b w:val="0"/>
                <w:iCs/>
                <w:szCs w:val="17"/>
              </w:rPr>
              <w:t>I</w:t>
            </w:r>
            <w:r w:rsidR="00667572" w:rsidRPr="002B6E80">
              <w:rPr>
                <w:rFonts w:asciiTheme="minorHAnsi" w:eastAsia="Times New Roman" w:hAnsiTheme="minorHAnsi"/>
                <w:b w:val="0"/>
                <w:iCs/>
                <w:szCs w:val="17"/>
              </w:rPr>
              <w:t xml:space="preserve">mplementation </w:t>
            </w:r>
            <w:r w:rsidRPr="002B6E80">
              <w:rPr>
                <w:rFonts w:asciiTheme="minorHAnsi" w:eastAsia="Times New Roman" w:hAnsiTheme="minorHAnsi"/>
                <w:b w:val="0"/>
                <w:iCs/>
                <w:szCs w:val="17"/>
              </w:rPr>
              <w:t xml:space="preserve">Completion Report – </w:t>
            </w:r>
            <w:r w:rsidR="00FF756B" w:rsidRPr="002B6E80">
              <w:rPr>
                <w:rFonts w:asciiTheme="minorHAnsi" w:eastAsia="Times New Roman" w:hAnsiTheme="minorHAnsi"/>
                <w:b w:val="0"/>
                <w:iCs/>
                <w:szCs w:val="17"/>
              </w:rPr>
              <w:t>D</w:t>
            </w:r>
            <w:r w:rsidR="00667572" w:rsidRPr="002B6E80">
              <w:rPr>
                <w:rFonts w:asciiTheme="minorHAnsi" w:eastAsia="Times New Roman" w:hAnsiTheme="minorHAnsi"/>
                <w:b w:val="0"/>
                <w:iCs/>
                <w:szCs w:val="17"/>
              </w:rPr>
              <w:t xml:space="preserve">evelopment </w:t>
            </w:r>
            <w:r w:rsidR="00FF756B" w:rsidRPr="002B6E80">
              <w:rPr>
                <w:rFonts w:asciiTheme="minorHAnsi" w:eastAsia="Times New Roman" w:hAnsiTheme="minorHAnsi"/>
                <w:b w:val="0"/>
                <w:iCs/>
                <w:szCs w:val="17"/>
              </w:rPr>
              <w:t>P</w:t>
            </w:r>
            <w:r w:rsidR="00667572" w:rsidRPr="002B6E80">
              <w:rPr>
                <w:rFonts w:asciiTheme="minorHAnsi" w:eastAsia="Times New Roman" w:hAnsiTheme="minorHAnsi"/>
                <w:b w:val="0"/>
                <w:iCs/>
                <w:szCs w:val="17"/>
              </w:rPr>
              <w:t xml:space="preserve">olicy </w:t>
            </w:r>
            <w:r w:rsidR="00FF756B" w:rsidRPr="002B6E80">
              <w:rPr>
                <w:rFonts w:asciiTheme="minorHAnsi" w:eastAsia="Times New Roman" w:hAnsiTheme="minorHAnsi"/>
                <w:b w:val="0"/>
                <w:iCs/>
                <w:szCs w:val="17"/>
              </w:rPr>
              <w:t>G</w:t>
            </w:r>
            <w:r w:rsidR="00667572" w:rsidRPr="002B6E80">
              <w:rPr>
                <w:rFonts w:asciiTheme="minorHAnsi" w:eastAsia="Times New Roman" w:hAnsiTheme="minorHAnsi"/>
                <w:b w:val="0"/>
                <w:iCs/>
                <w:szCs w:val="17"/>
              </w:rPr>
              <w:t>rant</w:t>
            </w:r>
          </w:p>
        </w:tc>
        <w:tc>
          <w:tcPr>
            <w:tcW w:w="1397" w:type="dxa"/>
          </w:tcPr>
          <w:p w14:paraId="5A0C8CEC" w14:textId="77777777" w:rsidR="003F6C4A" w:rsidRPr="002B6E80" w:rsidRDefault="00667572" w:rsidP="00667572">
            <w:pPr>
              <w:keepLines/>
              <w:spacing w:line="200" w:lineRule="atLeast"/>
              <w:rPr>
                <w:rFonts w:asciiTheme="minorHAnsi" w:eastAsia="Times New Roman" w:hAnsiTheme="minorHAnsi"/>
                <w:b w:val="0"/>
                <w:iCs/>
                <w:szCs w:val="17"/>
              </w:rPr>
            </w:pPr>
            <w:r w:rsidRPr="002B6E80">
              <w:rPr>
                <w:rFonts w:asciiTheme="minorHAnsi" w:eastAsia="Times New Roman" w:hAnsiTheme="minorHAnsi"/>
                <w:b w:val="0"/>
                <w:iCs/>
                <w:szCs w:val="17"/>
              </w:rPr>
              <w:t>July</w:t>
            </w:r>
            <w:r w:rsidR="003F6C4A" w:rsidRPr="002B6E80">
              <w:rPr>
                <w:rFonts w:asciiTheme="minorHAnsi" w:eastAsia="Times New Roman" w:hAnsiTheme="minorHAnsi"/>
                <w:b w:val="0"/>
                <w:iCs/>
                <w:szCs w:val="17"/>
              </w:rPr>
              <w:t xml:space="preserve"> 201</w:t>
            </w:r>
            <w:r w:rsidRPr="002B6E80">
              <w:rPr>
                <w:rFonts w:asciiTheme="minorHAnsi" w:eastAsia="Times New Roman" w:hAnsiTheme="minorHAnsi"/>
                <w:b w:val="0"/>
                <w:iCs/>
                <w:szCs w:val="17"/>
              </w:rPr>
              <w:t>6</w:t>
            </w:r>
          </w:p>
        </w:tc>
        <w:tc>
          <w:tcPr>
            <w:tcW w:w="1953" w:type="dxa"/>
          </w:tcPr>
          <w:p w14:paraId="2E873165" w14:textId="77777777" w:rsidR="003F6C4A" w:rsidRPr="002B6E80" w:rsidRDefault="002B6E80" w:rsidP="002B6E80">
            <w:pPr>
              <w:keepLines/>
              <w:spacing w:line="200" w:lineRule="atLeast"/>
              <w:rPr>
                <w:rFonts w:asciiTheme="minorHAnsi" w:eastAsia="Times New Roman" w:hAnsiTheme="minorHAnsi"/>
                <w:b w:val="0"/>
                <w:iCs/>
                <w:szCs w:val="17"/>
              </w:rPr>
            </w:pPr>
            <w:r>
              <w:rPr>
                <w:rFonts w:asciiTheme="minorHAnsi" w:eastAsia="Times New Roman" w:hAnsiTheme="minorHAnsi"/>
                <w:b w:val="0"/>
                <w:iCs/>
                <w:szCs w:val="17"/>
              </w:rPr>
              <w:t>N/A - d</w:t>
            </w:r>
            <w:r w:rsidR="00667572" w:rsidRPr="002B6E80">
              <w:rPr>
                <w:rFonts w:asciiTheme="minorHAnsi" w:eastAsia="Times New Roman" w:hAnsiTheme="minorHAnsi"/>
                <w:b w:val="0"/>
                <w:iCs/>
                <w:szCs w:val="17"/>
              </w:rPr>
              <w:t>raft report received</w:t>
            </w:r>
          </w:p>
        </w:tc>
        <w:tc>
          <w:tcPr>
            <w:tcW w:w="1671" w:type="dxa"/>
          </w:tcPr>
          <w:p w14:paraId="137ECC9B" w14:textId="16142A5A" w:rsidR="003F6C4A" w:rsidRPr="002B6E80" w:rsidRDefault="00EA74C0" w:rsidP="00EA74C0">
            <w:pPr>
              <w:keepLines/>
              <w:spacing w:line="200" w:lineRule="atLeast"/>
              <w:rPr>
                <w:rFonts w:asciiTheme="minorHAnsi" w:eastAsia="Times New Roman" w:hAnsiTheme="minorHAnsi"/>
                <w:b w:val="0"/>
                <w:iCs/>
                <w:szCs w:val="17"/>
              </w:rPr>
            </w:pPr>
            <w:r>
              <w:rPr>
                <w:rFonts w:asciiTheme="minorHAnsi" w:eastAsia="Times New Roman" w:hAnsiTheme="minorHAnsi"/>
                <w:b w:val="0"/>
                <w:iCs/>
                <w:szCs w:val="17"/>
              </w:rPr>
              <w:t>TBC – when World Bank finalises evaluation, likely Q4 2016</w:t>
            </w:r>
          </w:p>
        </w:tc>
        <w:tc>
          <w:tcPr>
            <w:tcW w:w="2365" w:type="dxa"/>
          </w:tcPr>
          <w:p w14:paraId="027C12C8" w14:textId="41AB2E9B" w:rsidR="003F6C4A" w:rsidRPr="002B6E80" w:rsidRDefault="002B6E80" w:rsidP="00D15A00">
            <w:pPr>
              <w:keepLines/>
              <w:spacing w:line="200" w:lineRule="atLeast"/>
              <w:rPr>
                <w:rFonts w:asciiTheme="minorHAnsi" w:eastAsia="Times New Roman" w:hAnsiTheme="minorHAnsi"/>
                <w:b w:val="0"/>
                <w:iCs/>
                <w:szCs w:val="17"/>
              </w:rPr>
            </w:pPr>
            <w:r>
              <w:rPr>
                <w:rFonts w:asciiTheme="minorHAnsi" w:eastAsia="Times New Roman" w:hAnsiTheme="minorHAnsi"/>
                <w:b w:val="0"/>
                <w:iCs/>
                <w:szCs w:val="17"/>
              </w:rPr>
              <w:t>W</w:t>
            </w:r>
            <w:r w:rsidR="00042B15" w:rsidRPr="002B6E80">
              <w:rPr>
                <w:rFonts w:asciiTheme="minorHAnsi" w:eastAsia="Times New Roman" w:hAnsiTheme="minorHAnsi"/>
                <w:b w:val="0"/>
                <w:iCs/>
                <w:szCs w:val="17"/>
              </w:rPr>
              <w:t>ill be published on World Bank</w:t>
            </w:r>
            <w:r w:rsidR="00EA74C0">
              <w:rPr>
                <w:rFonts w:asciiTheme="minorHAnsi" w:eastAsia="Times New Roman" w:hAnsiTheme="minorHAnsi"/>
                <w:b w:val="0"/>
                <w:iCs/>
                <w:szCs w:val="17"/>
              </w:rPr>
              <w:t xml:space="preserve"> and DFAT</w:t>
            </w:r>
            <w:r w:rsidR="00042B15" w:rsidRPr="002B6E80">
              <w:rPr>
                <w:rFonts w:asciiTheme="minorHAnsi" w:eastAsia="Times New Roman" w:hAnsiTheme="minorHAnsi"/>
                <w:b w:val="0"/>
                <w:iCs/>
                <w:szCs w:val="17"/>
              </w:rPr>
              <w:t xml:space="preserve"> website</w:t>
            </w:r>
            <w:r>
              <w:rPr>
                <w:rFonts w:asciiTheme="minorHAnsi" w:eastAsia="Times New Roman" w:hAnsiTheme="minorHAnsi"/>
                <w:b w:val="0"/>
                <w:iCs/>
                <w:szCs w:val="17"/>
              </w:rPr>
              <w:t xml:space="preserve"> when finalised</w:t>
            </w:r>
          </w:p>
        </w:tc>
      </w:tr>
    </w:tbl>
    <w:p w14:paraId="476A4392" w14:textId="77777777" w:rsidR="003B0793" w:rsidRDefault="003B0793" w:rsidP="003B0793">
      <w:pPr>
        <w:pStyle w:val="Caption"/>
        <w:rPr>
          <w:sz w:val="24"/>
        </w:rPr>
      </w:pPr>
    </w:p>
    <w:p w14:paraId="52AF23DC" w14:textId="77777777" w:rsidR="00AF1B85" w:rsidRPr="003B0793" w:rsidRDefault="00AF1B85" w:rsidP="003B0793">
      <w:pPr>
        <w:pStyle w:val="Caption"/>
        <w:rPr>
          <w:sz w:val="24"/>
        </w:rPr>
      </w:pPr>
      <w:r w:rsidRPr="003B0793">
        <w:rPr>
          <w:sz w:val="24"/>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14:paraId="01033169" w14:textId="77777777" w:rsidTr="005E606B">
        <w:tc>
          <w:tcPr>
            <w:tcW w:w="2444" w:type="dxa"/>
          </w:tcPr>
          <w:p w14:paraId="23FF9760" w14:textId="77777777"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Evaluation title</w:t>
            </w:r>
          </w:p>
        </w:tc>
        <w:tc>
          <w:tcPr>
            <w:tcW w:w="2356" w:type="dxa"/>
          </w:tcPr>
          <w:p w14:paraId="1F5EF94C" w14:textId="14BBBA44" w:rsidR="00AF1B85" w:rsidRPr="003B0793" w:rsidRDefault="00AF1B85" w:rsidP="001E18D1">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 xml:space="preserve">Investment number and name </w:t>
            </w:r>
          </w:p>
        </w:tc>
        <w:tc>
          <w:tcPr>
            <w:tcW w:w="2042" w:type="dxa"/>
          </w:tcPr>
          <w:p w14:paraId="198E8DA9" w14:textId="77777777"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Date – planned commencement (month/year)</w:t>
            </w:r>
          </w:p>
        </w:tc>
        <w:tc>
          <w:tcPr>
            <w:tcW w:w="2208" w:type="dxa"/>
          </w:tcPr>
          <w:p w14:paraId="0CDD56F4" w14:textId="77777777"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Date – planned completion (month/year)</w:t>
            </w:r>
          </w:p>
        </w:tc>
        <w:tc>
          <w:tcPr>
            <w:tcW w:w="2325" w:type="dxa"/>
          </w:tcPr>
          <w:p w14:paraId="225D77DA" w14:textId="77777777"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Purpose of evaluation</w:t>
            </w:r>
          </w:p>
        </w:tc>
        <w:tc>
          <w:tcPr>
            <w:tcW w:w="2740" w:type="dxa"/>
          </w:tcPr>
          <w:p w14:paraId="76CBBC49" w14:textId="77777777" w:rsidR="00AF1B85" w:rsidRPr="003B0793" w:rsidRDefault="00AF1B85"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Evaluation type</w:t>
            </w:r>
          </w:p>
        </w:tc>
      </w:tr>
      <w:tr w:rsidR="00AF1B85" w:rsidRPr="00C61187" w14:paraId="22F3CF05" w14:textId="77777777" w:rsidTr="005E606B">
        <w:tc>
          <w:tcPr>
            <w:tcW w:w="2444" w:type="dxa"/>
          </w:tcPr>
          <w:p w14:paraId="728B4A68" w14:textId="77777777" w:rsidR="00AF1B85" w:rsidRPr="003B0793" w:rsidRDefault="00885CC6" w:rsidP="00885CC6">
            <w:pPr>
              <w:keepLines/>
              <w:spacing w:before="40" w:after="40" w:line="200" w:lineRule="atLeast"/>
              <w:rPr>
                <w:rFonts w:asciiTheme="minorHAnsi" w:eastAsia="Times New Roman" w:hAnsiTheme="minorHAnsi"/>
                <w:iCs/>
                <w:szCs w:val="17"/>
                <w:lang w:eastAsia="en-US"/>
              </w:rPr>
            </w:pPr>
            <w:r w:rsidRPr="00885CC6">
              <w:rPr>
                <w:rFonts w:asciiTheme="minorHAnsi" w:eastAsia="Times New Roman" w:hAnsiTheme="minorHAnsi"/>
                <w:iCs/>
                <w:szCs w:val="17"/>
                <w:lang w:eastAsia="en-US"/>
              </w:rPr>
              <w:t>World Bank: Independent Completion Report – D</w:t>
            </w:r>
            <w:r w:rsidR="00667572">
              <w:rPr>
                <w:rFonts w:asciiTheme="minorHAnsi" w:eastAsia="Times New Roman" w:hAnsiTheme="minorHAnsi"/>
                <w:iCs/>
                <w:szCs w:val="17"/>
                <w:lang w:eastAsia="en-US"/>
              </w:rPr>
              <w:t xml:space="preserve">evelopment </w:t>
            </w:r>
            <w:r w:rsidRPr="00885CC6">
              <w:rPr>
                <w:rFonts w:asciiTheme="minorHAnsi" w:eastAsia="Times New Roman" w:hAnsiTheme="minorHAnsi"/>
                <w:iCs/>
                <w:szCs w:val="17"/>
                <w:lang w:eastAsia="en-US"/>
              </w:rPr>
              <w:t>P</w:t>
            </w:r>
            <w:r w:rsidR="00667572">
              <w:rPr>
                <w:rFonts w:asciiTheme="minorHAnsi" w:eastAsia="Times New Roman" w:hAnsiTheme="minorHAnsi"/>
                <w:iCs/>
                <w:szCs w:val="17"/>
                <w:lang w:eastAsia="en-US"/>
              </w:rPr>
              <w:t xml:space="preserve">olicy </w:t>
            </w:r>
            <w:r w:rsidRPr="00885CC6">
              <w:rPr>
                <w:rFonts w:asciiTheme="minorHAnsi" w:eastAsia="Times New Roman" w:hAnsiTheme="minorHAnsi"/>
                <w:iCs/>
                <w:szCs w:val="17"/>
                <w:lang w:eastAsia="en-US"/>
              </w:rPr>
              <w:t>G</w:t>
            </w:r>
            <w:r w:rsidR="00667572">
              <w:rPr>
                <w:rFonts w:asciiTheme="minorHAnsi" w:eastAsia="Times New Roman" w:hAnsiTheme="minorHAnsi"/>
                <w:iCs/>
                <w:szCs w:val="17"/>
                <w:lang w:eastAsia="en-US"/>
              </w:rPr>
              <w:t>rant</w:t>
            </w:r>
          </w:p>
        </w:tc>
        <w:tc>
          <w:tcPr>
            <w:tcW w:w="2356" w:type="dxa"/>
          </w:tcPr>
          <w:p w14:paraId="64B259A3" w14:textId="77777777" w:rsidR="00AF1B85" w:rsidRPr="003B0793" w:rsidRDefault="00042B15" w:rsidP="00885CC6">
            <w:pPr>
              <w:keepLines/>
              <w:spacing w:before="40" w:after="40" w:line="200" w:lineRule="atLeast"/>
              <w:rPr>
                <w:rFonts w:asciiTheme="minorHAnsi" w:eastAsia="Times New Roman" w:hAnsiTheme="minorHAnsi"/>
                <w:iCs/>
                <w:szCs w:val="17"/>
                <w:lang w:eastAsia="en-US"/>
              </w:rPr>
            </w:pPr>
            <w:r w:rsidRPr="00042B15">
              <w:rPr>
                <w:rFonts w:asciiTheme="minorHAnsi" w:eastAsia="Times New Roman" w:hAnsiTheme="minorHAnsi"/>
                <w:iCs/>
                <w:szCs w:val="17"/>
                <w:lang w:eastAsia="en-US"/>
              </w:rPr>
              <w:t>INJ843 -  Australia- PA Partnership Arrangement</w:t>
            </w:r>
          </w:p>
        </w:tc>
        <w:tc>
          <w:tcPr>
            <w:tcW w:w="2042" w:type="dxa"/>
          </w:tcPr>
          <w:p w14:paraId="2925B023" w14:textId="77777777" w:rsidR="00AF1B85" w:rsidRPr="003B0793" w:rsidRDefault="00885CC6" w:rsidP="00885CC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March 2017 (TBD)</w:t>
            </w:r>
          </w:p>
        </w:tc>
        <w:tc>
          <w:tcPr>
            <w:tcW w:w="2208" w:type="dxa"/>
          </w:tcPr>
          <w:p w14:paraId="25E2F41A" w14:textId="77777777" w:rsidR="00AF1B85" w:rsidRPr="003B0793" w:rsidRDefault="00885CC6"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June </w:t>
            </w:r>
            <w:r w:rsidRPr="00885CC6">
              <w:rPr>
                <w:rFonts w:asciiTheme="minorHAnsi" w:eastAsia="Times New Roman" w:hAnsiTheme="minorHAnsi"/>
                <w:iCs/>
                <w:szCs w:val="17"/>
                <w:lang w:eastAsia="en-US"/>
              </w:rPr>
              <w:t>2017 (TBD</w:t>
            </w:r>
            <w:r>
              <w:rPr>
                <w:rFonts w:asciiTheme="minorHAnsi" w:eastAsia="Times New Roman" w:hAnsiTheme="minorHAnsi"/>
                <w:iCs/>
                <w:szCs w:val="17"/>
                <w:lang w:eastAsia="en-US"/>
              </w:rPr>
              <w:t>)</w:t>
            </w:r>
            <w:r w:rsidR="00AF1B85" w:rsidRPr="003B0793">
              <w:rPr>
                <w:rFonts w:asciiTheme="minorHAnsi" w:eastAsia="Times New Roman" w:hAnsiTheme="minorHAnsi"/>
                <w:iCs/>
                <w:szCs w:val="17"/>
                <w:lang w:eastAsia="en-US"/>
              </w:rPr>
              <w:t xml:space="preserve"> </w:t>
            </w:r>
          </w:p>
        </w:tc>
        <w:tc>
          <w:tcPr>
            <w:tcW w:w="2325" w:type="dxa"/>
          </w:tcPr>
          <w:p w14:paraId="0EBB4491" w14:textId="77777777" w:rsidR="00AF1B85" w:rsidRPr="003B0793" w:rsidRDefault="00885CC6" w:rsidP="00885CC6">
            <w:pPr>
              <w:keepLines/>
              <w:spacing w:before="40" w:after="40" w:line="200" w:lineRule="atLeast"/>
              <w:rPr>
                <w:rFonts w:asciiTheme="minorHAnsi" w:eastAsia="Times New Roman" w:hAnsiTheme="minorHAnsi"/>
                <w:iCs/>
                <w:color w:val="000000" w:themeColor="text1" w:themeShade="BF"/>
                <w:szCs w:val="17"/>
                <w:lang w:eastAsia="en-US"/>
              </w:rPr>
            </w:pPr>
            <w:r>
              <w:rPr>
                <w:rFonts w:asciiTheme="minorHAnsi" w:eastAsia="Times New Roman" w:hAnsiTheme="minorHAnsi"/>
                <w:iCs/>
                <w:szCs w:val="17"/>
                <w:lang w:eastAsia="en-US"/>
              </w:rPr>
              <w:t>Verify performance</w:t>
            </w:r>
          </w:p>
        </w:tc>
        <w:tc>
          <w:tcPr>
            <w:tcW w:w="2740" w:type="dxa"/>
          </w:tcPr>
          <w:p w14:paraId="41422E37" w14:textId="77777777" w:rsidR="00AF1B85" w:rsidRPr="003B0793" w:rsidRDefault="00042B15" w:rsidP="00885CC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Independent Completion Report</w:t>
            </w:r>
            <w:r w:rsidR="00885CC6">
              <w:rPr>
                <w:rFonts w:asciiTheme="minorHAnsi" w:eastAsia="Times New Roman" w:hAnsiTheme="minorHAnsi"/>
                <w:iCs/>
                <w:szCs w:val="17"/>
                <w:lang w:eastAsia="en-US"/>
              </w:rPr>
              <w:t xml:space="preserve"> – Partner led</w:t>
            </w:r>
            <w:r w:rsidR="00AF1B85" w:rsidRPr="003B0793">
              <w:rPr>
                <w:rFonts w:asciiTheme="minorHAnsi" w:eastAsia="Times New Roman" w:hAnsiTheme="minorHAnsi"/>
                <w:iCs/>
                <w:szCs w:val="17"/>
                <w:lang w:eastAsia="en-US"/>
              </w:rPr>
              <w:t xml:space="preserve"> </w:t>
            </w:r>
          </w:p>
        </w:tc>
      </w:tr>
    </w:tbl>
    <w:p w14:paraId="7E59C0E3" w14:textId="77777777" w:rsidR="0059146A" w:rsidRDefault="0059146A" w:rsidP="005B5769">
      <w:pPr>
        <w:pStyle w:val="ListBullet"/>
        <w:tabs>
          <w:tab w:val="clear" w:pos="284"/>
        </w:tabs>
      </w:pPr>
    </w:p>
    <w:p w14:paraId="5449CF02" w14:textId="77777777" w:rsidR="005E606B" w:rsidRDefault="005E606B" w:rsidP="005B5769">
      <w:pPr>
        <w:pStyle w:val="ListBullet"/>
        <w:tabs>
          <w:tab w:val="clear" w:pos="284"/>
        </w:tabs>
        <w:sectPr w:rsidR="005E606B" w:rsidSect="00AF1B85">
          <w:headerReference w:type="first" r:id="rId19"/>
          <w:pgSz w:w="16838" w:h="11906" w:orient="landscape" w:code="9"/>
          <w:pgMar w:top="1134" w:right="1952" w:bottom="1134" w:left="851" w:header="1107" w:footer="567" w:gutter="0"/>
          <w:cols w:space="397"/>
          <w:titlePg/>
          <w:docGrid w:linePitch="360"/>
        </w:sectPr>
      </w:pPr>
    </w:p>
    <w:p w14:paraId="2E975406" w14:textId="77777777" w:rsidR="0059146A" w:rsidRDefault="0059146A" w:rsidP="005B5769">
      <w:pPr>
        <w:pStyle w:val="ListBullet"/>
        <w:tabs>
          <w:tab w:val="clear" w:pos="284"/>
        </w:tabs>
      </w:pPr>
    </w:p>
    <w:p w14:paraId="7E7F2AEA" w14:textId="77777777" w:rsidR="005E606B" w:rsidRPr="00A8197B" w:rsidRDefault="005E606B" w:rsidP="00A8197B">
      <w:pPr>
        <w:pStyle w:val="Subtitle"/>
      </w:pPr>
      <w:r w:rsidRPr="00A8197B">
        <w:t>Annex C - Aid Quality Check ratings</w:t>
      </w:r>
    </w:p>
    <w:p w14:paraId="6F9E50CF" w14:textId="77777777"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14:paraId="278F1481" w14:textId="79CBBAD2" w:rsidR="005E606B" w:rsidRPr="00C61187" w:rsidRDefault="005E606B" w:rsidP="00A8197B">
      <w:r w:rsidRPr="00C61187">
        <w:t>AQC investment performance over the previous 12 months and</w:t>
      </w:r>
      <w:r w:rsidR="00037779">
        <w:t>,</w:t>
      </w:r>
      <w:r w:rsidRPr="00C61187">
        <w:t xml:space="preserve"> where available</w:t>
      </w:r>
      <w:r w:rsidR="00037779">
        <w:t>,</w:t>
      </w:r>
      <w:r w:rsidRPr="00C61187">
        <w:t xml:space="preserve"> last</w:t>
      </w:r>
      <w:r>
        <w:t xml:space="preserve"> year’s AQC ratings</w:t>
      </w:r>
      <w:r w:rsidRPr="00C61187">
        <w:t>.</w:t>
      </w:r>
    </w:p>
    <w:tbl>
      <w:tblPr>
        <w:tblStyle w:val="APPR"/>
        <w:tblW w:w="5000" w:type="pct"/>
        <w:tblLook w:val="0000" w:firstRow="0" w:lastRow="0" w:firstColumn="0" w:lastColumn="0" w:noHBand="0" w:noVBand="0"/>
      </w:tblPr>
      <w:tblGrid>
        <w:gridCol w:w="1823"/>
        <w:gridCol w:w="1321"/>
        <w:gridCol w:w="845"/>
        <w:gridCol w:w="849"/>
        <w:gridCol w:w="842"/>
        <w:gridCol w:w="848"/>
        <w:gridCol w:w="842"/>
        <w:gridCol w:w="848"/>
        <w:gridCol w:w="842"/>
        <w:gridCol w:w="850"/>
      </w:tblGrid>
      <w:tr w:rsidR="005E606B" w:rsidRPr="00C61187" w14:paraId="51A71471" w14:textId="77777777" w:rsidTr="000842C3">
        <w:trPr>
          <w:cnfStyle w:val="000000010000" w:firstRow="0" w:lastRow="0" w:firstColumn="0" w:lastColumn="0" w:oddVBand="0" w:evenVBand="0" w:oddHBand="0" w:evenHBand="1" w:firstRowFirstColumn="0" w:firstRowLastColumn="0" w:lastRowFirstColumn="0" w:lastRowLastColumn="0"/>
          <w:trHeight w:val="1413"/>
        </w:trPr>
        <w:tc>
          <w:tcPr>
            <w:tcW w:w="898" w:type="pct"/>
          </w:tcPr>
          <w:p w14:paraId="371263B8"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68480" behindDoc="0" locked="0" layoutInCell="1" allowOverlap="1" wp14:anchorId="50DF7181" wp14:editId="271241EC">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Investment name</w:t>
            </w:r>
          </w:p>
        </w:tc>
        <w:tc>
          <w:tcPr>
            <w:tcW w:w="652" w:type="pct"/>
            <w:textDirection w:val="btLr"/>
          </w:tcPr>
          <w:p w14:paraId="57884EED"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Approved budget and duration</w:t>
            </w:r>
          </w:p>
        </w:tc>
        <w:tc>
          <w:tcPr>
            <w:tcW w:w="412" w:type="pct"/>
            <w:textDirection w:val="btLr"/>
          </w:tcPr>
          <w:p w14:paraId="2348C612"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year on year</w:t>
            </w:r>
          </w:p>
        </w:tc>
        <w:tc>
          <w:tcPr>
            <w:tcW w:w="414" w:type="pct"/>
            <w:textDirection w:val="btLr"/>
          </w:tcPr>
          <w:p w14:paraId="39E37090"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Relevance</w:t>
            </w:r>
          </w:p>
        </w:tc>
        <w:tc>
          <w:tcPr>
            <w:tcW w:w="411" w:type="pct"/>
            <w:textDirection w:val="btLr"/>
          </w:tcPr>
          <w:p w14:paraId="65621DDA"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Effectiveness</w:t>
            </w:r>
          </w:p>
        </w:tc>
        <w:tc>
          <w:tcPr>
            <w:tcW w:w="414" w:type="pct"/>
            <w:textDirection w:val="btLr"/>
          </w:tcPr>
          <w:p w14:paraId="0020105D"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Efficiency</w:t>
            </w:r>
          </w:p>
        </w:tc>
        <w:tc>
          <w:tcPr>
            <w:tcW w:w="411" w:type="pct"/>
            <w:textDirection w:val="btLr"/>
          </w:tcPr>
          <w:p w14:paraId="69205CEE"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Monitoring and Evaluation</w:t>
            </w:r>
          </w:p>
        </w:tc>
        <w:tc>
          <w:tcPr>
            <w:tcW w:w="414" w:type="pct"/>
            <w:textDirection w:val="btLr"/>
          </w:tcPr>
          <w:p w14:paraId="199A098E"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Sustainability</w:t>
            </w:r>
          </w:p>
        </w:tc>
        <w:tc>
          <w:tcPr>
            <w:tcW w:w="411" w:type="pct"/>
            <w:textDirection w:val="btLr"/>
          </w:tcPr>
          <w:p w14:paraId="456D4E73"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Gender equality</w:t>
            </w:r>
          </w:p>
        </w:tc>
        <w:tc>
          <w:tcPr>
            <w:tcW w:w="408" w:type="pct"/>
            <w:textDirection w:val="btLr"/>
          </w:tcPr>
          <w:p w14:paraId="0D675EA8" w14:textId="77777777" w:rsidR="005E606B" w:rsidRPr="003B0793" w:rsidRDefault="005E606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Risks  and Safeguards</w:t>
            </w:r>
          </w:p>
        </w:tc>
      </w:tr>
      <w:tr w:rsidR="005E606B" w:rsidRPr="00C61187" w14:paraId="01AAAE44" w14:textId="77777777" w:rsidTr="000842C3">
        <w:trPr>
          <w:cnfStyle w:val="000000010000" w:firstRow="0" w:lastRow="0" w:firstColumn="0" w:lastColumn="0" w:oddVBand="0" w:evenVBand="0" w:oddHBand="0" w:evenHBand="1" w:firstRowFirstColumn="0" w:firstRowLastColumn="0" w:lastRowFirstColumn="0" w:lastRowLastColumn="0"/>
          <w:trHeight w:val="284"/>
        </w:trPr>
        <w:tc>
          <w:tcPr>
            <w:tcW w:w="898" w:type="pct"/>
            <w:vMerge w:val="restart"/>
          </w:tcPr>
          <w:p w14:paraId="11C822D9" w14:textId="77777777" w:rsidR="005E606B" w:rsidRPr="003B0793" w:rsidRDefault="000842C3" w:rsidP="000842C3">
            <w:pPr>
              <w:keepLines/>
              <w:spacing w:before="40" w:after="40" w:line="200" w:lineRule="atLeast"/>
              <w:rPr>
                <w:rFonts w:asciiTheme="minorHAnsi" w:eastAsia="Times New Roman" w:hAnsiTheme="minorHAnsi"/>
                <w:iCs/>
                <w:szCs w:val="17"/>
                <w:lang w:eastAsia="en-US"/>
              </w:rPr>
            </w:pPr>
            <w:r w:rsidRPr="000842C3">
              <w:rPr>
                <w:rFonts w:asciiTheme="minorHAnsi" w:eastAsia="Times New Roman" w:hAnsiTheme="minorHAnsi"/>
                <w:iCs/>
                <w:szCs w:val="17"/>
                <w:lang w:eastAsia="en-US"/>
              </w:rPr>
              <w:t xml:space="preserve">INK397 - UNICEF WASH in Palestinian Schools </w:t>
            </w:r>
          </w:p>
        </w:tc>
        <w:tc>
          <w:tcPr>
            <w:tcW w:w="652" w:type="pct"/>
            <w:vMerge w:val="restart"/>
          </w:tcPr>
          <w:p w14:paraId="45ED929C" w14:textId="77777777" w:rsidR="005E606B" w:rsidRPr="003B0793" w:rsidRDefault="000842C3" w:rsidP="00D15A00">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$15.1</w:t>
            </w:r>
            <w:r w:rsidR="005E606B" w:rsidRPr="003B0793">
              <w:rPr>
                <w:rFonts w:asciiTheme="minorHAnsi" w:hAnsiTheme="minorHAnsi" w:cs="Franklin Gothic Book"/>
                <w:color w:val="000000"/>
                <w:szCs w:val="17"/>
              </w:rPr>
              <w:t xml:space="preserve">m </w:t>
            </w:r>
          </w:p>
          <w:p w14:paraId="461E31DB" w14:textId="77777777" w:rsidR="005E606B" w:rsidRPr="003B0793" w:rsidRDefault="000842C3"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2011</w:t>
            </w:r>
            <w:r w:rsidR="005E606B" w:rsidRPr="003B0793">
              <w:rPr>
                <w:rFonts w:asciiTheme="minorHAnsi" w:eastAsia="Times New Roman" w:hAnsiTheme="minorHAnsi"/>
                <w:iCs/>
                <w:szCs w:val="17"/>
                <w:lang w:eastAsia="en-US"/>
              </w:rPr>
              <w:t xml:space="preserve">-17 </w:t>
            </w:r>
          </w:p>
        </w:tc>
        <w:tc>
          <w:tcPr>
            <w:tcW w:w="412" w:type="pct"/>
          </w:tcPr>
          <w:p w14:paraId="0F6B6778" w14:textId="77777777" w:rsidR="005E606B" w:rsidRPr="003B0793" w:rsidRDefault="005E606B"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2016 AQC</w:t>
            </w:r>
          </w:p>
        </w:tc>
        <w:tc>
          <w:tcPr>
            <w:tcW w:w="414" w:type="pct"/>
            <w:shd w:val="clear" w:color="auto" w:fill="92D050"/>
            <w:noWrap/>
          </w:tcPr>
          <w:p w14:paraId="266D0FF5" w14:textId="77777777" w:rsidR="005E606B" w:rsidRPr="003B0793" w:rsidRDefault="005E606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5</w:t>
            </w:r>
          </w:p>
        </w:tc>
        <w:tc>
          <w:tcPr>
            <w:tcW w:w="411" w:type="pct"/>
            <w:shd w:val="clear" w:color="auto" w:fill="92D050"/>
            <w:noWrap/>
          </w:tcPr>
          <w:p w14:paraId="4109E7AC" w14:textId="77777777" w:rsidR="005E606B" w:rsidRPr="003B0793" w:rsidRDefault="000842C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shd w:val="clear" w:color="auto" w:fill="92D050"/>
            <w:noWrap/>
          </w:tcPr>
          <w:p w14:paraId="340977C5" w14:textId="77777777" w:rsidR="005E606B" w:rsidRPr="003B0793" w:rsidRDefault="000842C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92D050"/>
            <w:noWrap/>
          </w:tcPr>
          <w:p w14:paraId="6A448293" w14:textId="77777777" w:rsidR="005E606B" w:rsidRPr="003B0793" w:rsidRDefault="000842C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shd w:val="clear" w:color="auto" w:fill="92D050"/>
            <w:noWrap/>
          </w:tcPr>
          <w:p w14:paraId="61524294" w14:textId="77777777" w:rsidR="005E606B" w:rsidRPr="003B0793" w:rsidRDefault="000842C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shd w:val="clear" w:color="auto" w:fill="92D050"/>
            <w:noWrap/>
          </w:tcPr>
          <w:p w14:paraId="2BD1074D" w14:textId="77777777" w:rsidR="005E606B" w:rsidRPr="003B0793" w:rsidRDefault="000842C3"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8" w:type="pct"/>
            <w:shd w:val="clear" w:color="auto" w:fill="92D050"/>
          </w:tcPr>
          <w:p w14:paraId="0D11DF28" w14:textId="77777777" w:rsidR="005E606B" w:rsidRPr="003B0793" w:rsidRDefault="000842C3" w:rsidP="000842C3">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064CF5" w:rsidRPr="00C61187" w14:paraId="320AAF5F" w14:textId="77777777" w:rsidTr="00064CF5">
        <w:trPr>
          <w:cnfStyle w:val="000000010000" w:firstRow="0" w:lastRow="0" w:firstColumn="0" w:lastColumn="0" w:oddVBand="0" w:evenVBand="0" w:oddHBand="0" w:evenHBand="1" w:firstRowFirstColumn="0" w:firstRowLastColumn="0" w:lastRowFirstColumn="0" w:lastRowLastColumn="0"/>
          <w:trHeight w:val="284"/>
        </w:trPr>
        <w:tc>
          <w:tcPr>
            <w:tcW w:w="898" w:type="pct"/>
            <w:vMerge/>
            <w:tcBorders>
              <w:bottom w:val="single" w:sz="4" w:space="0" w:color="auto"/>
            </w:tcBorders>
          </w:tcPr>
          <w:p w14:paraId="0BEC2B0B" w14:textId="77777777" w:rsidR="005E606B" w:rsidRPr="003B0793" w:rsidRDefault="005E606B" w:rsidP="00D15A00">
            <w:pPr>
              <w:keepLines/>
              <w:spacing w:before="40" w:after="40" w:line="200" w:lineRule="atLeast"/>
              <w:rPr>
                <w:rFonts w:asciiTheme="minorHAnsi" w:eastAsia="Times New Roman" w:hAnsiTheme="minorHAnsi"/>
                <w:iCs/>
                <w:szCs w:val="17"/>
                <w:lang w:eastAsia="en-US"/>
              </w:rPr>
            </w:pPr>
          </w:p>
        </w:tc>
        <w:tc>
          <w:tcPr>
            <w:tcW w:w="652" w:type="pct"/>
            <w:vMerge/>
            <w:tcBorders>
              <w:bottom w:val="single" w:sz="4" w:space="0" w:color="auto"/>
            </w:tcBorders>
          </w:tcPr>
          <w:p w14:paraId="7E3BEB49" w14:textId="77777777" w:rsidR="005E606B" w:rsidRPr="003B0793" w:rsidRDefault="005E606B" w:rsidP="00D15A00">
            <w:pPr>
              <w:keepLines/>
              <w:spacing w:before="40" w:after="40" w:line="200" w:lineRule="atLeast"/>
              <w:rPr>
                <w:rFonts w:asciiTheme="minorHAnsi" w:eastAsia="Times New Roman" w:hAnsiTheme="minorHAnsi"/>
                <w:iCs/>
                <w:szCs w:val="17"/>
                <w:lang w:eastAsia="en-US"/>
              </w:rPr>
            </w:pPr>
          </w:p>
        </w:tc>
        <w:tc>
          <w:tcPr>
            <w:tcW w:w="412" w:type="pct"/>
            <w:tcBorders>
              <w:bottom w:val="single" w:sz="4" w:space="0" w:color="auto"/>
            </w:tcBorders>
          </w:tcPr>
          <w:p w14:paraId="5BBE3962" w14:textId="77777777" w:rsidR="005E606B" w:rsidRPr="003B0793" w:rsidRDefault="005E606B" w:rsidP="00D15A00">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2015 AQC</w:t>
            </w:r>
          </w:p>
        </w:tc>
        <w:tc>
          <w:tcPr>
            <w:tcW w:w="414" w:type="pct"/>
            <w:tcBorders>
              <w:bottom w:val="single" w:sz="4" w:space="0" w:color="auto"/>
            </w:tcBorders>
            <w:shd w:val="clear" w:color="auto" w:fill="92D050"/>
            <w:noWrap/>
          </w:tcPr>
          <w:p w14:paraId="2BAC487C" w14:textId="77777777" w:rsidR="005E606B" w:rsidRPr="003B0793" w:rsidRDefault="005E606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5</w:t>
            </w:r>
          </w:p>
        </w:tc>
        <w:tc>
          <w:tcPr>
            <w:tcW w:w="411" w:type="pct"/>
            <w:tcBorders>
              <w:bottom w:val="single" w:sz="4" w:space="0" w:color="auto"/>
            </w:tcBorders>
            <w:shd w:val="clear" w:color="auto" w:fill="92D050"/>
            <w:noWrap/>
          </w:tcPr>
          <w:p w14:paraId="0B657566" w14:textId="77777777" w:rsidR="005E606B" w:rsidRPr="003B0793" w:rsidRDefault="00064CF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4" w:type="pct"/>
            <w:tcBorders>
              <w:bottom w:val="single" w:sz="4" w:space="0" w:color="auto"/>
            </w:tcBorders>
            <w:shd w:val="clear" w:color="auto" w:fill="92D050"/>
            <w:noWrap/>
          </w:tcPr>
          <w:p w14:paraId="4E556DF2" w14:textId="77777777" w:rsidR="005E606B" w:rsidRPr="003B0793" w:rsidRDefault="00064CF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1" w:type="pct"/>
            <w:tcBorders>
              <w:bottom w:val="single" w:sz="4" w:space="0" w:color="auto"/>
            </w:tcBorders>
            <w:shd w:val="clear" w:color="auto" w:fill="FFFF00"/>
            <w:noWrap/>
          </w:tcPr>
          <w:p w14:paraId="3E67B6FA" w14:textId="77777777" w:rsidR="005E606B" w:rsidRPr="003B0793" w:rsidRDefault="00064CF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4" w:type="pct"/>
            <w:tcBorders>
              <w:bottom w:val="single" w:sz="4" w:space="0" w:color="auto"/>
            </w:tcBorders>
            <w:shd w:val="clear" w:color="auto" w:fill="FFFF00"/>
            <w:noWrap/>
          </w:tcPr>
          <w:p w14:paraId="2BE37B66" w14:textId="77777777" w:rsidR="005E606B" w:rsidRPr="003B0793" w:rsidRDefault="00064CF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1" w:type="pct"/>
            <w:tcBorders>
              <w:bottom w:val="single" w:sz="4" w:space="0" w:color="auto"/>
            </w:tcBorders>
            <w:shd w:val="clear" w:color="auto" w:fill="92D050"/>
            <w:noWrap/>
          </w:tcPr>
          <w:p w14:paraId="5101C515" w14:textId="77777777" w:rsidR="005E606B" w:rsidRPr="003B0793" w:rsidRDefault="00064CF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8" w:type="pct"/>
            <w:tcBorders>
              <w:bottom w:val="single" w:sz="4" w:space="0" w:color="auto"/>
            </w:tcBorders>
            <w:shd w:val="clear" w:color="auto" w:fill="92D050"/>
          </w:tcPr>
          <w:p w14:paraId="4BF285FA" w14:textId="77777777" w:rsidR="005E606B" w:rsidRPr="003B0793" w:rsidRDefault="00064CF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bl>
    <w:p w14:paraId="5EF6AA66" w14:textId="77777777" w:rsidR="005E606B" w:rsidRPr="00C61187" w:rsidRDefault="005E606B" w:rsidP="005E606B">
      <w:pPr>
        <w:rPr>
          <w:iCs/>
        </w:rPr>
      </w:pPr>
    </w:p>
    <w:p w14:paraId="37F3F18F" w14:textId="77777777"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 xml:space="preserve">FAQC ratings </w:t>
      </w:r>
    </w:p>
    <w:p w14:paraId="2486C102" w14:textId="77777777" w:rsidR="00A8197B" w:rsidRPr="00C61187" w:rsidRDefault="00A8197B" w:rsidP="00A8197B">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1819"/>
        <w:gridCol w:w="1321"/>
        <w:gridCol w:w="847"/>
        <w:gridCol w:w="845"/>
        <w:gridCol w:w="847"/>
        <w:gridCol w:w="845"/>
        <w:gridCol w:w="846"/>
        <w:gridCol w:w="844"/>
        <w:gridCol w:w="846"/>
        <w:gridCol w:w="850"/>
      </w:tblGrid>
      <w:tr w:rsidR="00A8197B" w:rsidRPr="003B0793" w14:paraId="0E0FCE08" w14:textId="77777777" w:rsidTr="00D15A00">
        <w:trPr>
          <w:cnfStyle w:val="000000010000" w:firstRow="0" w:lastRow="0" w:firstColumn="0" w:lastColumn="0" w:oddVBand="0" w:evenVBand="0" w:oddHBand="0" w:evenHBand="1" w:firstRowFirstColumn="0" w:firstRowLastColumn="0" w:lastRowFirstColumn="0" w:lastRowLastColumn="0"/>
          <w:trHeight w:val="1505"/>
        </w:trPr>
        <w:tc>
          <w:tcPr>
            <w:tcW w:w="905" w:type="pct"/>
          </w:tcPr>
          <w:p w14:paraId="60A73D32"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72576" behindDoc="0" locked="0" layoutInCell="1" allowOverlap="1" wp14:anchorId="0F5BBECA" wp14:editId="4DB30753">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Investment name</w:t>
            </w:r>
          </w:p>
        </w:tc>
        <w:tc>
          <w:tcPr>
            <w:tcW w:w="658" w:type="pct"/>
            <w:textDirection w:val="btLr"/>
          </w:tcPr>
          <w:p w14:paraId="0AE38E58"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Approved budget and duration</w:t>
            </w:r>
          </w:p>
        </w:tc>
        <w:tc>
          <w:tcPr>
            <w:tcW w:w="417" w:type="pct"/>
            <w:noWrap/>
            <w:textDirection w:val="btLr"/>
          </w:tcPr>
          <w:p w14:paraId="56D87E04"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Overall rating</w:t>
            </w:r>
          </w:p>
        </w:tc>
        <w:tc>
          <w:tcPr>
            <w:tcW w:w="416" w:type="pct"/>
            <w:noWrap/>
            <w:textDirection w:val="btLr"/>
          </w:tcPr>
          <w:p w14:paraId="4A673432"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Relevance</w:t>
            </w:r>
          </w:p>
        </w:tc>
        <w:tc>
          <w:tcPr>
            <w:tcW w:w="417" w:type="pct"/>
            <w:noWrap/>
            <w:textDirection w:val="btLr"/>
          </w:tcPr>
          <w:p w14:paraId="744A4CB6"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Effectiveness</w:t>
            </w:r>
          </w:p>
        </w:tc>
        <w:tc>
          <w:tcPr>
            <w:tcW w:w="416" w:type="pct"/>
            <w:noWrap/>
            <w:textDirection w:val="btLr"/>
          </w:tcPr>
          <w:p w14:paraId="616DC732"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Efficiency</w:t>
            </w:r>
          </w:p>
        </w:tc>
        <w:tc>
          <w:tcPr>
            <w:tcW w:w="417" w:type="pct"/>
            <w:noWrap/>
            <w:textDirection w:val="btLr"/>
          </w:tcPr>
          <w:p w14:paraId="4B7FA45A"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Monitoring and Evaluation</w:t>
            </w:r>
          </w:p>
        </w:tc>
        <w:tc>
          <w:tcPr>
            <w:tcW w:w="416" w:type="pct"/>
            <w:noWrap/>
            <w:textDirection w:val="btLr"/>
          </w:tcPr>
          <w:p w14:paraId="7AD0ECB4"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Sustainability</w:t>
            </w:r>
          </w:p>
        </w:tc>
        <w:tc>
          <w:tcPr>
            <w:tcW w:w="417" w:type="pct"/>
            <w:textDirection w:val="btLr"/>
          </w:tcPr>
          <w:p w14:paraId="3C15B7B1"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Gender equality</w:t>
            </w:r>
          </w:p>
        </w:tc>
        <w:tc>
          <w:tcPr>
            <w:tcW w:w="412" w:type="pct"/>
            <w:textDirection w:val="btLr"/>
          </w:tcPr>
          <w:p w14:paraId="2834D659" w14:textId="77777777" w:rsidR="00A8197B" w:rsidRPr="003B0793" w:rsidRDefault="00A8197B" w:rsidP="00D15A00">
            <w:pPr>
              <w:keepLines/>
              <w:spacing w:before="80" w:after="80" w:line="200" w:lineRule="atLeast"/>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Risks  and Safeguards</w:t>
            </w:r>
          </w:p>
        </w:tc>
      </w:tr>
      <w:tr w:rsidR="00A8197B" w:rsidRPr="003B0793" w14:paraId="7B147761" w14:textId="77777777" w:rsidTr="00E66D7A">
        <w:trPr>
          <w:cnfStyle w:val="000000010000" w:firstRow="0" w:lastRow="0" w:firstColumn="0" w:lastColumn="0" w:oddVBand="0" w:evenVBand="0" w:oddHBand="0" w:evenHBand="1" w:firstRowFirstColumn="0" w:firstRowLastColumn="0" w:lastRowFirstColumn="0" w:lastRowLastColumn="0"/>
          <w:trHeight w:val="284"/>
        </w:trPr>
        <w:tc>
          <w:tcPr>
            <w:tcW w:w="905" w:type="pct"/>
          </w:tcPr>
          <w:p w14:paraId="0F5FB724" w14:textId="77777777" w:rsidR="00A8197B" w:rsidRPr="003B0793" w:rsidRDefault="000842C3" w:rsidP="00D15A00">
            <w:pPr>
              <w:keepLines/>
              <w:spacing w:before="40" w:after="40" w:line="200" w:lineRule="atLeast"/>
              <w:rPr>
                <w:rFonts w:asciiTheme="minorHAnsi" w:eastAsia="Times New Roman" w:hAnsiTheme="minorHAnsi"/>
                <w:iCs/>
                <w:szCs w:val="17"/>
                <w:lang w:eastAsia="en-US"/>
              </w:rPr>
            </w:pPr>
            <w:r w:rsidRPr="000842C3">
              <w:rPr>
                <w:rFonts w:asciiTheme="minorHAnsi" w:eastAsia="Times New Roman" w:hAnsiTheme="minorHAnsi"/>
                <w:iCs/>
                <w:szCs w:val="17"/>
                <w:lang w:eastAsia="en-US"/>
              </w:rPr>
              <w:t>INJ843 - Australia- PA Partnership Arrangement</w:t>
            </w:r>
          </w:p>
        </w:tc>
        <w:tc>
          <w:tcPr>
            <w:tcW w:w="658" w:type="pct"/>
          </w:tcPr>
          <w:p w14:paraId="66019653" w14:textId="77777777" w:rsidR="00A8197B" w:rsidRPr="003B0793" w:rsidRDefault="00A8197B" w:rsidP="00D15A00">
            <w:pPr>
              <w:autoSpaceDE w:val="0"/>
              <w:autoSpaceDN w:val="0"/>
              <w:adjustRightInd w:val="0"/>
              <w:rPr>
                <w:rFonts w:asciiTheme="minorHAnsi" w:hAnsiTheme="minorHAnsi" w:cs="Franklin Gothic Book"/>
                <w:color w:val="000000"/>
                <w:szCs w:val="17"/>
              </w:rPr>
            </w:pPr>
            <w:r w:rsidRPr="003B0793">
              <w:rPr>
                <w:rFonts w:asciiTheme="minorHAnsi" w:hAnsiTheme="minorHAnsi" w:cs="Franklin Gothic Book"/>
                <w:color w:val="000000"/>
                <w:szCs w:val="17"/>
              </w:rPr>
              <w:t>$</w:t>
            </w:r>
            <w:r w:rsidR="000842C3">
              <w:rPr>
                <w:rFonts w:asciiTheme="minorHAnsi" w:hAnsiTheme="minorHAnsi" w:cs="Franklin Gothic Book"/>
                <w:color w:val="000000"/>
                <w:szCs w:val="17"/>
              </w:rPr>
              <w:t>98.5 million</w:t>
            </w:r>
            <w:r w:rsidRPr="003B0793">
              <w:rPr>
                <w:rFonts w:asciiTheme="minorHAnsi" w:hAnsiTheme="minorHAnsi" w:cs="Franklin Gothic Book"/>
                <w:color w:val="000000"/>
                <w:szCs w:val="17"/>
              </w:rPr>
              <w:t xml:space="preserve"> </w:t>
            </w:r>
          </w:p>
          <w:p w14:paraId="65F0DB79" w14:textId="77777777" w:rsidR="00A8197B" w:rsidRPr="003B0793" w:rsidRDefault="000842C3"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2011-16</w:t>
            </w:r>
            <w:r w:rsidR="00A8197B" w:rsidRPr="003B0793">
              <w:rPr>
                <w:rFonts w:asciiTheme="minorHAnsi" w:eastAsia="Times New Roman" w:hAnsiTheme="minorHAnsi"/>
                <w:iCs/>
                <w:szCs w:val="17"/>
                <w:lang w:eastAsia="en-US"/>
              </w:rPr>
              <w:t xml:space="preserve"> </w:t>
            </w:r>
          </w:p>
        </w:tc>
        <w:tc>
          <w:tcPr>
            <w:tcW w:w="417" w:type="pct"/>
            <w:shd w:val="clear" w:color="auto" w:fill="FFFF00"/>
            <w:noWrap/>
          </w:tcPr>
          <w:p w14:paraId="64208B52" w14:textId="77777777" w:rsidR="00A8197B" w:rsidRPr="003B0793" w:rsidRDefault="00A8197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c>
          <w:tcPr>
            <w:tcW w:w="416" w:type="pct"/>
            <w:shd w:val="clear" w:color="auto" w:fill="92D050"/>
            <w:noWrap/>
          </w:tcPr>
          <w:p w14:paraId="4F8DA4E0" w14:textId="77777777" w:rsidR="00A8197B" w:rsidRPr="003B0793" w:rsidRDefault="00A8197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5</w:t>
            </w:r>
          </w:p>
        </w:tc>
        <w:tc>
          <w:tcPr>
            <w:tcW w:w="417" w:type="pct"/>
            <w:shd w:val="clear" w:color="auto" w:fill="FFFF00"/>
            <w:noWrap/>
          </w:tcPr>
          <w:p w14:paraId="07FB0849" w14:textId="77777777" w:rsidR="00A8197B" w:rsidRPr="003B0793" w:rsidRDefault="00A8197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c>
          <w:tcPr>
            <w:tcW w:w="416" w:type="pct"/>
            <w:shd w:val="clear" w:color="auto" w:fill="FFFF00"/>
            <w:noWrap/>
          </w:tcPr>
          <w:p w14:paraId="44798301" w14:textId="77777777" w:rsidR="00A8197B" w:rsidRPr="003B0793" w:rsidRDefault="00E66D7A"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7" w:type="pct"/>
            <w:shd w:val="clear" w:color="auto" w:fill="92D050"/>
            <w:noWrap/>
          </w:tcPr>
          <w:p w14:paraId="04A396D5" w14:textId="77777777" w:rsidR="00A8197B" w:rsidRPr="003B0793" w:rsidRDefault="00E66D7A"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6" w:type="pct"/>
            <w:shd w:val="clear" w:color="auto" w:fill="EEB500"/>
            <w:noWrap/>
          </w:tcPr>
          <w:p w14:paraId="12DE1836" w14:textId="77777777" w:rsidR="00A8197B" w:rsidRPr="003B0793" w:rsidRDefault="00E66D7A"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417" w:type="pct"/>
            <w:shd w:val="clear" w:color="auto" w:fill="FFFF00"/>
          </w:tcPr>
          <w:p w14:paraId="6D53973F" w14:textId="77777777" w:rsidR="00A8197B" w:rsidRPr="003B0793" w:rsidRDefault="00A8197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4</w:t>
            </w:r>
          </w:p>
        </w:tc>
        <w:tc>
          <w:tcPr>
            <w:tcW w:w="412" w:type="pct"/>
            <w:shd w:val="clear" w:color="auto" w:fill="92D050"/>
          </w:tcPr>
          <w:p w14:paraId="3ADE3E9A" w14:textId="77777777" w:rsidR="00A8197B" w:rsidRPr="003B0793" w:rsidRDefault="00A8197B" w:rsidP="00D15A00">
            <w:pPr>
              <w:keepLines/>
              <w:spacing w:before="40" w:after="40" w:line="200" w:lineRule="atLeast"/>
              <w:jc w:val="center"/>
              <w:rPr>
                <w:rFonts w:asciiTheme="minorHAnsi" w:eastAsia="Times New Roman" w:hAnsiTheme="minorHAnsi"/>
                <w:iCs/>
                <w:szCs w:val="17"/>
                <w:lang w:eastAsia="en-US"/>
              </w:rPr>
            </w:pPr>
            <w:r w:rsidRPr="003B0793">
              <w:rPr>
                <w:rFonts w:asciiTheme="minorHAnsi" w:eastAsia="Times New Roman" w:hAnsiTheme="minorHAnsi"/>
                <w:iCs/>
                <w:szCs w:val="17"/>
                <w:lang w:eastAsia="en-US"/>
              </w:rPr>
              <w:t>5</w:t>
            </w:r>
          </w:p>
        </w:tc>
      </w:tr>
    </w:tbl>
    <w:p w14:paraId="5B34B17B" w14:textId="77777777" w:rsidR="00A8197B" w:rsidRPr="003B0793" w:rsidRDefault="00A8197B" w:rsidP="00A8197B">
      <w:pPr>
        <w:spacing w:before="20" w:after="20" w:line="180" w:lineRule="atLeast"/>
        <w:jc w:val="both"/>
        <w:rPr>
          <w:rFonts w:eastAsia="Times New Roman"/>
          <w:b/>
          <w:sz w:val="16"/>
          <w:szCs w:val="14"/>
        </w:rPr>
      </w:pPr>
    </w:p>
    <w:p w14:paraId="0F89B572" w14:textId="77777777" w:rsidR="00A8197B" w:rsidRPr="003B0793" w:rsidRDefault="00A8197B" w:rsidP="00A8197B">
      <w:pPr>
        <w:spacing w:before="20" w:after="20" w:line="180" w:lineRule="atLeast"/>
        <w:jc w:val="both"/>
        <w:rPr>
          <w:rFonts w:eastAsia="Times New Roman"/>
          <w:b/>
          <w:sz w:val="16"/>
          <w:szCs w:val="14"/>
        </w:rPr>
      </w:pPr>
      <w:r w:rsidRPr="003B0793">
        <w:rPr>
          <w:rFonts w:eastAsia="Times New Roman"/>
          <w:b/>
          <w:sz w:val="16"/>
          <w:szCs w:val="14"/>
        </w:rPr>
        <w:t>Definitions of rating scale:</w:t>
      </w:r>
      <w:r w:rsidRPr="003B0793">
        <w:rPr>
          <w:rFonts w:eastAsia="Times New Roman"/>
          <w:b/>
          <w:sz w:val="16"/>
          <w:szCs w:val="14"/>
        </w:rPr>
        <w:tab/>
      </w:r>
    </w:p>
    <w:p w14:paraId="31029043" w14:textId="77777777" w:rsidR="00A8197B" w:rsidRPr="003B0793" w:rsidRDefault="00A8197B" w:rsidP="00A8197B">
      <w:pPr>
        <w:spacing w:before="20" w:after="20" w:line="180" w:lineRule="atLeast"/>
        <w:jc w:val="both"/>
        <w:rPr>
          <w:rFonts w:eastAsia="Times New Roman"/>
          <w:b/>
          <w:sz w:val="16"/>
          <w:szCs w:val="14"/>
        </w:rPr>
      </w:pPr>
      <w:r w:rsidRPr="003B0793">
        <w:rPr>
          <w:rFonts w:eastAsia="Times New Roman"/>
          <w:b/>
          <w:sz w:val="16"/>
          <w:szCs w:val="14"/>
        </w:rPr>
        <w:t>Satisfactory (4, 5 and 6)</w:t>
      </w:r>
    </w:p>
    <w:p w14:paraId="4A651682" w14:textId="77777777" w:rsidR="00A8197B" w:rsidRPr="003B0793" w:rsidRDefault="00A8197B" w:rsidP="00A8197B">
      <w:pPr>
        <w:spacing w:before="20" w:after="2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xml:space="preserve"> 6 = Very good; satisfies criteria in all areas.  </w:t>
      </w:r>
      <w:r w:rsidRPr="003B0793">
        <w:rPr>
          <w:rFonts w:eastAsia="Times New Roman"/>
          <w:b/>
          <w:color w:val="72AF2F"/>
          <w:sz w:val="16"/>
          <w:szCs w:val="14"/>
        </w:rPr>
        <w:sym w:font="Webdings" w:char="F067"/>
      </w:r>
      <w:r w:rsidRPr="003B0793">
        <w:rPr>
          <w:rFonts w:eastAsia="Times New Roman"/>
          <w:b/>
          <w:sz w:val="16"/>
          <w:szCs w:val="14"/>
        </w:rPr>
        <w:t xml:space="preserve"> 5 = Good; satisfies criteria in almost all areas.</w:t>
      </w:r>
    </w:p>
    <w:p w14:paraId="231D4D99" w14:textId="77777777" w:rsidR="00A8197B" w:rsidRPr="003B0793" w:rsidRDefault="00A8197B" w:rsidP="00A8197B">
      <w:pPr>
        <w:spacing w:before="20" w:after="20" w:line="180" w:lineRule="atLeast"/>
        <w:jc w:val="both"/>
        <w:rPr>
          <w:rFonts w:eastAsia="Times New Roman"/>
          <w:b/>
          <w:sz w:val="16"/>
          <w:szCs w:val="14"/>
        </w:rPr>
      </w:pPr>
      <w:r w:rsidRPr="003B0793">
        <w:rPr>
          <w:rFonts w:eastAsia="Times New Roman"/>
          <w:b/>
          <w:color w:val="FFFF00"/>
          <w:sz w:val="16"/>
          <w:szCs w:val="14"/>
        </w:rPr>
        <w:sym w:font="Webdings" w:char="F067"/>
      </w:r>
      <w:r w:rsidRPr="003B0793">
        <w:rPr>
          <w:rFonts w:eastAsia="Times New Roman"/>
          <w:b/>
          <w:sz w:val="16"/>
          <w:szCs w:val="14"/>
        </w:rPr>
        <w:t xml:space="preserve"> 4 = Adequate; on balance, satisfies criteria; does not fail in any major area.</w:t>
      </w:r>
    </w:p>
    <w:p w14:paraId="3636AE4A" w14:textId="77777777" w:rsidR="00A8197B" w:rsidRPr="003B0793" w:rsidRDefault="00A8197B" w:rsidP="00A8197B">
      <w:pPr>
        <w:spacing w:before="20" w:after="20" w:line="180" w:lineRule="atLeast"/>
        <w:jc w:val="both"/>
        <w:rPr>
          <w:rFonts w:eastAsia="Times New Roman"/>
          <w:b/>
          <w:sz w:val="16"/>
          <w:szCs w:val="14"/>
        </w:rPr>
      </w:pPr>
      <w:r w:rsidRPr="003B0793">
        <w:rPr>
          <w:rFonts w:eastAsia="Times New Roman"/>
          <w:b/>
          <w:sz w:val="16"/>
          <w:szCs w:val="14"/>
        </w:rPr>
        <w:t>Less than satisfactory (1, 2 and 3)</w:t>
      </w:r>
    </w:p>
    <w:p w14:paraId="6AC92033" w14:textId="77777777" w:rsidR="00A8197B" w:rsidRPr="003B0793" w:rsidRDefault="00A8197B" w:rsidP="00A8197B">
      <w:pPr>
        <w:spacing w:before="20" w:after="2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color w:val="E36C0A"/>
          <w:sz w:val="16"/>
          <w:szCs w:val="14"/>
        </w:rPr>
        <w:t xml:space="preserve"> </w:t>
      </w:r>
      <w:r w:rsidRPr="003B0793">
        <w:rPr>
          <w:rFonts w:eastAsia="Times New Roman"/>
          <w:b/>
          <w:sz w:val="16"/>
          <w:szCs w:val="14"/>
        </w:rPr>
        <w:t>3 = Less than adequate; on balance does not satisfy criteria and/or fails in at least one major area.</w:t>
      </w:r>
    </w:p>
    <w:p w14:paraId="40E54421" w14:textId="77777777" w:rsidR="00A8197B" w:rsidRPr="003B0793" w:rsidRDefault="00A8197B" w:rsidP="00A8197B">
      <w:pPr>
        <w:spacing w:before="20" w:after="20" w:line="180" w:lineRule="atLeast"/>
        <w:rPr>
          <w:sz w:val="24"/>
        </w:rPr>
      </w:pPr>
      <w:r w:rsidRPr="003B0793">
        <w:rPr>
          <w:rFonts w:eastAsia="Times New Roman"/>
          <w:b/>
          <w:color w:val="FF0000"/>
          <w:sz w:val="16"/>
          <w:szCs w:val="14"/>
        </w:rPr>
        <w:sym w:font="Webdings" w:char="F067"/>
      </w:r>
      <w:r w:rsidRPr="003B0793">
        <w:rPr>
          <w:rFonts w:eastAsia="Times New Roman"/>
          <w:b/>
          <w:sz w:val="16"/>
          <w:szCs w:val="14"/>
        </w:rPr>
        <w:t xml:space="preserve"> 2 = Poor; does not satisfy criteria in major areas.  </w:t>
      </w:r>
      <w:r w:rsidRPr="003B0793">
        <w:rPr>
          <w:rFonts w:eastAsia="Times New Roman"/>
          <w:b/>
          <w:color w:val="FF0000"/>
          <w:sz w:val="16"/>
          <w:szCs w:val="14"/>
        </w:rPr>
        <w:sym w:font="Webdings" w:char="F067"/>
      </w:r>
      <w:r w:rsidRPr="003B0793">
        <w:rPr>
          <w:rFonts w:eastAsia="Times New Roman"/>
          <w:b/>
          <w:sz w:val="16"/>
          <w:szCs w:val="14"/>
        </w:rPr>
        <w:t xml:space="preserve"> 1 = Very poor; does not satisfy criteria in many major area.</w:t>
      </w:r>
    </w:p>
    <w:p w14:paraId="36738CB7" w14:textId="77777777" w:rsidR="00A8197B" w:rsidRPr="003B0793" w:rsidRDefault="00A8197B" w:rsidP="00A8197B">
      <w:pPr>
        <w:pStyle w:val="ListBullet"/>
        <w:tabs>
          <w:tab w:val="clear" w:pos="284"/>
        </w:tabs>
        <w:rPr>
          <w:rFonts w:asciiTheme="minorHAnsi" w:hAnsiTheme="minorHAnsi"/>
        </w:rPr>
      </w:pPr>
    </w:p>
    <w:p w14:paraId="765E9385" w14:textId="77777777" w:rsidR="00015316" w:rsidRDefault="00015316" w:rsidP="00E801F9">
      <w:pPr>
        <w:pStyle w:val="ListBullet"/>
        <w:tabs>
          <w:tab w:val="clear" w:pos="284"/>
        </w:tabs>
      </w:pPr>
    </w:p>
    <w:sectPr w:rsidR="00015316" w:rsidSect="009D1563">
      <w:headerReference w:type="default" r:id="rId20"/>
      <w:headerReference w:type="first" r:id="rId21"/>
      <w:pgSz w:w="11906" w:h="16838" w:code="9"/>
      <w:pgMar w:top="1669" w:right="1134" w:bottom="851" w:left="1134" w:header="1107" w:footer="1048"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CA42B" w14:textId="77777777" w:rsidR="008716B2" w:rsidRDefault="008716B2" w:rsidP="00EF4574">
      <w:pPr>
        <w:spacing w:before="0" w:after="0" w:line="240" w:lineRule="auto"/>
      </w:pPr>
      <w:r>
        <w:separator/>
      </w:r>
    </w:p>
  </w:endnote>
  <w:endnote w:type="continuationSeparator" w:id="0">
    <w:p w14:paraId="0CDB2A66" w14:textId="77777777" w:rsidR="008716B2" w:rsidRDefault="008716B2" w:rsidP="00EF4574">
      <w:pPr>
        <w:spacing w:before="0" w:after="0" w:line="240" w:lineRule="auto"/>
      </w:pPr>
      <w:r>
        <w:continuationSeparator/>
      </w:r>
    </w:p>
  </w:endnote>
  <w:endnote w:type="continuationNotice" w:id="1">
    <w:p w14:paraId="55F80E07" w14:textId="77777777" w:rsidR="008716B2" w:rsidRDefault="008716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11608" w14:textId="77777777" w:rsidR="000948A8" w:rsidRDefault="00094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29461"/>
      <w:docPartObj>
        <w:docPartGallery w:val="Page Numbers (Bottom of Page)"/>
        <w:docPartUnique/>
      </w:docPartObj>
    </w:sdtPr>
    <w:sdtEndPr>
      <w:rPr>
        <w:noProof/>
      </w:rPr>
    </w:sdtEndPr>
    <w:sdtContent>
      <w:p w14:paraId="2005120D" w14:textId="77777777" w:rsidR="00521F62" w:rsidRDefault="00521F62">
        <w:pPr>
          <w:pStyle w:val="Footer"/>
        </w:pPr>
        <w:r>
          <w:fldChar w:fldCharType="begin"/>
        </w:r>
        <w:r>
          <w:instrText xml:space="preserve"> PAGE   \* MERGEFORMAT </w:instrText>
        </w:r>
        <w:r>
          <w:fldChar w:fldCharType="separate"/>
        </w:r>
        <w:r w:rsidR="00270001">
          <w:rPr>
            <w:noProof/>
          </w:rPr>
          <w:t>8</w:t>
        </w:r>
        <w:r>
          <w:rPr>
            <w:noProof/>
          </w:rPr>
          <w:fldChar w:fldCharType="end"/>
        </w:r>
      </w:p>
    </w:sdtContent>
  </w:sdt>
  <w:p w14:paraId="7D9242ED" w14:textId="77777777" w:rsidR="00521F62" w:rsidRDefault="00521F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75F74" w14:textId="08120E35" w:rsidR="00521F62" w:rsidRDefault="00D828F3">
    <w:pPr>
      <w:pStyle w:val="Footer"/>
    </w:pPr>
    <w:r>
      <w:t xml:space="preserve">   </w:t>
    </w:r>
    <w:sdt>
      <w:sdtPr>
        <w:id w:val="917671132"/>
        <w:docPartObj>
          <w:docPartGallery w:val="Page Numbers (Bottom of Page)"/>
          <w:docPartUnique/>
        </w:docPartObj>
      </w:sdtPr>
      <w:sdtEndPr>
        <w:rPr>
          <w:noProof/>
        </w:rPr>
      </w:sdtEndPr>
      <w:sdtContent>
        <w:r w:rsidR="00521F62">
          <w:fldChar w:fldCharType="begin"/>
        </w:r>
        <w:r w:rsidR="00521F62">
          <w:instrText xml:space="preserve"> PAGE   \* MERGEFORMAT </w:instrText>
        </w:r>
        <w:r w:rsidR="00521F62">
          <w:fldChar w:fldCharType="separate"/>
        </w:r>
        <w:r w:rsidR="00270001">
          <w:rPr>
            <w:noProof/>
          </w:rPr>
          <w:t>2</w:t>
        </w:r>
        <w:r w:rsidR="00521F6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991B9" w14:textId="77777777" w:rsidR="008716B2" w:rsidRPr="008C5A0E" w:rsidRDefault="008716B2" w:rsidP="001D663E">
      <w:pPr>
        <w:pStyle w:val="Footer"/>
        <w:pBdr>
          <w:top w:val="single" w:sz="4" w:space="1" w:color="495965" w:themeColor="text2"/>
        </w:pBdr>
      </w:pPr>
    </w:p>
  </w:footnote>
  <w:footnote w:type="continuationSeparator" w:id="0">
    <w:p w14:paraId="7BAE2EE6" w14:textId="77777777" w:rsidR="008716B2" w:rsidRDefault="008716B2" w:rsidP="00EF4574">
      <w:pPr>
        <w:spacing w:before="0" w:after="0" w:line="240" w:lineRule="auto"/>
      </w:pPr>
      <w:r>
        <w:continuationSeparator/>
      </w:r>
    </w:p>
  </w:footnote>
  <w:footnote w:type="continuationNotice" w:id="1">
    <w:p w14:paraId="09748390" w14:textId="77777777" w:rsidR="008716B2" w:rsidRDefault="008716B2">
      <w:pPr>
        <w:spacing w:before="0" w:after="0" w:line="240" w:lineRule="auto"/>
      </w:pPr>
    </w:p>
  </w:footnote>
  <w:footnote w:id="2">
    <w:p w14:paraId="735FFB1F" w14:textId="0ED550AF" w:rsidR="00A731A1" w:rsidRDefault="00A731A1">
      <w:pPr>
        <w:pStyle w:val="FootnoteText"/>
        <w:rPr>
          <w:sz w:val="18"/>
          <w:szCs w:val="24"/>
          <w:lang w:val="en-AU"/>
        </w:rPr>
      </w:pPr>
      <w:r>
        <w:rPr>
          <w:rStyle w:val="FootnoteReference"/>
        </w:rPr>
        <w:footnoteRef/>
      </w:r>
      <w:r>
        <w:t xml:space="preserve"> </w:t>
      </w:r>
      <w:r w:rsidRPr="00A731A1">
        <w:rPr>
          <w:sz w:val="18"/>
          <w:szCs w:val="24"/>
          <w:lang w:val="en-AU"/>
        </w:rPr>
        <w:t>UNRWA’s performance data is compiled on a calendar</w:t>
      </w:r>
      <w:r w:rsidR="0021433C">
        <w:rPr>
          <w:sz w:val="18"/>
          <w:szCs w:val="24"/>
          <w:lang w:val="en-AU"/>
        </w:rPr>
        <w:t xml:space="preserve"> year basis, except for education data collected on a school year basis.</w:t>
      </w:r>
    </w:p>
    <w:p w14:paraId="30458594" w14:textId="77777777" w:rsidR="00F65B87" w:rsidRPr="00A731A1" w:rsidRDefault="00F65B87">
      <w:pPr>
        <w:pStyle w:val="FootnoteText"/>
        <w:rPr>
          <w:lang w:val="en-AU"/>
        </w:rPr>
      </w:pPr>
    </w:p>
  </w:footnote>
  <w:footnote w:id="3">
    <w:p w14:paraId="547D14BD" w14:textId="45A4861F" w:rsidR="00A731A1" w:rsidRPr="00A731A1" w:rsidRDefault="00A731A1">
      <w:pPr>
        <w:pStyle w:val="FootnoteText"/>
        <w:rPr>
          <w:lang w:val="en-AU"/>
        </w:rPr>
      </w:pPr>
      <w:r>
        <w:rPr>
          <w:rStyle w:val="FootnoteReference"/>
        </w:rPr>
        <w:footnoteRef/>
      </w:r>
      <w:r>
        <w:t xml:space="preserve"> </w:t>
      </w:r>
      <w:r w:rsidRPr="00784B53">
        <w:rPr>
          <w:sz w:val="18"/>
          <w:szCs w:val="24"/>
          <w:lang w:val="en-AU"/>
        </w:rPr>
        <w:t>The process of donors agreeing to joint targets</w:t>
      </w:r>
      <w:r w:rsidR="00F02EEF">
        <w:rPr>
          <w:sz w:val="18"/>
          <w:szCs w:val="24"/>
          <w:lang w:val="en-AU"/>
        </w:rPr>
        <w:t xml:space="preserve"> for UNRWA’s annual performance reporting</w:t>
      </w:r>
      <w:r w:rsidRPr="00784B53">
        <w:rPr>
          <w:sz w:val="18"/>
          <w:szCs w:val="24"/>
          <w:lang w:val="en-AU"/>
        </w:rPr>
        <w:t xml:space="preserve"> had not been finalised at the time of </w:t>
      </w:r>
      <w:r w:rsidR="009E6212">
        <w:rPr>
          <w:sz w:val="18"/>
          <w:szCs w:val="24"/>
          <w:lang w:val="en-AU"/>
        </w:rPr>
        <w:t>publication</w:t>
      </w:r>
      <w:r w:rsidRPr="00784B53">
        <w:rPr>
          <w:sz w:val="18"/>
          <w:szCs w:val="24"/>
          <w:lang w:val="en-AU"/>
        </w:rPr>
        <w:t xml:space="preserve">.  Accordingly, further alterations to Objective 2 benchmarks may be required </w:t>
      </w:r>
      <w:r w:rsidR="00F02EEF">
        <w:rPr>
          <w:sz w:val="18"/>
          <w:szCs w:val="24"/>
          <w:lang w:val="en-AU"/>
        </w:rPr>
        <w:t>in the future when they are finalised.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C2E30" w14:textId="77777777" w:rsidR="000948A8" w:rsidRDefault="00094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A4DDA" w14:textId="77777777" w:rsidR="003B0793" w:rsidRPr="00333501" w:rsidRDefault="003B0793" w:rsidP="008F56A8">
    <w:pPr>
      <w:pStyle w:val="Header"/>
      <w:jc w:val="left"/>
    </w:pPr>
    <w:r>
      <w:rPr>
        <w:noProof/>
        <w:lang w:val="en-AU" w:eastAsia="en-AU"/>
      </w:rPr>
      <w:drawing>
        <wp:anchor distT="0" distB="0" distL="114300" distR="114300" simplePos="0" relativeHeight="251671552" behindDoc="1" locked="1" layoutInCell="1" allowOverlap="1" wp14:anchorId="293B0EA8" wp14:editId="59AE14A1">
          <wp:simplePos x="0" y="0"/>
          <wp:positionH relativeFrom="page">
            <wp:posOffset>7620</wp:posOffset>
          </wp:positionH>
          <wp:positionV relativeFrom="page">
            <wp:posOffset>-7620</wp:posOffset>
          </wp:positionV>
          <wp:extent cx="7545705" cy="10702290"/>
          <wp:effectExtent l="0" t="0" r="0" b="38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27496" w14:textId="77777777" w:rsidR="003B0793" w:rsidRPr="003D352D" w:rsidRDefault="003B0793" w:rsidP="003D352D">
    <w:pPr>
      <w:pStyle w:val="Header"/>
      <w:jc w:val="left"/>
    </w:pPr>
    <w:r>
      <w:rPr>
        <w:noProof/>
        <w:lang w:val="en-AU" w:eastAsia="en-AU"/>
      </w:rPr>
      <w:drawing>
        <wp:anchor distT="0" distB="0" distL="114300" distR="114300" simplePos="0" relativeHeight="251669504" behindDoc="1" locked="1" layoutInCell="1" allowOverlap="1" wp14:anchorId="065A426A" wp14:editId="3D3A2913">
          <wp:simplePos x="0" y="0"/>
          <wp:positionH relativeFrom="page">
            <wp:posOffset>-23495</wp:posOffset>
          </wp:positionH>
          <wp:positionV relativeFrom="page">
            <wp:posOffset>309880</wp:posOffset>
          </wp:positionV>
          <wp:extent cx="7734935" cy="105352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535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2DE01" w14:textId="77777777" w:rsidR="003B0793" w:rsidRPr="003D352D" w:rsidRDefault="003B0793" w:rsidP="003D352D">
    <w:pPr>
      <w:pStyle w:val="Header"/>
      <w:jc w:val="left"/>
    </w:pPr>
    <w:r>
      <w:rPr>
        <w:noProof/>
        <w:lang w:val="en-AU" w:eastAsia="en-AU"/>
      </w:rPr>
      <w:drawing>
        <wp:anchor distT="0" distB="0" distL="114300" distR="114300" simplePos="0" relativeHeight="251673600" behindDoc="1" locked="1" layoutInCell="1" allowOverlap="1" wp14:anchorId="680FD518" wp14:editId="7C891E76">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r w:rsidR="00521F62">
      <w:rPr>
        <w:noProof/>
        <w:lang w:val="en-AU" w:eastAsia="en-AU"/>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A4C0A" w14:textId="77777777" w:rsidR="003B0793" w:rsidRPr="003D352D" w:rsidRDefault="003B0793" w:rsidP="003D352D">
    <w:pPr>
      <w:pStyle w:val="Header"/>
      <w:jc w:val="left"/>
    </w:pPr>
    <w:r>
      <w:rPr>
        <w:noProof/>
        <w:lang w:val="en-AU" w:eastAsia="en-AU"/>
      </w:rPr>
      <w:drawing>
        <wp:anchor distT="0" distB="0" distL="114300" distR="114300" simplePos="0" relativeHeight="251675648" behindDoc="1" locked="1" layoutInCell="1" allowOverlap="1" wp14:anchorId="614F969B" wp14:editId="45519658">
          <wp:simplePos x="0" y="0"/>
          <wp:positionH relativeFrom="page">
            <wp:posOffset>-15875</wp:posOffset>
          </wp:positionH>
          <wp:positionV relativeFrom="page">
            <wp:posOffset>0</wp:posOffset>
          </wp:positionV>
          <wp:extent cx="10702290" cy="7458075"/>
          <wp:effectExtent l="0" t="0" r="3810" b="9525"/>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0B110" w14:textId="77777777" w:rsidR="003B0793" w:rsidRPr="00333501" w:rsidRDefault="003B0793" w:rsidP="008F56A8">
    <w:pPr>
      <w:pStyle w:val="Header"/>
      <w:jc w:val="left"/>
    </w:pPr>
    <w:r>
      <w:rPr>
        <w:noProof/>
        <w:lang w:val="en-AU" w:eastAsia="en-AU"/>
      </w:rPr>
      <w:drawing>
        <wp:anchor distT="0" distB="0" distL="114300" distR="114300" simplePos="0" relativeHeight="251683840" behindDoc="1" locked="1" layoutInCell="1" allowOverlap="1" wp14:anchorId="1223FD89" wp14:editId="09C23CE6">
          <wp:simplePos x="0" y="0"/>
          <wp:positionH relativeFrom="page">
            <wp:posOffset>7620</wp:posOffset>
          </wp:positionH>
          <wp:positionV relativeFrom="page">
            <wp:posOffset>57785</wp:posOffset>
          </wp:positionV>
          <wp:extent cx="10800000" cy="7560000"/>
          <wp:effectExtent l="0" t="0" r="1905" b="317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4030F" w14:textId="77777777" w:rsidR="00320B02" w:rsidRPr="003D352D" w:rsidRDefault="00320B02" w:rsidP="003D352D">
    <w:pPr>
      <w:pStyle w:val="Header"/>
      <w:jc w:val="left"/>
    </w:pPr>
    <w:r>
      <w:rPr>
        <w:noProof/>
        <w:lang w:val="en-AU" w:eastAsia="en-AU"/>
      </w:rPr>
      <w:drawing>
        <wp:anchor distT="0" distB="0" distL="114300" distR="114300" simplePos="0" relativeHeight="251685888" behindDoc="1" locked="1" layoutInCell="1" allowOverlap="1" wp14:anchorId="2A163157" wp14:editId="306F96BF">
          <wp:simplePos x="0" y="0"/>
          <wp:positionH relativeFrom="page">
            <wp:posOffset>0</wp:posOffset>
          </wp:positionH>
          <wp:positionV relativeFrom="page">
            <wp:posOffset>0</wp:posOffset>
          </wp:positionV>
          <wp:extent cx="7606665" cy="10527030"/>
          <wp:effectExtent l="0" t="0" r="0" b="762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606665" cy="10527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4A5EA"/>
    <w:lvl w:ilvl="0">
      <w:start w:val="1"/>
      <w:numFmt w:val="decimal"/>
      <w:lvlText w:val="%1."/>
      <w:lvlJc w:val="left"/>
      <w:pPr>
        <w:tabs>
          <w:tab w:val="num" w:pos="1492"/>
        </w:tabs>
        <w:ind w:left="1492" w:hanging="360"/>
      </w:pPr>
    </w:lvl>
  </w:abstractNum>
  <w:abstractNum w:abstractNumId="1">
    <w:nsid w:val="FFFFFF7D"/>
    <w:multiLevelType w:val="singleLevel"/>
    <w:tmpl w:val="B3DEED16"/>
    <w:lvl w:ilvl="0">
      <w:start w:val="1"/>
      <w:numFmt w:val="decimal"/>
      <w:lvlText w:val="%1."/>
      <w:lvlJc w:val="left"/>
      <w:pPr>
        <w:tabs>
          <w:tab w:val="num" w:pos="1209"/>
        </w:tabs>
        <w:ind w:left="1209" w:hanging="360"/>
      </w:pPr>
    </w:lvl>
  </w:abstractNum>
  <w:abstractNum w:abstractNumId="2">
    <w:nsid w:val="FFFFFF7E"/>
    <w:multiLevelType w:val="singleLevel"/>
    <w:tmpl w:val="991E89AE"/>
    <w:lvl w:ilvl="0">
      <w:start w:val="1"/>
      <w:numFmt w:val="decimal"/>
      <w:lvlText w:val="%1."/>
      <w:lvlJc w:val="left"/>
      <w:pPr>
        <w:tabs>
          <w:tab w:val="num" w:pos="926"/>
        </w:tabs>
        <w:ind w:left="926" w:hanging="360"/>
      </w:pPr>
    </w:lvl>
  </w:abstractNum>
  <w:abstractNum w:abstractNumId="3">
    <w:nsid w:val="FFFFFF7F"/>
    <w:multiLevelType w:val="singleLevel"/>
    <w:tmpl w:val="1EC4BCD0"/>
    <w:lvl w:ilvl="0">
      <w:start w:val="1"/>
      <w:numFmt w:val="decimal"/>
      <w:lvlText w:val="%1."/>
      <w:lvlJc w:val="left"/>
      <w:pPr>
        <w:tabs>
          <w:tab w:val="num" w:pos="643"/>
        </w:tabs>
        <w:ind w:left="643" w:hanging="360"/>
      </w:pPr>
    </w:lvl>
  </w:abstractNum>
  <w:abstractNum w:abstractNumId="4">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EA9308"/>
    <w:lvl w:ilvl="0">
      <w:start w:val="1"/>
      <w:numFmt w:val="decimal"/>
      <w:lvlText w:val="%1."/>
      <w:lvlJc w:val="left"/>
      <w:pPr>
        <w:tabs>
          <w:tab w:val="num" w:pos="360"/>
        </w:tabs>
        <w:ind w:left="360" w:hanging="360"/>
      </w:pPr>
    </w:lvl>
  </w:abstractNum>
  <w:abstractNum w:abstractNumId="9">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nsid w:val="07E5024F"/>
    <w:multiLevelType w:val="hybridMultilevel"/>
    <w:tmpl w:val="F1BAF6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nsid w:val="0DAC222F"/>
    <w:multiLevelType w:val="hybridMultilevel"/>
    <w:tmpl w:val="48FA302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2B00AC9"/>
    <w:multiLevelType w:val="hybridMultilevel"/>
    <w:tmpl w:val="7EC4B0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81A5D51"/>
    <w:multiLevelType w:val="hybridMultilevel"/>
    <w:tmpl w:val="5FCEF1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5A5C75"/>
    <w:multiLevelType w:val="hybridMultilevel"/>
    <w:tmpl w:val="ED186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235D8A"/>
    <w:multiLevelType w:val="hybridMultilevel"/>
    <w:tmpl w:val="83CA4F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nsid w:val="5D3C1EA7"/>
    <w:multiLevelType w:val="multilevel"/>
    <w:tmpl w:val="43428892"/>
    <w:numStyleLink w:val="BulletsList"/>
  </w:abstractNum>
  <w:abstractNum w:abstractNumId="25">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nsid w:val="5F772563"/>
    <w:multiLevelType w:val="hybridMultilevel"/>
    <w:tmpl w:val="5404A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61A25DD6"/>
    <w:multiLevelType w:val="hybridMultilevel"/>
    <w:tmpl w:val="9A8ECE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49869A0"/>
    <w:multiLevelType w:val="hybridMultilevel"/>
    <w:tmpl w:val="4EF200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76D7AE3"/>
    <w:multiLevelType w:val="hybridMultilevel"/>
    <w:tmpl w:val="A9D62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E0B7D42"/>
    <w:multiLevelType w:val="hybridMultilevel"/>
    <w:tmpl w:val="77C2EB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E5B7454"/>
    <w:multiLevelType w:val="hybridMultilevel"/>
    <w:tmpl w:val="9FD42CC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A1249B5"/>
    <w:multiLevelType w:val="hybridMultilevel"/>
    <w:tmpl w:val="94527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7"/>
  </w:num>
  <w:num w:numId="23">
    <w:abstractNumId w:val="17"/>
  </w:num>
  <w:num w:numId="24">
    <w:abstractNumId w:val="24"/>
  </w:num>
  <w:num w:numId="25">
    <w:abstractNumId w:val="24"/>
  </w:num>
  <w:num w:numId="26">
    <w:abstractNumId w:val="24"/>
  </w:num>
  <w:num w:numId="27">
    <w:abstractNumId w:val="23"/>
  </w:num>
  <w:num w:numId="28">
    <w:abstractNumId w:val="11"/>
  </w:num>
  <w:num w:numId="29">
    <w:abstractNumId w:val="11"/>
  </w:num>
  <w:num w:numId="30">
    <w:abstractNumId w:val="11"/>
  </w:num>
  <w:num w:numId="31">
    <w:abstractNumId w:val="18"/>
  </w:num>
  <w:num w:numId="32">
    <w:abstractNumId w:val="22"/>
  </w:num>
  <w:num w:numId="33">
    <w:abstractNumId w:val="33"/>
  </w:num>
  <w:num w:numId="34">
    <w:abstractNumId w:val="21"/>
  </w:num>
  <w:num w:numId="35">
    <w:abstractNumId w:val="15"/>
  </w:num>
  <w:num w:numId="36">
    <w:abstractNumId w:val="26"/>
  </w:num>
  <w:num w:numId="37">
    <w:abstractNumId w:val="34"/>
  </w:num>
  <w:num w:numId="38">
    <w:abstractNumId w:val="31"/>
  </w:num>
  <w:num w:numId="39">
    <w:abstractNumId w:val="29"/>
  </w:num>
  <w:num w:numId="40">
    <w:abstractNumId w:val="10"/>
  </w:num>
  <w:num w:numId="41">
    <w:abstractNumId w:val="28"/>
  </w:num>
  <w:num w:numId="42">
    <w:abstractNumId w:val="20"/>
  </w:num>
  <w:num w:numId="43">
    <w:abstractNumId w:val="16"/>
  </w:num>
  <w:num w:numId="44">
    <w:abstractNumId w:val="27"/>
  </w:num>
  <w:num w:numId="45">
    <w:abstractNumId w:val="30"/>
  </w:num>
  <w:num w:numId="46">
    <w:abstractNumId w:val="14"/>
  </w:num>
  <w:num w:numId="47">
    <w:abstractNumId w:val="1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0594"/>
    <w:rsid w:val="00001DA8"/>
    <w:rsid w:val="00007218"/>
    <w:rsid w:val="00015316"/>
    <w:rsid w:val="00015D5A"/>
    <w:rsid w:val="0002080A"/>
    <w:rsid w:val="000242F8"/>
    <w:rsid w:val="000256C9"/>
    <w:rsid w:val="0002782F"/>
    <w:rsid w:val="00031512"/>
    <w:rsid w:val="00032F2F"/>
    <w:rsid w:val="00034ED9"/>
    <w:rsid w:val="00037779"/>
    <w:rsid w:val="00040DB6"/>
    <w:rsid w:val="00042B15"/>
    <w:rsid w:val="00042CC2"/>
    <w:rsid w:val="00047974"/>
    <w:rsid w:val="00054E4D"/>
    <w:rsid w:val="00060073"/>
    <w:rsid w:val="00060268"/>
    <w:rsid w:val="000604BD"/>
    <w:rsid w:val="00064CF5"/>
    <w:rsid w:val="000839E1"/>
    <w:rsid w:val="000842C3"/>
    <w:rsid w:val="00084483"/>
    <w:rsid w:val="000948A8"/>
    <w:rsid w:val="000A4C92"/>
    <w:rsid w:val="000B0265"/>
    <w:rsid w:val="000B0CCB"/>
    <w:rsid w:val="000C4349"/>
    <w:rsid w:val="000D5F67"/>
    <w:rsid w:val="000D66D6"/>
    <w:rsid w:val="000E314A"/>
    <w:rsid w:val="000E6859"/>
    <w:rsid w:val="00103205"/>
    <w:rsid w:val="001310F7"/>
    <w:rsid w:val="001467CF"/>
    <w:rsid w:val="0014781A"/>
    <w:rsid w:val="001541EA"/>
    <w:rsid w:val="00163AEE"/>
    <w:rsid w:val="00164DFC"/>
    <w:rsid w:val="001678FD"/>
    <w:rsid w:val="00172D37"/>
    <w:rsid w:val="0018586F"/>
    <w:rsid w:val="0018775A"/>
    <w:rsid w:val="001958A7"/>
    <w:rsid w:val="001C09F4"/>
    <w:rsid w:val="001C66E2"/>
    <w:rsid w:val="001D33FB"/>
    <w:rsid w:val="001D663E"/>
    <w:rsid w:val="001D71B2"/>
    <w:rsid w:val="001E01B3"/>
    <w:rsid w:val="001E18D1"/>
    <w:rsid w:val="001E1DC0"/>
    <w:rsid w:val="001E2374"/>
    <w:rsid w:val="001E3590"/>
    <w:rsid w:val="001E3A9B"/>
    <w:rsid w:val="0020105A"/>
    <w:rsid w:val="00201A64"/>
    <w:rsid w:val="0020476D"/>
    <w:rsid w:val="00214299"/>
    <w:rsid w:val="0021433C"/>
    <w:rsid w:val="00221410"/>
    <w:rsid w:val="00234423"/>
    <w:rsid w:val="00236A53"/>
    <w:rsid w:val="00244573"/>
    <w:rsid w:val="00256BB7"/>
    <w:rsid w:val="00256FB8"/>
    <w:rsid w:val="00265068"/>
    <w:rsid w:val="00270001"/>
    <w:rsid w:val="00273EDA"/>
    <w:rsid w:val="00275DB7"/>
    <w:rsid w:val="00281DF5"/>
    <w:rsid w:val="00284957"/>
    <w:rsid w:val="0028602A"/>
    <w:rsid w:val="00291E3B"/>
    <w:rsid w:val="00293E6E"/>
    <w:rsid w:val="00295B2C"/>
    <w:rsid w:val="002A4D89"/>
    <w:rsid w:val="002A51CA"/>
    <w:rsid w:val="002A66E9"/>
    <w:rsid w:val="002B2C30"/>
    <w:rsid w:val="002B361A"/>
    <w:rsid w:val="002B3E95"/>
    <w:rsid w:val="002B5E10"/>
    <w:rsid w:val="002B6E80"/>
    <w:rsid w:val="002E1AF1"/>
    <w:rsid w:val="002F22EE"/>
    <w:rsid w:val="003002C0"/>
    <w:rsid w:val="00301144"/>
    <w:rsid w:val="003148B7"/>
    <w:rsid w:val="00314B64"/>
    <w:rsid w:val="003158C3"/>
    <w:rsid w:val="00320B02"/>
    <w:rsid w:val="003274CD"/>
    <w:rsid w:val="003319E8"/>
    <w:rsid w:val="00333501"/>
    <w:rsid w:val="003378D2"/>
    <w:rsid w:val="00343446"/>
    <w:rsid w:val="00345615"/>
    <w:rsid w:val="003457C4"/>
    <w:rsid w:val="003507D6"/>
    <w:rsid w:val="0035119D"/>
    <w:rsid w:val="00373E33"/>
    <w:rsid w:val="0037463D"/>
    <w:rsid w:val="00394069"/>
    <w:rsid w:val="00395D54"/>
    <w:rsid w:val="003B0793"/>
    <w:rsid w:val="003B3AEC"/>
    <w:rsid w:val="003B4F12"/>
    <w:rsid w:val="003C2551"/>
    <w:rsid w:val="003C6794"/>
    <w:rsid w:val="003D352D"/>
    <w:rsid w:val="003E0A2E"/>
    <w:rsid w:val="003F6C4A"/>
    <w:rsid w:val="00400B0F"/>
    <w:rsid w:val="00400CC7"/>
    <w:rsid w:val="00400EF9"/>
    <w:rsid w:val="00402ACC"/>
    <w:rsid w:val="004120EC"/>
    <w:rsid w:val="00421BF3"/>
    <w:rsid w:val="00423F31"/>
    <w:rsid w:val="0042603C"/>
    <w:rsid w:val="00431899"/>
    <w:rsid w:val="004627E3"/>
    <w:rsid w:val="00466926"/>
    <w:rsid w:val="00473D16"/>
    <w:rsid w:val="0048487D"/>
    <w:rsid w:val="00486804"/>
    <w:rsid w:val="004977A1"/>
    <w:rsid w:val="004A1044"/>
    <w:rsid w:val="004B3775"/>
    <w:rsid w:val="004B553C"/>
    <w:rsid w:val="004C4E5D"/>
    <w:rsid w:val="004D0BA0"/>
    <w:rsid w:val="004D0D3E"/>
    <w:rsid w:val="004D188E"/>
    <w:rsid w:val="004D6391"/>
    <w:rsid w:val="004E0264"/>
    <w:rsid w:val="004E058F"/>
    <w:rsid w:val="004E3B87"/>
    <w:rsid w:val="004E709C"/>
    <w:rsid w:val="00503D85"/>
    <w:rsid w:val="00510921"/>
    <w:rsid w:val="00510AD3"/>
    <w:rsid w:val="00512A1D"/>
    <w:rsid w:val="00513348"/>
    <w:rsid w:val="00521F62"/>
    <w:rsid w:val="00522E79"/>
    <w:rsid w:val="00533B5D"/>
    <w:rsid w:val="005511BF"/>
    <w:rsid w:val="005533F2"/>
    <w:rsid w:val="00562187"/>
    <w:rsid w:val="00577C14"/>
    <w:rsid w:val="0058293A"/>
    <w:rsid w:val="0059146A"/>
    <w:rsid w:val="00596A50"/>
    <w:rsid w:val="00597780"/>
    <w:rsid w:val="005A1AB4"/>
    <w:rsid w:val="005B5769"/>
    <w:rsid w:val="005B5CAB"/>
    <w:rsid w:val="005B77E5"/>
    <w:rsid w:val="005D3655"/>
    <w:rsid w:val="005E58E0"/>
    <w:rsid w:val="005E606B"/>
    <w:rsid w:val="005E7EAD"/>
    <w:rsid w:val="005F05FE"/>
    <w:rsid w:val="005F4F2A"/>
    <w:rsid w:val="00623BA1"/>
    <w:rsid w:val="00624604"/>
    <w:rsid w:val="006346BC"/>
    <w:rsid w:val="00646997"/>
    <w:rsid w:val="00653D71"/>
    <w:rsid w:val="0066652A"/>
    <w:rsid w:val="00667572"/>
    <w:rsid w:val="006745B4"/>
    <w:rsid w:val="00680522"/>
    <w:rsid w:val="00681F08"/>
    <w:rsid w:val="00682167"/>
    <w:rsid w:val="006A0CBC"/>
    <w:rsid w:val="006A1395"/>
    <w:rsid w:val="006B5ED3"/>
    <w:rsid w:val="006C42AF"/>
    <w:rsid w:val="006D143B"/>
    <w:rsid w:val="006F27B1"/>
    <w:rsid w:val="00704B7E"/>
    <w:rsid w:val="00711D8E"/>
    <w:rsid w:val="00712672"/>
    <w:rsid w:val="0072449E"/>
    <w:rsid w:val="007256AA"/>
    <w:rsid w:val="007316F3"/>
    <w:rsid w:val="00732B39"/>
    <w:rsid w:val="00734E3F"/>
    <w:rsid w:val="00735345"/>
    <w:rsid w:val="00736985"/>
    <w:rsid w:val="00745DF5"/>
    <w:rsid w:val="00751760"/>
    <w:rsid w:val="0076250F"/>
    <w:rsid w:val="00771B53"/>
    <w:rsid w:val="00780F76"/>
    <w:rsid w:val="007822DA"/>
    <w:rsid w:val="00784031"/>
    <w:rsid w:val="00784B53"/>
    <w:rsid w:val="00791113"/>
    <w:rsid w:val="007922AB"/>
    <w:rsid w:val="00794DB5"/>
    <w:rsid w:val="007A0641"/>
    <w:rsid w:val="007A3E19"/>
    <w:rsid w:val="007B0450"/>
    <w:rsid w:val="007B6200"/>
    <w:rsid w:val="007C0B85"/>
    <w:rsid w:val="007D285F"/>
    <w:rsid w:val="007E1575"/>
    <w:rsid w:val="007F3395"/>
    <w:rsid w:val="00801B9F"/>
    <w:rsid w:val="008057FD"/>
    <w:rsid w:val="00806027"/>
    <w:rsid w:val="00806523"/>
    <w:rsid w:val="00837EE6"/>
    <w:rsid w:val="00844408"/>
    <w:rsid w:val="0084690B"/>
    <w:rsid w:val="008475F0"/>
    <w:rsid w:val="00854F7C"/>
    <w:rsid w:val="00864210"/>
    <w:rsid w:val="008664EC"/>
    <w:rsid w:val="00870DB3"/>
    <w:rsid w:val="008716B2"/>
    <w:rsid w:val="008723D4"/>
    <w:rsid w:val="008823DE"/>
    <w:rsid w:val="00885CC6"/>
    <w:rsid w:val="008947C5"/>
    <w:rsid w:val="00894996"/>
    <w:rsid w:val="008A3D8B"/>
    <w:rsid w:val="008A5AFE"/>
    <w:rsid w:val="008B1922"/>
    <w:rsid w:val="008B2E7B"/>
    <w:rsid w:val="008B66FC"/>
    <w:rsid w:val="008B68D7"/>
    <w:rsid w:val="008C06DA"/>
    <w:rsid w:val="008C1CFD"/>
    <w:rsid w:val="008C2293"/>
    <w:rsid w:val="008C2F58"/>
    <w:rsid w:val="008C5A0E"/>
    <w:rsid w:val="008C7855"/>
    <w:rsid w:val="008D7990"/>
    <w:rsid w:val="008E116C"/>
    <w:rsid w:val="008E56BE"/>
    <w:rsid w:val="008F56A8"/>
    <w:rsid w:val="008F5B8F"/>
    <w:rsid w:val="008F7C5C"/>
    <w:rsid w:val="00924587"/>
    <w:rsid w:val="00924AEE"/>
    <w:rsid w:val="009856A6"/>
    <w:rsid w:val="009903F3"/>
    <w:rsid w:val="00992C76"/>
    <w:rsid w:val="009A4E6D"/>
    <w:rsid w:val="009A70D7"/>
    <w:rsid w:val="009B073B"/>
    <w:rsid w:val="009B159D"/>
    <w:rsid w:val="009B1CFA"/>
    <w:rsid w:val="009B1D48"/>
    <w:rsid w:val="009B4D3B"/>
    <w:rsid w:val="009B7D81"/>
    <w:rsid w:val="009C6911"/>
    <w:rsid w:val="009D1563"/>
    <w:rsid w:val="009D7407"/>
    <w:rsid w:val="009E0866"/>
    <w:rsid w:val="009E6212"/>
    <w:rsid w:val="009E7EF2"/>
    <w:rsid w:val="009F5488"/>
    <w:rsid w:val="009F6423"/>
    <w:rsid w:val="00A04C67"/>
    <w:rsid w:val="00A07E81"/>
    <w:rsid w:val="00A1142A"/>
    <w:rsid w:val="00A24A62"/>
    <w:rsid w:val="00A31C9F"/>
    <w:rsid w:val="00A4144F"/>
    <w:rsid w:val="00A427C6"/>
    <w:rsid w:val="00A43902"/>
    <w:rsid w:val="00A56F14"/>
    <w:rsid w:val="00A713D5"/>
    <w:rsid w:val="00A71D4A"/>
    <w:rsid w:val="00A731A1"/>
    <w:rsid w:val="00A80F95"/>
    <w:rsid w:val="00A81638"/>
    <w:rsid w:val="00A8197B"/>
    <w:rsid w:val="00A9288D"/>
    <w:rsid w:val="00AA7BE3"/>
    <w:rsid w:val="00AC164A"/>
    <w:rsid w:val="00AC3757"/>
    <w:rsid w:val="00AD0899"/>
    <w:rsid w:val="00AF1B85"/>
    <w:rsid w:val="00AF2050"/>
    <w:rsid w:val="00B03CA8"/>
    <w:rsid w:val="00B331DC"/>
    <w:rsid w:val="00B438D3"/>
    <w:rsid w:val="00B43A09"/>
    <w:rsid w:val="00B55E19"/>
    <w:rsid w:val="00B57A52"/>
    <w:rsid w:val="00B76104"/>
    <w:rsid w:val="00B936A5"/>
    <w:rsid w:val="00B96F0D"/>
    <w:rsid w:val="00BA4B6D"/>
    <w:rsid w:val="00BB26C5"/>
    <w:rsid w:val="00BC7169"/>
    <w:rsid w:val="00BE3B9A"/>
    <w:rsid w:val="00BF4DE6"/>
    <w:rsid w:val="00C04FC8"/>
    <w:rsid w:val="00C14ADE"/>
    <w:rsid w:val="00C1562D"/>
    <w:rsid w:val="00C23A09"/>
    <w:rsid w:val="00C24D29"/>
    <w:rsid w:val="00C414F0"/>
    <w:rsid w:val="00C417D0"/>
    <w:rsid w:val="00C42CDE"/>
    <w:rsid w:val="00C5182A"/>
    <w:rsid w:val="00C63EE9"/>
    <w:rsid w:val="00C6626C"/>
    <w:rsid w:val="00C940A7"/>
    <w:rsid w:val="00C945C5"/>
    <w:rsid w:val="00CA37B1"/>
    <w:rsid w:val="00CB1959"/>
    <w:rsid w:val="00CB4F54"/>
    <w:rsid w:val="00CC6250"/>
    <w:rsid w:val="00CD0E4B"/>
    <w:rsid w:val="00CE0155"/>
    <w:rsid w:val="00CE7DD4"/>
    <w:rsid w:val="00CF40E5"/>
    <w:rsid w:val="00CF49A6"/>
    <w:rsid w:val="00D00802"/>
    <w:rsid w:val="00D0296C"/>
    <w:rsid w:val="00D146A2"/>
    <w:rsid w:val="00D15A00"/>
    <w:rsid w:val="00D51145"/>
    <w:rsid w:val="00D64BD1"/>
    <w:rsid w:val="00D668EF"/>
    <w:rsid w:val="00D72760"/>
    <w:rsid w:val="00D828F3"/>
    <w:rsid w:val="00D96F7B"/>
    <w:rsid w:val="00DA01D2"/>
    <w:rsid w:val="00DA2FAA"/>
    <w:rsid w:val="00DD1986"/>
    <w:rsid w:val="00DD1AE8"/>
    <w:rsid w:val="00DE084C"/>
    <w:rsid w:val="00DF72AB"/>
    <w:rsid w:val="00E008B7"/>
    <w:rsid w:val="00E06B5F"/>
    <w:rsid w:val="00E30BB9"/>
    <w:rsid w:val="00E357B7"/>
    <w:rsid w:val="00E371DF"/>
    <w:rsid w:val="00E50A30"/>
    <w:rsid w:val="00E53800"/>
    <w:rsid w:val="00E53839"/>
    <w:rsid w:val="00E6081F"/>
    <w:rsid w:val="00E66D7A"/>
    <w:rsid w:val="00E801F9"/>
    <w:rsid w:val="00E85E3F"/>
    <w:rsid w:val="00E864BE"/>
    <w:rsid w:val="00E86697"/>
    <w:rsid w:val="00EA04B2"/>
    <w:rsid w:val="00EA20F3"/>
    <w:rsid w:val="00EA74C0"/>
    <w:rsid w:val="00EC7D74"/>
    <w:rsid w:val="00ED2831"/>
    <w:rsid w:val="00ED43D1"/>
    <w:rsid w:val="00EE025A"/>
    <w:rsid w:val="00EE29C6"/>
    <w:rsid w:val="00EE4EE1"/>
    <w:rsid w:val="00EE71BE"/>
    <w:rsid w:val="00EF4574"/>
    <w:rsid w:val="00F02E3D"/>
    <w:rsid w:val="00F02EEF"/>
    <w:rsid w:val="00F0521A"/>
    <w:rsid w:val="00F05CD0"/>
    <w:rsid w:val="00F1027C"/>
    <w:rsid w:val="00F1079E"/>
    <w:rsid w:val="00F2684E"/>
    <w:rsid w:val="00F37C65"/>
    <w:rsid w:val="00F5404C"/>
    <w:rsid w:val="00F65B87"/>
    <w:rsid w:val="00F729EF"/>
    <w:rsid w:val="00F75A5C"/>
    <w:rsid w:val="00F77CAE"/>
    <w:rsid w:val="00F82271"/>
    <w:rsid w:val="00F83428"/>
    <w:rsid w:val="00F9255E"/>
    <w:rsid w:val="00F96BB9"/>
    <w:rsid w:val="00FC50CE"/>
    <w:rsid w:val="00FD5BCA"/>
    <w:rsid w:val="00FE20AD"/>
    <w:rsid w:val="00FE3ACF"/>
    <w:rsid w:val="00FE6D51"/>
    <w:rsid w:val="00FF09F3"/>
    <w:rsid w:val="00FF37CD"/>
    <w:rsid w:val="00FF3C92"/>
    <w:rsid w:val="00FF75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07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character" w:styleId="CommentReference">
    <w:name w:val="annotation reference"/>
    <w:basedOn w:val="DefaultParagraphFont"/>
    <w:uiPriority w:val="99"/>
    <w:semiHidden/>
    <w:unhideWhenUsed/>
    <w:rsid w:val="00AC3757"/>
    <w:rPr>
      <w:sz w:val="16"/>
      <w:szCs w:val="16"/>
    </w:rPr>
  </w:style>
  <w:style w:type="paragraph" w:styleId="CommentText">
    <w:name w:val="annotation text"/>
    <w:basedOn w:val="Normal"/>
    <w:link w:val="CommentTextChar"/>
    <w:uiPriority w:val="99"/>
    <w:semiHidden/>
    <w:unhideWhenUsed/>
    <w:rsid w:val="00AC3757"/>
    <w:pPr>
      <w:spacing w:line="240" w:lineRule="auto"/>
    </w:pPr>
    <w:rPr>
      <w:sz w:val="20"/>
      <w:szCs w:val="20"/>
    </w:rPr>
  </w:style>
  <w:style w:type="character" w:customStyle="1" w:styleId="CommentTextChar">
    <w:name w:val="Comment Text Char"/>
    <w:basedOn w:val="DefaultParagraphFont"/>
    <w:link w:val="CommentText"/>
    <w:uiPriority w:val="99"/>
    <w:semiHidden/>
    <w:rsid w:val="00AC3757"/>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AC3757"/>
    <w:rPr>
      <w:b/>
      <w:bCs/>
    </w:rPr>
  </w:style>
  <w:style w:type="character" w:customStyle="1" w:styleId="CommentSubjectChar">
    <w:name w:val="Comment Subject Char"/>
    <w:basedOn w:val="CommentTextChar"/>
    <w:link w:val="CommentSubject"/>
    <w:uiPriority w:val="99"/>
    <w:semiHidden/>
    <w:rsid w:val="00AC3757"/>
    <w:rPr>
      <w:b/>
      <w:bCs/>
      <w:color w:val="495965" w:themeColor="text2"/>
      <w:sz w:val="20"/>
      <w:szCs w:val="20"/>
      <w:lang w:val="en-GB"/>
    </w:rPr>
  </w:style>
  <w:style w:type="paragraph" w:styleId="Revision">
    <w:name w:val="Revision"/>
    <w:hidden/>
    <w:uiPriority w:val="99"/>
    <w:semiHidden/>
    <w:rsid w:val="006745B4"/>
    <w:pPr>
      <w:spacing w:after="0" w:line="240" w:lineRule="auto"/>
    </w:pPr>
    <w:rPr>
      <w:color w:val="495965" w:themeColor="text2"/>
      <w:lang w:val="en-GB"/>
    </w:rPr>
  </w:style>
  <w:style w:type="paragraph" w:styleId="ListParagraph">
    <w:name w:val="List Paragraph"/>
    <w:basedOn w:val="Normal"/>
    <w:uiPriority w:val="34"/>
    <w:qFormat/>
    <w:rsid w:val="008A3D8B"/>
    <w:pPr>
      <w:suppressAutoHyphens w:val="0"/>
      <w:spacing w:before="0" w:after="0" w:line="240" w:lineRule="auto"/>
      <w:ind w:left="720"/>
    </w:pPr>
    <w:rPr>
      <w:rFonts w:ascii="Calibri" w:hAnsi="Calibri" w:cs="Times New Roman"/>
      <w:color w:val="auto"/>
      <w:lang w:val="en-AU"/>
    </w:rPr>
  </w:style>
  <w:style w:type="paragraph" w:customStyle="1" w:styleId="Default">
    <w:name w:val="Default"/>
    <w:basedOn w:val="Normal"/>
    <w:uiPriority w:val="99"/>
    <w:rsid w:val="008A3D8B"/>
    <w:pPr>
      <w:suppressAutoHyphens w:val="0"/>
      <w:autoSpaceDE w:val="0"/>
      <w:autoSpaceDN w:val="0"/>
      <w:spacing w:before="0" w:after="0" w:line="240" w:lineRule="auto"/>
    </w:pPr>
    <w:rPr>
      <w:rFonts w:ascii="Calibri" w:hAnsi="Calibri" w:cs="Times New Roman"/>
      <w:color w:val="000000"/>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164DFC"/>
    <w:rPr>
      <w:color w:val="800080" w:themeColor="followedHyperlink"/>
      <w:u w:val="single"/>
    </w:rPr>
  </w:style>
  <w:style w:type="character" w:styleId="CommentReference">
    <w:name w:val="annotation reference"/>
    <w:basedOn w:val="DefaultParagraphFont"/>
    <w:uiPriority w:val="99"/>
    <w:semiHidden/>
    <w:unhideWhenUsed/>
    <w:rsid w:val="00AC3757"/>
    <w:rPr>
      <w:sz w:val="16"/>
      <w:szCs w:val="16"/>
    </w:rPr>
  </w:style>
  <w:style w:type="paragraph" w:styleId="CommentText">
    <w:name w:val="annotation text"/>
    <w:basedOn w:val="Normal"/>
    <w:link w:val="CommentTextChar"/>
    <w:uiPriority w:val="99"/>
    <w:semiHidden/>
    <w:unhideWhenUsed/>
    <w:rsid w:val="00AC3757"/>
    <w:pPr>
      <w:spacing w:line="240" w:lineRule="auto"/>
    </w:pPr>
    <w:rPr>
      <w:sz w:val="20"/>
      <w:szCs w:val="20"/>
    </w:rPr>
  </w:style>
  <w:style w:type="character" w:customStyle="1" w:styleId="CommentTextChar">
    <w:name w:val="Comment Text Char"/>
    <w:basedOn w:val="DefaultParagraphFont"/>
    <w:link w:val="CommentText"/>
    <w:uiPriority w:val="99"/>
    <w:semiHidden/>
    <w:rsid w:val="00AC3757"/>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AC3757"/>
    <w:rPr>
      <w:b/>
      <w:bCs/>
    </w:rPr>
  </w:style>
  <w:style w:type="character" w:customStyle="1" w:styleId="CommentSubjectChar">
    <w:name w:val="Comment Subject Char"/>
    <w:basedOn w:val="CommentTextChar"/>
    <w:link w:val="CommentSubject"/>
    <w:uiPriority w:val="99"/>
    <w:semiHidden/>
    <w:rsid w:val="00AC3757"/>
    <w:rPr>
      <w:b/>
      <w:bCs/>
      <w:color w:val="495965" w:themeColor="text2"/>
      <w:sz w:val="20"/>
      <w:szCs w:val="20"/>
      <w:lang w:val="en-GB"/>
    </w:rPr>
  </w:style>
  <w:style w:type="paragraph" w:styleId="Revision">
    <w:name w:val="Revision"/>
    <w:hidden/>
    <w:uiPriority w:val="99"/>
    <w:semiHidden/>
    <w:rsid w:val="006745B4"/>
    <w:pPr>
      <w:spacing w:after="0" w:line="240" w:lineRule="auto"/>
    </w:pPr>
    <w:rPr>
      <w:color w:val="495965" w:themeColor="text2"/>
      <w:lang w:val="en-GB"/>
    </w:rPr>
  </w:style>
  <w:style w:type="paragraph" w:styleId="ListParagraph">
    <w:name w:val="List Paragraph"/>
    <w:basedOn w:val="Normal"/>
    <w:uiPriority w:val="34"/>
    <w:qFormat/>
    <w:rsid w:val="008A3D8B"/>
    <w:pPr>
      <w:suppressAutoHyphens w:val="0"/>
      <w:spacing w:before="0" w:after="0" w:line="240" w:lineRule="auto"/>
      <w:ind w:left="720"/>
    </w:pPr>
    <w:rPr>
      <w:rFonts w:ascii="Calibri" w:hAnsi="Calibri" w:cs="Times New Roman"/>
      <w:color w:val="auto"/>
      <w:lang w:val="en-AU"/>
    </w:rPr>
  </w:style>
  <w:style w:type="paragraph" w:customStyle="1" w:styleId="Default">
    <w:name w:val="Default"/>
    <w:basedOn w:val="Normal"/>
    <w:uiPriority w:val="99"/>
    <w:rsid w:val="008A3D8B"/>
    <w:pPr>
      <w:suppressAutoHyphens w:val="0"/>
      <w:autoSpaceDE w:val="0"/>
      <w:autoSpaceDN w:val="0"/>
      <w:spacing w:before="0" w:after="0" w:line="240" w:lineRule="auto"/>
    </w:pPr>
    <w:rPr>
      <w:rFonts w:ascii="Calibri" w:hAnsi="Calibri" w:cs="Times New Roman"/>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5280">
      <w:bodyDiv w:val="1"/>
      <w:marLeft w:val="0"/>
      <w:marRight w:val="0"/>
      <w:marTop w:val="0"/>
      <w:marBottom w:val="0"/>
      <w:divBdr>
        <w:top w:val="none" w:sz="0" w:space="0" w:color="auto"/>
        <w:left w:val="none" w:sz="0" w:space="0" w:color="auto"/>
        <w:bottom w:val="none" w:sz="0" w:space="0" w:color="auto"/>
        <w:right w:val="none" w:sz="0" w:space="0" w:color="auto"/>
      </w:divBdr>
    </w:div>
    <w:div w:id="295599661">
      <w:bodyDiv w:val="1"/>
      <w:marLeft w:val="0"/>
      <w:marRight w:val="0"/>
      <w:marTop w:val="0"/>
      <w:marBottom w:val="0"/>
      <w:divBdr>
        <w:top w:val="none" w:sz="0" w:space="0" w:color="auto"/>
        <w:left w:val="none" w:sz="0" w:space="0" w:color="auto"/>
        <w:bottom w:val="none" w:sz="0" w:space="0" w:color="auto"/>
        <w:right w:val="none" w:sz="0" w:space="0" w:color="auto"/>
      </w:divBdr>
    </w:div>
    <w:div w:id="432240079">
      <w:bodyDiv w:val="1"/>
      <w:marLeft w:val="0"/>
      <w:marRight w:val="0"/>
      <w:marTop w:val="0"/>
      <w:marBottom w:val="0"/>
      <w:divBdr>
        <w:top w:val="none" w:sz="0" w:space="0" w:color="auto"/>
        <w:left w:val="none" w:sz="0" w:space="0" w:color="auto"/>
        <w:bottom w:val="none" w:sz="0" w:space="0" w:color="auto"/>
        <w:right w:val="none" w:sz="0" w:space="0" w:color="auto"/>
      </w:divBdr>
    </w:div>
    <w:div w:id="455876589">
      <w:bodyDiv w:val="1"/>
      <w:marLeft w:val="0"/>
      <w:marRight w:val="0"/>
      <w:marTop w:val="0"/>
      <w:marBottom w:val="0"/>
      <w:divBdr>
        <w:top w:val="none" w:sz="0" w:space="0" w:color="auto"/>
        <w:left w:val="none" w:sz="0" w:space="0" w:color="auto"/>
        <w:bottom w:val="none" w:sz="0" w:space="0" w:color="auto"/>
        <w:right w:val="none" w:sz="0" w:space="0" w:color="auto"/>
      </w:divBdr>
    </w:div>
    <w:div w:id="501311226">
      <w:bodyDiv w:val="1"/>
      <w:marLeft w:val="0"/>
      <w:marRight w:val="0"/>
      <w:marTop w:val="0"/>
      <w:marBottom w:val="0"/>
      <w:divBdr>
        <w:top w:val="none" w:sz="0" w:space="0" w:color="auto"/>
        <w:left w:val="none" w:sz="0" w:space="0" w:color="auto"/>
        <w:bottom w:val="none" w:sz="0" w:space="0" w:color="auto"/>
        <w:right w:val="none" w:sz="0" w:space="0" w:color="auto"/>
      </w:divBdr>
    </w:div>
    <w:div w:id="604387757">
      <w:bodyDiv w:val="1"/>
      <w:marLeft w:val="0"/>
      <w:marRight w:val="0"/>
      <w:marTop w:val="0"/>
      <w:marBottom w:val="0"/>
      <w:divBdr>
        <w:top w:val="none" w:sz="0" w:space="0" w:color="auto"/>
        <w:left w:val="none" w:sz="0" w:space="0" w:color="auto"/>
        <w:bottom w:val="none" w:sz="0" w:space="0" w:color="auto"/>
        <w:right w:val="none" w:sz="0" w:space="0" w:color="auto"/>
      </w:divBdr>
    </w:div>
    <w:div w:id="920989365">
      <w:bodyDiv w:val="1"/>
      <w:marLeft w:val="0"/>
      <w:marRight w:val="0"/>
      <w:marTop w:val="0"/>
      <w:marBottom w:val="0"/>
      <w:divBdr>
        <w:top w:val="none" w:sz="0" w:space="0" w:color="auto"/>
        <w:left w:val="none" w:sz="0" w:space="0" w:color="auto"/>
        <w:bottom w:val="none" w:sz="0" w:space="0" w:color="auto"/>
        <w:right w:val="none" w:sz="0" w:space="0" w:color="auto"/>
      </w:divBdr>
    </w:div>
    <w:div w:id="924147557">
      <w:bodyDiv w:val="1"/>
      <w:marLeft w:val="0"/>
      <w:marRight w:val="0"/>
      <w:marTop w:val="0"/>
      <w:marBottom w:val="0"/>
      <w:divBdr>
        <w:top w:val="none" w:sz="0" w:space="0" w:color="auto"/>
        <w:left w:val="none" w:sz="0" w:space="0" w:color="auto"/>
        <w:bottom w:val="none" w:sz="0" w:space="0" w:color="auto"/>
        <w:right w:val="none" w:sz="0" w:space="0" w:color="auto"/>
      </w:divBdr>
    </w:div>
    <w:div w:id="1257246905">
      <w:bodyDiv w:val="1"/>
      <w:marLeft w:val="0"/>
      <w:marRight w:val="0"/>
      <w:marTop w:val="0"/>
      <w:marBottom w:val="0"/>
      <w:divBdr>
        <w:top w:val="none" w:sz="0" w:space="0" w:color="auto"/>
        <w:left w:val="none" w:sz="0" w:space="0" w:color="auto"/>
        <w:bottom w:val="none" w:sz="0" w:space="0" w:color="auto"/>
        <w:right w:val="none" w:sz="0" w:space="0" w:color="auto"/>
      </w:divBdr>
    </w:div>
    <w:div w:id="1457143584">
      <w:bodyDiv w:val="1"/>
      <w:marLeft w:val="0"/>
      <w:marRight w:val="0"/>
      <w:marTop w:val="0"/>
      <w:marBottom w:val="0"/>
      <w:divBdr>
        <w:top w:val="none" w:sz="0" w:space="0" w:color="auto"/>
        <w:left w:val="none" w:sz="0" w:space="0" w:color="auto"/>
        <w:bottom w:val="none" w:sz="0" w:space="0" w:color="auto"/>
        <w:right w:val="none" w:sz="0" w:space="0" w:color="auto"/>
      </w:divBdr>
    </w:div>
    <w:div w:id="1499926049">
      <w:bodyDiv w:val="1"/>
      <w:marLeft w:val="0"/>
      <w:marRight w:val="0"/>
      <w:marTop w:val="0"/>
      <w:marBottom w:val="0"/>
      <w:divBdr>
        <w:top w:val="none" w:sz="0" w:space="0" w:color="auto"/>
        <w:left w:val="none" w:sz="0" w:space="0" w:color="auto"/>
        <w:bottom w:val="none" w:sz="0" w:space="0" w:color="auto"/>
        <w:right w:val="none" w:sz="0" w:space="0" w:color="auto"/>
      </w:divBdr>
    </w:div>
    <w:div w:id="1667972193">
      <w:bodyDiv w:val="1"/>
      <w:marLeft w:val="0"/>
      <w:marRight w:val="0"/>
      <w:marTop w:val="0"/>
      <w:marBottom w:val="0"/>
      <w:divBdr>
        <w:top w:val="none" w:sz="0" w:space="0" w:color="auto"/>
        <w:left w:val="none" w:sz="0" w:space="0" w:color="auto"/>
        <w:bottom w:val="none" w:sz="0" w:space="0" w:color="auto"/>
        <w:right w:val="none" w:sz="0" w:space="0" w:color="auto"/>
      </w:divBdr>
    </w:div>
    <w:div w:id="1699115547">
      <w:bodyDiv w:val="1"/>
      <w:marLeft w:val="0"/>
      <w:marRight w:val="0"/>
      <w:marTop w:val="0"/>
      <w:marBottom w:val="0"/>
      <w:divBdr>
        <w:top w:val="none" w:sz="0" w:space="0" w:color="auto"/>
        <w:left w:val="none" w:sz="0" w:space="0" w:color="auto"/>
        <w:bottom w:val="none" w:sz="0" w:space="0" w:color="auto"/>
        <w:right w:val="none" w:sz="0" w:space="0" w:color="auto"/>
      </w:divBdr>
    </w:div>
    <w:div w:id="1811555033">
      <w:bodyDiv w:val="1"/>
      <w:marLeft w:val="0"/>
      <w:marRight w:val="0"/>
      <w:marTop w:val="0"/>
      <w:marBottom w:val="0"/>
      <w:divBdr>
        <w:top w:val="none" w:sz="0" w:space="0" w:color="auto"/>
        <w:left w:val="none" w:sz="0" w:space="0" w:color="auto"/>
        <w:bottom w:val="none" w:sz="0" w:space="0" w:color="auto"/>
        <w:right w:val="none" w:sz="0" w:space="0" w:color="auto"/>
      </w:divBdr>
    </w:div>
    <w:div w:id="1913659509">
      <w:bodyDiv w:val="1"/>
      <w:marLeft w:val="0"/>
      <w:marRight w:val="0"/>
      <w:marTop w:val="0"/>
      <w:marBottom w:val="0"/>
      <w:divBdr>
        <w:top w:val="none" w:sz="0" w:space="0" w:color="auto"/>
        <w:left w:val="none" w:sz="0" w:space="0" w:color="auto"/>
        <w:bottom w:val="none" w:sz="0" w:space="0" w:color="auto"/>
        <w:right w:val="none" w:sz="0" w:space="0" w:color="auto"/>
      </w:divBdr>
    </w:div>
    <w:div w:id="1942370118">
      <w:bodyDiv w:val="1"/>
      <w:marLeft w:val="0"/>
      <w:marRight w:val="0"/>
      <w:marTop w:val="0"/>
      <w:marBottom w:val="0"/>
      <w:divBdr>
        <w:top w:val="none" w:sz="0" w:space="0" w:color="auto"/>
        <w:left w:val="none" w:sz="0" w:space="0" w:color="auto"/>
        <w:bottom w:val="none" w:sz="0" w:space="0" w:color="auto"/>
        <w:right w:val="none" w:sz="0" w:space="0" w:color="auto"/>
      </w:divBdr>
    </w:div>
    <w:div w:id="2017029980">
      <w:bodyDiv w:val="1"/>
      <w:marLeft w:val="0"/>
      <w:marRight w:val="0"/>
      <w:marTop w:val="0"/>
      <w:marBottom w:val="0"/>
      <w:divBdr>
        <w:top w:val="none" w:sz="0" w:space="0" w:color="auto"/>
        <w:left w:val="none" w:sz="0" w:space="0" w:color="auto"/>
        <w:bottom w:val="none" w:sz="0" w:space="0" w:color="auto"/>
        <w:right w:val="none" w:sz="0" w:space="0" w:color="auto"/>
      </w:divBdr>
    </w:div>
    <w:div w:id="21366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3F6729-9D91-478A-B9C2-6108CFDB47F6}"/>
</file>

<file path=customXml/itemProps2.xml><?xml version="1.0" encoding="utf-8"?>
<ds:datastoreItem xmlns:ds="http://schemas.openxmlformats.org/officeDocument/2006/customXml" ds:itemID="{CF7B961C-15E1-4F7C-9600-4359A58CBA23}"/>
</file>

<file path=customXml/itemProps3.xml><?xml version="1.0" encoding="utf-8"?>
<ds:datastoreItem xmlns:ds="http://schemas.openxmlformats.org/officeDocument/2006/customXml" ds:itemID="{E6D86CFF-CB59-4FB3-A7C4-C32BD81C373E}"/>
</file>

<file path=customXml/itemProps4.xml><?xml version="1.0" encoding="utf-8"?>
<ds:datastoreItem xmlns:ds="http://schemas.openxmlformats.org/officeDocument/2006/customXml" ds:itemID="{69404A37-25E4-4BFC-B39F-845F334EF11E}"/>
</file>

<file path=docProps/app.xml><?xml version="1.0" encoding="utf-8"?>
<Properties xmlns="http://schemas.openxmlformats.org/officeDocument/2006/extended-properties" xmlns:vt="http://schemas.openxmlformats.org/officeDocument/2006/docPropsVTypes">
  <Template>1C4E0AF6</Template>
  <TotalTime>0</TotalTime>
  <Pages>11</Pages>
  <Words>4429</Words>
  <Characters>25250</Characters>
  <Application>Microsoft Office Word</Application>
  <DocSecurity>0</DocSecurity>
  <Lines>210</Lines>
  <Paragraphs>59</Paragraphs>
  <ScaleCrop>false</ScaleCrop>
  <Company/>
  <LinksUpToDate>false</LinksUpToDate>
  <CharactersWithSpaces>29620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2016-08-30T05:25:00Z</dcterms:created>
  <dcterms:modified xsi:type="dcterms:W3CDTF">2016-08-30T05:25:00Z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e209f892-16f1-4c1c-beaf-1c0c64b741c0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1052400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