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2.xml" ContentType="application/vnd.openxmlformats-officedocument.drawingml.diagramData+xml"/>
  <Override PartName="/word/diagrams/data5.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7.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footer4.xml" ContentType="application/vnd.openxmlformats-officedocument.wordprocessingml.footer+xml"/>
  <Override PartName="/word/diagrams/drawing3.xml" ContentType="application/vnd.ms-office.drawingml.diagramDrawing+xml"/>
  <Override PartName="/word/diagrams/colors3.xml" ContentType="application/vnd.openxmlformats-officedocument.drawingml.diagramColors+xml"/>
  <Override PartName="/word/diagrams/quickStyle3.xml" ContentType="application/vnd.openxmlformats-officedocument.drawingml.diagramStyle+xml"/>
  <Override PartName="/word/diagrams/layout4.xml" ContentType="application/vnd.openxmlformats-officedocument.drawingml.diagramLayout+xml"/>
  <Override PartName="/word/diagrams/layout3.xml" ContentType="application/vnd.openxmlformats-officedocument.drawingml.diagramLayout+xml"/>
  <Override PartName="/word/diagrams/drawing5.xml" ContentType="application/vnd.ms-office.drawingml.diagramDrawing+xml"/>
  <Override PartName="/word/diagrams/colors4.xml" ContentType="application/vnd.openxmlformats-officedocument.drawingml.diagramColors+xml"/>
  <Override PartName="/word/theme/theme1.xml" ContentType="application/vnd.openxmlformats-officedocument.theme+xml"/>
  <Override PartName="/word/diagrams/drawing2.xml" ContentType="application/vnd.ms-office.drawingml.diagramDrawing+xml"/>
  <Override PartName="/word/diagrams/colors5.xml" ContentType="application/vnd.openxmlformats-officedocument.drawingml.diagramColors+xml"/>
  <Override PartName="/word/diagrams/quickStyle5.xml" ContentType="application/vnd.openxmlformats-officedocument.drawingml.diagramStyle+xml"/>
  <Override PartName="/word/diagrams/layout5.xml" ContentType="application/vnd.openxmlformats-officedocument.drawingml.diagramLayout+xml"/>
  <Override PartName="/word/diagrams/drawing4.xml" ContentType="application/vnd.ms-office.drawingml.diagramDrawing+xml"/>
  <Override PartName="/word/diagrams/quickStyle4.xml" ContentType="application/vnd.openxmlformats-officedocument.drawingml.diagramStyle+xml"/>
  <Override PartName="/word/diagrams/quickStyle2.xml" ContentType="application/vnd.openxmlformats-officedocument.drawingml.diagramStyle+xml"/>
  <Override PartName="/word/diagrams/colors2.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9FF0B" w14:textId="7ED308A6" w:rsidR="008F7678" w:rsidRPr="00A96337" w:rsidRDefault="00B663D0" w:rsidP="008F7678">
      <w:pPr>
        <w:pStyle w:val="ContentsHeading"/>
        <w:spacing w:before="0"/>
        <w:rPr>
          <w:rFonts w:cs="Arial"/>
        </w:rPr>
      </w:pPr>
      <w:bookmarkStart w:id="0" w:name="_GoBack"/>
      <w:bookmarkEnd w:id="0"/>
      <w:r w:rsidRPr="00A96337">
        <w:rPr>
          <w:rFonts w:cs="Arial"/>
          <w:noProof/>
          <w:lang w:eastAsia="en-AU"/>
        </w:rPr>
        <w:drawing>
          <wp:anchor distT="0" distB="0" distL="114300" distR="114300" simplePos="0" relativeHeight="251669504" behindDoc="1" locked="0" layoutInCell="1" allowOverlap="1" wp14:anchorId="1AA7D53C" wp14:editId="71CEFDED">
            <wp:simplePos x="0" y="0"/>
            <wp:positionH relativeFrom="page">
              <wp:align>left</wp:align>
            </wp:positionH>
            <wp:positionV relativeFrom="paragraph">
              <wp:posOffset>-914400</wp:posOffset>
            </wp:positionV>
            <wp:extent cx="7548113" cy="1067455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Reults TTC.jpg"/>
                    <pic:cNvPicPr/>
                  </pic:nvPicPr>
                  <pic:blipFill>
                    <a:blip r:embed="rId8"/>
                    <a:stretch>
                      <a:fillRect/>
                    </a:stretch>
                  </pic:blipFill>
                  <pic:spPr>
                    <a:xfrm>
                      <a:off x="0" y="0"/>
                      <a:ext cx="7549665" cy="10676750"/>
                    </a:xfrm>
                    <a:prstGeom prst="rect">
                      <a:avLst/>
                    </a:prstGeom>
                  </pic:spPr>
                </pic:pic>
              </a:graphicData>
            </a:graphic>
            <wp14:sizeRelH relativeFrom="margin">
              <wp14:pctWidth>0</wp14:pctWidth>
            </wp14:sizeRelH>
            <wp14:sizeRelV relativeFrom="margin">
              <wp14:pctHeight>0</wp14:pctHeight>
            </wp14:sizeRelV>
          </wp:anchor>
        </w:drawing>
      </w:r>
    </w:p>
    <w:p w14:paraId="483A10ED" w14:textId="20C28C3D" w:rsidR="00113BEE" w:rsidRPr="00A96337" w:rsidRDefault="002E4651" w:rsidP="007C50E3">
      <w:pPr>
        <w:pStyle w:val="BodyText"/>
        <w:rPr>
          <w:lang w:val="en-AU"/>
        </w:rPr>
        <w:sectPr w:rsidR="00113BEE" w:rsidRPr="00A96337" w:rsidSect="00DB1A80">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440" w:right="1440" w:bottom="1440" w:left="1440" w:header="720" w:footer="720" w:gutter="0"/>
          <w:pgNumType w:fmt="lowerRoman" w:start="1"/>
          <w:cols w:space="720"/>
          <w:titlePg/>
          <w:docGrid w:linePitch="360"/>
        </w:sectPr>
      </w:pPr>
      <w:r w:rsidRPr="00A96337">
        <w:rPr>
          <w:noProof/>
          <w:lang w:val="en-AU" w:eastAsia="en-AU"/>
        </w:rPr>
        <mc:AlternateContent>
          <mc:Choice Requires="wps">
            <w:drawing>
              <wp:anchor distT="0" distB="0" distL="114300" distR="114300" simplePos="0" relativeHeight="251657216" behindDoc="0" locked="0" layoutInCell="1" allowOverlap="1" wp14:anchorId="12D2542E" wp14:editId="29F42960">
                <wp:simplePos x="0" y="0"/>
                <wp:positionH relativeFrom="margin">
                  <wp:align>left</wp:align>
                </wp:positionH>
                <wp:positionV relativeFrom="page">
                  <wp:posOffset>1616149</wp:posOffset>
                </wp:positionV>
                <wp:extent cx="4391025" cy="2498238"/>
                <wp:effectExtent l="0" t="0" r="952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1025" cy="2498238"/>
                        </a:xfrm>
                        <a:prstGeom prst="rect">
                          <a:avLst/>
                        </a:prstGeom>
                        <a:noFill/>
                        <a:ln w="6350">
                          <a:noFill/>
                        </a:ln>
                        <a:effectLst/>
                      </wps:spPr>
                      <wps:txbx>
                        <w:txbxContent>
                          <w:p w14:paraId="69BA78C4" w14:textId="77777777" w:rsidR="00AE1954" w:rsidRPr="00CF492D" w:rsidRDefault="00AE1954" w:rsidP="00024DCF">
                            <w:pPr>
                              <w:spacing w:before="120" w:after="120" w:line="192" w:lineRule="auto"/>
                              <w:rPr>
                                <w:rFonts w:ascii="Arial Bold" w:hAnsi="Arial Bold" w:cs="Arial"/>
                                <w:b/>
                                <w:sz w:val="40"/>
                                <w:szCs w:val="40"/>
                              </w:rPr>
                            </w:pPr>
                            <w:r>
                              <w:rPr>
                                <w:rFonts w:ascii="Arial Bold" w:hAnsi="Arial Bold" w:cs="Arial"/>
                                <w:b/>
                                <w:sz w:val="40"/>
                                <w:szCs w:val="40"/>
                              </w:rPr>
                              <w:t>Tetra Tech Coffey</w:t>
                            </w:r>
                          </w:p>
                          <w:p w14:paraId="31B7F17D" w14:textId="77777777" w:rsidR="00AE1954" w:rsidRPr="00CF492D" w:rsidRDefault="00AE1954" w:rsidP="00024DCF">
                            <w:pPr>
                              <w:spacing w:before="120" w:after="120" w:line="192" w:lineRule="auto"/>
                              <w:rPr>
                                <w:rFonts w:ascii="Arial Bold" w:hAnsi="Arial Bold" w:cs="Arial"/>
                                <w:b/>
                                <w:sz w:val="40"/>
                                <w:szCs w:val="40"/>
                              </w:rPr>
                            </w:pPr>
                          </w:p>
                          <w:p w14:paraId="78B80CAB" w14:textId="5D16BB96" w:rsidR="00AE1954" w:rsidRDefault="00AE1954" w:rsidP="00024DCF">
                            <w:pPr>
                              <w:spacing w:before="120" w:after="120" w:line="192" w:lineRule="auto"/>
                              <w:rPr>
                                <w:rFonts w:ascii="Arial Bold" w:hAnsi="Arial Bold" w:cs="Arial"/>
                                <w:b/>
                                <w:sz w:val="40"/>
                                <w:szCs w:val="40"/>
                              </w:rPr>
                            </w:pPr>
                            <w:r w:rsidRPr="002E4651">
                              <w:rPr>
                                <w:rFonts w:ascii="Arial Bold" w:hAnsi="Arial Bold" w:cs="Arial"/>
                                <w:b/>
                                <w:sz w:val="40"/>
                                <w:szCs w:val="40"/>
                              </w:rPr>
                              <w:t>Australia Middle East NGO Cooperation Agreement Program - Phase Three (</w:t>
                            </w:r>
                            <w:r>
                              <w:rPr>
                                <w:rFonts w:ascii="Arial Bold" w:hAnsi="Arial Bold" w:cs="Arial"/>
                                <w:b/>
                                <w:sz w:val="40"/>
                                <w:szCs w:val="40"/>
                              </w:rPr>
                              <w:t>AMENCA 3</w:t>
                            </w:r>
                            <w:r w:rsidRPr="002E4651">
                              <w:rPr>
                                <w:rFonts w:ascii="Arial Bold" w:hAnsi="Arial Bold" w:cs="Arial"/>
                                <w:b/>
                                <w:sz w:val="40"/>
                                <w:szCs w:val="40"/>
                              </w:rPr>
                              <w:t>)</w:t>
                            </w:r>
                          </w:p>
                          <w:p w14:paraId="47CAE82B" w14:textId="77777777" w:rsidR="00AE1954" w:rsidRPr="002E4651" w:rsidRDefault="00AE1954" w:rsidP="002E4651">
                            <w:pPr>
                              <w:spacing w:before="360" w:after="120" w:line="192" w:lineRule="auto"/>
                              <w:rPr>
                                <w:rFonts w:ascii="Arial" w:hAnsi="Arial" w:cs="Arial"/>
                                <w:sz w:val="28"/>
                                <w:szCs w:val="44"/>
                              </w:rPr>
                            </w:pPr>
                            <w:r w:rsidRPr="002E4651">
                              <w:rPr>
                                <w:rFonts w:ascii="Arial" w:hAnsi="Arial" w:cs="Arial"/>
                                <w:sz w:val="28"/>
                                <w:szCs w:val="44"/>
                              </w:rPr>
                              <w:t>Palestinian Farmers Connecting to Markets</w:t>
                            </w:r>
                          </w:p>
                          <w:p w14:paraId="4E3990C3" w14:textId="2D39670A" w:rsidR="00AE1954" w:rsidRPr="002E4651" w:rsidRDefault="00AE1954" w:rsidP="002E4651">
                            <w:pPr>
                              <w:spacing w:before="120" w:after="360" w:line="192" w:lineRule="auto"/>
                              <w:rPr>
                                <w:rFonts w:ascii="Arial" w:hAnsi="Arial" w:cs="Arial"/>
                                <w:sz w:val="28"/>
                                <w:szCs w:val="44"/>
                              </w:rPr>
                            </w:pPr>
                            <w:r w:rsidRPr="002E4651">
                              <w:rPr>
                                <w:rFonts w:ascii="Arial" w:hAnsi="Arial" w:cs="Arial"/>
                                <w:sz w:val="28"/>
                                <w:szCs w:val="44"/>
                              </w:rPr>
                              <w:t>Mid-Term Review</w:t>
                            </w:r>
                            <w:r>
                              <w:rPr>
                                <w:rFonts w:ascii="Arial" w:hAnsi="Arial" w:cs="Arial"/>
                                <w:sz w:val="28"/>
                                <w:szCs w:val="44"/>
                              </w:rPr>
                              <w:t xml:space="preserve"> Final Report</w:t>
                            </w:r>
                          </w:p>
                          <w:p w14:paraId="11736C33" w14:textId="64040AB0" w:rsidR="00AE1954" w:rsidRPr="00AA2047" w:rsidRDefault="00AE1954" w:rsidP="00067440">
                            <w:pPr>
                              <w:spacing w:before="120" w:after="120" w:line="192" w:lineRule="auto"/>
                            </w:pPr>
                            <w:r>
                              <w:rPr>
                                <w:rFonts w:ascii="Arial" w:hAnsi="Arial" w:cs="Arial"/>
                                <w:sz w:val="24"/>
                                <w:szCs w:val="32"/>
                              </w:rPr>
                              <w:t>July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2542E" id="_x0000_t202" coordsize="21600,21600" o:spt="202" path="m,l,21600r21600,l21600,xe">
                <v:stroke joinstyle="miter"/>
                <v:path gradientshapeok="t" o:connecttype="rect"/>
              </v:shapetype>
              <v:shape id="Text Box 49" o:spid="_x0000_s1026" type="#_x0000_t202" style="position:absolute;margin-left:0;margin-top:127.25pt;width:345.75pt;height:196.7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" filled="f" stroked="f" strokeweight=".5pt">
                <v:path arrowok="t"/>
                <v:textbox inset="0,0,0,0">
                  <w:txbxContent>
                    <w:p w14:paraId="69BA78C4" w14:textId="77777777" w:rsidR="00AE1954" w:rsidRPr="00CF492D" w:rsidRDefault="00AE1954" w:rsidP="00024DCF">
                      <w:pPr>
                        <w:spacing w:before="120" w:after="120" w:line="192" w:lineRule="auto"/>
                        <w:rPr>
                          <w:rFonts w:ascii="Arial Bold" w:hAnsi="Arial Bold" w:cs="Arial"/>
                          <w:b/>
                          <w:sz w:val="40"/>
                          <w:szCs w:val="40"/>
                        </w:rPr>
                      </w:pPr>
                      <w:r>
                        <w:rPr>
                          <w:rFonts w:ascii="Arial Bold" w:hAnsi="Arial Bold" w:cs="Arial"/>
                          <w:b/>
                          <w:sz w:val="40"/>
                          <w:szCs w:val="40"/>
                        </w:rPr>
                        <w:t>Tetra Tech Coffey</w:t>
                      </w:r>
                    </w:p>
                    <w:p w14:paraId="31B7F17D" w14:textId="77777777" w:rsidR="00AE1954" w:rsidRPr="00CF492D" w:rsidRDefault="00AE1954" w:rsidP="00024DCF">
                      <w:pPr>
                        <w:spacing w:before="120" w:after="120" w:line="192" w:lineRule="auto"/>
                        <w:rPr>
                          <w:rFonts w:ascii="Arial Bold" w:hAnsi="Arial Bold" w:cs="Arial"/>
                          <w:b/>
                          <w:sz w:val="40"/>
                          <w:szCs w:val="40"/>
                        </w:rPr>
                      </w:pPr>
                    </w:p>
                    <w:p w14:paraId="78B80CAB" w14:textId="5D16BB96" w:rsidR="00AE1954" w:rsidRDefault="00AE1954" w:rsidP="00024DCF">
                      <w:pPr>
                        <w:spacing w:before="120" w:after="120" w:line="192" w:lineRule="auto"/>
                        <w:rPr>
                          <w:rFonts w:ascii="Arial Bold" w:hAnsi="Arial Bold" w:cs="Arial"/>
                          <w:b/>
                          <w:sz w:val="40"/>
                          <w:szCs w:val="40"/>
                        </w:rPr>
                      </w:pPr>
                      <w:r w:rsidRPr="002E4651">
                        <w:rPr>
                          <w:rFonts w:ascii="Arial Bold" w:hAnsi="Arial Bold" w:cs="Arial"/>
                          <w:b/>
                          <w:sz w:val="40"/>
                          <w:szCs w:val="40"/>
                        </w:rPr>
                        <w:t>Australia Middle East NGO Cooperation Agreement Program - Phase Three (</w:t>
                      </w:r>
                      <w:r>
                        <w:rPr>
                          <w:rFonts w:ascii="Arial Bold" w:hAnsi="Arial Bold" w:cs="Arial"/>
                          <w:b/>
                          <w:sz w:val="40"/>
                          <w:szCs w:val="40"/>
                        </w:rPr>
                        <w:t>AMENCA 3</w:t>
                      </w:r>
                      <w:r w:rsidRPr="002E4651">
                        <w:rPr>
                          <w:rFonts w:ascii="Arial Bold" w:hAnsi="Arial Bold" w:cs="Arial"/>
                          <w:b/>
                          <w:sz w:val="40"/>
                          <w:szCs w:val="40"/>
                        </w:rPr>
                        <w:t>)</w:t>
                      </w:r>
                    </w:p>
                    <w:p w14:paraId="47CAE82B" w14:textId="77777777" w:rsidR="00AE1954" w:rsidRPr="002E4651" w:rsidRDefault="00AE1954" w:rsidP="002E4651">
                      <w:pPr>
                        <w:spacing w:before="360" w:after="120" w:line="192" w:lineRule="auto"/>
                        <w:rPr>
                          <w:rFonts w:ascii="Arial" w:hAnsi="Arial" w:cs="Arial"/>
                          <w:sz w:val="28"/>
                          <w:szCs w:val="44"/>
                        </w:rPr>
                      </w:pPr>
                      <w:r w:rsidRPr="002E4651">
                        <w:rPr>
                          <w:rFonts w:ascii="Arial" w:hAnsi="Arial" w:cs="Arial"/>
                          <w:sz w:val="28"/>
                          <w:szCs w:val="44"/>
                        </w:rPr>
                        <w:t>Palestinian Farmers Connecting to Markets</w:t>
                      </w:r>
                    </w:p>
                    <w:p w14:paraId="4E3990C3" w14:textId="2D39670A" w:rsidR="00AE1954" w:rsidRPr="002E4651" w:rsidRDefault="00AE1954" w:rsidP="002E4651">
                      <w:pPr>
                        <w:spacing w:before="120" w:after="360" w:line="192" w:lineRule="auto"/>
                        <w:rPr>
                          <w:rFonts w:ascii="Arial" w:hAnsi="Arial" w:cs="Arial"/>
                          <w:sz w:val="28"/>
                          <w:szCs w:val="44"/>
                        </w:rPr>
                      </w:pPr>
                      <w:r w:rsidRPr="002E4651">
                        <w:rPr>
                          <w:rFonts w:ascii="Arial" w:hAnsi="Arial" w:cs="Arial"/>
                          <w:sz w:val="28"/>
                          <w:szCs w:val="44"/>
                        </w:rPr>
                        <w:t>Mid-Term Review</w:t>
                      </w:r>
                      <w:r>
                        <w:rPr>
                          <w:rFonts w:ascii="Arial" w:hAnsi="Arial" w:cs="Arial"/>
                          <w:sz w:val="28"/>
                          <w:szCs w:val="44"/>
                        </w:rPr>
                        <w:t xml:space="preserve"> Final Report</w:t>
                      </w:r>
                    </w:p>
                    <w:p w14:paraId="11736C33" w14:textId="64040AB0" w:rsidR="00AE1954" w:rsidRPr="00AA2047" w:rsidRDefault="00AE1954" w:rsidP="00067440">
                      <w:pPr>
                        <w:spacing w:before="120" w:after="120" w:line="192" w:lineRule="auto"/>
                      </w:pPr>
                      <w:r>
                        <w:rPr>
                          <w:rFonts w:ascii="Arial" w:hAnsi="Arial" w:cs="Arial"/>
                          <w:sz w:val="24"/>
                          <w:szCs w:val="32"/>
                        </w:rPr>
                        <w:t>July 2019</w:t>
                      </w:r>
                    </w:p>
                  </w:txbxContent>
                </v:textbox>
                <w10:wrap anchorx="margin" anchory="page"/>
              </v:shape>
            </w:pict>
          </mc:Fallback>
        </mc:AlternateContent>
      </w:r>
      <w:r w:rsidR="008F7678" w:rsidRPr="00A96337">
        <w:rPr>
          <w:lang w:val="en-AU"/>
        </w:rPr>
        <w:br w:type="page"/>
      </w:r>
    </w:p>
    <w:bookmarkStart w:id="1" w:name="_Hlk4343883" w:displacedByCustomXml="next"/>
    <w:sdt>
      <w:sdtPr>
        <w:rPr>
          <w:rFonts w:eastAsiaTheme="minorHAnsi"/>
          <w:color w:val="049CD5"/>
          <w:sz w:val="24"/>
          <w:lang w:val="en-AU" w:eastAsia="en-AU"/>
        </w:rPr>
        <w:id w:val="2038629362"/>
        <w:docPartObj>
          <w:docPartGallery w:val="Table of Contents"/>
          <w:docPartUnique/>
        </w:docPartObj>
      </w:sdtPr>
      <w:sdtEndPr>
        <w:rPr>
          <w:rFonts w:eastAsiaTheme="minorEastAsia"/>
          <w:color w:val="auto"/>
          <w:sz w:val="20"/>
          <w:lang w:eastAsia="en-US"/>
        </w:rPr>
      </w:sdtEndPr>
      <w:sdtContent>
        <w:p w14:paraId="76A83C52" w14:textId="77777777" w:rsidR="001A7007" w:rsidRPr="00A96337" w:rsidRDefault="00822D32" w:rsidP="007C50E3">
          <w:pPr>
            <w:pStyle w:val="TOC1"/>
            <w:rPr>
              <w:rFonts w:eastAsia="Arial"/>
              <w:color w:val="003478"/>
              <w:sz w:val="36"/>
              <w:szCs w:val="36"/>
              <w:lang w:val="en-AU" w:eastAsia="en-AU"/>
            </w:rPr>
          </w:pPr>
          <w:r w:rsidRPr="00A96337">
            <w:rPr>
              <w:rFonts w:eastAsia="Arial"/>
              <w:color w:val="003478"/>
              <w:sz w:val="36"/>
              <w:szCs w:val="36"/>
              <w:lang w:val="en-AU" w:eastAsia="en-AU"/>
            </w:rPr>
            <w:t>Contents</w:t>
          </w:r>
        </w:p>
        <w:p w14:paraId="0D1EE3ED" w14:textId="4D5501C0" w:rsidR="00593D9F" w:rsidRDefault="00396E6E">
          <w:pPr>
            <w:pStyle w:val="TOC1"/>
            <w:rPr>
              <w:rFonts w:asciiTheme="minorHAnsi" w:hAnsiTheme="minorHAnsi" w:cstheme="minorBidi"/>
              <w:b w:val="0"/>
              <w:spacing w:val="0"/>
              <w:sz w:val="22"/>
              <w:szCs w:val="22"/>
              <w:lang w:val="en-NZ" w:eastAsia="en-NZ"/>
            </w:rPr>
          </w:pPr>
          <w:r w:rsidRPr="00A96337">
            <w:rPr>
              <w:noProof w:val="0"/>
              <w:sz w:val="18"/>
              <w:szCs w:val="18"/>
              <w:lang w:val="en-AU"/>
            </w:rPr>
            <w:fldChar w:fldCharType="begin"/>
          </w:r>
          <w:r w:rsidRPr="00A96337">
            <w:rPr>
              <w:noProof w:val="0"/>
              <w:sz w:val="18"/>
              <w:szCs w:val="18"/>
              <w:lang w:val="en-AU"/>
            </w:rPr>
            <w:instrText xml:space="preserve"> TOC \o "3-3" \h \z \t "Heading 1,1,Heading 2,2,Heading 0,1" </w:instrText>
          </w:r>
          <w:r w:rsidRPr="00A96337">
            <w:rPr>
              <w:noProof w:val="0"/>
              <w:sz w:val="18"/>
              <w:szCs w:val="18"/>
              <w:lang w:val="en-AU"/>
            </w:rPr>
            <w:fldChar w:fldCharType="separate"/>
          </w:r>
          <w:hyperlink w:anchor="_Toc12364787" w:history="1">
            <w:r w:rsidR="00593D9F" w:rsidRPr="00B95CAC">
              <w:rPr>
                <w:rStyle w:val="Hyperlink"/>
              </w:rPr>
              <w:t>Section A: About this Mid Term Review</w:t>
            </w:r>
            <w:r w:rsidR="00593D9F">
              <w:rPr>
                <w:webHidden/>
              </w:rPr>
              <w:tab/>
            </w:r>
            <w:r w:rsidR="00593D9F">
              <w:rPr>
                <w:webHidden/>
              </w:rPr>
              <w:fldChar w:fldCharType="begin"/>
            </w:r>
            <w:r w:rsidR="00593D9F">
              <w:rPr>
                <w:webHidden/>
              </w:rPr>
              <w:instrText xml:space="preserve"> PAGEREF _Toc12364787 \h </w:instrText>
            </w:r>
            <w:r w:rsidR="00593D9F">
              <w:rPr>
                <w:webHidden/>
              </w:rPr>
            </w:r>
            <w:r w:rsidR="00593D9F">
              <w:rPr>
                <w:webHidden/>
              </w:rPr>
              <w:fldChar w:fldCharType="separate"/>
            </w:r>
            <w:r w:rsidR="00E06D4A">
              <w:rPr>
                <w:webHidden/>
              </w:rPr>
              <w:t>6</w:t>
            </w:r>
            <w:r w:rsidR="00593D9F">
              <w:rPr>
                <w:webHidden/>
              </w:rPr>
              <w:fldChar w:fldCharType="end"/>
            </w:r>
          </w:hyperlink>
        </w:p>
        <w:p w14:paraId="751AA235" w14:textId="67298A9B" w:rsidR="00593D9F" w:rsidRDefault="003B525D">
          <w:pPr>
            <w:pStyle w:val="TOC1"/>
            <w:rPr>
              <w:rFonts w:asciiTheme="minorHAnsi" w:hAnsiTheme="minorHAnsi" w:cstheme="minorBidi"/>
              <w:b w:val="0"/>
              <w:spacing w:val="0"/>
              <w:sz w:val="22"/>
              <w:szCs w:val="22"/>
              <w:lang w:val="en-NZ" w:eastAsia="en-NZ"/>
            </w:rPr>
          </w:pPr>
          <w:hyperlink w:anchor="_Toc12364788" w:history="1">
            <w:r w:rsidR="00593D9F" w:rsidRPr="00B95CAC">
              <w:rPr>
                <w:rStyle w:val="Hyperlink"/>
              </w:rPr>
              <w:t>1</w:t>
            </w:r>
            <w:r w:rsidR="00593D9F">
              <w:rPr>
                <w:rFonts w:asciiTheme="minorHAnsi" w:hAnsiTheme="minorHAnsi" w:cstheme="minorBidi"/>
                <w:b w:val="0"/>
                <w:spacing w:val="0"/>
                <w:sz w:val="22"/>
                <w:szCs w:val="22"/>
                <w:lang w:val="en-NZ" w:eastAsia="en-NZ"/>
              </w:rPr>
              <w:tab/>
            </w:r>
            <w:r w:rsidR="00593D9F" w:rsidRPr="00B95CAC">
              <w:rPr>
                <w:rStyle w:val="Hyperlink"/>
              </w:rPr>
              <w:t>Why this MTR matters</w:t>
            </w:r>
            <w:r w:rsidR="00593D9F">
              <w:rPr>
                <w:webHidden/>
              </w:rPr>
              <w:tab/>
            </w:r>
            <w:r w:rsidR="00593D9F">
              <w:rPr>
                <w:webHidden/>
              </w:rPr>
              <w:fldChar w:fldCharType="begin"/>
            </w:r>
            <w:r w:rsidR="00593D9F">
              <w:rPr>
                <w:webHidden/>
              </w:rPr>
              <w:instrText xml:space="preserve"> PAGEREF _Toc12364788 \h </w:instrText>
            </w:r>
            <w:r w:rsidR="00593D9F">
              <w:rPr>
                <w:webHidden/>
              </w:rPr>
            </w:r>
            <w:r w:rsidR="00593D9F">
              <w:rPr>
                <w:webHidden/>
              </w:rPr>
              <w:fldChar w:fldCharType="separate"/>
            </w:r>
            <w:r w:rsidR="00E06D4A">
              <w:rPr>
                <w:webHidden/>
              </w:rPr>
              <w:t>6</w:t>
            </w:r>
            <w:r w:rsidR="00593D9F">
              <w:rPr>
                <w:webHidden/>
              </w:rPr>
              <w:fldChar w:fldCharType="end"/>
            </w:r>
          </w:hyperlink>
        </w:p>
        <w:p w14:paraId="19CDC46A" w14:textId="7309BCF3" w:rsidR="00593D9F" w:rsidRDefault="003B525D">
          <w:pPr>
            <w:pStyle w:val="TOC1"/>
            <w:rPr>
              <w:rFonts w:asciiTheme="minorHAnsi" w:hAnsiTheme="minorHAnsi" w:cstheme="minorBidi"/>
              <w:b w:val="0"/>
              <w:spacing w:val="0"/>
              <w:sz w:val="22"/>
              <w:szCs w:val="22"/>
              <w:lang w:val="en-NZ" w:eastAsia="en-NZ"/>
            </w:rPr>
          </w:pPr>
          <w:hyperlink w:anchor="_Toc12364789" w:history="1">
            <w:r w:rsidR="00593D9F" w:rsidRPr="00B95CAC">
              <w:rPr>
                <w:rStyle w:val="Hyperlink"/>
              </w:rPr>
              <w:t>2</w:t>
            </w:r>
            <w:r w:rsidR="00593D9F">
              <w:rPr>
                <w:rFonts w:asciiTheme="minorHAnsi" w:hAnsiTheme="minorHAnsi" w:cstheme="minorBidi"/>
                <w:b w:val="0"/>
                <w:spacing w:val="0"/>
                <w:sz w:val="22"/>
                <w:szCs w:val="22"/>
                <w:lang w:val="en-NZ" w:eastAsia="en-NZ"/>
              </w:rPr>
              <w:tab/>
            </w:r>
            <w:r w:rsidR="00593D9F" w:rsidRPr="00B95CAC">
              <w:rPr>
                <w:rStyle w:val="Hyperlink"/>
              </w:rPr>
              <w:t>MTR objectives and team</w:t>
            </w:r>
            <w:r w:rsidR="00593D9F">
              <w:rPr>
                <w:webHidden/>
              </w:rPr>
              <w:tab/>
            </w:r>
            <w:r w:rsidR="00593D9F">
              <w:rPr>
                <w:webHidden/>
              </w:rPr>
              <w:fldChar w:fldCharType="begin"/>
            </w:r>
            <w:r w:rsidR="00593D9F">
              <w:rPr>
                <w:webHidden/>
              </w:rPr>
              <w:instrText xml:space="preserve"> PAGEREF _Toc12364789 \h </w:instrText>
            </w:r>
            <w:r w:rsidR="00593D9F">
              <w:rPr>
                <w:webHidden/>
              </w:rPr>
            </w:r>
            <w:r w:rsidR="00593D9F">
              <w:rPr>
                <w:webHidden/>
              </w:rPr>
              <w:fldChar w:fldCharType="separate"/>
            </w:r>
            <w:r w:rsidR="00E06D4A">
              <w:rPr>
                <w:webHidden/>
              </w:rPr>
              <w:t>6</w:t>
            </w:r>
            <w:r w:rsidR="00593D9F">
              <w:rPr>
                <w:webHidden/>
              </w:rPr>
              <w:fldChar w:fldCharType="end"/>
            </w:r>
          </w:hyperlink>
        </w:p>
        <w:p w14:paraId="05F4E569" w14:textId="13CFF171" w:rsidR="00593D9F" w:rsidRDefault="003B525D">
          <w:pPr>
            <w:pStyle w:val="TOC1"/>
            <w:rPr>
              <w:rFonts w:asciiTheme="minorHAnsi" w:hAnsiTheme="minorHAnsi" w:cstheme="minorBidi"/>
              <w:b w:val="0"/>
              <w:spacing w:val="0"/>
              <w:sz w:val="22"/>
              <w:szCs w:val="22"/>
              <w:lang w:val="en-NZ" w:eastAsia="en-NZ"/>
            </w:rPr>
          </w:pPr>
          <w:hyperlink w:anchor="_Toc12364790" w:history="1">
            <w:r w:rsidR="00593D9F" w:rsidRPr="00B95CAC">
              <w:rPr>
                <w:rStyle w:val="Hyperlink"/>
              </w:rPr>
              <w:t>3</w:t>
            </w:r>
            <w:r w:rsidR="00593D9F">
              <w:rPr>
                <w:rFonts w:asciiTheme="minorHAnsi" w:hAnsiTheme="minorHAnsi" w:cstheme="minorBidi"/>
                <w:b w:val="0"/>
                <w:spacing w:val="0"/>
                <w:sz w:val="22"/>
                <w:szCs w:val="22"/>
                <w:lang w:val="en-NZ" w:eastAsia="en-NZ"/>
              </w:rPr>
              <w:tab/>
            </w:r>
            <w:r w:rsidR="00593D9F" w:rsidRPr="00B95CAC">
              <w:rPr>
                <w:rStyle w:val="Hyperlink"/>
              </w:rPr>
              <w:t>MTR methodology</w:t>
            </w:r>
            <w:r w:rsidR="00593D9F">
              <w:rPr>
                <w:webHidden/>
              </w:rPr>
              <w:tab/>
            </w:r>
            <w:r w:rsidR="00593D9F">
              <w:rPr>
                <w:webHidden/>
              </w:rPr>
              <w:fldChar w:fldCharType="begin"/>
            </w:r>
            <w:r w:rsidR="00593D9F">
              <w:rPr>
                <w:webHidden/>
              </w:rPr>
              <w:instrText xml:space="preserve"> PAGEREF _Toc12364790 \h </w:instrText>
            </w:r>
            <w:r w:rsidR="00593D9F">
              <w:rPr>
                <w:webHidden/>
              </w:rPr>
            </w:r>
            <w:r w:rsidR="00593D9F">
              <w:rPr>
                <w:webHidden/>
              </w:rPr>
              <w:fldChar w:fldCharType="separate"/>
            </w:r>
            <w:r w:rsidR="00E06D4A">
              <w:rPr>
                <w:webHidden/>
              </w:rPr>
              <w:t>7</w:t>
            </w:r>
            <w:r w:rsidR="00593D9F">
              <w:rPr>
                <w:webHidden/>
              </w:rPr>
              <w:fldChar w:fldCharType="end"/>
            </w:r>
          </w:hyperlink>
        </w:p>
        <w:p w14:paraId="1F11AAE3" w14:textId="3F8C23E9" w:rsidR="00593D9F" w:rsidRDefault="003B525D">
          <w:pPr>
            <w:pStyle w:val="TOC2"/>
            <w:rPr>
              <w:rFonts w:asciiTheme="minorHAnsi" w:hAnsiTheme="minorHAnsi" w:cstheme="minorBidi"/>
              <w:sz w:val="22"/>
              <w:szCs w:val="22"/>
              <w:lang w:val="en-NZ" w:eastAsia="en-NZ"/>
            </w:rPr>
          </w:pPr>
          <w:hyperlink w:anchor="_Toc12364791" w:history="1">
            <w:r w:rsidR="00593D9F" w:rsidRPr="00B95CAC">
              <w:rPr>
                <w:rStyle w:val="Hyperlink"/>
              </w:rPr>
              <w:t>3.1</w:t>
            </w:r>
            <w:r w:rsidR="00593D9F">
              <w:rPr>
                <w:rFonts w:asciiTheme="minorHAnsi" w:hAnsiTheme="minorHAnsi" w:cstheme="minorBidi"/>
                <w:sz w:val="22"/>
                <w:szCs w:val="22"/>
                <w:lang w:val="en-NZ" w:eastAsia="en-NZ"/>
              </w:rPr>
              <w:tab/>
            </w:r>
            <w:r w:rsidR="00593D9F" w:rsidRPr="00B95CAC">
              <w:rPr>
                <w:rStyle w:val="Hyperlink"/>
              </w:rPr>
              <w:t>Answering the evaluation questions</w:t>
            </w:r>
            <w:r w:rsidR="00593D9F">
              <w:rPr>
                <w:webHidden/>
              </w:rPr>
              <w:tab/>
            </w:r>
            <w:r w:rsidR="00593D9F">
              <w:rPr>
                <w:webHidden/>
              </w:rPr>
              <w:fldChar w:fldCharType="begin"/>
            </w:r>
            <w:r w:rsidR="00593D9F">
              <w:rPr>
                <w:webHidden/>
              </w:rPr>
              <w:instrText xml:space="preserve"> PAGEREF _Toc12364791 \h </w:instrText>
            </w:r>
            <w:r w:rsidR="00593D9F">
              <w:rPr>
                <w:webHidden/>
              </w:rPr>
            </w:r>
            <w:r w:rsidR="00593D9F">
              <w:rPr>
                <w:webHidden/>
              </w:rPr>
              <w:fldChar w:fldCharType="separate"/>
            </w:r>
            <w:r w:rsidR="00E06D4A">
              <w:rPr>
                <w:webHidden/>
              </w:rPr>
              <w:t>7</w:t>
            </w:r>
            <w:r w:rsidR="00593D9F">
              <w:rPr>
                <w:webHidden/>
              </w:rPr>
              <w:fldChar w:fldCharType="end"/>
            </w:r>
          </w:hyperlink>
        </w:p>
        <w:p w14:paraId="03D593B8" w14:textId="09D1FCD6" w:rsidR="00593D9F" w:rsidRDefault="003B525D">
          <w:pPr>
            <w:pStyle w:val="TOC2"/>
            <w:rPr>
              <w:rFonts w:asciiTheme="minorHAnsi" w:hAnsiTheme="minorHAnsi" w:cstheme="minorBidi"/>
              <w:sz w:val="22"/>
              <w:szCs w:val="22"/>
              <w:lang w:val="en-NZ" w:eastAsia="en-NZ"/>
            </w:rPr>
          </w:pPr>
          <w:hyperlink w:anchor="_Toc12364792" w:history="1">
            <w:r w:rsidR="00593D9F" w:rsidRPr="00B95CAC">
              <w:rPr>
                <w:rStyle w:val="Hyperlink"/>
              </w:rPr>
              <w:t>3.2</w:t>
            </w:r>
            <w:r w:rsidR="00593D9F">
              <w:rPr>
                <w:rFonts w:asciiTheme="minorHAnsi" w:hAnsiTheme="minorHAnsi" w:cstheme="minorBidi"/>
                <w:sz w:val="22"/>
                <w:szCs w:val="22"/>
                <w:lang w:val="en-NZ" w:eastAsia="en-NZ"/>
              </w:rPr>
              <w:tab/>
            </w:r>
            <w:r w:rsidR="00593D9F" w:rsidRPr="00B95CAC">
              <w:rPr>
                <w:rStyle w:val="Hyperlink"/>
              </w:rPr>
              <w:t>Data collection</w:t>
            </w:r>
            <w:r w:rsidR="00593D9F">
              <w:rPr>
                <w:webHidden/>
              </w:rPr>
              <w:tab/>
            </w:r>
            <w:r w:rsidR="00593D9F">
              <w:rPr>
                <w:webHidden/>
              </w:rPr>
              <w:fldChar w:fldCharType="begin"/>
            </w:r>
            <w:r w:rsidR="00593D9F">
              <w:rPr>
                <w:webHidden/>
              </w:rPr>
              <w:instrText xml:space="preserve"> PAGEREF _Toc12364792 \h </w:instrText>
            </w:r>
            <w:r w:rsidR="00593D9F">
              <w:rPr>
                <w:webHidden/>
              </w:rPr>
            </w:r>
            <w:r w:rsidR="00593D9F">
              <w:rPr>
                <w:webHidden/>
              </w:rPr>
              <w:fldChar w:fldCharType="separate"/>
            </w:r>
            <w:r w:rsidR="00E06D4A">
              <w:rPr>
                <w:webHidden/>
              </w:rPr>
              <w:t>7</w:t>
            </w:r>
            <w:r w:rsidR="00593D9F">
              <w:rPr>
                <w:webHidden/>
              </w:rPr>
              <w:fldChar w:fldCharType="end"/>
            </w:r>
          </w:hyperlink>
        </w:p>
        <w:p w14:paraId="3390B7BC" w14:textId="5FEC29BD" w:rsidR="00593D9F" w:rsidRDefault="003B525D">
          <w:pPr>
            <w:pStyle w:val="TOC2"/>
            <w:rPr>
              <w:rFonts w:asciiTheme="minorHAnsi" w:hAnsiTheme="minorHAnsi" w:cstheme="minorBidi"/>
              <w:sz w:val="22"/>
              <w:szCs w:val="22"/>
              <w:lang w:val="en-NZ" w:eastAsia="en-NZ"/>
            </w:rPr>
          </w:pPr>
          <w:hyperlink w:anchor="_Toc12364793" w:history="1">
            <w:r w:rsidR="00593D9F" w:rsidRPr="00B95CAC">
              <w:rPr>
                <w:rStyle w:val="Hyperlink"/>
              </w:rPr>
              <w:t>3.3</w:t>
            </w:r>
            <w:r w:rsidR="00593D9F">
              <w:rPr>
                <w:rFonts w:asciiTheme="minorHAnsi" w:hAnsiTheme="minorHAnsi" w:cstheme="minorBidi"/>
                <w:sz w:val="22"/>
                <w:szCs w:val="22"/>
                <w:lang w:val="en-NZ" w:eastAsia="en-NZ"/>
              </w:rPr>
              <w:tab/>
            </w:r>
            <w:r w:rsidR="00593D9F" w:rsidRPr="00B95CAC">
              <w:rPr>
                <w:rStyle w:val="Hyperlink"/>
              </w:rPr>
              <w:t>Assessment criteria</w:t>
            </w:r>
            <w:r w:rsidR="00593D9F">
              <w:rPr>
                <w:webHidden/>
              </w:rPr>
              <w:tab/>
            </w:r>
            <w:r w:rsidR="00593D9F">
              <w:rPr>
                <w:webHidden/>
              </w:rPr>
              <w:fldChar w:fldCharType="begin"/>
            </w:r>
            <w:r w:rsidR="00593D9F">
              <w:rPr>
                <w:webHidden/>
              </w:rPr>
              <w:instrText xml:space="preserve"> PAGEREF _Toc12364793 \h </w:instrText>
            </w:r>
            <w:r w:rsidR="00593D9F">
              <w:rPr>
                <w:webHidden/>
              </w:rPr>
            </w:r>
            <w:r w:rsidR="00593D9F">
              <w:rPr>
                <w:webHidden/>
              </w:rPr>
              <w:fldChar w:fldCharType="separate"/>
            </w:r>
            <w:r w:rsidR="00E06D4A">
              <w:rPr>
                <w:webHidden/>
              </w:rPr>
              <w:t>8</w:t>
            </w:r>
            <w:r w:rsidR="00593D9F">
              <w:rPr>
                <w:webHidden/>
              </w:rPr>
              <w:fldChar w:fldCharType="end"/>
            </w:r>
          </w:hyperlink>
        </w:p>
        <w:p w14:paraId="51E5827C" w14:textId="5A9B4726" w:rsidR="00593D9F" w:rsidRDefault="003B525D">
          <w:pPr>
            <w:pStyle w:val="TOC2"/>
            <w:rPr>
              <w:rFonts w:asciiTheme="minorHAnsi" w:hAnsiTheme="minorHAnsi" w:cstheme="minorBidi"/>
              <w:sz w:val="22"/>
              <w:szCs w:val="22"/>
              <w:lang w:val="en-NZ" w:eastAsia="en-NZ"/>
            </w:rPr>
          </w:pPr>
          <w:hyperlink w:anchor="_Toc12364794" w:history="1">
            <w:r w:rsidR="00593D9F" w:rsidRPr="00B95CAC">
              <w:rPr>
                <w:rStyle w:val="Hyperlink"/>
              </w:rPr>
              <w:t>3.4</w:t>
            </w:r>
            <w:r w:rsidR="00593D9F">
              <w:rPr>
                <w:rFonts w:asciiTheme="minorHAnsi" w:hAnsiTheme="minorHAnsi" w:cstheme="minorBidi"/>
                <w:sz w:val="22"/>
                <w:szCs w:val="22"/>
                <w:lang w:val="en-NZ" w:eastAsia="en-NZ"/>
              </w:rPr>
              <w:tab/>
            </w:r>
            <w:r w:rsidR="00593D9F" w:rsidRPr="00B95CAC">
              <w:rPr>
                <w:rStyle w:val="Hyperlink"/>
              </w:rPr>
              <w:t>Limitations of the MTR</w:t>
            </w:r>
            <w:r w:rsidR="00593D9F">
              <w:rPr>
                <w:webHidden/>
              </w:rPr>
              <w:tab/>
            </w:r>
            <w:r w:rsidR="00593D9F">
              <w:rPr>
                <w:webHidden/>
              </w:rPr>
              <w:fldChar w:fldCharType="begin"/>
            </w:r>
            <w:r w:rsidR="00593D9F">
              <w:rPr>
                <w:webHidden/>
              </w:rPr>
              <w:instrText xml:space="preserve"> PAGEREF _Toc12364794 \h </w:instrText>
            </w:r>
            <w:r w:rsidR="00593D9F">
              <w:rPr>
                <w:webHidden/>
              </w:rPr>
            </w:r>
            <w:r w:rsidR="00593D9F">
              <w:rPr>
                <w:webHidden/>
              </w:rPr>
              <w:fldChar w:fldCharType="separate"/>
            </w:r>
            <w:r w:rsidR="00E06D4A">
              <w:rPr>
                <w:webHidden/>
              </w:rPr>
              <w:t>8</w:t>
            </w:r>
            <w:r w:rsidR="00593D9F">
              <w:rPr>
                <w:webHidden/>
              </w:rPr>
              <w:fldChar w:fldCharType="end"/>
            </w:r>
          </w:hyperlink>
        </w:p>
        <w:p w14:paraId="6CCBAB0E" w14:textId="742FC5B7" w:rsidR="00593D9F" w:rsidRDefault="003B525D">
          <w:pPr>
            <w:pStyle w:val="TOC1"/>
            <w:rPr>
              <w:rFonts w:asciiTheme="minorHAnsi" w:hAnsiTheme="minorHAnsi" w:cstheme="minorBidi"/>
              <w:b w:val="0"/>
              <w:spacing w:val="0"/>
              <w:sz w:val="22"/>
              <w:szCs w:val="22"/>
              <w:lang w:val="en-NZ" w:eastAsia="en-NZ"/>
            </w:rPr>
          </w:pPr>
          <w:hyperlink w:anchor="_Toc12364795" w:history="1">
            <w:r w:rsidR="00593D9F" w:rsidRPr="00B95CAC">
              <w:rPr>
                <w:rStyle w:val="Hyperlink"/>
              </w:rPr>
              <w:t>Section B: About AMENCA 3</w:t>
            </w:r>
            <w:r w:rsidR="00593D9F">
              <w:rPr>
                <w:webHidden/>
              </w:rPr>
              <w:tab/>
            </w:r>
            <w:r w:rsidR="00593D9F">
              <w:rPr>
                <w:webHidden/>
              </w:rPr>
              <w:fldChar w:fldCharType="begin"/>
            </w:r>
            <w:r w:rsidR="00593D9F">
              <w:rPr>
                <w:webHidden/>
              </w:rPr>
              <w:instrText xml:space="preserve"> PAGEREF _Toc12364795 \h </w:instrText>
            </w:r>
            <w:r w:rsidR="00593D9F">
              <w:rPr>
                <w:webHidden/>
              </w:rPr>
            </w:r>
            <w:r w:rsidR="00593D9F">
              <w:rPr>
                <w:webHidden/>
              </w:rPr>
              <w:fldChar w:fldCharType="separate"/>
            </w:r>
            <w:r w:rsidR="00E06D4A">
              <w:rPr>
                <w:webHidden/>
              </w:rPr>
              <w:t>10</w:t>
            </w:r>
            <w:r w:rsidR="00593D9F">
              <w:rPr>
                <w:webHidden/>
              </w:rPr>
              <w:fldChar w:fldCharType="end"/>
            </w:r>
          </w:hyperlink>
        </w:p>
        <w:p w14:paraId="5C6E3A63" w14:textId="6E69FB6E" w:rsidR="00593D9F" w:rsidRDefault="003B525D">
          <w:pPr>
            <w:pStyle w:val="TOC1"/>
            <w:rPr>
              <w:rFonts w:asciiTheme="minorHAnsi" w:hAnsiTheme="minorHAnsi" w:cstheme="minorBidi"/>
              <w:b w:val="0"/>
              <w:spacing w:val="0"/>
              <w:sz w:val="22"/>
              <w:szCs w:val="22"/>
              <w:lang w:val="en-NZ" w:eastAsia="en-NZ"/>
            </w:rPr>
          </w:pPr>
          <w:hyperlink w:anchor="_Toc12364796" w:history="1">
            <w:r w:rsidR="00593D9F" w:rsidRPr="00B95CAC">
              <w:rPr>
                <w:rStyle w:val="Hyperlink"/>
              </w:rPr>
              <w:t>4</w:t>
            </w:r>
            <w:r w:rsidR="00593D9F">
              <w:rPr>
                <w:rFonts w:asciiTheme="minorHAnsi" w:hAnsiTheme="minorHAnsi" w:cstheme="minorBidi"/>
                <w:b w:val="0"/>
                <w:spacing w:val="0"/>
                <w:sz w:val="22"/>
                <w:szCs w:val="22"/>
                <w:lang w:val="en-NZ" w:eastAsia="en-NZ"/>
              </w:rPr>
              <w:tab/>
            </w:r>
            <w:r w:rsidR="00593D9F" w:rsidRPr="00B95CAC">
              <w:rPr>
                <w:rStyle w:val="Hyperlink"/>
              </w:rPr>
              <w:t>AMENCA 3 overview</w:t>
            </w:r>
            <w:r w:rsidR="00593D9F">
              <w:rPr>
                <w:webHidden/>
              </w:rPr>
              <w:tab/>
            </w:r>
            <w:r w:rsidR="00593D9F">
              <w:rPr>
                <w:webHidden/>
              </w:rPr>
              <w:fldChar w:fldCharType="begin"/>
            </w:r>
            <w:r w:rsidR="00593D9F">
              <w:rPr>
                <w:webHidden/>
              </w:rPr>
              <w:instrText xml:space="preserve"> PAGEREF _Toc12364796 \h </w:instrText>
            </w:r>
            <w:r w:rsidR="00593D9F">
              <w:rPr>
                <w:webHidden/>
              </w:rPr>
            </w:r>
            <w:r w:rsidR="00593D9F">
              <w:rPr>
                <w:webHidden/>
              </w:rPr>
              <w:fldChar w:fldCharType="separate"/>
            </w:r>
            <w:r w:rsidR="00E06D4A">
              <w:rPr>
                <w:webHidden/>
              </w:rPr>
              <w:t>10</w:t>
            </w:r>
            <w:r w:rsidR="00593D9F">
              <w:rPr>
                <w:webHidden/>
              </w:rPr>
              <w:fldChar w:fldCharType="end"/>
            </w:r>
          </w:hyperlink>
        </w:p>
        <w:p w14:paraId="0BC2BD03" w14:textId="070CFABC" w:rsidR="00593D9F" w:rsidRDefault="003B525D">
          <w:pPr>
            <w:pStyle w:val="TOC1"/>
            <w:rPr>
              <w:rFonts w:asciiTheme="minorHAnsi" w:hAnsiTheme="minorHAnsi" w:cstheme="minorBidi"/>
              <w:b w:val="0"/>
              <w:spacing w:val="0"/>
              <w:sz w:val="22"/>
              <w:szCs w:val="22"/>
              <w:lang w:val="en-NZ" w:eastAsia="en-NZ"/>
            </w:rPr>
          </w:pPr>
          <w:hyperlink w:anchor="_Toc12364797" w:history="1">
            <w:r w:rsidR="00593D9F" w:rsidRPr="00B95CAC">
              <w:rPr>
                <w:rStyle w:val="Hyperlink"/>
              </w:rPr>
              <w:t>5</w:t>
            </w:r>
            <w:r w:rsidR="00593D9F">
              <w:rPr>
                <w:rFonts w:asciiTheme="minorHAnsi" w:hAnsiTheme="minorHAnsi" w:cstheme="minorBidi"/>
                <w:b w:val="0"/>
                <w:spacing w:val="0"/>
                <w:sz w:val="22"/>
                <w:szCs w:val="22"/>
                <w:lang w:val="en-NZ" w:eastAsia="en-NZ"/>
              </w:rPr>
              <w:tab/>
            </w:r>
            <w:r w:rsidR="00593D9F" w:rsidRPr="00B95CAC">
              <w:rPr>
                <w:rStyle w:val="Hyperlink"/>
              </w:rPr>
              <w:t>AMENCA projects</w:t>
            </w:r>
            <w:r w:rsidR="00593D9F">
              <w:rPr>
                <w:webHidden/>
              </w:rPr>
              <w:tab/>
            </w:r>
            <w:r w:rsidR="00593D9F">
              <w:rPr>
                <w:webHidden/>
              </w:rPr>
              <w:fldChar w:fldCharType="begin"/>
            </w:r>
            <w:r w:rsidR="00593D9F">
              <w:rPr>
                <w:webHidden/>
              </w:rPr>
              <w:instrText xml:space="preserve"> PAGEREF _Toc12364797 \h </w:instrText>
            </w:r>
            <w:r w:rsidR="00593D9F">
              <w:rPr>
                <w:webHidden/>
              </w:rPr>
            </w:r>
            <w:r w:rsidR="00593D9F">
              <w:rPr>
                <w:webHidden/>
              </w:rPr>
              <w:fldChar w:fldCharType="separate"/>
            </w:r>
            <w:r w:rsidR="00E06D4A">
              <w:rPr>
                <w:webHidden/>
              </w:rPr>
              <w:t>12</w:t>
            </w:r>
            <w:r w:rsidR="00593D9F">
              <w:rPr>
                <w:webHidden/>
              </w:rPr>
              <w:fldChar w:fldCharType="end"/>
            </w:r>
          </w:hyperlink>
        </w:p>
        <w:p w14:paraId="48D9D5C9" w14:textId="2CCBD705" w:rsidR="00593D9F" w:rsidRDefault="003B525D">
          <w:pPr>
            <w:pStyle w:val="TOC2"/>
            <w:rPr>
              <w:rFonts w:asciiTheme="minorHAnsi" w:hAnsiTheme="minorHAnsi" w:cstheme="minorBidi"/>
              <w:sz w:val="22"/>
              <w:szCs w:val="22"/>
              <w:lang w:val="en-NZ" w:eastAsia="en-NZ"/>
            </w:rPr>
          </w:pPr>
          <w:hyperlink w:anchor="_Toc12364798" w:history="1">
            <w:r w:rsidR="00593D9F" w:rsidRPr="00B95CAC">
              <w:rPr>
                <w:rStyle w:val="Hyperlink"/>
              </w:rPr>
              <w:t>5.1</w:t>
            </w:r>
            <w:r w:rsidR="00593D9F">
              <w:rPr>
                <w:rFonts w:asciiTheme="minorHAnsi" w:hAnsiTheme="minorHAnsi" w:cstheme="minorBidi"/>
                <w:sz w:val="22"/>
                <w:szCs w:val="22"/>
                <w:lang w:val="en-NZ" w:eastAsia="en-NZ"/>
              </w:rPr>
              <w:tab/>
            </w:r>
            <w:r w:rsidR="00593D9F" w:rsidRPr="00B95CAC">
              <w:rPr>
                <w:rStyle w:val="Hyperlink"/>
              </w:rPr>
              <w:t>CARE Souqona</w:t>
            </w:r>
            <w:r w:rsidR="00593D9F">
              <w:rPr>
                <w:webHidden/>
              </w:rPr>
              <w:tab/>
            </w:r>
            <w:r w:rsidR="00593D9F">
              <w:rPr>
                <w:webHidden/>
              </w:rPr>
              <w:fldChar w:fldCharType="begin"/>
            </w:r>
            <w:r w:rsidR="00593D9F">
              <w:rPr>
                <w:webHidden/>
              </w:rPr>
              <w:instrText xml:space="preserve"> PAGEREF _Toc12364798 \h </w:instrText>
            </w:r>
            <w:r w:rsidR="00593D9F">
              <w:rPr>
                <w:webHidden/>
              </w:rPr>
            </w:r>
            <w:r w:rsidR="00593D9F">
              <w:rPr>
                <w:webHidden/>
              </w:rPr>
              <w:fldChar w:fldCharType="separate"/>
            </w:r>
            <w:r w:rsidR="00E06D4A">
              <w:rPr>
                <w:webHidden/>
              </w:rPr>
              <w:t>12</w:t>
            </w:r>
            <w:r w:rsidR="00593D9F">
              <w:rPr>
                <w:webHidden/>
              </w:rPr>
              <w:fldChar w:fldCharType="end"/>
            </w:r>
          </w:hyperlink>
        </w:p>
        <w:p w14:paraId="67EB549D" w14:textId="028E5101" w:rsidR="00593D9F" w:rsidRDefault="003B525D">
          <w:pPr>
            <w:pStyle w:val="TOC3"/>
            <w:rPr>
              <w:rFonts w:asciiTheme="minorHAnsi" w:hAnsiTheme="minorHAnsi" w:cstheme="minorBidi"/>
              <w:sz w:val="22"/>
              <w:szCs w:val="22"/>
              <w:lang w:val="en-NZ" w:eastAsia="en-NZ"/>
            </w:rPr>
          </w:pPr>
          <w:hyperlink w:anchor="_Toc12364799" w:history="1">
            <w:r w:rsidR="00593D9F" w:rsidRPr="00B95CAC">
              <w:rPr>
                <w:rStyle w:val="Hyperlink"/>
                <w:lang w:val="en-AU"/>
              </w:rPr>
              <w:t>5.1.1.</w:t>
            </w:r>
            <w:r w:rsidR="00593D9F">
              <w:rPr>
                <w:rFonts w:asciiTheme="minorHAnsi" w:hAnsiTheme="minorHAnsi" w:cstheme="minorBidi"/>
                <w:sz w:val="22"/>
                <w:szCs w:val="22"/>
                <w:lang w:val="en-NZ" w:eastAsia="en-NZ"/>
              </w:rPr>
              <w:tab/>
            </w:r>
            <w:r w:rsidR="00593D9F" w:rsidRPr="00B95CAC">
              <w:rPr>
                <w:rStyle w:val="Hyperlink"/>
                <w:lang w:val="en-AU"/>
              </w:rPr>
              <w:t>Key Souqona activities:</w:t>
            </w:r>
            <w:r w:rsidR="00593D9F">
              <w:rPr>
                <w:webHidden/>
              </w:rPr>
              <w:tab/>
            </w:r>
            <w:r w:rsidR="00593D9F">
              <w:rPr>
                <w:webHidden/>
              </w:rPr>
              <w:fldChar w:fldCharType="begin"/>
            </w:r>
            <w:r w:rsidR="00593D9F">
              <w:rPr>
                <w:webHidden/>
              </w:rPr>
              <w:instrText xml:space="preserve"> PAGEREF _Toc12364799 \h </w:instrText>
            </w:r>
            <w:r w:rsidR="00593D9F">
              <w:rPr>
                <w:webHidden/>
              </w:rPr>
            </w:r>
            <w:r w:rsidR="00593D9F">
              <w:rPr>
                <w:webHidden/>
              </w:rPr>
              <w:fldChar w:fldCharType="separate"/>
            </w:r>
            <w:r w:rsidR="00E06D4A">
              <w:rPr>
                <w:webHidden/>
              </w:rPr>
              <w:t>12</w:t>
            </w:r>
            <w:r w:rsidR="00593D9F">
              <w:rPr>
                <w:webHidden/>
              </w:rPr>
              <w:fldChar w:fldCharType="end"/>
            </w:r>
          </w:hyperlink>
        </w:p>
        <w:p w14:paraId="4A19E7A5" w14:textId="5C27DA4B" w:rsidR="00593D9F" w:rsidRDefault="003B525D">
          <w:pPr>
            <w:pStyle w:val="TOC2"/>
            <w:rPr>
              <w:rFonts w:asciiTheme="minorHAnsi" w:hAnsiTheme="minorHAnsi" w:cstheme="minorBidi"/>
              <w:sz w:val="22"/>
              <w:szCs w:val="22"/>
              <w:lang w:val="en-NZ" w:eastAsia="en-NZ"/>
            </w:rPr>
          </w:pPr>
          <w:hyperlink w:anchor="_Toc12364800" w:history="1">
            <w:r w:rsidR="00593D9F" w:rsidRPr="00B95CAC">
              <w:rPr>
                <w:rStyle w:val="Hyperlink"/>
              </w:rPr>
              <w:t>5.2</w:t>
            </w:r>
            <w:r w:rsidR="00593D9F">
              <w:rPr>
                <w:rFonts w:asciiTheme="minorHAnsi" w:hAnsiTheme="minorHAnsi" w:cstheme="minorBidi"/>
                <w:sz w:val="22"/>
                <w:szCs w:val="22"/>
                <w:lang w:val="en-NZ" w:eastAsia="en-NZ"/>
              </w:rPr>
              <w:tab/>
            </w:r>
            <w:r w:rsidR="00593D9F" w:rsidRPr="00B95CAC">
              <w:rPr>
                <w:rStyle w:val="Hyperlink"/>
              </w:rPr>
              <w:t>Oxfam Takamol</w:t>
            </w:r>
            <w:r w:rsidR="00593D9F">
              <w:rPr>
                <w:webHidden/>
              </w:rPr>
              <w:tab/>
            </w:r>
            <w:r w:rsidR="00593D9F">
              <w:rPr>
                <w:webHidden/>
              </w:rPr>
              <w:fldChar w:fldCharType="begin"/>
            </w:r>
            <w:r w:rsidR="00593D9F">
              <w:rPr>
                <w:webHidden/>
              </w:rPr>
              <w:instrText xml:space="preserve"> PAGEREF _Toc12364800 \h </w:instrText>
            </w:r>
            <w:r w:rsidR="00593D9F">
              <w:rPr>
                <w:webHidden/>
              </w:rPr>
            </w:r>
            <w:r w:rsidR="00593D9F">
              <w:rPr>
                <w:webHidden/>
              </w:rPr>
              <w:fldChar w:fldCharType="separate"/>
            </w:r>
            <w:r w:rsidR="00E06D4A">
              <w:rPr>
                <w:webHidden/>
              </w:rPr>
              <w:t>13</w:t>
            </w:r>
            <w:r w:rsidR="00593D9F">
              <w:rPr>
                <w:webHidden/>
              </w:rPr>
              <w:fldChar w:fldCharType="end"/>
            </w:r>
          </w:hyperlink>
        </w:p>
        <w:p w14:paraId="5ED89243" w14:textId="74037C53" w:rsidR="00593D9F" w:rsidRDefault="003B525D">
          <w:pPr>
            <w:pStyle w:val="TOC3"/>
            <w:rPr>
              <w:rFonts w:asciiTheme="minorHAnsi" w:hAnsiTheme="minorHAnsi" w:cstheme="minorBidi"/>
              <w:sz w:val="22"/>
              <w:szCs w:val="22"/>
              <w:lang w:val="en-NZ" w:eastAsia="en-NZ"/>
            </w:rPr>
          </w:pPr>
          <w:hyperlink w:anchor="_Toc12364801" w:history="1">
            <w:r w:rsidR="00593D9F" w:rsidRPr="00B95CAC">
              <w:rPr>
                <w:rStyle w:val="Hyperlink"/>
                <w:lang w:val="en-AU"/>
              </w:rPr>
              <w:t>5.2.1.</w:t>
            </w:r>
            <w:r w:rsidR="00593D9F">
              <w:rPr>
                <w:rFonts w:asciiTheme="minorHAnsi" w:hAnsiTheme="minorHAnsi" w:cstheme="minorBidi"/>
                <w:sz w:val="22"/>
                <w:szCs w:val="22"/>
                <w:lang w:val="en-NZ" w:eastAsia="en-NZ"/>
              </w:rPr>
              <w:tab/>
            </w:r>
            <w:r w:rsidR="00593D9F" w:rsidRPr="00B95CAC">
              <w:rPr>
                <w:rStyle w:val="Hyperlink"/>
                <w:lang w:val="en-AU"/>
              </w:rPr>
              <w:t>Key Takamol activities:</w:t>
            </w:r>
            <w:r w:rsidR="00593D9F">
              <w:rPr>
                <w:webHidden/>
              </w:rPr>
              <w:tab/>
            </w:r>
            <w:r w:rsidR="00593D9F">
              <w:rPr>
                <w:webHidden/>
              </w:rPr>
              <w:fldChar w:fldCharType="begin"/>
            </w:r>
            <w:r w:rsidR="00593D9F">
              <w:rPr>
                <w:webHidden/>
              </w:rPr>
              <w:instrText xml:space="preserve"> PAGEREF _Toc12364801 \h </w:instrText>
            </w:r>
            <w:r w:rsidR="00593D9F">
              <w:rPr>
                <w:webHidden/>
              </w:rPr>
            </w:r>
            <w:r w:rsidR="00593D9F">
              <w:rPr>
                <w:webHidden/>
              </w:rPr>
              <w:fldChar w:fldCharType="separate"/>
            </w:r>
            <w:r w:rsidR="00E06D4A">
              <w:rPr>
                <w:webHidden/>
              </w:rPr>
              <w:t>14</w:t>
            </w:r>
            <w:r w:rsidR="00593D9F">
              <w:rPr>
                <w:webHidden/>
              </w:rPr>
              <w:fldChar w:fldCharType="end"/>
            </w:r>
          </w:hyperlink>
        </w:p>
        <w:p w14:paraId="356FEEB4" w14:textId="65AE12E9" w:rsidR="00593D9F" w:rsidRDefault="003B525D">
          <w:pPr>
            <w:pStyle w:val="TOC2"/>
            <w:rPr>
              <w:rFonts w:asciiTheme="minorHAnsi" w:hAnsiTheme="minorHAnsi" w:cstheme="minorBidi"/>
              <w:sz w:val="22"/>
              <w:szCs w:val="22"/>
              <w:lang w:val="en-NZ" w:eastAsia="en-NZ"/>
            </w:rPr>
          </w:pPr>
          <w:hyperlink w:anchor="_Toc12364802" w:history="1">
            <w:r w:rsidR="00593D9F" w:rsidRPr="00B95CAC">
              <w:rPr>
                <w:rStyle w:val="Hyperlink"/>
              </w:rPr>
              <w:t>5.3</w:t>
            </w:r>
            <w:r w:rsidR="00593D9F">
              <w:rPr>
                <w:rFonts w:asciiTheme="minorHAnsi" w:hAnsiTheme="minorHAnsi" w:cstheme="minorBidi"/>
                <w:sz w:val="22"/>
                <w:szCs w:val="22"/>
                <w:lang w:val="en-NZ" w:eastAsia="en-NZ"/>
              </w:rPr>
              <w:tab/>
            </w:r>
            <w:r w:rsidR="00593D9F" w:rsidRPr="00B95CAC">
              <w:rPr>
                <w:rStyle w:val="Hyperlink"/>
              </w:rPr>
              <w:t>APHEDA Ghalleh</w:t>
            </w:r>
            <w:r w:rsidR="00593D9F">
              <w:rPr>
                <w:webHidden/>
              </w:rPr>
              <w:tab/>
            </w:r>
            <w:r w:rsidR="00593D9F">
              <w:rPr>
                <w:webHidden/>
              </w:rPr>
              <w:fldChar w:fldCharType="begin"/>
            </w:r>
            <w:r w:rsidR="00593D9F">
              <w:rPr>
                <w:webHidden/>
              </w:rPr>
              <w:instrText xml:space="preserve"> PAGEREF _Toc12364802 \h </w:instrText>
            </w:r>
            <w:r w:rsidR="00593D9F">
              <w:rPr>
                <w:webHidden/>
              </w:rPr>
            </w:r>
            <w:r w:rsidR="00593D9F">
              <w:rPr>
                <w:webHidden/>
              </w:rPr>
              <w:fldChar w:fldCharType="separate"/>
            </w:r>
            <w:r w:rsidR="00E06D4A">
              <w:rPr>
                <w:webHidden/>
              </w:rPr>
              <w:t>15</w:t>
            </w:r>
            <w:r w:rsidR="00593D9F">
              <w:rPr>
                <w:webHidden/>
              </w:rPr>
              <w:fldChar w:fldCharType="end"/>
            </w:r>
          </w:hyperlink>
        </w:p>
        <w:p w14:paraId="22254B7B" w14:textId="5ABB4EE1" w:rsidR="00593D9F" w:rsidRDefault="003B525D">
          <w:pPr>
            <w:pStyle w:val="TOC3"/>
            <w:rPr>
              <w:rFonts w:asciiTheme="minorHAnsi" w:hAnsiTheme="minorHAnsi" w:cstheme="minorBidi"/>
              <w:sz w:val="22"/>
              <w:szCs w:val="22"/>
              <w:lang w:val="en-NZ" w:eastAsia="en-NZ"/>
            </w:rPr>
          </w:pPr>
          <w:hyperlink w:anchor="_Toc12364803" w:history="1">
            <w:r w:rsidR="00593D9F" w:rsidRPr="00B95CAC">
              <w:rPr>
                <w:rStyle w:val="Hyperlink"/>
                <w:lang w:val="en-AU"/>
              </w:rPr>
              <w:t>5.3.1.</w:t>
            </w:r>
            <w:r w:rsidR="00593D9F">
              <w:rPr>
                <w:rFonts w:asciiTheme="minorHAnsi" w:hAnsiTheme="minorHAnsi" w:cstheme="minorBidi"/>
                <w:sz w:val="22"/>
                <w:szCs w:val="22"/>
                <w:lang w:val="en-NZ" w:eastAsia="en-NZ"/>
              </w:rPr>
              <w:tab/>
            </w:r>
            <w:r w:rsidR="00593D9F" w:rsidRPr="00B95CAC">
              <w:rPr>
                <w:rStyle w:val="Hyperlink"/>
                <w:lang w:val="en-AU"/>
              </w:rPr>
              <w:t>Key Ghalleh activities</w:t>
            </w:r>
            <w:r w:rsidR="00593D9F">
              <w:rPr>
                <w:webHidden/>
              </w:rPr>
              <w:tab/>
            </w:r>
            <w:r w:rsidR="00593D9F">
              <w:rPr>
                <w:webHidden/>
              </w:rPr>
              <w:fldChar w:fldCharType="begin"/>
            </w:r>
            <w:r w:rsidR="00593D9F">
              <w:rPr>
                <w:webHidden/>
              </w:rPr>
              <w:instrText xml:space="preserve"> PAGEREF _Toc12364803 \h </w:instrText>
            </w:r>
            <w:r w:rsidR="00593D9F">
              <w:rPr>
                <w:webHidden/>
              </w:rPr>
            </w:r>
            <w:r w:rsidR="00593D9F">
              <w:rPr>
                <w:webHidden/>
              </w:rPr>
              <w:fldChar w:fldCharType="separate"/>
            </w:r>
            <w:r w:rsidR="00E06D4A">
              <w:rPr>
                <w:webHidden/>
              </w:rPr>
              <w:t>15</w:t>
            </w:r>
            <w:r w:rsidR="00593D9F">
              <w:rPr>
                <w:webHidden/>
              </w:rPr>
              <w:fldChar w:fldCharType="end"/>
            </w:r>
          </w:hyperlink>
        </w:p>
        <w:p w14:paraId="0BCD6A3B" w14:textId="1F1129B8" w:rsidR="00593D9F" w:rsidRDefault="003B525D">
          <w:pPr>
            <w:pStyle w:val="TOC1"/>
            <w:rPr>
              <w:rFonts w:asciiTheme="minorHAnsi" w:hAnsiTheme="minorHAnsi" w:cstheme="minorBidi"/>
              <w:b w:val="0"/>
              <w:spacing w:val="0"/>
              <w:sz w:val="22"/>
              <w:szCs w:val="22"/>
              <w:lang w:val="en-NZ" w:eastAsia="en-NZ"/>
            </w:rPr>
          </w:pPr>
          <w:hyperlink w:anchor="_Toc12364804" w:history="1">
            <w:r w:rsidR="00593D9F" w:rsidRPr="00B95CAC">
              <w:rPr>
                <w:rStyle w:val="Hyperlink"/>
              </w:rPr>
              <w:t>6</w:t>
            </w:r>
            <w:r w:rsidR="00593D9F">
              <w:rPr>
                <w:rFonts w:asciiTheme="minorHAnsi" w:hAnsiTheme="minorHAnsi" w:cstheme="minorBidi"/>
                <w:b w:val="0"/>
                <w:spacing w:val="0"/>
                <w:sz w:val="22"/>
                <w:szCs w:val="22"/>
                <w:lang w:val="en-NZ" w:eastAsia="en-NZ"/>
              </w:rPr>
              <w:tab/>
            </w:r>
            <w:r w:rsidR="00593D9F" w:rsidRPr="00B95CAC">
              <w:rPr>
                <w:rStyle w:val="Hyperlink"/>
              </w:rPr>
              <w:t>AMENCA 3 technical advisory services</w:t>
            </w:r>
            <w:r w:rsidR="00593D9F">
              <w:rPr>
                <w:webHidden/>
              </w:rPr>
              <w:tab/>
            </w:r>
            <w:r w:rsidR="00593D9F">
              <w:rPr>
                <w:webHidden/>
              </w:rPr>
              <w:fldChar w:fldCharType="begin"/>
            </w:r>
            <w:r w:rsidR="00593D9F">
              <w:rPr>
                <w:webHidden/>
              </w:rPr>
              <w:instrText xml:space="preserve"> PAGEREF _Toc12364804 \h </w:instrText>
            </w:r>
            <w:r w:rsidR="00593D9F">
              <w:rPr>
                <w:webHidden/>
              </w:rPr>
            </w:r>
            <w:r w:rsidR="00593D9F">
              <w:rPr>
                <w:webHidden/>
              </w:rPr>
              <w:fldChar w:fldCharType="separate"/>
            </w:r>
            <w:r w:rsidR="00E06D4A">
              <w:rPr>
                <w:webHidden/>
              </w:rPr>
              <w:t>16</w:t>
            </w:r>
            <w:r w:rsidR="00593D9F">
              <w:rPr>
                <w:webHidden/>
              </w:rPr>
              <w:fldChar w:fldCharType="end"/>
            </w:r>
          </w:hyperlink>
        </w:p>
        <w:p w14:paraId="627103EB" w14:textId="1E85A4CB" w:rsidR="00593D9F" w:rsidRDefault="003B525D">
          <w:pPr>
            <w:pStyle w:val="TOC1"/>
            <w:rPr>
              <w:rFonts w:asciiTheme="minorHAnsi" w:hAnsiTheme="minorHAnsi" w:cstheme="minorBidi"/>
              <w:b w:val="0"/>
              <w:spacing w:val="0"/>
              <w:sz w:val="22"/>
              <w:szCs w:val="22"/>
              <w:lang w:val="en-NZ" w:eastAsia="en-NZ"/>
            </w:rPr>
          </w:pPr>
          <w:hyperlink w:anchor="_Toc12364805" w:history="1">
            <w:r w:rsidR="00593D9F" w:rsidRPr="00B95CAC">
              <w:rPr>
                <w:rStyle w:val="Hyperlink"/>
              </w:rPr>
              <w:t>Section C: MTR Findings</w:t>
            </w:r>
            <w:r w:rsidR="00593D9F">
              <w:rPr>
                <w:webHidden/>
              </w:rPr>
              <w:tab/>
            </w:r>
            <w:r w:rsidR="00593D9F">
              <w:rPr>
                <w:webHidden/>
              </w:rPr>
              <w:fldChar w:fldCharType="begin"/>
            </w:r>
            <w:r w:rsidR="00593D9F">
              <w:rPr>
                <w:webHidden/>
              </w:rPr>
              <w:instrText xml:space="preserve"> PAGEREF _Toc12364805 \h </w:instrText>
            </w:r>
            <w:r w:rsidR="00593D9F">
              <w:rPr>
                <w:webHidden/>
              </w:rPr>
            </w:r>
            <w:r w:rsidR="00593D9F">
              <w:rPr>
                <w:webHidden/>
              </w:rPr>
              <w:fldChar w:fldCharType="separate"/>
            </w:r>
            <w:r w:rsidR="00E06D4A">
              <w:rPr>
                <w:webHidden/>
              </w:rPr>
              <w:t>17</w:t>
            </w:r>
            <w:r w:rsidR="00593D9F">
              <w:rPr>
                <w:webHidden/>
              </w:rPr>
              <w:fldChar w:fldCharType="end"/>
            </w:r>
          </w:hyperlink>
        </w:p>
        <w:p w14:paraId="24B027D6" w14:textId="5FB70838" w:rsidR="00593D9F" w:rsidRDefault="003B525D">
          <w:pPr>
            <w:pStyle w:val="TOC1"/>
            <w:rPr>
              <w:rFonts w:asciiTheme="minorHAnsi" w:hAnsiTheme="minorHAnsi" w:cstheme="minorBidi"/>
              <w:b w:val="0"/>
              <w:spacing w:val="0"/>
              <w:sz w:val="22"/>
              <w:szCs w:val="22"/>
              <w:lang w:val="en-NZ" w:eastAsia="en-NZ"/>
            </w:rPr>
          </w:pPr>
          <w:hyperlink w:anchor="_Toc12364806" w:history="1">
            <w:r w:rsidR="00593D9F" w:rsidRPr="00B95CAC">
              <w:rPr>
                <w:rStyle w:val="Hyperlink"/>
              </w:rPr>
              <w:t>7</w:t>
            </w:r>
            <w:r w:rsidR="00593D9F">
              <w:rPr>
                <w:rFonts w:asciiTheme="minorHAnsi" w:hAnsiTheme="minorHAnsi" w:cstheme="minorBidi"/>
                <w:b w:val="0"/>
                <w:spacing w:val="0"/>
                <w:sz w:val="22"/>
                <w:szCs w:val="22"/>
                <w:lang w:val="en-NZ" w:eastAsia="en-NZ"/>
              </w:rPr>
              <w:tab/>
            </w:r>
            <w:r w:rsidR="00593D9F" w:rsidRPr="00B95CAC">
              <w:rPr>
                <w:rStyle w:val="Hyperlink"/>
              </w:rPr>
              <w:t>Relevance</w:t>
            </w:r>
            <w:r w:rsidR="00593D9F">
              <w:rPr>
                <w:webHidden/>
              </w:rPr>
              <w:tab/>
            </w:r>
            <w:r w:rsidR="00593D9F">
              <w:rPr>
                <w:webHidden/>
              </w:rPr>
              <w:fldChar w:fldCharType="begin"/>
            </w:r>
            <w:r w:rsidR="00593D9F">
              <w:rPr>
                <w:webHidden/>
              </w:rPr>
              <w:instrText xml:space="preserve"> PAGEREF _Toc12364806 \h </w:instrText>
            </w:r>
            <w:r w:rsidR="00593D9F">
              <w:rPr>
                <w:webHidden/>
              </w:rPr>
            </w:r>
            <w:r w:rsidR="00593D9F">
              <w:rPr>
                <w:webHidden/>
              </w:rPr>
              <w:fldChar w:fldCharType="separate"/>
            </w:r>
            <w:r w:rsidR="00E06D4A">
              <w:rPr>
                <w:webHidden/>
              </w:rPr>
              <w:t>17</w:t>
            </w:r>
            <w:r w:rsidR="00593D9F">
              <w:rPr>
                <w:webHidden/>
              </w:rPr>
              <w:fldChar w:fldCharType="end"/>
            </w:r>
          </w:hyperlink>
        </w:p>
        <w:p w14:paraId="14F511F0" w14:textId="5B150E4B" w:rsidR="00593D9F" w:rsidRDefault="003B525D">
          <w:pPr>
            <w:pStyle w:val="TOC2"/>
            <w:rPr>
              <w:rFonts w:asciiTheme="minorHAnsi" w:hAnsiTheme="minorHAnsi" w:cstheme="minorBidi"/>
              <w:sz w:val="22"/>
              <w:szCs w:val="22"/>
              <w:lang w:val="en-NZ" w:eastAsia="en-NZ"/>
            </w:rPr>
          </w:pPr>
          <w:hyperlink w:anchor="_Toc12364807" w:history="1">
            <w:r w:rsidR="00593D9F" w:rsidRPr="00B95CAC">
              <w:rPr>
                <w:rStyle w:val="Hyperlink"/>
              </w:rPr>
              <w:t>7.1</w:t>
            </w:r>
            <w:r w:rsidR="00593D9F">
              <w:rPr>
                <w:rFonts w:asciiTheme="minorHAnsi" w:hAnsiTheme="minorHAnsi" w:cstheme="minorBidi"/>
                <w:sz w:val="22"/>
                <w:szCs w:val="22"/>
                <w:lang w:val="en-NZ" w:eastAsia="en-NZ"/>
              </w:rPr>
              <w:tab/>
            </w:r>
            <w:r w:rsidR="00593D9F" w:rsidRPr="00B95CAC">
              <w:rPr>
                <w:rStyle w:val="Hyperlink"/>
              </w:rPr>
              <w:t>Agricultural context</w:t>
            </w:r>
            <w:r w:rsidR="00593D9F">
              <w:rPr>
                <w:webHidden/>
              </w:rPr>
              <w:tab/>
            </w:r>
            <w:r w:rsidR="00593D9F">
              <w:rPr>
                <w:webHidden/>
              </w:rPr>
              <w:fldChar w:fldCharType="begin"/>
            </w:r>
            <w:r w:rsidR="00593D9F">
              <w:rPr>
                <w:webHidden/>
              </w:rPr>
              <w:instrText xml:space="preserve"> PAGEREF _Toc12364807 \h </w:instrText>
            </w:r>
            <w:r w:rsidR="00593D9F">
              <w:rPr>
                <w:webHidden/>
              </w:rPr>
            </w:r>
            <w:r w:rsidR="00593D9F">
              <w:rPr>
                <w:webHidden/>
              </w:rPr>
              <w:fldChar w:fldCharType="separate"/>
            </w:r>
            <w:r w:rsidR="00E06D4A">
              <w:rPr>
                <w:webHidden/>
              </w:rPr>
              <w:t>17</w:t>
            </w:r>
            <w:r w:rsidR="00593D9F">
              <w:rPr>
                <w:webHidden/>
              </w:rPr>
              <w:fldChar w:fldCharType="end"/>
            </w:r>
          </w:hyperlink>
        </w:p>
        <w:p w14:paraId="18BDEBD2" w14:textId="09239F21" w:rsidR="00593D9F" w:rsidRDefault="003B525D">
          <w:pPr>
            <w:pStyle w:val="TOC2"/>
            <w:rPr>
              <w:rFonts w:asciiTheme="minorHAnsi" w:hAnsiTheme="minorHAnsi" w:cstheme="minorBidi"/>
              <w:sz w:val="22"/>
              <w:szCs w:val="22"/>
              <w:lang w:val="en-NZ" w:eastAsia="en-NZ"/>
            </w:rPr>
          </w:pPr>
          <w:hyperlink w:anchor="_Toc12364808" w:history="1">
            <w:r w:rsidR="00593D9F" w:rsidRPr="00B95CAC">
              <w:rPr>
                <w:rStyle w:val="Hyperlink"/>
              </w:rPr>
              <w:t>7.2</w:t>
            </w:r>
            <w:r w:rsidR="00593D9F">
              <w:rPr>
                <w:rFonts w:asciiTheme="minorHAnsi" w:hAnsiTheme="minorHAnsi" w:cstheme="minorBidi"/>
                <w:sz w:val="22"/>
                <w:szCs w:val="22"/>
                <w:lang w:val="en-NZ" w:eastAsia="en-NZ"/>
              </w:rPr>
              <w:tab/>
            </w:r>
            <w:r w:rsidR="00593D9F" w:rsidRPr="00B95CAC">
              <w:rPr>
                <w:rStyle w:val="Hyperlink"/>
              </w:rPr>
              <w:t>Is AMENCA 3 still valid given the political, social and economic context in the Palestinian Territories?</w:t>
            </w:r>
            <w:r w:rsidR="00593D9F">
              <w:rPr>
                <w:webHidden/>
              </w:rPr>
              <w:tab/>
            </w:r>
            <w:r w:rsidR="00593D9F">
              <w:rPr>
                <w:webHidden/>
              </w:rPr>
              <w:fldChar w:fldCharType="begin"/>
            </w:r>
            <w:r w:rsidR="00593D9F">
              <w:rPr>
                <w:webHidden/>
              </w:rPr>
              <w:instrText xml:space="preserve"> PAGEREF _Toc12364808 \h </w:instrText>
            </w:r>
            <w:r w:rsidR="00593D9F">
              <w:rPr>
                <w:webHidden/>
              </w:rPr>
            </w:r>
            <w:r w:rsidR="00593D9F">
              <w:rPr>
                <w:webHidden/>
              </w:rPr>
              <w:fldChar w:fldCharType="separate"/>
            </w:r>
            <w:r w:rsidR="00E06D4A">
              <w:rPr>
                <w:webHidden/>
              </w:rPr>
              <w:t>18</w:t>
            </w:r>
            <w:r w:rsidR="00593D9F">
              <w:rPr>
                <w:webHidden/>
              </w:rPr>
              <w:fldChar w:fldCharType="end"/>
            </w:r>
          </w:hyperlink>
        </w:p>
        <w:p w14:paraId="490CA3A4" w14:textId="2BE451EF" w:rsidR="00593D9F" w:rsidRDefault="003B525D">
          <w:pPr>
            <w:pStyle w:val="TOC2"/>
            <w:rPr>
              <w:rFonts w:asciiTheme="minorHAnsi" w:hAnsiTheme="minorHAnsi" w:cstheme="minorBidi"/>
              <w:sz w:val="22"/>
              <w:szCs w:val="22"/>
              <w:lang w:val="en-NZ" w:eastAsia="en-NZ"/>
            </w:rPr>
          </w:pPr>
          <w:hyperlink w:anchor="_Toc12364809" w:history="1">
            <w:r w:rsidR="00593D9F" w:rsidRPr="00B95CAC">
              <w:rPr>
                <w:rStyle w:val="Hyperlink"/>
              </w:rPr>
              <w:t>7.3</w:t>
            </w:r>
            <w:r w:rsidR="00593D9F">
              <w:rPr>
                <w:rFonts w:asciiTheme="minorHAnsi" w:hAnsiTheme="minorHAnsi" w:cstheme="minorBidi"/>
                <w:sz w:val="22"/>
                <w:szCs w:val="22"/>
                <w:lang w:val="en-NZ" w:eastAsia="en-NZ"/>
              </w:rPr>
              <w:tab/>
            </w:r>
            <w:r w:rsidR="00593D9F" w:rsidRPr="00B95CAC">
              <w:rPr>
                <w:rStyle w:val="Hyperlink"/>
              </w:rPr>
              <w:t>How does AMENCA 3 align with the priorities of Australia and the Palestinian Authority?</w:t>
            </w:r>
            <w:r w:rsidR="00593D9F">
              <w:rPr>
                <w:webHidden/>
              </w:rPr>
              <w:tab/>
            </w:r>
            <w:r w:rsidR="00593D9F">
              <w:rPr>
                <w:webHidden/>
              </w:rPr>
              <w:fldChar w:fldCharType="begin"/>
            </w:r>
            <w:r w:rsidR="00593D9F">
              <w:rPr>
                <w:webHidden/>
              </w:rPr>
              <w:instrText xml:space="preserve"> PAGEREF _Toc12364809 \h </w:instrText>
            </w:r>
            <w:r w:rsidR="00593D9F">
              <w:rPr>
                <w:webHidden/>
              </w:rPr>
            </w:r>
            <w:r w:rsidR="00593D9F">
              <w:rPr>
                <w:webHidden/>
              </w:rPr>
              <w:fldChar w:fldCharType="separate"/>
            </w:r>
            <w:r w:rsidR="00E06D4A">
              <w:rPr>
                <w:webHidden/>
              </w:rPr>
              <w:t>19</w:t>
            </w:r>
            <w:r w:rsidR="00593D9F">
              <w:rPr>
                <w:webHidden/>
              </w:rPr>
              <w:fldChar w:fldCharType="end"/>
            </w:r>
          </w:hyperlink>
        </w:p>
        <w:p w14:paraId="04EEA7F1" w14:textId="29B36B59" w:rsidR="00593D9F" w:rsidRDefault="003B525D">
          <w:pPr>
            <w:pStyle w:val="TOC2"/>
            <w:rPr>
              <w:rFonts w:asciiTheme="minorHAnsi" w:hAnsiTheme="minorHAnsi" w:cstheme="minorBidi"/>
              <w:sz w:val="22"/>
              <w:szCs w:val="22"/>
              <w:lang w:val="en-NZ" w:eastAsia="en-NZ"/>
            </w:rPr>
          </w:pPr>
          <w:hyperlink w:anchor="_Toc12364810" w:history="1">
            <w:r w:rsidR="00593D9F" w:rsidRPr="00B95CAC">
              <w:rPr>
                <w:rStyle w:val="Hyperlink"/>
              </w:rPr>
              <w:t>7.4</w:t>
            </w:r>
            <w:r w:rsidR="00593D9F">
              <w:rPr>
                <w:rFonts w:asciiTheme="minorHAnsi" w:hAnsiTheme="minorHAnsi" w:cstheme="minorBidi"/>
                <w:sz w:val="22"/>
                <w:szCs w:val="22"/>
                <w:lang w:val="en-NZ" w:eastAsia="en-NZ"/>
              </w:rPr>
              <w:tab/>
            </w:r>
            <w:r w:rsidR="00593D9F" w:rsidRPr="00B95CAC">
              <w:rPr>
                <w:rStyle w:val="Hyperlink"/>
              </w:rPr>
              <w:t>Does AMENCA 3’s program logic and approach remain valid or require changes?</w:t>
            </w:r>
            <w:r w:rsidR="00593D9F">
              <w:rPr>
                <w:webHidden/>
              </w:rPr>
              <w:tab/>
            </w:r>
            <w:r w:rsidR="00593D9F">
              <w:rPr>
                <w:webHidden/>
              </w:rPr>
              <w:fldChar w:fldCharType="begin"/>
            </w:r>
            <w:r w:rsidR="00593D9F">
              <w:rPr>
                <w:webHidden/>
              </w:rPr>
              <w:instrText xml:space="preserve"> PAGEREF _Toc12364810 \h </w:instrText>
            </w:r>
            <w:r w:rsidR="00593D9F">
              <w:rPr>
                <w:webHidden/>
              </w:rPr>
            </w:r>
            <w:r w:rsidR="00593D9F">
              <w:rPr>
                <w:webHidden/>
              </w:rPr>
              <w:fldChar w:fldCharType="separate"/>
            </w:r>
            <w:r w:rsidR="00E06D4A">
              <w:rPr>
                <w:webHidden/>
              </w:rPr>
              <w:t>19</w:t>
            </w:r>
            <w:r w:rsidR="00593D9F">
              <w:rPr>
                <w:webHidden/>
              </w:rPr>
              <w:fldChar w:fldCharType="end"/>
            </w:r>
          </w:hyperlink>
        </w:p>
        <w:p w14:paraId="52AD8877" w14:textId="5A3C9A37" w:rsidR="00593D9F" w:rsidRDefault="003B525D">
          <w:pPr>
            <w:pStyle w:val="TOC1"/>
            <w:rPr>
              <w:rFonts w:asciiTheme="minorHAnsi" w:hAnsiTheme="minorHAnsi" w:cstheme="minorBidi"/>
              <w:b w:val="0"/>
              <w:spacing w:val="0"/>
              <w:sz w:val="22"/>
              <w:szCs w:val="22"/>
              <w:lang w:val="en-NZ" w:eastAsia="en-NZ"/>
            </w:rPr>
          </w:pPr>
          <w:hyperlink w:anchor="_Toc12364811" w:history="1">
            <w:r w:rsidR="00593D9F" w:rsidRPr="00B95CAC">
              <w:rPr>
                <w:rStyle w:val="Hyperlink"/>
              </w:rPr>
              <w:t>8</w:t>
            </w:r>
            <w:r w:rsidR="00593D9F">
              <w:rPr>
                <w:rFonts w:asciiTheme="minorHAnsi" w:hAnsiTheme="minorHAnsi" w:cstheme="minorBidi"/>
                <w:b w:val="0"/>
                <w:spacing w:val="0"/>
                <w:sz w:val="22"/>
                <w:szCs w:val="22"/>
                <w:lang w:val="en-NZ" w:eastAsia="en-NZ"/>
              </w:rPr>
              <w:tab/>
            </w:r>
            <w:r w:rsidR="00593D9F" w:rsidRPr="00B95CAC">
              <w:rPr>
                <w:rStyle w:val="Hyperlink"/>
              </w:rPr>
              <w:t>Effectiveness</w:t>
            </w:r>
            <w:r w:rsidR="00593D9F">
              <w:rPr>
                <w:webHidden/>
              </w:rPr>
              <w:tab/>
            </w:r>
            <w:r w:rsidR="00593D9F">
              <w:rPr>
                <w:webHidden/>
              </w:rPr>
              <w:fldChar w:fldCharType="begin"/>
            </w:r>
            <w:r w:rsidR="00593D9F">
              <w:rPr>
                <w:webHidden/>
              </w:rPr>
              <w:instrText xml:space="preserve"> PAGEREF _Toc12364811 \h </w:instrText>
            </w:r>
            <w:r w:rsidR="00593D9F">
              <w:rPr>
                <w:webHidden/>
              </w:rPr>
            </w:r>
            <w:r w:rsidR="00593D9F">
              <w:rPr>
                <w:webHidden/>
              </w:rPr>
              <w:fldChar w:fldCharType="separate"/>
            </w:r>
            <w:r w:rsidR="00E06D4A">
              <w:rPr>
                <w:webHidden/>
              </w:rPr>
              <w:t>20</w:t>
            </w:r>
            <w:r w:rsidR="00593D9F">
              <w:rPr>
                <w:webHidden/>
              </w:rPr>
              <w:fldChar w:fldCharType="end"/>
            </w:r>
          </w:hyperlink>
        </w:p>
        <w:p w14:paraId="665914BF" w14:textId="1138C6F2" w:rsidR="00593D9F" w:rsidRDefault="003B525D">
          <w:pPr>
            <w:pStyle w:val="TOC2"/>
            <w:rPr>
              <w:rFonts w:asciiTheme="minorHAnsi" w:hAnsiTheme="minorHAnsi" w:cstheme="minorBidi"/>
              <w:sz w:val="22"/>
              <w:szCs w:val="22"/>
              <w:lang w:val="en-NZ" w:eastAsia="en-NZ"/>
            </w:rPr>
          </w:pPr>
          <w:hyperlink w:anchor="_Toc12364812" w:history="1">
            <w:r w:rsidR="00593D9F" w:rsidRPr="00B95CAC">
              <w:rPr>
                <w:rStyle w:val="Hyperlink"/>
              </w:rPr>
              <w:t>8.1</w:t>
            </w:r>
            <w:r w:rsidR="00593D9F">
              <w:rPr>
                <w:rFonts w:asciiTheme="minorHAnsi" w:hAnsiTheme="minorHAnsi" w:cstheme="minorBidi"/>
                <w:sz w:val="22"/>
                <w:szCs w:val="22"/>
                <w:lang w:val="en-NZ" w:eastAsia="en-NZ"/>
              </w:rPr>
              <w:tab/>
            </w:r>
            <w:r w:rsidR="00593D9F" w:rsidRPr="00B95CAC">
              <w:rPr>
                <w:rStyle w:val="Hyperlink"/>
              </w:rPr>
              <w:t>How effective has the hybrid MSD approach been?</w:t>
            </w:r>
            <w:r w:rsidR="00593D9F">
              <w:rPr>
                <w:webHidden/>
              </w:rPr>
              <w:tab/>
            </w:r>
            <w:r w:rsidR="00593D9F">
              <w:rPr>
                <w:webHidden/>
              </w:rPr>
              <w:fldChar w:fldCharType="begin"/>
            </w:r>
            <w:r w:rsidR="00593D9F">
              <w:rPr>
                <w:webHidden/>
              </w:rPr>
              <w:instrText xml:space="preserve"> PAGEREF _Toc12364812 \h </w:instrText>
            </w:r>
            <w:r w:rsidR="00593D9F">
              <w:rPr>
                <w:webHidden/>
              </w:rPr>
            </w:r>
            <w:r w:rsidR="00593D9F">
              <w:rPr>
                <w:webHidden/>
              </w:rPr>
              <w:fldChar w:fldCharType="separate"/>
            </w:r>
            <w:r w:rsidR="00E06D4A">
              <w:rPr>
                <w:webHidden/>
              </w:rPr>
              <w:t>20</w:t>
            </w:r>
            <w:r w:rsidR="00593D9F">
              <w:rPr>
                <w:webHidden/>
              </w:rPr>
              <w:fldChar w:fldCharType="end"/>
            </w:r>
          </w:hyperlink>
        </w:p>
        <w:p w14:paraId="027DC339" w14:textId="6C33E945" w:rsidR="00593D9F" w:rsidRDefault="003B525D">
          <w:pPr>
            <w:pStyle w:val="TOC2"/>
            <w:rPr>
              <w:rFonts w:asciiTheme="minorHAnsi" w:hAnsiTheme="minorHAnsi" w:cstheme="minorBidi"/>
              <w:sz w:val="22"/>
              <w:szCs w:val="22"/>
              <w:lang w:val="en-NZ" w:eastAsia="en-NZ"/>
            </w:rPr>
          </w:pPr>
          <w:hyperlink w:anchor="_Toc12364813" w:history="1">
            <w:r w:rsidR="00593D9F" w:rsidRPr="00B95CAC">
              <w:rPr>
                <w:rStyle w:val="Hyperlink"/>
              </w:rPr>
              <w:t>8.2</w:t>
            </w:r>
            <w:r w:rsidR="00593D9F">
              <w:rPr>
                <w:rFonts w:asciiTheme="minorHAnsi" w:hAnsiTheme="minorHAnsi" w:cstheme="minorBidi"/>
                <w:sz w:val="22"/>
                <w:szCs w:val="22"/>
                <w:lang w:val="en-NZ" w:eastAsia="en-NZ"/>
              </w:rPr>
              <w:tab/>
            </w:r>
            <w:r w:rsidR="00593D9F" w:rsidRPr="00B95CAC">
              <w:rPr>
                <w:rStyle w:val="Hyperlink"/>
              </w:rPr>
              <w:t>What results has AMENCA 3 achieved to date? Do these achievements indicate the Program is on track to realise its objectives?</w:t>
            </w:r>
            <w:r w:rsidR="00593D9F">
              <w:rPr>
                <w:webHidden/>
              </w:rPr>
              <w:tab/>
            </w:r>
            <w:r w:rsidR="00593D9F">
              <w:rPr>
                <w:webHidden/>
              </w:rPr>
              <w:fldChar w:fldCharType="begin"/>
            </w:r>
            <w:r w:rsidR="00593D9F">
              <w:rPr>
                <w:webHidden/>
              </w:rPr>
              <w:instrText xml:space="preserve"> PAGEREF _Toc12364813 \h </w:instrText>
            </w:r>
            <w:r w:rsidR="00593D9F">
              <w:rPr>
                <w:webHidden/>
              </w:rPr>
            </w:r>
            <w:r w:rsidR="00593D9F">
              <w:rPr>
                <w:webHidden/>
              </w:rPr>
              <w:fldChar w:fldCharType="separate"/>
            </w:r>
            <w:r w:rsidR="00E06D4A">
              <w:rPr>
                <w:webHidden/>
              </w:rPr>
              <w:t>23</w:t>
            </w:r>
            <w:r w:rsidR="00593D9F">
              <w:rPr>
                <w:webHidden/>
              </w:rPr>
              <w:fldChar w:fldCharType="end"/>
            </w:r>
          </w:hyperlink>
        </w:p>
        <w:p w14:paraId="2DB72166" w14:textId="07EC78B2" w:rsidR="00593D9F" w:rsidRDefault="003B525D">
          <w:pPr>
            <w:pStyle w:val="TOC3"/>
            <w:rPr>
              <w:rFonts w:asciiTheme="minorHAnsi" w:hAnsiTheme="minorHAnsi" w:cstheme="minorBidi"/>
              <w:sz w:val="22"/>
              <w:szCs w:val="22"/>
              <w:lang w:val="en-NZ" w:eastAsia="en-NZ"/>
            </w:rPr>
          </w:pPr>
          <w:hyperlink w:anchor="_Toc12364814" w:history="1">
            <w:r w:rsidR="00593D9F" w:rsidRPr="00B95CAC">
              <w:rPr>
                <w:rStyle w:val="Hyperlink"/>
                <w:lang w:val="en-AU"/>
              </w:rPr>
              <w:t>8.2.1.</w:t>
            </w:r>
            <w:r w:rsidR="00593D9F">
              <w:rPr>
                <w:rFonts w:asciiTheme="minorHAnsi" w:hAnsiTheme="minorHAnsi" w:cstheme="minorBidi"/>
                <w:sz w:val="22"/>
                <w:szCs w:val="22"/>
                <w:lang w:val="en-NZ" w:eastAsia="en-NZ"/>
              </w:rPr>
              <w:tab/>
            </w:r>
            <w:r w:rsidR="00593D9F" w:rsidRPr="00B95CAC">
              <w:rPr>
                <w:rStyle w:val="Hyperlink"/>
                <w:lang w:val="en-AU"/>
              </w:rPr>
              <w:t>Results Analysis</w:t>
            </w:r>
            <w:r w:rsidR="00593D9F">
              <w:rPr>
                <w:webHidden/>
              </w:rPr>
              <w:tab/>
            </w:r>
            <w:r w:rsidR="00593D9F">
              <w:rPr>
                <w:webHidden/>
              </w:rPr>
              <w:fldChar w:fldCharType="begin"/>
            </w:r>
            <w:r w:rsidR="00593D9F">
              <w:rPr>
                <w:webHidden/>
              </w:rPr>
              <w:instrText xml:space="preserve"> PAGEREF _Toc12364814 \h </w:instrText>
            </w:r>
            <w:r w:rsidR="00593D9F">
              <w:rPr>
                <w:webHidden/>
              </w:rPr>
            </w:r>
            <w:r w:rsidR="00593D9F">
              <w:rPr>
                <w:webHidden/>
              </w:rPr>
              <w:fldChar w:fldCharType="separate"/>
            </w:r>
            <w:r w:rsidR="00E06D4A">
              <w:rPr>
                <w:webHidden/>
              </w:rPr>
              <w:t>24</w:t>
            </w:r>
            <w:r w:rsidR="00593D9F">
              <w:rPr>
                <w:webHidden/>
              </w:rPr>
              <w:fldChar w:fldCharType="end"/>
            </w:r>
          </w:hyperlink>
        </w:p>
        <w:p w14:paraId="658908AB" w14:textId="282414C2" w:rsidR="00593D9F" w:rsidRDefault="003B525D">
          <w:pPr>
            <w:pStyle w:val="TOC2"/>
            <w:rPr>
              <w:rFonts w:asciiTheme="minorHAnsi" w:hAnsiTheme="minorHAnsi" w:cstheme="minorBidi"/>
              <w:sz w:val="22"/>
              <w:szCs w:val="22"/>
              <w:lang w:val="en-NZ" w:eastAsia="en-NZ"/>
            </w:rPr>
          </w:pPr>
          <w:hyperlink w:anchor="_Toc12364815" w:history="1">
            <w:r w:rsidR="00593D9F" w:rsidRPr="00B95CAC">
              <w:rPr>
                <w:rStyle w:val="Hyperlink"/>
              </w:rPr>
              <w:t>8.3</w:t>
            </w:r>
            <w:r w:rsidR="00593D9F">
              <w:rPr>
                <w:rFonts w:asciiTheme="minorHAnsi" w:hAnsiTheme="minorHAnsi" w:cstheme="minorBidi"/>
                <w:sz w:val="22"/>
                <w:szCs w:val="22"/>
                <w:lang w:val="en-NZ" w:eastAsia="en-NZ"/>
              </w:rPr>
              <w:tab/>
            </w:r>
            <w:r w:rsidR="00593D9F" w:rsidRPr="00B95CAC">
              <w:rPr>
                <w:rStyle w:val="Hyperlink"/>
              </w:rPr>
              <w:t>Impact of APHEDA’s suspension</w:t>
            </w:r>
            <w:r w:rsidR="00593D9F">
              <w:rPr>
                <w:webHidden/>
              </w:rPr>
              <w:tab/>
            </w:r>
            <w:r w:rsidR="00593D9F">
              <w:rPr>
                <w:webHidden/>
              </w:rPr>
              <w:fldChar w:fldCharType="begin"/>
            </w:r>
            <w:r w:rsidR="00593D9F">
              <w:rPr>
                <w:webHidden/>
              </w:rPr>
              <w:instrText xml:space="preserve"> PAGEREF _Toc12364815 \h </w:instrText>
            </w:r>
            <w:r w:rsidR="00593D9F">
              <w:rPr>
                <w:webHidden/>
              </w:rPr>
            </w:r>
            <w:r w:rsidR="00593D9F">
              <w:rPr>
                <w:webHidden/>
              </w:rPr>
              <w:fldChar w:fldCharType="separate"/>
            </w:r>
            <w:r w:rsidR="00E06D4A">
              <w:rPr>
                <w:webHidden/>
              </w:rPr>
              <w:t>25</w:t>
            </w:r>
            <w:r w:rsidR="00593D9F">
              <w:rPr>
                <w:webHidden/>
              </w:rPr>
              <w:fldChar w:fldCharType="end"/>
            </w:r>
          </w:hyperlink>
        </w:p>
        <w:p w14:paraId="551E64F5" w14:textId="41FB2D0F" w:rsidR="00593D9F" w:rsidRDefault="003B525D">
          <w:pPr>
            <w:pStyle w:val="TOC2"/>
            <w:rPr>
              <w:rFonts w:asciiTheme="minorHAnsi" w:hAnsiTheme="minorHAnsi" w:cstheme="minorBidi"/>
              <w:sz w:val="22"/>
              <w:szCs w:val="22"/>
              <w:lang w:val="en-NZ" w:eastAsia="en-NZ"/>
            </w:rPr>
          </w:pPr>
          <w:hyperlink w:anchor="_Toc12364816" w:history="1">
            <w:r w:rsidR="00593D9F" w:rsidRPr="00B95CAC">
              <w:rPr>
                <w:rStyle w:val="Hyperlink"/>
              </w:rPr>
              <w:t>8.4</w:t>
            </w:r>
            <w:r w:rsidR="00593D9F">
              <w:rPr>
                <w:rFonts w:asciiTheme="minorHAnsi" w:hAnsiTheme="minorHAnsi" w:cstheme="minorBidi"/>
                <w:sz w:val="22"/>
                <w:szCs w:val="22"/>
                <w:lang w:val="en-NZ" w:eastAsia="en-NZ"/>
              </w:rPr>
              <w:tab/>
            </w:r>
            <w:r w:rsidR="00593D9F" w:rsidRPr="00B95CAC">
              <w:rPr>
                <w:rStyle w:val="Hyperlink"/>
              </w:rPr>
              <w:t>Is the intervention portfolio of AMENCA 3 strategic and well managed?</w:t>
            </w:r>
            <w:r w:rsidR="00593D9F">
              <w:rPr>
                <w:webHidden/>
              </w:rPr>
              <w:tab/>
            </w:r>
            <w:r w:rsidR="00593D9F">
              <w:rPr>
                <w:webHidden/>
              </w:rPr>
              <w:fldChar w:fldCharType="begin"/>
            </w:r>
            <w:r w:rsidR="00593D9F">
              <w:rPr>
                <w:webHidden/>
              </w:rPr>
              <w:instrText xml:space="preserve"> PAGEREF _Toc12364816 \h </w:instrText>
            </w:r>
            <w:r w:rsidR="00593D9F">
              <w:rPr>
                <w:webHidden/>
              </w:rPr>
            </w:r>
            <w:r w:rsidR="00593D9F">
              <w:rPr>
                <w:webHidden/>
              </w:rPr>
              <w:fldChar w:fldCharType="separate"/>
            </w:r>
            <w:r w:rsidR="00E06D4A">
              <w:rPr>
                <w:webHidden/>
              </w:rPr>
              <w:t>26</w:t>
            </w:r>
            <w:r w:rsidR="00593D9F">
              <w:rPr>
                <w:webHidden/>
              </w:rPr>
              <w:fldChar w:fldCharType="end"/>
            </w:r>
          </w:hyperlink>
        </w:p>
        <w:p w14:paraId="0A13E6DF" w14:textId="7FC4A686" w:rsidR="00593D9F" w:rsidRDefault="003B525D">
          <w:pPr>
            <w:pStyle w:val="TOC3"/>
            <w:rPr>
              <w:rFonts w:asciiTheme="minorHAnsi" w:hAnsiTheme="minorHAnsi" w:cstheme="minorBidi"/>
              <w:sz w:val="22"/>
              <w:szCs w:val="22"/>
              <w:lang w:val="en-NZ" w:eastAsia="en-NZ"/>
            </w:rPr>
          </w:pPr>
          <w:hyperlink w:anchor="_Toc12364817" w:history="1">
            <w:r w:rsidR="00593D9F" w:rsidRPr="00B95CAC">
              <w:rPr>
                <w:rStyle w:val="Hyperlink"/>
                <w:lang w:val="en-AU"/>
              </w:rPr>
              <w:t>8.4.1.</w:t>
            </w:r>
            <w:r w:rsidR="00593D9F">
              <w:rPr>
                <w:rFonts w:asciiTheme="minorHAnsi" w:hAnsiTheme="minorHAnsi" w:cstheme="minorBidi"/>
                <w:sz w:val="22"/>
                <w:szCs w:val="22"/>
                <w:lang w:val="en-NZ" w:eastAsia="en-NZ"/>
              </w:rPr>
              <w:tab/>
            </w:r>
            <w:r w:rsidR="00593D9F" w:rsidRPr="00B95CAC">
              <w:rPr>
                <w:rStyle w:val="Hyperlink"/>
                <w:lang w:val="en-AU"/>
              </w:rPr>
              <w:t>Moving from a value-chain to a market perspective</w:t>
            </w:r>
            <w:r w:rsidR="00593D9F">
              <w:rPr>
                <w:webHidden/>
              </w:rPr>
              <w:tab/>
            </w:r>
            <w:r w:rsidR="00593D9F">
              <w:rPr>
                <w:webHidden/>
              </w:rPr>
              <w:fldChar w:fldCharType="begin"/>
            </w:r>
            <w:r w:rsidR="00593D9F">
              <w:rPr>
                <w:webHidden/>
              </w:rPr>
              <w:instrText xml:space="preserve"> PAGEREF _Toc12364817 \h </w:instrText>
            </w:r>
            <w:r w:rsidR="00593D9F">
              <w:rPr>
                <w:webHidden/>
              </w:rPr>
            </w:r>
            <w:r w:rsidR="00593D9F">
              <w:rPr>
                <w:webHidden/>
              </w:rPr>
              <w:fldChar w:fldCharType="separate"/>
            </w:r>
            <w:r w:rsidR="00E06D4A">
              <w:rPr>
                <w:webHidden/>
              </w:rPr>
              <w:t>26</w:t>
            </w:r>
            <w:r w:rsidR="00593D9F">
              <w:rPr>
                <w:webHidden/>
              </w:rPr>
              <w:fldChar w:fldCharType="end"/>
            </w:r>
          </w:hyperlink>
        </w:p>
        <w:p w14:paraId="388CA0A6" w14:textId="391C6A0E" w:rsidR="00593D9F" w:rsidRDefault="003B525D">
          <w:pPr>
            <w:pStyle w:val="TOC3"/>
            <w:rPr>
              <w:rFonts w:asciiTheme="minorHAnsi" w:hAnsiTheme="minorHAnsi" w:cstheme="minorBidi"/>
              <w:sz w:val="22"/>
              <w:szCs w:val="22"/>
              <w:lang w:val="en-NZ" w:eastAsia="en-NZ"/>
            </w:rPr>
          </w:pPr>
          <w:hyperlink w:anchor="_Toc12364818" w:history="1">
            <w:r w:rsidR="00593D9F" w:rsidRPr="00B95CAC">
              <w:rPr>
                <w:rStyle w:val="Hyperlink"/>
                <w:lang w:val="en-AU"/>
              </w:rPr>
              <w:t>8.4.2.</w:t>
            </w:r>
            <w:r w:rsidR="00593D9F">
              <w:rPr>
                <w:rFonts w:asciiTheme="minorHAnsi" w:hAnsiTheme="minorHAnsi" w:cstheme="minorBidi"/>
                <w:sz w:val="22"/>
                <w:szCs w:val="22"/>
                <w:lang w:val="en-NZ" w:eastAsia="en-NZ"/>
              </w:rPr>
              <w:tab/>
            </w:r>
            <w:r w:rsidR="00593D9F" w:rsidRPr="00B95CAC">
              <w:rPr>
                <w:rStyle w:val="Hyperlink"/>
                <w:lang w:val="en-AU"/>
              </w:rPr>
              <w:t>Developing Whole-of-Program, AMENCA 3 wide, sector approaches</w:t>
            </w:r>
            <w:r w:rsidR="00593D9F">
              <w:rPr>
                <w:webHidden/>
              </w:rPr>
              <w:tab/>
            </w:r>
            <w:r w:rsidR="00593D9F">
              <w:rPr>
                <w:webHidden/>
              </w:rPr>
              <w:fldChar w:fldCharType="begin"/>
            </w:r>
            <w:r w:rsidR="00593D9F">
              <w:rPr>
                <w:webHidden/>
              </w:rPr>
              <w:instrText xml:space="preserve"> PAGEREF _Toc12364818 \h </w:instrText>
            </w:r>
            <w:r w:rsidR="00593D9F">
              <w:rPr>
                <w:webHidden/>
              </w:rPr>
            </w:r>
            <w:r w:rsidR="00593D9F">
              <w:rPr>
                <w:webHidden/>
              </w:rPr>
              <w:fldChar w:fldCharType="separate"/>
            </w:r>
            <w:r w:rsidR="00E06D4A">
              <w:rPr>
                <w:webHidden/>
              </w:rPr>
              <w:t>27</w:t>
            </w:r>
            <w:r w:rsidR="00593D9F">
              <w:rPr>
                <w:webHidden/>
              </w:rPr>
              <w:fldChar w:fldCharType="end"/>
            </w:r>
          </w:hyperlink>
        </w:p>
        <w:p w14:paraId="05FBDD85" w14:textId="0BFF3D99" w:rsidR="00593D9F" w:rsidRDefault="003B525D">
          <w:pPr>
            <w:pStyle w:val="TOC3"/>
            <w:rPr>
              <w:rFonts w:asciiTheme="minorHAnsi" w:hAnsiTheme="minorHAnsi" w:cstheme="minorBidi"/>
              <w:sz w:val="22"/>
              <w:szCs w:val="22"/>
              <w:lang w:val="en-NZ" w:eastAsia="en-NZ"/>
            </w:rPr>
          </w:pPr>
          <w:hyperlink w:anchor="_Toc12364819" w:history="1">
            <w:r w:rsidR="00593D9F" w:rsidRPr="00B95CAC">
              <w:rPr>
                <w:rStyle w:val="Hyperlink"/>
                <w:lang w:val="en-AU"/>
              </w:rPr>
              <w:t>8.4.3.</w:t>
            </w:r>
            <w:r w:rsidR="00593D9F">
              <w:rPr>
                <w:rFonts w:asciiTheme="minorHAnsi" w:hAnsiTheme="minorHAnsi" w:cstheme="minorBidi"/>
                <w:sz w:val="22"/>
                <w:szCs w:val="22"/>
                <w:lang w:val="en-NZ" w:eastAsia="en-NZ"/>
              </w:rPr>
              <w:tab/>
            </w:r>
            <w:r w:rsidR="00593D9F" w:rsidRPr="00B95CAC">
              <w:rPr>
                <w:rStyle w:val="Hyperlink"/>
                <w:lang w:val="en-AU"/>
              </w:rPr>
              <w:t>Rethinking the Small Infrastructure Sector engagements</w:t>
            </w:r>
            <w:r w:rsidR="00593D9F">
              <w:rPr>
                <w:webHidden/>
              </w:rPr>
              <w:tab/>
            </w:r>
            <w:r w:rsidR="00593D9F">
              <w:rPr>
                <w:webHidden/>
              </w:rPr>
              <w:fldChar w:fldCharType="begin"/>
            </w:r>
            <w:r w:rsidR="00593D9F">
              <w:rPr>
                <w:webHidden/>
              </w:rPr>
              <w:instrText xml:space="preserve"> PAGEREF _Toc12364819 \h </w:instrText>
            </w:r>
            <w:r w:rsidR="00593D9F">
              <w:rPr>
                <w:webHidden/>
              </w:rPr>
            </w:r>
            <w:r w:rsidR="00593D9F">
              <w:rPr>
                <w:webHidden/>
              </w:rPr>
              <w:fldChar w:fldCharType="separate"/>
            </w:r>
            <w:r w:rsidR="00E06D4A">
              <w:rPr>
                <w:webHidden/>
              </w:rPr>
              <w:t>28</w:t>
            </w:r>
            <w:r w:rsidR="00593D9F">
              <w:rPr>
                <w:webHidden/>
              </w:rPr>
              <w:fldChar w:fldCharType="end"/>
            </w:r>
          </w:hyperlink>
        </w:p>
        <w:p w14:paraId="2A6DE94C" w14:textId="1DDDE411" w:rsidR="00593D9F" w:rsidRDefault="003B525D">
          <w:pPr>
            <w:pStyle w:val="TOC3"/>
            <w:rPr>
              <w:rFonts w:asciiTheme="minorHAnsi" w:hAnsiTheme="minorHAnsi" w:cstheme="minorBidi"/>
              <w:sz w:val="22"/>
              <w:szCs w:val="22"/>
              <w:lang w:val="en-NZ" w:eastAsia="en-NZ"/>
            </w:rPr>
          </w:pPr>
          <w:hyperlink w:anchor="_Toc12364820" w:history="1">
            <w:r w:rsidR="00593D9F" w:rsidRPr="00B95CAC">
              <w:rPr>
                <w:rStyle w:val="Hyperlink"/>
                <w:lang w:val="en-AU"/>
              </w:rPr>
              <w:t>8.4.4.</w:t>
            </w:r>
            <w:r w:rsidR="00593D9F">
              <w:rPr>
                <w:rFonts w:asciiTheme="minorHAnsi" w:hAnsiTheme="minorHAnsi" w:cstheme="minorBidi"/>
                <w:sz w:val="22"/>
                <w:szCs w:val="22"/>
                <w:lang w:val="en-NZ" w:eastAsia="en-NZ"/>
              </w:rPr>
              <w:tab/>
            </w:r>
            <w:r w:rsidR="00593D9F" w:rsidRPr="00B95CAC">
              <w:rPr>
                <w:rStyle w:val="Hyperlink"/>
                <w:lang w:val="en-AU"/>
              </w:rPr>
              <w:t>Exit strategies</w:t>
            </w:r>
            <w:r w:rsidR="00593D9F">
              <w:rPr>
                <w:webHidden/>
              </w:rPr>
              <w:tab/>
            </w:r>
            <w:r w:rsidR="00593D9F">
              <w:rPr>
                <w:webHidden/>
              </w:rPr>
              <w:fldChar w:fldCharType="begin"/>
            </w:r>
            <w:r w:rsidR="00593D9F">
              <w:rPr>
                <w:webHidden/>
              </w:rPr>
              <w:instrText xml:space="preserve"> PAGEREF _Toc12364820 \h </w:instrText>
            </w:r>
            <w:r w:rsidR="00593D9F">
              <w:rPr>
                <w:webHidden/>
              </w:rPr>
            </w:r>
            <w:r w:rsidR="00593D9F">
              <w:rPr>
                <w:webHidden/>
              </w:rPr>
              <w:fldChar w:fldCharType="separate"/>
            </w:r>
            <w:r w:rsidR="00E06D4A">
              <w:rPr>
                <w:webHidden/>
              </w:rPr>
              <w:t>28</w:t>
            </w:r>
            <w:r w:rsidR="00593D9F">
              <w:rPr>
                <w:webHidden/>
              </w:rPr>
              <w:fldChar w:fldCharType="end"/>
            </w:r>
          </w:hyperlink>
        </w:p>
        <w:p w14:paraId="559BC201" w14:textId="13EEDB55" w:rsidR="00593D9F" w:rsidRDefault="003B525D">
          <w:pPr>
            <w:pStyle w:val="TOC2"/>
            <w:rPr>
              <w:rFonts w:asciiTheme="minorHAnsi" w:hAnsiTheme="minorHAnsi" w:cstheme="minorBidi"/>
              <w:sz w:val="22"/>
              <w:szCs w:val="22"/>
              <w:lang w:val="en-NZ" w:eastAsia="en-NZ"/>
            </w:rPr>
          </w:pPr>
          <w:hyperlink w:anchor="_Toc12364821" w:history="1">
            <w:r w:rsidR="00593D9F" w:rsidRPr="00B95CAC">
              <w:rPr>
                <w:rStyle w:val="Hyperlink"/>
              </w:rPr>
              <w:t>8.5</w:t>
            </w:r>
            <w:r w:rsidR="00593D9F">
              <w:rPr>
                <w:rFonts w:asciiTheme="minorHAnsi" w:hAnsiTheme="minorHAnsi" w:cstheme="minorBidi"/>
                <w:sz w:val="22"/>
                <w:szCs w:val="22"/>
                <w:lang w:val="en-NZ" w:eastAsia="en-NZ"/>
              </w:rPr>
              <w:tab/>
            </w:r>
            <w:r w:rsidR="00593D9F" w:rsidRPr="00B95CAC">
              <w:rPr>
                <w:rStyle w:val="Hyperlink"/>
              </w:rPr>
              <w:t>Is there evidence of systemic change?</w:t>
            </w:r>
            <w:r w:rsidR="00593D9F">
              <w:rPr>
                <w:webHidden/>
              </w:rPr>
              <w:tab/>
            </w:r>
            <w:r w:rsidR="00593D9F">
              <w:rPr>
                <w:webHidden/>
              </w:rPr>
              <w:fldChar w:fldCharType="begin"/>
            </w:r>
            <w:r w:rsidR="00593D9F">
              <w:rPr>
                <w:webHidden/>
              </w:rPr>
              <w:instrText xml:space="preserve"> PAGEREF _Toc12364821 \h </w:instrText>
            </w:r>
            <w:r w:rsidR="00593D9F">
              <w:rPr>
                <w:webHidden/>
              </w:rPr>
            </w:r>
            <w:r w:rsidR="00593D9F">
              <w:rPr>
                <w:webHidden/>
              </w:rPr>
              <w:fldChar w:fldCharType="separate"/>
            </w:r>
            <w:r w:rsidR="00E06D4A">
              <w:rPr>
                <w:webHidden/>
              </w:rPr>
              <w:t>29</w:t>
            </w:r>
            <w:r w:rsidR="00593D9F">
              <w:rPr>
                <w:webHidden/>
              </w:rPr>
              <w:fldChar w:fldCharType="end"/>
            </w:r>
          </w:hyperlink>
        </w:p>
        <w:p w14:paraId="536E7F72" w14:textId="20F9CC26" w:rsidR="00593D9F" w:rsidRDefault="003B525D">
          <w:pPr>
            <w:pStyle w:val="TOC2"/>
            <w:rPr>
              <w:rFonts w:asciiTheme="minorHAnsi" w:hAnsiTheme="minorHAnsi" w:cstheme="minorBidi"/>
              <w:sz w:val="22"/>
              <w:szCs w:val="22"/>
              <w:lang w:val="en-NZ" w:eastAsia="en-NZ"/>
            </w:rPr>
          </w:pPr>
          <w:hyperlink w:anchor="_Toc12364822" w:history="1">
            <w:r w:rsidR="00593D9F" w:rsidRPr="00B95CAC">
              <w:rPr>
                <w:rStyle w:val="Hyperlink"/>
              </w:rPr>
              <w:t>8.6</w:t>
            </w:r>
            <w:r w:rsidR="00593D9F">
              <w:rPr>
                <w:rFonts w:asciiTheme="minorHAnsi" w:hAnsiTheme="minorHAnsi" w:cstheme="minorBidi"/>
                <w:sz w:val="22"/>
                <w:szCs w:val="22"/>
                <w:lang w:val="en-NZ" w:eastAsia="en-NZ"/>
              </w:rPr>
              <w:tab/>
            </w:r>
            <w:r w:rsidR="00593D9F" w:rsidRPr="00B95CAC">
              <w:rPr>
                <w:rStyle w:val="Hyperlink"/>
              </w:rPr>
              <w:t>Are NGO’s acting as effective market facilitators rather than market actors?</w:t>
            </w:r>
            <w:r w:rsidR="00593D9F">
              <w:rPr>
                <w:webHidden/>
              </w:rPr>
              <w:tab/>
            </w:r>
            <w:r w:rsidR="00593D9F">
              <w:rPr>
                <w:webHidden/>
              </w:rPr>
              <w:fldChar w:fldCharType="begin"/>
            </w:r>
            <w:r w:rsidR="00593D9F">
              <w:rPr>
                <w:webHidden/>
              </w:rPr>
              <w:instrText xml:space="preserve"> PAGEREF _Toc12364822 \h </w:instrText>
            </w:r>
            <w:r w:rsidR="00593D9F">
              <w:rPr>
                <w:webHidden/>
              </w:rPr>
            </w:r>
            <w:r w:rsidR="00593D9F">
              <w:rPr>
                <w:webHidden/>
              </w:rPr>
              <w:fldChar w:fldCharType="separate"/>
            </w:r>
            <w:r w:rsidR="00E06D4A">
              <w:rPr>
                <w:webHidden/>
              </w:rPr>
              <w:t>30</w:t>
            </w:r>
            <w:r w:rsidR="00593D9F">
              <w:rPr>
                <w:webHidden/>
              </w:rPr>
              <w:fldChar w:fldCharType="end"/>
            </w:r>
          </w:hyperlink>
        </w:p>
        <w:p w14:paraId="511C2582" w14:textId="3407E4B6" w:rsidR="00593D9F" w:rsidRDefault="003B525D">
          <w:pPr>
            <w:pStyle w:val="TOC1"/>
            <w:rPr>
              <w:rFonts w:asciiTheme="minorHAnsi" w:hAnsiTheme="minorHAnsi" w:cstheme="minorBidi"/>
              <w:b w:val="0"/>
              <w:spacing w:val="0"/>
              <w:sz w:val="22"/>
              <w:szCs w:val="22"/>
              <w:lang w:val="en-NZ" w:eastAsia="en-NZ"/>
            </w:rPr>
          </w:pPr>
          <w:hyperlink w:anchor="_Toc12364823" w:history="1">
            <w:r w:rsidR="00593D9F" w:rsidRPr="00B95CAC">
              <w:rPr>
                <w:rStyle w:val="Hyperlink"/>
              </w:rPr>
              <w:t>9</w:t>
            </w:r>
            <w:r w:rsidR="00593D9F">
              <w:rPr>
                <w:rFonts w:asciiTheme="minorHAnsi" w:hAnsiTheme="minorHAnsi" w:cstheme="minorBidi"/>
                <w:b w:val="0"/>
                <w:spacing w:val="0"/>
                <w:sz w:val="22"/>
                <w:szCs w:val="22"/>
                <w:lang w:val="en-NZ" w:eastAsia="en-NZ"/>
              </w:rPr>
              <w:tab/>
            </w:r>
            <w:r w:rsidR="00593D9F" w:rsidRPr="00B95CAC">
              <w:rPr>
                <w:rStyle w:val="Hyperlink"/>
              </w:rPr>
              <w:t>Efficiency</w:t>
            </w:r>
            <w:r w:rsidR="00593D9F">
              <w:rPr>
                <w:webHidden/>
              </w:rPr>
              <w:tab/>
            </w:r>
            <w:r w:rsidR="00593D9F">
              <w:rPr>
                <w:webHidden/>
              </w:rPr>
              <w:fldChar w:fldCharType="begin"/>
            </w:r>
            <w:r w:rsidR="00593D9F">
              <w:rPr>
                <w:webHidden/>
              </w:rPr>
              <w:instrText xml:space="preserve"> PAGEREF _Toc12364823 \h </w:instrText>
            </w:r>
            <w:r w:rsidR="00593D9F">
              <w:rPr>
                <w:webHidden/>
              </w:rPr>
            </w:r>
            <w:r w:rsidR="00593D9F">
              <w:rPr>
                <w:webHidden/>
              </w:rPr>
              <w:fldChar w:fldCharType="separate"/>
            </w:r>
            <w:r w:rsidR="00E06D4A">
              <w:rPr>
                <w:webHidden/>
              </w:rPr>
              <w:t>31</w:t>
            </w:r>
            <w:r w:rsidR="00593D9F">
              <w:rPr>
                <w:webHidden/>
              </w:rPr>
              <w:fldChar w:fldCharType="end"/>
            </w:r>
          </w:hyperlink>
        </w:p>
        <w:p w14:paraId="3FD7D80C" w14:textId="352743B9" w:rsidR="00593D9F" w:rsidRDefault="003B525D">
          <w:pPr>
            <w:pStyle w:val="TOC2"/>
            <w:rPr>
              <w:rFonts w:asciiTheme="minorHAnsi" w:hAnsiTheme="minorHAnsi" w:cstheme="minorBidi"/>
              <w:sz w:val="22"/>
              <w:szCs w:val="22"/>
              <w:lang w:val="en-NZ" w:eastAsia="en-NZ"/>
            </w:rPr>
          </w:pPr>
          <w:hyperlink w:anchor="_Toc12364824" w:history="1">
            <w:r w:rsidR="00593D9F" w:rsidRPr="00B95CAC">
              <w:rPr>
                <w:rStyle w:val="Hyperlink"/>
              </w:rPr>
              <w:t>9.1</w:t>
            </w:r>
            <w:r w:rsidR="00593D9F">
              <w:rPr>
                <w:rFonts w:asciiTheme="minorHAnsi" w:hAnsiTheme="minorHAnsi" w:cstheme="minorBidi"/>
                <w:sz w:val="22"/>
                <w:szCs w:val="22"/>
                <w:lang w:val="en-NZ" w:eastAsia="en-NZ"/>
              </w:rPr>
              <w:tab/>
            </w:r>
            <w:r w:rsidR="00593D9F" w:rsidRPr="00B95CAC">
              <w:rPr>
                <w:rStyle w:val="Hyperlink"/>
              </w:rPr>
              <w:t>Have enough financial and human resources been allocated to enable AMENCA 3 to achieve its objectives?</w:t>
            </w:r>
            <w:r w:rsidR="00593D9F">
              <w:rPr>
                <w:webHidden/>
              </w:rPr>
              <w:tab/>
            </w:r>
            <w:r w:rsidR="00593D9F">
              <w:rPr>
                <w:webHidden/>
              </w:rPr>
              <w:fldChar w:fldCharType="begin"/>
            </w:r>
            <w:r w:rsidR="00593D9F">
              <w:rPr>
                <w:webHidden/>
              </w:rPr>
              <w:instrText xml:space="preserve"> PAGEREF _Toc12364824 \h </w:instrText>
            </w:r>
            <w:r w:rsidR="00593D9F">
              <w:rPr>
                <w:webHidden/>
              </w:rPr>
            </w:r>
            <w:r w:rsidR="00593D9F">
              <w:rPr>
                <w:webHidden/>
              </w:rPr>
              <w:fldChar w:fldCharType="separate"/>
            </w:r>
            <w:r w:rsidR="00E06D4A">
              <w:rPr>
                <w:webHidden/>
              </w:rPr>
              <w:t>31</w:t>
            </w:r>
            <w:r w:rsidR="00593D9F">
              <w:rPr>
                <w:webHidden/>
              </w:rPr>
              <w:fldChar w:fldCharType="end"/>
            </w:r>
          </w:hyperlink>
        </w:p>
        <w:p w14:paraId="56882CCF" w14:textId="31D4D7F5" w:rsidR="00593D9F" w:rsidRDefault="003B525D">
          <w:pPr>
            <w:pStyle w:val="TOC3"/>
            <w:rPr>
              <w:rFonts w:asciiTheme="minorHAnsi" w:hAnsiTheme="minorHAnsi" w:cstheme="minorBidi"/>
              <w:sz w:val="22"/>
              <w:szCs w:val="22"/>
              <w:lang w:val="en-NZ" w:eastAsia="en-NZ"/>
            </w:rPr>
          </w:pPr>
          <w:hyperlink w:anchor="_Toc12364825" w:history="1">
            <w:r w:rsidR="00593D9F" w:rsidRPr="00B95CAC">
              <w:rPr>
                <w:rStyle w:val="Hyperlink"/>
                <w:lang w:val="en-AU"/>
              </w:rPr>
              <w:t>9.1.1.</w:t>
            </w:r>
            <w:r w:rsidR="00593D9F">
              <w:rPr>
                <w:rFonts w:asciiTheme="minorHAnsi" w:hAnsiTheme="minorHAnsi" w:cstheme="minorBidi"/>
                <w:sz w:val="22"/>
                <w:szCs w:val="22"/>
                <w:lang w:val="en-NZ" w:eastAsia="en-NZ"/>
              </w:rPr>
              <w:tab/>
            </w:r>
            <w:r w:rsidR="00593D9F" w:rsidRPr="00B95CAC">
              <w:rPr>
                <w:rStyle w:val="Hyperlink"/>
                <w:lang w:val="en-AU"/>
              </w:rPr>
              <w:t>DFAT resourcing</w:t>
            </w:r>
            <w:r w:rsidR="00593D9F">
              <w:rPr>
                <w:webHidden/>
              </w:rPr>
              <w:tab/>
            </w:r>
            <w:r w:rsidR="00593D9F">
              <w:rPr>
                <w:webHidden/>
              </w:rPr>
              <w:fldChar w:fldCharType="begin"/>
            </w:r>
            <w:r w:rsidR="00593D9F">
              <w:rPr>
                <w:webHidden/>
              </w:rPr>
              <w:instrText xml:space="preserve"> PAGEREF _Toc12364825 \h </w:instrText>
            </w:r>
            <w:r w:rsidR="00593D9F">
              <w:rPr>
                <w:webHidden/>
              </w:rPr>
            </w:r>
            <w:r w:rsidR="00593D9F">
              <w:rPr>
                <w:webHidden/>
              </w:rPr>
              <w:fldChar w:fldCharType="separate"/>
            </w:r>
            <w:r w:rsidR="00E06D4A">
              <w:rPr>
                <w:webHidden/>
              </w:rPr>
              <w:t>32</w:t>
            </w:r>
            <w:r w:rsidR="00593D9F">
              <w:rPr>
                <w:webHidden/>
              </w:rPr>
              <w:fldChar w:fldCharType="end"/>
            </w:r>
          </w:hyperlink>
        </w:p>
        <w:p w14:paraId="412BE2FB" w14:textId="029A3854" w:rsidR="00593D9F" w:rsidRDefault="003B525D">
          <w:pPr>
            <w:pStyle w:val="TOC2"/>
            <w:rPr>
              <w:rFonts w:asciiTheme="minorHAnsi" w:hAnsiTheme="minorHAnsi" w:cstheme="minorBidi"/>
              <w:sz w:val="22"/>
              <w:szCs w:val="22"/>
              <w:lang w:val="en-NZ" w:eastAsia="en-NZ"/>
            </w:rPr>
          </w:pPr>
          <w:hyperlink w:anchor="_Toc12364826" w:history="1">
            <w:r w:rsidR="00593D9F" w:rsidRPr="00B95CAC">
              <w:rPr>
                <w:rStyle w:val="Hyperlink"/>
              </w:rPr>
              <w:t>9.2</w:t>
            </w:r>
            <w:r w:rsidR="00593D9F">
              <w:rPr>
                <w:rFonts w:asciiTheme="minorHAnsi" w:hAnsiTheme="minorHAnsi" w:cstheme="minorBidi"/>
                <w:sz w:val="22"/>
                <w:szCs w:val="22"/>
                <w:lang w:val="en-NZ" w:eastAsia="en-NZ"/>
              </w:rPr>
              <w:tab/>
            </w:r>
            <w:r w:rsidR="00593D9F" w:rsidRPr="00B95CAC">
              <w:rPr>
                <w:rStyle w:val="Hyperlink"/>
              </w:rPr>
              <w:t>How are technical roles and advice best embedded within AMENCA 3?</w:t>
            </w:r>
            <w:r w:rsidR="00593D9F">
              <w:rPr>
                <w:webHidden/>
              </w:rPr>
              <w:tab/>
            </w:r>
            <w:r w:rsidR="00593D9F">
              <w:rPr>
                <w:webHidden/>
              </w:rPr>
              <w:fldChar w:fldCharType="begin"/>
            </w:r>
            <w:r w:rsidR="00593D9F">
              <w:rPr>
                <w:webHidden/>
              </w:rPr>
              <w:instrText xml:space="preserve"> PAGEREF _Toc12364826 \h </w:instrText>
            </w:r>
            <w:r w:rsidR="00593D9F">
              <w:rPr>
                <w:webHidden/>
              </w:rPr>
            </w:r>
            <w:r w:rsidR="00593D9F">
              <w:rPr>
                <w:webHidden/>
              </w:rPr>
              <w:fldChar w:fldCharType="separate"/>
            </w:r>
            <w:r w:rsidR="00E06D4A">
              <w:rPr>
                <w:webHidden/>
              </w:rPr>
              <w:t>32</w:t>
            </w:r>
            <w:r w:rsidR="00593D9F">
              <w:rPr>
                <w:webHidden/>
              </w:rPr>
              <w:fldChar w:fldCharType="end"/>
            </w:r>
          </w:hyperlink>
        </w:p>
        <w:p w14:paraId="4BAF9299" w14:textId="6070186C" w:rsidR="00593D9F" w:rsidRDefault="003B525D">
          <w:pPr>
            <w:pStyle w:val="TOC2"/>
            <w:rPr>
              <w:rFonts w:asciiTheme="minorHAnsi" w:hAnsiTheme="minorHAnsi" w:cstheme="minorBidi"/>
              <w:sz w:val="22"/>
              <w:szCs w:val="22"/>
              <w:lang w:val="en-NZ" w:eastAsia="en-NZ"/>
            </w:rPr>
          </w:pPr>
          <w:hyperlink w:anchor="_Toc12364827" w:history="1">
            <w:r w:rsidR="00593D9F" w:rsidRPr="00B95CAC">
              <w:rPr>
                <w:rStyle w:val="Hyperlink"/>
              </w:rPr>
              <w:t>9.3</w:t>
            </w:r>
            <w:r w:rsidR="00593D9F">
              <w:rPr>
                <w:rFonts w:asciiTheme="minorHAnsi" w:hAnsiTheme="minorHAnsi" w:cstheme="minorBidi"/>
                <w:sz w:val="22"/>
                <w:szCs w:val="22"/>
                <w:lang w:val="en-NZ" w:eastAsia="en-NZ"/>
              </w:rPr>
              <w:tab/>
            </w:r>
            <w:r w:rsidR="00593D9F" w:rsidRPr="00B95CAC">
              <w:rPr>
                <w:rStyle w:val="Hyperlink"/>
              </w:rPr>
              <w:t>Does AMENCA 3 represent good value for money?</w:t>
            </w:r>
            <w:r w:rsidR="00593D9F">
              <w:rPr>
                <w:webHidden/>
              </w:rPr>
              <w:tab/>
            </w:r>
            <w:r w:rsidR="00593D9F">
              <w:rPr>
                <w:webHidden/>
              </w:rPr>
              <w:fldChar w:fldCharType="begin"/>
            </w:r>
            <w:r w:rsidR="00593D9F">
              <w:rPr>
                <w:webHidden/>
              </w:rPr>
              <w:instrText xml:space="preserve"> PAGEREF _Toc12364827 \h </w:instrText>
            </w:r>
            <w:r w:rsidR="00593D9F">
              <w:rPr>
                <w:webHidden/>
              </w:rPr>
            </w:r>
            <w:r w:rsidR="00593D9F">
              <w:rPr>
                <w:webHidden/>
              </w:rPr>
              <w:fldChar w:fldCharType="separate"/>
            </w:r>
            <w:r w:rsidR="00E06D4A">
              <w:rPr>
                <w:webHidden/>
              </w:rPr>
              <w:t>34</w:t>
            </w:r>
            <w:r w:rsidR="00593D9F">
              <w:rPr>
                <w:webHidden/>
              </w:rPr>
              <w:fldChar w:fldCharType="end"/>
            </w:r>
          </w:hyperlink>
        </w:p>
        <w:p w14:paraId="2997C223" w14:textId="29FC95EA" w:rsidR="00593D9F" w:rsidRDefault="003B525D">
          <w:pPr>
            <w:pStyle w:val="TOC2"/>
            <w:rPr>
              <w:rFonts w:asciiTheme="minorHAnsi" w:hAnsiTheme="minorHAnsi" w:cstheme="minorBidi"/>
              <w:sz w:val="22"/>
              <w:szCs w:val="22"/>
              <w:lang w:val="en-NZ" w:eastAsia="en-NZ"/>
            </w:rPr>
          </w:pPr>
          <w:hyperlink w:anchor="_Toc12364828" w:history="1">
            <w:r w:rsidR="00593D9F" w:rsidRPr="00B95CAC">
              <w:rPr>
                <w:rStyle w:val="Hyperlink"/>
              </w:rPr>
              <w:t>9.4</w:t>
            </w:r>
            <w:r w:rsidR="00593D9F">
              <w:rPr>
                <w:rFonts w:asciiTheme="minorHAnsi" w:hAnsiTheme="minorHAnsi" w:cstheme="minorBidi"/>
                <w:sz w:val="22"/>
                <w:szCs w:val="22"/>
                <w:lang w:val="en-NZ" w:eastAsia="en-NZ"/>
              </w:rPr>
              <w:tab/>
            </w:r>
            <w:r w:rsidR="00593D9F" w:rsidRPr="00B95CAC">
              <w:rPr>
                <w:rStyle w:val="Hyperlink"/>
              </w:rPr>
              <w:t>Does AMENCA 3’s governance remain valid or require changes?</w:t>
            </w:r>
            <w:r w:rsidR="00593D9F">
              <w:rPr>
                <w:webHidden/>
              </w:rPr>
              <w:tab/>
            </w:r>
            <w:r w:rsidR="00593D9F">
              <w:rPr>
                <w:webHidden/>
              </w:rPr>
              <w:fldChar w:fldCharType="begin"/>
            </w:r>
            <w:r w:rsidR="00593D9F">
              <w:rPr>
                <w:webHidden/>
              </w:rPr>
              <w:instrText xml:space="preserve"> PAGEREF _Toc12364828 \h </w:instrText>
            </w:r>
            <w:r w:rsidR="00593D9F">
              <w:rPr>
                <w:webHidden/>
              </w:rPr>
            </w:r>
            <w:r w:rsidR="00593D9F">
              <w:rPr>
                <w:webHidden/>
              </w:rPr>
              <w:fldChar w:fldCharType="separate"/>
            </w:r>
            <w:r w:rsidR="00E06D4A">
              <w:rPr>
                <w:webHidden/>
              </w:rPr>
              <w:t>35</w:t>
            </w:r>
            <w:r w:rsidR="00593D9F">
              <w:rPr>
                <w:webHidden/>
              </w:rPr>
              <w:fldChar w:fldCharType="end"/>
            </w:r>
          </w:hyperlink>
        </w:p>
        <w:p w14:paraId="3DFF884A" w14:textId="332226D6" w:rsidR="00593D9F" w:rsidRDefault="003B525D">
          <w:pPr>
            <w:pStyle w:val="TOC3"/>
            <w:rPr>
              <w:rFonts w:asciiTheme="minorHAnsi" w:hAnsiTheme="minorHAnsi" w:cstheme="minorBidi"/>
              <w:sz w:val="22"/>
              <w:szCs w:val="22"/>
              <w:lang w:val="en-NZ" w:eastAsia="en-NZ"/>
            </w:rPr>
          </w:pPr>
          <w:hyperlink w:anchor="_Toc12364829" w:history="1">
            <w:r w:rsidR="00593D9F" w:rsidRPr="00B95CAC">
              <w:rPr>
                <w:rStyle w:val="Hyperlink"/>
                <w:lang w:val="en-AU"/>
              </w:rPr>
              <w:t>9.4.1.</w:t>
            </w:r>
            <w:r w:rsidR="00593D9F">
              <w:rPr>
                <w:rFonts w:asciiTheme="minorHAnsi" w:hAnsiTheme="minorHAnsi" w:cstheme="minorBidi"/>
                <w:sz w:val="22"/>
                <w:szCs w:val="22"/>
                <w:lang w:val="en-NZ" w:eastAsia="en-NZ"/>
              </w:rPr>
              <w:tab/>
            </w:r>
            <w:r w:rsidR="00593D9F" w:rsidRPr="00B95CAC">
              <w:rPr>
                <w:rStyle w:val="Hyperlink"/>
                <w:lang w:val="en-AU"/>
              </w:rPr>
              <w:t>Engagement with the Palestinian Authority</w:t>
            </w:r>
            <w:r w:rsidR="00593D9F">
              <w:rPr>
                <w:webHidden/>
              </w:rPr>
              <w:tab/>
            </w:r>
            <w:r w:rsidR="00593D9F">
              <w:rPr>
                <w:webHidden/>
              </w:rPr>
              <w:fldChar w:fldCharType="begin"/>
            </w:r>
            <w:r w:rsidR="00593D9F">
              <w:rPr>
                <w:webHidden/>
              </w:rPr>
              <w:instrText xml:space="preserve"> PAGEREF _Toc12364829 \h </w:instrText>
            </w:r>
            <w:r w:rsidR="00593D9F">
              <w:rPr>
                <w:webHidden/>
              </w:rPr>
            </w:r>
            <w:r w:rsidR="00593D9F">
              <w:rPr>
                <w:webHidden/>
              </w:rPr>
              <w:fldChar w:fldCharType="separate"/>
            </w:r>
            <w:r w:rsidR="00E06D4A">
              <w:rPr>
                <w:webHidden/>
              </w:rPr>
              <w:t>35</w:t>
            </w:r>
            <w:r w:rsidR="00593D9F">
              <w:rPr>
                <w:webHidden/>
              </w:rPr>
              <w:fldChar w:fldCharType="end"/>
            </w:r>
          </w:hyperlink>
        </w:p>
        <w:p w14:paraId="0F1C54FB" w14:textId="57A803AB" w:rsidR="00593D9F" w:rsidRDefault="003B525D">
          <w:pPr>
            <w:pStyle w:val="TOC3"/>
            <w:rPr>
              <w:rFonts w:asciiTheme="minorHAnsi" w:hAnsiTheme="minorHAnsi" w:cstheme="minorBidi"/>
              <w:sz w:val="22"/>
              <w:szCs w:val="22"/>
              <w:lang w:val="en-NZ" w:eastAsia="en-NZ"/>
            </w:rPr>
          </w:pPr>
          <w:hyperlink w:anchor="_Toc12364830" w:history="1">
            <w:r w:rsidR="00593D9F" w:rsidRPr="00B95CAC">
              <w:rPr>
                <w:rStyle w:val="Hyperlink"/>
                <w:lang w:val="en-AU"/>
              </w:rPr>
              <w:t>9.4.2.</w:t>
            </w:r>
            <w:r w:rsidR="00593D9F">
              <w:rPr>
                <w:rFonts w:asciiTheme="minorHAnsi" w:hAnsiTheme="minorHAnsi" w:cstheme="minorBidi"/>
                <w:sz w:val="22"/>
                <w:szCs w:val="22"/>
                <w:lang w:val="en-NZ" w:eastAsia="en-NZ"/>
              </w:rPr>
              <w:tab/>
            </w:r>
            <w:r w:rsidR="00593D9F" w:rsidRPr="00B95CAC">
              <w:rPr>
                <w:rStyle w:val="Hyperlink"/>
                <w:lang w:val="en-AU"/>
              </w:rPr>
              <w:t>Changing Governance roles</w:t>
            </w:r>
            <w:r w:rsidR="00593D9F">
              <w:rPr>
                <w:webHidden/>
              </w:rPr>
              <w:tab/>
            </w:r>
            <w:r w:rsidR="00593D9F">
              <w:rPr>
                <w:webHidden/>
              </w:rPr>
              <w:fldChar w:fldCharType="begin"/>
            </w:r>
            <w:r w:rsidR="00593D9F">
              <w:rPr>
                <w:webHidden/>
              </w:rPr>
              <w:instrText xml:space="preserve"> PAGEREF _Toc12364830 \h </w:instrText>
            </w:r>
            <w:r w:rsidR="00593D9F">
              <w:rPr>
                <w:webHidden/>
              </w:rPr>
            </w:r>
            <w:r w:rsidR="00593D9F">
              <w:rPr>
                <w:webHidden/>
              </w:rPr>
              <w:fldChar w:fldCharType="separate"/>
            </w:r>
            <w:r w:rsidR="00E06D4A">
              <w:rPr>
                <w:webHidden/>
              </w:rPr>
              <w:t>36</w:t>
            </w:r>
            <w:r w:rsidR="00593D9F">
              <w:rPr>
                <w:webHidden/>
              </w:rPr>
              <w:fldChar w:fldCharType="end"/>
            </w:r>
          </w:hyperlink>
        </w:p>
        <w:p w14:paraId="4CF4C958" w14:textId="47E14370" w:rsidR="00593D9F" w:rsidRDefault="003B525D">
          <w:pPr>
            <w:pStyle w:val="TOC3"/>
            <w:rPr>
              <w:rFonts w:asciiTheme="minorHAnsi" w:hAnsiTheme="minorHAnsi" w:cstheme="minorBidi"/>
              <w:sz w:val="22"/>
              <w:szCs w:val="22"/>
              <w:lang w:val="en-NZ" w:eastAsia="en-NZ"/>
            </w:rPr>
          </w:pPr>
          <w:hyperlink w:anchor="_Toc12364831" w:history="1">
            <w:r w:rsidR="00593D9F" w:rsidRPr="00B95CAC">
              <w:rPr>
                <w:rStyle w:val="Hyperlink"/>
                <w:lang w:val="en-AU"/>
              </w:rPr>
              <w:t>9.4.3.</w:t>
            </w:r>
            <w:r w:rsidR="00593D9F">
              <w:rPr>
                <w:rFonts w:asciiTheme="minorHAnsi" w:hAnsiTheme="minorHAnsi" w:cstheme="minorBidi"/>
                <w:sz w:val="22"/>
                <w:szCs w:val="22"/>
                <w:lang w:val="en-NZ" w:eastAsia="en-NZ"/>
              </w:rPr>
              <w:tab/>
            </w:r>
            <w:r w:rsidR="00593D9F" w:rsidRPr="00B95CAC">
              <w:rPr>
                <w:rStyle w:val="Hyperlink"/>
                <w:lang w:val="en-AU"/>
              </w:rPr>
              <w:t>Cross-donor harmonisation</w:t>
            </w:r>
            <w:r w:rsidR="00593D9F">
              <w:rPr>
                <w:webHidden/>
              </w:rPr>
              <w:tab/>
            </w:r>
            <w:r w:rsidR="00593D9F">
              <w:rPr>
                <w:webHidden/>
              </w:rPr>
              <w:fldChar w:fldCharType="begin"/>
            </w:r>
            <w:r w:rsidR="00593D9F">
              <w:rPr>
                <w:webHidden/>
              </w:rPr>
              <w:instrText xml:space="preserve"> PAGEREF _Toc12364831 \h </w:instrText>
            </w:r>
            <w:r w:rsidR="00593D9F">
              <w:rPr>
                <w:webHidden/>
              </w:rPr>
            </w:r>
            <w:r w:rsidR="00593D9F">
              <w:rPr>
                <w:webHidden/>
              </w:rPr>
              <w:fldChar w:fldCharType="separate"/>
            </w:r>
            <w:r w:rsidR="00E06D4A">
              <w:rPr>
                <w:webHidden/>
              </w:rPr>
              <w:t>37</w:t>
            </w:r>
            <w:r w:rsidR="00593D9F">
              <w:rPr>
                <w:webHidden/>
              </w:rPr>
              <w:fldChar w:fldCharType="end"/>
            </w:r>
          </w:hyperlink>
        </w:p>
        <w:p w14:paraId="65DD1C98" w14:textId="14349984" w:rsidR="00593D9F" w:rsidRDefault="003B525D">
          <w:pPr>
            <w:pStyle w:val="TOC2"/>
            <w:rPr>
              <w:rFonts w:asciiTheme="minorHAnsi" w:hAnsiTheme="minorHAnsi" w:cstheme="minorBidi"/>
              <w:sz w:val="22"/>
              <w:szCs w:val="22"/>
              <w:lang w:val="en-NZ" w:eastAsia="en-NZ"/>
            </w:rPr>
          </w:pPr>
          <w:hyperlink w:anchor="_Toc12364832" w:history="1">
            <w:r w:rsidR="00593D9F" w:rsidRPr="00B95CAC">
              <w:rPr>
                <w:rStyle w:val="Hyperlink"/>
              </w:rPr>
              <w:t>9.5</w:t>
            </w:r>
            <w:r w:rsidR="00593D9F">
              <w:rPr>
                <w:rFonts w:asciiTheme="minorHAnsi" w:hAnsiTheme="minorHAnsi" w:cstheme="minorBidi"/>
                <w:sz w:val="22"/>
                <w:szCs w:val="22"/>
                <w:lang w:val="en-NZ" w:eastAsia="en-NZ"/>
              </w:rPr>
              <w:tab/>
            </w:r>
            <w:r w:rsidR="00593D9F" w:rsidRPr="00B95CAC">
              <w:rPr>
                <w:rStyle w:val="Hyperlink"/>
              </w:rPr>
              <w:t>Communications and public diplomacy</w:t>
            </w:r>
            <w:r w:rsidR="00593D9F">
              <w:rPr>
                <w:webHidden/>
              </w:rPr>
              <w:tab/>
            </w:r>
            <w:r w:rsidR="00593D9F">
              <w:rPr>
                <w:webHidden/>
              </w:rPr>
              <w:fldChar w:fldCharType="begin"/>
            </w:r>
            <w:r w:rsidR="00593D9F">
              <w:rPr>
                <w:webHidden/>
              </w:rPr>
              <w:instrText xml:space="preserve"> PAGEREF _Toc12364832 \h </w:instrText>
            </w:r>
            <w:r w:rsidR="00593D9F">
              <w:rPr>
                <w:webHidden/>
              </w:rPr>
            </w:r>
            <w:r w:rsidR="00593D9F">
              <w:rPr>
                <w:webHidden/>
              </w:rPr>
              <w:fldChar w:fldCharType="separate"/>
            </w:r>
            <w:r w:rsidR="00E06D4A">
              <w:rPr>
                <w:webHidden/>
              </w:rPr>
              <w:t>37</w:t>
            </w:r>
            <w:r w:rsidR="00593D9F">
              <w:rPr>
                <w:webHidden/>
              </w:rPr>
              <w:fldChar w:fldCharType="end"/>
            </w:r>
          </w:hyperlink>
        </w:p>
        <w:p w14:paraId="6E9ED513" w14:textId="2002EDEE" w:rsidR="00593D9F" w:rsidRDefault="003B525D">
          <w:pPr>
            <w:pStyle w:val="TOC1"/>
            <w:rPr>
              <w:rFonts w:asciiTheme="minorHAnsi" w:hAnsiTheme="minorHAnsi" w:cstheme="minorBidi"/>
              <w:b w:val="0"/>
              <w:spacing w:val="0"/>
              <w:sz w:val="22"/>
              <w:szCs w:val="22"/>
              <w:lang w:val="en-NZ" w:eastAsia="en-NZ"/>
            </w:rPr>
          </w:pPr>
          <w:hyperlink w:anchor="_Toc12364833" w:history="1">
            <w:r w:rsidR="00593D9F" w:rsidRPr="00B95CAC">
              <w:rPr>
                <w:rStyle w:val="Hyperlink"/>
              </w:rPr>
              <w:t>10</w:t>
            </w:r>
            <w:r w:rsidR="00593D9F">
              <w:rPr>
                <w:rFonts w:asciiTheme="minorHAnsi" w:hAnsiTheme="minorHAnsi" w:cstheme="minorBidi"/>
                <w:b w:val="0"/>
                <w:spacing w:val="0"/>
                <w:sz w:val="22"/>
                <w:szCs w:val="22"/>
                <w:lang w:val="en-NZ" w:eastAsia="en-NZ"/>
              </w:rPr>
              <w:tab/>
            </w:r>
            <w:r w:rsidR="00593D9F" w:rsidRPr="00B95CAC">
              <w:rPr>
                <w:rStyle w:val="Hyperlink"/>
              </w:rPr>
              <w:t>Sustainability of results</w:t>
            </w:r>
            <w:r w:rsidR="00593D9F">
              <w:rPr>
                <w:webHidden/>
              </w:rPr>
              <w:tab/>
            </w:r>
            <w:r w:rsidR="00593D9F">
              <w:rPr>
                <w:webHidden/>
              </w:rPr>
              <w:fldChar w:fldCharType="begin"/>
            </w:r>
            <w:r w:rsidR="00593D9F">
              <w:rPr>
                <w:webHidden/>
              </w:rPr>
              <w:instrText xml:space="preserve"> PAGEREF _Toc12364833 \h </w:instrText>
            </w:r>
            <w:r w:rsidR="00593D9F">
              <w:rPr>
                <w:webHidden/>
              </w:rPr>
            </w:r>
            <w:r w:rsidR="00593D9F">
              <w:rPr>
                <w:webHidden/>
              </w:rPr>
              <w:fldChar w:fldCharType="separate"/>
            </w:r>
            <w:r w:rsidR="00E06D4A">
              <w:rPr>
                <w:webHidden/>
              </w:rPr>
              <w:t>38</w:t>
            </w:r>
            <w:r w:rsidR="00593D9F">
              <w:rPr>
                <w:webHidden/>
              </w:rPr>
              <w:fldChar w:fldCharType="end"/>
            </w:r>
          </w:hyperlink>
        </w:p>
        <w:p w14:paraId="5E611C48" w14:textId="4AD80433" w:rsidR="00593D9F" w:rsidRDefault="003B525D">
          <w:pPr>
            <w:pStyle w:val="TOC2"/>
            <w:rPr>
              <w:rFonts w:asciiTheme="minorHAnsi" w:hAnsiTheme="minorHAnsi" w:cstheme="minorBidi"/>
              <w:sz w:val="22"/>
              <w:szCs w:val="22"/>
              <w:lang w:val="en-NZ" w:eastAsia="en-NZ"/>
            </w:rPr>
          </w:pPr>
          <w:hyperlink w:anchor="_Toc12364834" w:history="1">
            <w:r w:rsidR="00593D9F" w:rsidRPr="00B95CAC">
              <w:rPr>
                <w:rStyle w:val="Hyperlink"/>
              </w:rPr>
              <w:t>10.1</w:t>
            </w:r>
            <w:r w:rsidR="00593D9F">
              <w:rPr>
                <w:rFonts w:asciiTheme="minorHAnsi" w:hAnsiTheme="minorHAnsi" w:cstheme="minorBidi"/>
                <w:sz w:val="22"/>
                <w:szCs w:val="22"/>
                <w:lang w:val="en-NZ" w:eastAsia="en-NZ"/>
              </w:rPr>
              <w:tab/>
            </w:r>
            <w:r w:rsidR="00593D9F" w:rsidRPr="00B95CAC">
              <w:rPr>
                <w:rStyle w:val="Hyperlink"/>
              </w:rPr>
              <w:t>What is the level of sustainability in the current NGO projects?</w:t>
            </w:r>
            <w:r w:rsidR="00593D9F">
              <w:rPr>
                <w:webHidden/>
              </w:rPr>
              <w:tab/>
            </w:r>
            <w:r w:rsidR="00593D9F">
              <w:rPr>
                <w:webHidden/>
              </w:rPr>
              <w:fldChar w:fldCharType="begin"/>
            </w:r>
            <w:r w:rsidR="00593D9F">
              <w:rPr>
                <w:webHidden/>
              </w:rPr>
              <w:instrText xml:space="preserve"> PAGEREF _Toc12364834 \h </w:instrText>
            </w:r>
            <w:r w:rsidR="00593D9F">
              <w:rPr>
                <w:webHidden/>
              </w:rPr>
            </w:r>
            <w:r w:rsidR="00593D9F">
              <w:rPr>
                <w:webHidden/>
              </w:rPr>
              <w:fldChar w:fldCharType="separate"/>
            </w:r>
            <w:r w:rsidR="00E06D4A">
              <w:rPr>
                <w:webHidden/>
              </w:rPr>
              <w:t>38</w:t>
            </w:r>
            <w:r w:rsidR="00593D9F">
              <w:rPr>
                <w:webHidden/>
              </w:rPr>
              <w:fldChar w:fldCharType="end"/>
            </w:r>
          </w:hyperlink>
        </w:p>
        <w:p w14:paraId="4E86E307" w14:textId="37F504A1" w:rsidR="00593D9F" w:rsidRDefault="003B525D">
          <w:pPr>
            <w:pStyle w:val="TOC2"/>
            <w:rPr>
              <w:rFonts w:asciiTheme="minorHAnsi" w:hAnsiTheme="minorHAnsi" w:cstheme="minorBidi"/>
              <w:sz w:val="22"/>
              <w:szCs w:val="22"/>
              <w:lang w:val="en-NZ" w:eastAsia="en-NZ"/>
            </w:rPr>
          </w:pPr>
          <w:hyperlink w:anchor="_Toc12364835" w:history="1">
            <w:r w:rsidR="00593D9F" w:rsidRPr="00B95CAC">
              <w:rPr>
                <w:rStyle w:val="Hyperlink"/>
              </w:rPr>
              <w:t>10.2</w:t>
            </w:r>
            <w:r w:rsidR="00593D9F">
              <w:rPr>
                <w:rFonts w:asciiTheme="minorHAnsi" w:hAnsiTheme="minorHAnsi" w:cstheme="minorBidi"/>
                <w:sz w:val="22"/>
                <w:szCs w:val="22"/>
                <w:lang w:val="en-NZ" w:eastAsia="en-NZ"/>
              </w:rPr>
              <w:tab/>
            </w:r>
            <w:r w:rsidR="00593D9F" w:rsidRPr="00B95CAC">
              <w:rPr>
                <w:rStyle w:val="Hyperlink"/>
              </w:rPr>
              <w:t>How can AMENCA 3 strengthen the sustainability of the outcomes by the end of the NGO projects?</w:t>
            </w:r>
            <w:r w:rsidR="00593D9F">
              <w:rPr>
                <w:webHidden/>
              </w:rPr>
              <w:tab/>
            </w:r>
            <w:r w:rsidR="00593D9F">
              <w:rPr>
                <w:webHidden/>
              </w:rPr>
              <w:fldChar w:fldCharType="begin"/>
            </w:r>
            <w:r w:rsidR="00593D9F">
              <w:rPr>
                <w:webHidden/>
              </w:rPr>
              <w:instrText xml:space="preserve"> PAGEREF _Toc12364835 \h </w:instrText>
            </w:r>
            <w:r w:rsidR="00593D9F">
              <w:rPr>
                <w:webHidden/>
              </w:rPr>
            </w:r>
            <w:r w:rsidR="00593D9F">
              <w:rPr>
                <w:webHidden/>
              </w:rPr>
              <w:fldChar w:fldCharType="separate"/>
            </w:r>
            <w:r w:rsidR="00E06D4A">
              <w:rPr>
                <w:webHidden/>
              </w:rPr>
              <w:t>38</w:t>
            </w:r>
            <w:r w:rsidR="00593D9F">
              <w:rPr>
                <w:webHidden/>
              </w:rPr>
              <w:fldChar w:fldCharType="end"/>
            </w:r>
          </w:hyperlink>
        </w:p>
        <w:p w14:paraId="27C05A76" w14:textId="44265C1E" w:rsidR="00593D9F" w:rsidRDefault="003B525D">
          <w:pPr>
            <w:pStyle w:val="TOC2"/>
            <w:rPr>
              <w:rFonts w:asciiTheme="minorHAnsi" w:hAnsiTheme="minorHAnsi" w:cstheme="minorBidi"/>
              <w:sz w:val="22"/>
              <w:szCs w:val="22"/>
              <w:lang w:val="en-NZ" w:eastAsia="en-NZ"/>
            </w:rPr>
          </w:pPr>
          <w:hyperlink w:anchor="_Toc12364836" w:history="1">
            <w:r w:rsidR="00593D9F" w:rsidRPr="00B95CAC">
              <w:rPr>
                <w:rStyle w:val="Hyperlink"/>
              </w:rPr>
              <w:t>10.3</w:t>
            </w:r>
            <w:r w:rsidR="00593D9F">
              <w:rPr>
                <w:rFonts w:asciiTheme="minorHAnsi" w:hAnsiTheme="minorHAnsi" w:cstheme="minorBidi"/>
                <w:sz w:val="22"/>
                <w:szCs w:val="22"/>
                <w:lang w:val="en-NZ" w:eastAsia="en-NZ"/>
              </w:rPr>
              <w:tab/>
            </w:r>
            <w:r w:rsidR="00593D9F" w:rsidRPr="00B95CAC">
              <w:rPr>
                <w:rStyle w:val="Hyperlink"/>
              </w:rPr>
              <w:t>Natural Resource Management</w:t>
            </w:r>
            <w:r w:rsidR="00593D9F">
              <w:rPr>
                <w:webHidden/>
              </w:rPr>
              <w:tab/>
            </w:r>
            <w:r w:rsidR="00593D9F">
              <w:rPr>
                <w:webHidden/>
              </w:rPr>
              <w:fldChar w:fldCharType="begin"/>
            </w:r>
            <w:r w:rsidR="00593D9F">
              <w:rPr>
                <w:webHidden/>
              </w:rPr>
              <w:instrText xml:space="preserve"> PAGEREF _Toc12364836 \h </w:instrText>
            </w:r>
            <w:r w:rsidR="00593D9F">
              <w:rPr>
                <w:webHidden/>
              </w:rPr>
            </w:r>
            <w:r w:rsidR="00593D9F">
              <w:rPr>
                <w:webHidden/>
              </w:rPr>
              <w:fldChar w:fldCharType="separate"/>
            </w:r>
            <w:r w:rsidR="00E06D4A">
              <w:rPr>
                <w:webHidden/>
              </w:rPr>
              <w:t>39</w:t>
            </w:r>
            <w:r w:rsidR="00593D9F">
              <w:rPr>
                <w:webHidden/>
              </w:rPr>
              <w:fldChar w:fldCharType="end"/>
            </w:r>
          </w:hyperlink>
        </w:p>
        <w:p w14:paraId="195B2F52" w14:textId="7D1D067B" w:rsidR="00593D9F" w:rsidRDefault="003B525D">
          <w:pPr>
            <w:pStyle w:val="TOC1"/>
            <w:rPr>
              <w:rFonts w:asciiTheme="minorHAnsi" w:hAnsiTheme="minorHAnsi" w:cstheme="minorBidi"/>
              <w:b w:val="0"/>
              <w:spacing w:val="0"/>
              <w:sz w:val="22"/>
              <w:szCs w:val="22"/>
              <w:lang w:val="en-NZ" w:eastAsia="en-NZ"/>
            </w:rPr>
          </w:pPr>
          <w:hyperlink w:anchor="_Toc12364837" w:history="1">
            <w:r w:rsidR="00593D9F" w:rsidRPr="00B95CAC">
              <w:rPr>
                <w:rStyle w:val="Hyperlink"/>
              </w:rPr>
              <w:t>11</w:t>
            </w:r>
            <w:r w:rsidR="00593D9F">
              <w:rPr>
                <w:rFonts w:asciiTheme="minorHAnsi" w:hAnsiTheme="minorHAnsi" w:cstheme="minorBidi"/>
                <w:b w:val="0"/>
                <w:spacing w:val="0"/>
                <w:sz w:val="22"/>
                <w:szCs w:val="22"/>
                <w:lang w:val="en-NZ" w:eastAsia="en-NZ"/>
              </w:rPr>
              <w:tab/>
            </w:r>
            <w:r w:rsidR="00593D9F" w:rsidRPr="00B95CAC">
              <w:rPr>
                <w:rStyle w:val="Hyperlink"/>
              </w:rPr>
              <w:t>Building the evidence base: monitoring and evaluation</w:t>
            </w:r>
            <w:r w:rsidR="00593D9F">
              <w:rPr>
                <w:webHidden/>
              </w:rPr>
              <w:tab/>
            </w:r>
            <w:r w:rsidR="00593D9F">
              <w:rPr>
                <w:webHidden/>
              </w:rPr>
              <w:fldChar w:fldCharType="begin"/>
            </w:r>
            <w:r w:rsidR="00593D9F">
              <w:rPr>
                <w:webHidden/>
              </w:rPr>
              <w:instrText xml:space="preserve"> PAGEREF _Toc12364837 \h </w:instrText>
            </w:r>
            <w:r w:rsidR="00593D9F">
              <w:rPr>
                <w:webHidden/>
              </w:rPr>
            </w:r>
            <w:r w:rsidR="00593D9F">
              <w:rPr>
                <w:webHidden/>
              </w:rPr>
              <w:fldChar w:fldCharType="separate"/>
            </w:r>
            <w:r w:rsidR="00E06D4A">
              <w:rPr>
                <w:webHidden/>
              </w:rPr>
              <w:t>39</w:t>
            </w:r>
            <w:r w:rsidR="00593D9F">
              <w:rPr>
                <w:webHidden/>
              </w:rPr>
              <w:fldChar w:fldCharType="end"/>
            </w:r>
          </w:hyperlink>
        </w:p>
        <w:p w14:paraId="5A331715" w14:textId="4416F759" w:rsidR="00593D9F" w:rsidRDefault="003B525D">
          <w:pPr>
            <w:pStyle w:val="TOC1"/>
            <w:rPr>
              <w:rFonts w:asciiTheme="minorHAnsi" w:hAnsiTheme="minorHAnsi" w:cstheme="minorBidi"/>
              <w:b w:val="0"/>
              <w:spacing w:val="0"/>
              <w:sz w:val="22"/>
              <w:szCs w:val="22"/>
              <w:lang w:val="en-NZ" w:eastAsia="en-NZ"/>
            </w:rPr>
          </w:pPr>
          <w:hyperlink w:anchor="_Toc12364838" w:history="1">
            <w:r w:rsidR="00593D9F" w:rsidRPr="00B95CAC">
              <w:rPr>
                <w:rStyle w:val="Hyperlink"/>
              </w:rPr>
              <w:t>12</w:t>
            </w:r>
            <w:r w:rsidR="00593D9F">
              <w:rPr>
                <w:rFonts w:asciiTheme="minorHAnsi" w:hAnsiTheme="minorHAnsi" w:cstheme="minorBidi"/>
                <w:b w:val="0"/>
                <w:spacing w:val="0"/>
                <w:sz w:val="22"/>
                <w:szCs w:val="22"/>
                <w:lang w:val="en-NZ" w:eastAsia="en-NZ"/>
              </w:rPr>
              <w:tab/>
            </w:r>
            <w:r w:rsidR="00593D9F" w:rsidRPr="00B95CAC">
              <w:rPr>
                <w:rStyle w:val="Hyperlink"/>
              </w:rPr>
              <w:t>Economic and social inclusion</w:t>
            </w:r>
            <w:r w:rsidR="00593D9F">
              <w:rPr>
                <w:webHidden/>
              </w:rPr>
              <w:tab/>
            </w:r>
            <w:r w:rsidR="00593D9F">
              <w:rPr>
                <w:webHidden/>
              </w:rPr>
              <w:fldChar w:fldCharType="begin"/>
            </w:r>
            <w:r w:rsidR="00593D9F">
              <w:rPr>
                <w:webHidden/>
              </w:rPr>
              <w:instrText xml:space="preserve"> PAGEREF _Toc12364838 \h </w:instrText>
            </w:r>
            <w:r w:rsidR="00593D9F">
              <w:rPr>
                <w:webHidden/>
              </w:rPr>
            </w:r>
            <w:r w:rsidR="00593D9F">
              <w:rPr>
                <w:webHidden/>
              </w:rPr>
              <w:fldChar w:fldCharType="separate"/>
            </w:r>
            <w:r w:rsidR="00E06D4A">
              <w:rPr>
                <w:webHidden/>
              </w:rPr>
              <w:t>41</w:t>
            </w:r>
            <w:r w:rsidR="00593D9F">
              <w:rPr>
                <w:webHidden/>
              </w:rPr>
              <w:fldChar w:fldCharType="end"/>
            </w:r>
          </w:hyperlink>
        </w:p>
        <w:p w14:paraId="7509669A" w14:textId="0AF15EF6" w:rsidR="00593D9F" w:rsidRDefault="003B525D">
          <w:pPr>
            <w:pStyle w:val="TOC2"/>
            <w:rPr>
              <w:rFonts w:asciiTheme="minorHAnsi" w:hAnsiTheme="minorHAnsi" w:cstheme="minorBidi"/>
              <w:sz w:val="22"/>
              <w:szCs w:val="22"/>
              <w:lang w:val="en-NZ" w:eastAsia="en-NZ"/>
            </w:rPr>
          </w:pPr>
          <w:hyperlink w:anchor="_Toc12364839" w:history="1">
            <w:r w:rsidR="00593D9F" w:rsidRPr="00B95CAC">
              <w:rPr>
                <w:rStyle w:val="Hyperlink"/>
              </w:rPr>
              <w:t>12.1</w:t>
            </w:r>
            <w:r w:rsidR="00593D9F">
              <w:rPr>
                <w:rFonts w:asciiTheme="minorHAnsi" w:hAnsiTheme="minorHAnsi" w:cstheme="minorBidi"/>
                <w:sz w:val="22"/>
                <w:szCs w:val="22"/>
                <w:lang w:val="en-NZ" w:eastAsia="en-NZ"/>
              </w:rPr>
              <w:tab/>
            </w:r>
            <w:r w:rsidR="00593D9F" w:rsidRPr="00B95CAC">
              <w:rPr>
                <w:rStyle w:val="Hyperlink"/>
              </w:rPr>
              <w:t>How effective are the NGO projects in improving the economic and social position of women and youth?</w:t>
            </w:r>
            <w:r w:rsidR="00593D9F">
              <w:rPr>
                <w:webHidden/>
              </w:rPr>
              <w:tab/>
            </w:r>
            <w:r w:rsidR="00593D9F">
              <w:rPr>
                <w:webHidden/>
              </w:rPr>
              <w:fldChar w:fldCharType="begin"/>
            </w:r>
            <w:r w:rsidR="00593D9F">
              <w:rPr>
                <w:webHidden/>
              </w:rPr>
              <w:instrText xml:space="preserve"> PAGEREF _Toc12364839 \h </w:instrText>
            </w:r>
            <w:r w:rsidR="00593D9F">
              <w:rPr>
                <w:webHidden/>
              </w:rPr>
            </w:r>
            <w:r w:rsidR="00593D9F">
              <w:rPr>
                <w:webHidden/>
              </w:rPr>
              <w:fldChar w:fldCharType="separate"/>
            </w:r>
            <w:r w:rsidR="00E06D4A">
              <w:rPr>
                <w:webHidden/>
              </w:rPr>
              <w:t>41</w:t>
            </w:r>
            <w:r w:rsidR="00593D9F">
              <w:rPr>
                <w:webHidden/>
              </w:rPr>
              <w:fldChar w:fldCharType="end"/>
            </w:r>
          </w:hyperlink>
        </w:p>
        <w:p w14:paraId="04B22A52" w14:textId="4312B2AB" w:rsidR="00593D9F" w:rsidRDefault="003B525D">
          <w:pPr>
            <w:pStyle w:val="TOC3"/>
            <w:rPr>
              <w:rFonts w:asciiTheme="minorHAnsi" w:hAnsiTheme="minorHAnsi" w:cstheme="minorBidi"/>
              <w:sz w:val="22"/>
              <w:szCs w:val="22"/>
              <w:lang w:val="en-NZ" w:eastAsia="en-NZ"/>
            </w:rPr>
          </w:pPr>
          <w:hyperlink w:anchor="_Toc12364840" w:history="1">
            <w:r w:rsidR="00593D9F" w:rsidRPr="00B95CAC">
              <w:rPr>
                <w:rStyle w:val="Hyperlink"/>
                <w:lang w:val="en-AU"/>
              </w:rPr>
              <w:t>12.1.1.</w:t>
            </w:r>
            <w:r w:rsidR="00593D9F">
              <w:rPr>
                <w:rFonts w:asciiTheme="minorHAnsi" w:hAnsiTheme="minorHAnsi" w:cstheme="minorBidi"/>
                <w:sz w:val="22"/>
                <w:szCs w:val="22"/>
                <w:lang w:val="en-NZ" w:eastAsia="en-NZ"/>
              </w:rPr>
              <w:tab/>
            </w:r>
            <w:r w:rsidR="00593D9F" w:rsidRPr="00B95CAC">
              <w:rPr>
                <w:rStyle w:val="Hyperlink"/>
                <w:lang w:val="en-AU"/>
              </w:rPr>
              <w:t>Poverty and economic exclusion</w:t>
            </w:r>
            <w:r w:rsidR="00593D9F">
              <w:rPr>
                <w:webHidden/>
              </w:rPr>
              <w:tab/>
            </w:r>
            <w:r w:rsidR="00593D9F">
              <w:rPr>
                <w:webHidden/>
              </w:rPr>
              <w:fldChar w:fldCharType="begin"/>
            </w:r>
            <w:r w:rsidR="00593D9F">
              <w:rPr>
                <w:webHidden/>
              </w:rPr>
              <w:instrText xml:space="preserve"> PAGEREF _Toc12364840 \h </w:instrText>
            </w:r>
            <w:r w:rsidR="00593D9F">
              <w:rPr>
                <w:webHidden/>
              </w:rPr>
            </w:r>
            <w:r w:rsidR="00593D9F">
              <w:rPr>
                <w:webHidden/>
              </w:rPr>
              <w:fldChar w:fldCharType="separate"/>
            </w:r>
            <w:r w:rsidR="00E06D4A">
              <w:rPr>
                <w:webHidden/>
              </w:rPr>
              <w:t>44</w:t>
            </w:r>
            <w:r w:rsidR="00593D9F">
              <w:rPr>
                <w:webHidden/>
              </w:rPr>
              <w:fldChar w:fldCharType="end"/>
            </w:r>
          </w:hyperlink>
        </w:p>
        <w:p w14:paraId="420E2F61" w14:textId="71C696B8" w:rsidR="00593D9F" w:rsidRDefault="003B525D">
          <w:pPr>
            <w:pStyle w:val="TOC2"/>
            <w:rPr>
              <w:rFonts w:asciiTheme="minorHAnsi" w:hAnsiTheme="minorHAnsi" w:cstheme="minorBidi"/>
              <w:sz w:val="22"/>
              <w:szCs w:val="22"/>
              <w:lang w:val="en-NZ" w:eastAsia="en-NZ"/>
            </w:rPr>
          </w:pPr>
          <w:hyperlink w:anchor="_Toc12364841" w:history="1">
            <w:r w:rsidR="00593D9F" w:rsidRPr="00B95CAC">
              <w:rPr>
                <w:rStyle w:val="Hyperlink"/>
              </w:rPr>
              <w:t>12.2</w:t>
            </w:r>
            <w:r w:rsidR="00593D9F">
              <w:rPr>
                <w:rFonts w:asciiTheme="minorHAnsi" w:hAnsiTheme="minorHAnsi" w:cstheme="minorBidi"/>
                <w:sz w:val="22"/>
                <w:szCs w:val="22"/>
                <w:lang w:val="en-NZ" w:eastAsia="en-NZ"/>
              </w:rPr>
              <w:tab/>
            </w:r>
            <w:r w:rsidR="00593D9F" w:rsidRPr="00B95CAC">
              <w:rPr>
                <w:rStyle w:val="Hyperlink"/>
              </w:rPr>
              <w:t>What are the factors that contribute to and / or hinder successful approaches?</w:t>
            </w:r>
            <w:r w:rsidR="00593D9F">
              <w:rPr>
                <w:webHidden/>
              </w:rPr>
              <w:tab/>
            </w:r>
            <w:r w:rsidR="00593D9F">
              <w:rPr>
                <w:webHidden/>
              </w:rPr>
              <w:fldChar w:fldCharType="begin"/>
            </w:r>
            <w:r w:rsidR="00593D9F">
              <w:rPr>
                <w:webHidden/>
              </w:rPr>
              <w:instrText xml:space="preserve"> PAGEREF _Toc12364841 \h </w:instrText>
            </w:r>
            <w:r w:rsidR="00593D9F">
              <w:rPr>
                <w:webHidden/>
              </w:rPr>
            </w:r>
            <w:r w:rsidR="00593D9F">
              <w:rPr>
                <w:webHidden/>
              </w:rPr>
              <w:fldChar w:fldCharType="separate"/>
            </w:r>
            <w:r w:rsidR="00E06D4A">
              <w:rPr>
                <w:webHidden/>
              </w:rPr>
              <w:t>45</w:t>
            </w:r>
            <w:r w:rsidR="00593D9F">
              <w:rPr>
                <w:webHidden/>
              </w:rPr>
              <w:fldChar w:fldCharType="end"/>
            </w:r>
          </w:hyperlink>
        </w:p>
        <w:p w14:paraId="353C80CB" w14:textId="5964B53F" w:rsidR="00593D9F" w:rsidRDefault="003B525D">
          <w:pPr>
            <w:pStyle w:val="TOC3"/>
            <w:rPr>
              <w:rFonts w:asciiTheme="minorHAnsi" w:hAnsiTheme="minorHAnsi" w:cstheme="minorBidi"/>
              <w:sz w:val="22"/>
              <w:szCs w:val="22"/>
              <w:lang w:val="en-NZ" w:eastAsia="en-NZ"/>
            </w:rPr>
          </w:pPr>
          <w:hyperlink w:anchor="_Toc12364842" w:history="1">
            <w:r w:rsidR="00593D9F" w:rsidRPr="00B95CAC">
              <w:rPr>
                <w:rStyle w:val="Hyperlink"/>
                <w:lang w:val="en-AU"/>
              </w:rPr>
              <w:t>12.2.1.</w:t>
            </w:r>
            <w:r w:rsidR="00593D9F">
              <w:rPr>
                <w:rFonts w:asciiTheme="minorHAnsi" w:hAnsiTheme="minorHAnsi" w:cstheme="minorBidi"/>
                <w:sz w:val="22"/>
                <w:szCs w:val="22"/>
                <w:lang w:val="en-NZ" w:eastAsia="en-NZ"/>
              </w:rPr>
              <w:tab/>
            </w:r>
            <w:r w:rsidR="00593D9F" w:rsidRPr="00B95CAC">
              <w:rPr>
                <w:rStyle w:val="Hyperlink"/>
                <w:lang w:val="en-AU"/>
              </w:rPr>
              <w:t>Design matters</w:t>
            </w:r>
            <w:r w:rsidR="00593D9F">
              <w:rPr>
                <w:webHidden/>
              </w:rPr>
              <w:tab/>
            </w:r>
            <w:r w:rsidR="00593D9F">
              <w:rPr>
                <w:webHidden/>
              </w:rPr>
              <w:fldChar w:fldCharType="begin"/>
            </w:r>
            <w:r w:rsidR="00593D9F">
              <w:rPr>
                <w:webHidden/>
              </w:rPr>
              <w:instrText xml:space="preserve"> PAGEREF _Toc12364842 \h </w:instrText>
            </w:r>
            <w:r w:rsidR="00593D9F">
              <w:rPr>
                <w:webHidden/>
              </w:rPr>
            </w:r>
            <w:r w:rsidR="00593D9F">
              <w:rPr>
                <w:webHidden/>
              </w:rPr>
              <w:fldChar w:fldCharType="separate"/>
            </w:r>
            <w:r w:rsidR="00E06D4A">
              <w:rPr>
                <w:webHidden/>
              </w:rPr>
              <w:t>45</w:t>
            </w:r>
            <w:r w:rsidR="00593D9F">
              <w:rPr>
                <w:webHidden/>
              </w:rPr>
              <w:fldChar w:fldCharType="end"/>
            </w:r>
          </w:hyperlink>
        </w:p>
        <w:p w14:paraId="6D25BC71" w14:textId="58AB30D1" w:rsidR="00593D9F" w:rsidRDefault="003B525D">
          <w:pPr>
            <w:pStyle w:val="TOC3"/>
            <w:rPr>
              <w:rFonts w:asciiTheme="minorHAnsi" w:hAnsiTheme="minorHAnsi" w:cstheme="minorBidi"/>
              <w:sz w:val="22"/>
              <w:szCs w:val="22"/>
              <w:lang w:val="en-NZ" w:eastAsia="en-NZ"/>
            </w:rPr>
          </w:pPr>
          <w:hyperlink w:anchor="_Toc12364843" w:history="1">
            <w:r w:rsidR="00593D9F" w:rsidRPr="00B95CAC">
              <w:rPr>
                <w:rStyle w:val="Hyperlink"/>
                <w:lang w:val="en-AU"/>
              </w:rPr>
              <w:t>12.2.2.</w:t>
            </w:r>
            <w:r w:rsidR="00593D9F">
              <w:rPr>
                <w:rFonts w:asciiTheme="minorHAnsi" w:hAnsiTheme="minorHAnsi" w:cstheme="minorBidi"/>
                <w:sz w:val="22"/>
                <w:szCs w:val="22"/>
                <w:lang w:val="en-NZ" w:eastAsia="en-NZ"/>
              </w:rPr>
              <w:tab/>
            </w:r>
            <w:r w:rsidR="00593D9F" w:rsidRPr="00B95CAC">
              <w:rPr>
                <w:rStyle w:val="Hyperlink"/>
                <w:lang w:val="en-AU"/>
              </w:rPr>
              <w:t>Resourcing and requisite expertise</w:t>
            </w:r>
            <w:r w:rsidR="00593D9F">
              <w:rPr>
                <w:webHidden/>
              </w:rPr>
              <w:tab/>
            </w:r>
            <w:r w:rsidR="00593D9F">
              <w:rPr>
                <w:webHidden/>
              </w:rPr>
              <w:fldChar w:fldCharType="begin"/>
            </w:r>
            <w:r w:rsidR="00593D9F">
              <w:rPr>
                <w:webHidden/>
              </w:rPr>
              <w:instrText xml:space="preserve"> PAGEREF _Toc12364843 \h </w:instrText>
            </w:r>
            <w:r w:rsidR="00593D9F">
              <w:rPr>
                <w:webHidden/>
              </w:rPr>
            </w:r>
            <w:r w:rsidR="00593D9F">
              <w:rPr>
                <w:webHidden/>
              </w:rPr>
              <w:fldChar w:fldCharType="separate"/>
            </w:r>
            <w:r w:rsidR="00E06D4A">
              <w:rPr>
                <w:webHidden/>
              </w:rPr>
              <w:t>46</w:t>
            </w:r>
            <w:r w:rsidR="00593D9F">
              <w:rPr>
                <w:webHidden/>
              </w:rPr>
              <w:fldChar w:fldCharType="end"/>
            </w:r>
          </w:hyperlink>
        </w:p>
        <w:p w14:paraId="5BBB2CF1" w14:textId="58C6E781" w:rsidR="00593D9F" w:rsidRDefault="003B525D">
          <w:pPr>
            <w:pStyle w:val="TOC3"/>
            <w:rPr>
              <w:rFonts w:asciiTheme="minorHAnsi" w:hAnsiTheme="minorHAnsi" w:cstheme="minorBidi"/>
              <w:sz w:val="22"/>
              <w:szCs w:val="22"/>
              <w:lang w:val="en-NZ" w:eastAsia="en-NZ"/>
            </w:rPr>
          </w:pPr>
          <w:hyperlink w:anchor="_Toc12364844" w:history="1">
            <w:r w:rsidR="00593D9F" w:rsidRPr="00B95CAC">
              <w:rPr>
                <w:rStyle w:val="Hyperlink"/>
                <w:lang w:val="en-AU"/>
              </w:rPr>
              <w:t>12.2.3.</w:t>
            </w:r>
            <w:r w:rsidR="00593D9F">
              <w:rPr>
                <w:rFonts w:asciiTheme="minorHAnsi" w:hAnsiTheme="minorHAnsi" w:cstheme="minorBidi"/>
                <w:sz w:val="22"/>
                <w:szCs w:val="22"/>
                <w:lang w:val="en-NZ" w:eastAsia="en-NZ"/>
              </w:rPr>
              <w:tab/>
            </w:r>
            <w:r w:rsidR="00593D9F" w:rsidRPr="00B95CAC">
              <w:rPr>
                <w:rStyle w:val="Hyperlink"/>
                <w:lang w:val="en-AU"/>
              </w:rPr>
              <w:t>Program reporting and demand for information</w:t>
            </w:r>
            <w:r w:rsidR="00593D9F">
              <w:rPr>
                <w:webHidden/>
              </w:rPr>
              <w:tab/>
            </w:r>
            <w:r w:rsidR="00593D9F">
              <w:rPr>
                <w:webHidden/>
              </w:rPr>
              <w:fldChar w:fldCharType="begin"/>
            </w:r>
            <w:r w:rsidR="00593D9F">
              <w:rPr>
                <w:webHidden/>
              </w:rPr>
              <w:instrText xml:space="preserve"> PAGEREF _Toc12364844 \h </w:instrText>
            </w:r>
            <w:r w:rsidR="00593D9F">
              <w:rPr>
                <w:webHidden/>
              </w:rPr>
            </w:r>
            <w:r w:rsidR="00593D9F">
              <w:rPr>
                <w:webHidden/>
              </w:rPr>
              <w:fldChar w:fldCharType="separate"/>
            </w:r>
            <w:r w:rsidR="00E06D4A">
              <w:rPr>
                <w:webHidden/>
              </w:rPr>
              <w:t>47</w:t>
            </w:r>
            <w:r w:rsidR="00593D9F">
              <w:rPr>
                <w:webHidden/>
              </w:rPr>
              <w:fldChar w:fldCharType="end"/>
            </w:r>
          </w:hyperlink>
        </w:p>
        <w:p w14:paraId="36B7F6FD" w14:textId="2442EA78" w:rsidR="00593D9F" w:rsidRDefault="003B525D">
          <w:pPr>
            <w:pStyle w:val="TOC2"/>
            <w:rPr>
              <w:rFonts w:asciiTheme="minorHAnsi" w:hAnsiTheme="minorHAnsi" w:cstheme="minorBidi"/>
              <w:sz w:val="22"/>
              <w:szCs w:val="22"/>
              <w:lang w:val="en-NZ" w:eastAsia="en-NZ"/>
            </w:rPr>
          </w:pPr>
          <w:hyperlink w:anchor="_Toc12364845" w:history="1">
            <w:r w:rsidR="00593D9F" w:rsidRPr="00B95CAC">
              <w:rPr>
                <w:rStyle w:val="Hyperlink"/>
              </w:rPr>
              <w:t>12.3</w:t>
            </w:r>
            <w:r w:rsidR="00593D9F">
              <w:rPr>
                <w:rFonts w:asciiTheme="minorHAnsi" w:hAnsiTheme="minorHAnsi" w:cstheme="minorBidi"/>
                <w:sz w:val="22"/>
                <w:szCs w:val="22"/>
                <w:lang w:val="en-NZ" w:eastAsia="en-NZ"/>
              </w:rPr>
              <w:tab/>
            </w:r>
            <w:r w:rsidR="00593D9F" w:rsidRPr="00B95CAC">
              <w:rPr>
                <w:rStyle w:val="Hyperlink"/>
              </w:rPr>
              <w:t>The Australian definition of youth</w:t>
            </w:r>
            <w:r w:rsidR="00593D9F">
              <w:rPr>
                <w:webHidden/>
              </w:rPr>
              <w:tab/>
            </w:r>
            <w:r w:rsidR="00593D9F">
              <w:rPr>
                <w:webHidden/>
              </w:rPr>
              <w:fldChar w:fldCharType="begin"/>
            </w:r>
            <w:r w:rsidR="00593D9F">
              <w:rPr>
                <w:webHidden/>
              </w:rPr>
              <w:instrText xml:space="preserve"> PAGEREF _Toc12364845 \h </w:instrText>
            </w:r>
            <w:r w:rsidR="00593D9F">
              <w:rPr>
                <w:webHidden/>
              </w:rPr>
            </w:r>
            <w:r w:rsidR="00593D9F">
              <w:rPr>
                <w:webHidden/>
              </w:rPr>
              <w:fldChar w:fldCharType="separate"/>
            </w:r>
            <w:r w:rsidR="00E06D4A">
              <w:rPr>
                <w:webHidden/>
              </w:rPr>
              <w:t>47</w:t>
            </w:r>
            <w:r w:rsidR="00593D9F">
              <w:rPr>
                <w:webHidden/>
              </w:rPr>
              <w:fldChar w:fldCharType="end"/>
            </w:r>
          </w:hyperlink>
        </w:p>
        <w:p w14:paraId="4A8B0ECB" w14:textId="78C2ADFA" w:rsidR="00593D9F" w:rsidRDefault="003B525D">
          <w:pPr>
            <w:pStyle w:val="TOC1"/>
            <w:rPr>
              <w:rFonts w:asciiTheme="minorHAnsi" w:hAnsiTheme="minorHAnsi" w:cstheme="minorBidi"/>
              <w:b w:val="0"/>
              <w:spacing w:val="0"/>
              <w:sz w:val="22"/>
              <w:szCs w:val="22"/>
              <w:lang w:val="en-NZ" w:eastAsia="en-NZ"/>
            </w:rPr>
          </w:pPr>
          <w:hyperlink w:anchor="_Toc12364846" w:history="1">
            <w:r w:rsidR="00593D9F" w:rsidRPr="00B95CAC">
              <w:rPr>
                <w:rStyle w:val="Hyperlink"/>
              </w:rPr>
              <w:t>Annex 1: Works cited</w:t>
            </w:r>
            <w:r w:rsidR="00593D9F">
              <w:rPr>
                <w:webHidden/>
              </w:rPr>
              <w:tab/>
            </w:r>
            <w:r w:rsidR="00593D9F">
              <w:rPr>
                <w:webHidden/>
              </w:rPr>
              <w:fldChar w:fldCharType="begin"/>
            </w:r>
            <w:r w:rsidR="00593D9F">
              <w:rPr>
                <w:webHidden/>
              </w:rPr>
              <w:instrText xml:space="preserve"> PAGEREF _Toc12364846 \h </w:instrText>
            </w:r>
            <w:r w:rsidR="00593D9F">
              <w:rPr>
                <w:webHidden/>
              </w:rPr>
            </w:r>
            <w:r w:rsidR="00593D9F">
              <w:rPr>
                <w:webHidden/>
              </w:rPr>
              <w:fldChar w:fldCharType="separate"/>
            </w:r>
            <w:r w:rsidR="00E06D4A">
              <w:rPr>
                <w:webHidden/>
              </w:rPr>
              <w:t>48</w:t>
            </w:r>
            <w:r w:rsidR="00593D9F">
              <w:rPr>
                <w:webHidden/>
              </w:rPr>
              <w:fldChar w:fldCharType="end"/>
            </w:r>
          </w:hyperlink>
        </w:p>
        <w:p w14:paraId="53C35524" w14:textId="139D962C" w:rsidR="00593D9F" w:rsidRDefault="003B525D">
          <w:pPr>
            <w:pStyle w:val="TOC1"/>
            <w:rPr>
              <w:rFonts w:asciiTheme="minorHAnsi" w:hAnsiTheme="minorHAnsi" w:cstheme="minorBidi"/>
              <w:b w:val="0"/>
              <w:spacing w:val="0"/>
              <w:sz w:val="22"/>
              <w:szCs w:val="22"/>
              <w:lang w:val="en-NZ" w:eastAsia="en-NZ"/>
            </w:rPr>
          </w:pPr>
          <w:hyperlink w:anchor="_Toc12364847" w:history="1">
            <w:r w:rsidR="00593D9F" w:rsidRPr="00B95CAC">
              <w:rPr>
                <w:rStyle w:val="Hyperlink"/>
              </w:rPr>
              <w:t>Annex 2: Case studies</w:t>
            </w:r>
            <w:r w:rsidR="00593D9F">
              <w:rPr>
                <w:webHidden/>
              </w:rPr>
              <w:tab/>
            </w:r>
            <w:r w:rsidR="00593D9F">
              <w:rPr>
                <w:webHidden/>
              </w:rPr>
              <w:fldChar w:fldCharType="begin"/>
            </w:r>
            <w:r w:rsidR="00593D9F">
              <w:rPr>
                <w:webHidden/>
              </w:rPr>
              <w:instrText xml:space="preserve"> PAGEREF _Toc12364847 \h </w:instrText>
            </w:r>
            <w:r w:rsidR="00593D9F">
              <w:rPr>
                <w:webHidden/>
              </w:rPr>
            </w:r>
            <w:r w:rsidR="00593D9F">
              <w:rPr>
                <w:webHidden/>
              </w:rPr>
              <w:fldChar w:fldCharType="separate"/>
            </w:r>
            <w:r w:rsidR="00E06D4A">
              <w:rPr>
                <w:webHidden/>
              </w:rPr>
              <w:t>50</w:t>
            </w:r>
            <w:r w:rsidR="00593D9F">
              <w:rPr>
                <w:webHidden/>
              </w:rPr>
              <w:fldChar w:fldCharType="end"/>
            </w:r>
          </w:hyperlink>
        </w:p>
        <w:p w14:paraId="07A6264A" w14:textId="7AC3771C" w:rsidR="00593D9F" w:rsidRDefault="003B525D">
          <w:pPr>
            <w:pStyle w:val="TOC2"/>
            <w:rPr>
              <w:rFonts w:asciiTheme="minorHAnsi" w:hAnsiTheme="minorHAnsi" w:cstheme="minorBidi"/>
              <w:sz w:val="22"/>
              <w:szCs w:val="22"/>
              <w:lang w:val="en-NZ" w:eastAsia="en-NZ"/>
            </w:rPr>
          </w:pPr>
          <w:hyperlink w:anchor="_Toc12364848" w:history="1">
            <w:r w:rsidR="00593D9F" w:rsidRPr="00B95CAC">
              <w:rPr>
                <w:rStyle w:val="Hyperlink"/>
              </w:rPr>
              <w:t>Case Study 1: Sheep dairy sector in northern West Bank (CARE, Tubas/Nablus)</w:t>
            </w:r>
            <w:r w:rsidR="00593D9F">
              <w:rPr>
                <w:webHidden/>
              </w:rPr>
              <w:tab/>
            </w:r>
            <w:r w:rsidR="00593D9F">
              <w:rPr>
                <w:webHidden/>
              </w:rPr>
              <w:fldChar w:fldCharType="begin"/>
            </w:r>
            <w:r w:rsidR="00593D9F">
              <w:rPr>
                <w:webHidden/>
              </w:rPr>
              <w:instrText xml:space="preserve"> PAGEREF _Toc12364848 \h </w:instrText>
            </w:r>
            <w:r w:rsidR="00593D9F">
              <w:rPr>
                <w:webHidden/>
              </w:rPr>
            </w:r>
            <w:r w:rsidR="00593D9F">
              <w:rPr>
                <w:webHidden/>
              </w:rPr>
              <w:fldChar w:fldCharType="separate"/>
            </w:r>
            <w:r w:rsidR="00E06D4A">
              <w:rPr>
                <w:webHidden/>
              </w:rPr>
              <w:t>50</w:t>
            </w:r>
            <w:r w:rsidR="00593D9F">
              <w:rPr>
                <w:webHidden/>
              </w:rPr>
              <w:fldChar w:fldCharType="end"/>
            </w:r>
          </w:hyperlink>
        </w:p>
        <w:p w14:paraId="0C17A10E" w14:textId="75C9D3B2" w:rsidR="00593D9F" w:rsidRDefault="003B525D">
          <w:pPr>
            <w:pStyle w:val="TOC2"/>
            <w:rPr>
              <w:rFonts w:asciiTheme="minorHAnsi" w:hAnsiTheme="minorHAnsi" w:cstheme="minorBidi"/>
              <w:sz w:val="22"/>
              <w:szCs w:val="22"/>
              <w:lang w:val="en-NZ" w:eastAsia="en-NZ"/>
            </w:rPr>
          </w:pPr>
          <w:hyperlink w:anchor="_Toc12364849" w:history="1">
            <w:r w:rsidR="00593D9F" w:rsidRPr="00B95CAC">
              <w:rPr>
                <w:rStyle w:val="Hyperlink"/>
              </w:rPr>
              <w:t>Case Study 2: Local grape grading and marketing (Oxfam, Halhul/Hebron)</w:t>
            </w:r>
            <w:r w:rsidR="00593D9F">
              <w:rPr>
                <w:webHidden/>
              </w:rPr>
              <w:tab/>
            </w:r>
            <w:r w:rsidR="00593D9F">
              <w:rPr>
                <w:webHidden/>
              </w:rPr>
              <w:fldChar w:fldCharType="begin"/>
            </w:r>
            <w:r w:rsidR="00593D9F">
              <w:rPr>
                <w:webHidden/>
              </w:rPr>
              <w:instrText xml:space="preserve"> PAGEREF _Toc12364849 \h </w:instrText>
            </w:r>
            <w:r w:rsidR="00593D9F">
              <w:rPr>
                <w:webHidden/>
              </w:rPr>
            </w:r>
            <w:r w:rsidR="00593D9F">
              <w:rPr>
                <w:webHidden/>
              </w:rPr>
              <w:fldChar w:fldCharType="separate"/>
            </w:r>
            <w:r w:rsidR="00E06D4A">
              <w:rPr>
                <w:webHidden/>
              </w:rPr>
              <w:t>52</w:t>
            </w:r>
            <w:r w:rsidR="00593D9F">
              <w:rPr>
                <w:webHidden/>
              </w:rPr>
              <w:fldChar w:fldCharType="end"/>
            </w:r>
          </w:hyperlink>
        </w:p>
        <w:p w14:paraId="018A4419" w14:textId="4382F2CF" w:rsidR="00593D9F" w:rsidRDefault="003B525D">
          <w:pPr>
            <w:pStyle w:val="TOC1"/>
            <w:rPr>
              <w:rFonts w:asciiTheme="minorHAnsi" w:hAnsiTheme="minorHAnsi" w:cstheme="minorBidi"/>
              <w:b w:val="0"/>
              <w:spacing w:val="0"/>
              <w:sz w:val="22"/>
              <w:szCs w:val="22"/>
              <w:lang w:val="en-NZ" w:eastAsia="en-NZ"/>
            </w:rPr>
          </w:pPr>
          <w:hyperlink w:anchor="_Toc12364850" w:history="1">
            <w:r w:rsidR="00593D9F" w:rsidRPr="00B95CAC">
              <w:rPr>
                <w:rStyle w:val="Hyperlink"/>
              </w:rPr>
              <w:t>Annex 3: AMENCA 3 aggregated program level results (AMENCA 3, March 2019)</w:t>
            </w:r>
            <w:r w:rsidR="00593D9F">
              <w:rPr>
                <w:webHidden/>
              </w:rPr>
              <w:tab/>
            </w:r>
            <w:r w:rsidR="00593D9F">
              <w:rPr>
                <w:webHidden/>
              </w:rPr>
              <w:fldChar w:fldCharType="begin"/>
            </w:r>
            <w:r w:rsidR="00593D9F">
              <w:rPr>
                <w:webHidden/>
              </w:rPr>
              <w:instrText xml:space="preserve"> PAGEREF _Toc12364850 \h </w:instrText>
            </w:r>
            <w:r w:rsidR="00593D9F">
              <w:rPr>
                <w:webHidden/>
              </w:rPr>
            </w:r>
            <w:r w:rsidR="00593D9F">
              <w:rPr>
                <w:webHidden/>
              </w:rPr>
              <w:fldChar w:fldCharType="separate"/>
            </w:r>
            <w:r w:rsidR="00E06D4A">
              <w:rPr>
                <w:webHidden/>
              </w:rPr>
              <w:t>54</w:t>
            </w:r>
            <w:r w:rsidR="00593D9F">
              <w:rPr>
                <w:webHidden/>
              </w:rPr>
              <w:fldChar w:fldCharType="end"/>
            </w:r>
          </w:hyperlink>
        </w:p>
        <w:p w14:paraId="3063146D" w14:textId="3A027143" w:rsidR="00593D9F" w:rsidRDefault="003B525D">
          <w:pPr>
            <w:pStyle w:val="TOC1"/>
            <w:rPr>
              <w:rFonts w:asciiTheme="minorHAnsi" w:hAnsiTheme="minorHAnsi" w:cstheme="minorBidi"/>
              <w:b w:val="0"/>
              <w:spacing w:val="0"/>
              <w:sz w:val="22"/>
              <w:szCs w:val="22"/>
              <w:lang w:val="en-NZ" w:eastAsia="en-NZ"/>
            </w:rPr>
          </w:pPr>
          <w:hyperlink w:anchor="_Toc12364851" w:history="1">
            <w:r w:rsidR="00593D9F" w:rsidRPr="00B95CAC">
              <w:rPr>
                <w:rStyle w:val="Hyperlink"/>
              </w:rPr>
              <w:t>Annex 4: Evaluation framework</w:t>
            </w:r>
            <w:r w:rsidR="00593D9F">
              <w:rPr>
                <w:webHidden/>
              </w:rPr>
              <w:tab/>
            </w:r>
            <w:r w:rsidR="00593D9F">
              <w:rPr>
                <w:webHidden/>
              </w:rPr>
              <w:fldChar w:fldCharType="begin"/>
            </w:r>
            <w:r w:rsidR="00593D9F">
              <w:rPr>
                <w:webHidden/>
              </w:rPr>
              <w:instrText xml:space="preserve"> PAGEREF _Toc12364851 \h </w:instrText>
            </w:r>
            <w:r w:rsidR="00593D9F">
              <w:rPr>
                <w:webHidden/>
              </w:rPr>
            </w:r>
            <w:r w:rsidR="00593D9F">
              <w:rPr>
                <w:webHidden/>
              </w:rPr>
              <w:fldChar w:fldCharType="separate"/>
            </w:r>
            <w:r w:rsidR="00E06D4A">
              <w:rPr>
                <w:webHidden/>
              </w:rPr>
              <w:t>56</w:t>
            </w:r>
            <w:r w:rsidR="00593D9F">
              <w:rPr>
                <w:webHidden/>
              </w:rPr>
              <w:fldChar w:fldCharType="end"/>
            </w:r>
          </w:hyperlink>
        </w:p>
        <w:p w14:paraId="64136CEB" w14:textId="7F6C30B3" w:rsidR="00593D9F" w:rsidRDefault="003B525D">
          <w:pPr>
            <w:pStyle w:val="TOC1"/>
            <w:rPr>
              <w:rFonts w:asciiTheme="minorHAnsi" w:hAnsiTheme="minorHAnsi" w:cstheme="minorBidi"/>
              <w:b w:val="0"/>
              <w:spacing w:val="0"/>
              <w:sz w:val="22"/>
              <w:szCs w:val="22"/>
              <w:lang w:val="en-NZ" w:eastAsia="en-NZ"/>
            </w:rPr>
          </w:pPr>
          <w:hyperlink w:anchor="_Toc12364852" w:history="1">
            <w:r w:rsidR="00593D9F" w:rsidRPr="00B95CAC">
              <w:rPr>
                <w:rStyle w:val="Hyperlink"/>
              </w:rPr>
              <w:t>Annex 5: Stakeholders consulted</w:t>
            </w:r>
            <w:r w:rsidR="00593D9F">
              <w:rPr>
                <w:webHidden/>
              </w:rPr>
              <w:tab/>
            </w:r>
            <w:r w:rsidR="00593D9F">
              <w:rPr>
                <w:webHidden/>
              </w:rPr>
              <w:fldChar w:fldCharType="begin"/>
            </w:r>
            <w:r w:rsidR="00593D9F">
              <w:rPr>
                <w:webHidden/>
              </w:rPr>
              <w:instrText xml:space="preserve"> PAGEREF _Toc12364852 \h </w:instrText>
            </w:r>
            <w:r w:rsidR="00593D9F">
              <w:rPr>
                <w:webHidden/>
              </w:rPr>
            </w:r>
            <w:r w:rsidR="00593D9F">
              <w:rPr>
                <w:webHidden/>
              </w:rPr>
              <w:fldChar w:fldCharType="separate"/>
            </w:r>
            <w:r w:rsidR="00E06D4A">
              <w:rPr>
                <w:webHidden/>
              </w:rPr>
              <w:t>65</w:t>
            </w:r>
            <w:r w:rsidR="00593D9F">
              <w:rPr>
                <w:webHidden/>
              </w:rPr>
              <w:fldChar w:fldCharType="end"/>
            </w:r>
          </w:hyperlink>
        </w:p>
        <w:p w14:paraId="5DACEEF4" w14:textId="61B6AE0D" w:rsidR="00544613" w:rsidRPr="00A96337" w:rsidRDefault="00396E6E" w:rsidP="00544613">
          <w:pPr>
            <w:pStyle w:val="TOC1"/>
            <w:rPr>
              <w:lang w:val="en-AU"/>
            </w:rPr>
          </w:pPr>
          <w:r w:rsidRPr="00A96337">
            <w:rPr>
              <w:noProof w:val="0"/>
              <w:sz w:val="18"/>
              <w:szCs w:val="18"/>
              <w:lang w:val="en-AU"/>
            </w:rPr>
            <w:fldChar w:fldCharType="end"/>
          </w:r>
        </w:p>
      </w:sdtContent>
    </w:sdt>
    <w:bookmarkEnd w:id="1" w:displacedByCustomXml="prev"/>
    <w:bookmarkStart w:id="2" w:name="_Toc500237498" w:displacedByCustomXml="prev"/>
    <w:p w14:paraId="666ABA4B" w14:textId="3D5AC10D" w:rsidR="00B322B6" w:rsidRPr="00A96337" w:rsidRDefault="00B322B6" w:rsidP="00544613">
      <w:pPr>
        <w:pStyle w:val="TOC1"/>
        <w:rPr>
          <w:rStyle w:val="Heading2NoNumbersChar"/>
          <w:rFonts w:ascii="Arial Bold" w:eastAsiaTheme="minorEastAsia" w:hAnsi="Arial Bold"/>
          <w:b/>
          <w:color w:val="auto"/>
          <w:sz w:val="20"/>
          <w:szCs w:val="20"/>
          <w:lang w:val="en-AU" w:eastAsia="en-US"/>
        </w:rPr>
      </w:pPr>
      <w:r w:rsidRPr="00A96337">
        <w:rPr>
          <w:rStyle w:val="Heading2NoNumbersChar"/>
          <w:sz w:val="36"/>
          <w:lang w:val="en-AU"/>
        </w:rPr>
        <w:br w:type="page"/>
      </w:r>
    </w:p>
    <w:p w14:paraId="5C92B2CC" w14:textId="2779C5C9" w:rsidR="00E27D6B" w:rsidRPr="00A96337" w:rsidRDefault="00E27D6B">
      <w:pPr>
        <w:spacing w:line="276" w:lineRule="auto"/>
        <w:rPr>
          <w:rStyle w:val="Heading2NoNumbersChar"/>
          <w:sz w:val="36"/>
          <w:lang w:val="en-AU"/>
        </w:rPr>
      </w:pPr>
      <w:r w:rsidRPr="00A96337">
        <w:rPr>
          <w:rStyle w:val="Heading2NoNumbersChar"/>
          <w:sz w:val="36"/>
          <w:lang w:val="en-AU"/>
        </w:rPr>
        <w:lastRenderedPageBreak/>
        <w:t>Acknowledgements</w:t>
      </w:r>
    </w:p>
    <w:tbl>
      <w:tblPr>
        <w:tblStyle w:val="TableGrid"/>
        <w:tblW w:w="0" w:type="auto"/>
        <w:tblInd w:w="0" w:type="dxa"/>
        <w:tblBorders>
          <w:top w:val="single" w:sz="24" w:space="0" w:color="003478"/>
          <w:left w:val="none" w:sz="0" w:space="0" w:color="auto"/>
          <w:bottom w:val="single" w:sz="24" w:space="0" w:color="003478"/>
          <w:right w:val="none" w:sz="0" w:space="0" w:color="auto"/>
          <w:insideH w:val="none" w:sz="0" w:space="0" w:color="auto"/>
          <w:insideV w:val="none" w:sz="0" w:space="0" w:color="auto"/>
        </w:tblBorders>
        <w:tblLook w:val="04A0" w:firstRow="1" w:lastRow="0" w:firstColumn="1" w:lastColumn="0" w:noHBand="0" w:noVBand="1"/>
      </w:tblPr>
      <w:tblGrid>
        <w:gridCol w:w="9061"/>
      </w:tblGrid>
      <w:tr w:rsidR="00E27D6B" w:rsidRPr="00A96337" w14:paraId="35C464B6" w14:textId="77777777" w:rsidTr="00E27D6B">
        <w:trPr>
          <w:trHeight w:val="1107"/>
        </w:trPr>
        <w:tc>
          <w:tcPr>
            <w:tcW w:w="9061" w:type="dxa"/>
          </w:tcPr>
          <w:p w14:paraId="02E21175" w14:textId="77777777" w:rsidR="00E27D6B" w:rsidRPr="00A96337" w:rsidRDefault="00E27D6B" w:rsidP="00E27D6B">
            <w:pPr>
              <w:pStyle w:val="BodyText"/>
              <w:rPr>
                <w:lang w:val="en-AU"/>
              </w:rPr>
            </w:pPr>
            <w:r w:rsidRPr="00A96337">
              <w:rPr>
                <w:lang w:val="en-AU"/>
              </w:rPr>
              <w:t>Donor reviews invariably place heavy demands on both the donor and its implementing partners. Hence, the review team is especially appreciative of the responsive, cordial, open and participative way in which all concerned have supported the AMENCA Mid Term Review.</w:t>
            </w:r>
          </w:p>
        </w:tc>
      </w:tr>
    </w:tbl>
    <w:p w14:paraId="50D66C19" w14:textId="03C881FB" w:rsidR="00013BB9" w:rsidRDefault="00013BB9" w:rsidP="00E34B75">
      <w:pPr>
        <w:pStyle w:val="TOC1"/>
        <w:spacing w:before="480"/>
        <w:rPr>
          <w:color w:val="003478"/>
          <w:sz w:val="36"/>
          <w:szCs w:val="36"/>
          <w:lang w:val="en-AU"/>
        </w:rPr>
      </w:pPr>
      <w:r>
        <w:rPr>
          <w:color w:val="003478"/>
          <w:sz w:val="36"/>
          <w:szCs w:val="36"/>
          <w:lang w:val="en-AU"/>
        </w:rPr>
        <w:t>Definitions</w:t>
      </w:r>
    </w:p>
    <w:p w14:paraId="3E2F3228" w14:textId="5FF05209" w:rsidR="00F46F06" w:rsidRPr="00F46F06" w:rsidRDefault="00F46F06" w:rsidP="00F46F06">
      <w:pPr>
        <w:pStyle w:val="BodyText"/>
      </w:pPr>
      <w:r>
        <w:rPr>
          <w:b/>
          <w:bCs/>
        </w:rPr>
        <w:t>Definitions</w:t>
      </w:r>
      <w:r>
        <w:t xml:space="preserve">: Within AMENCA 3 the </w:t>
      </w:r>
      <w:r>
        <w:rPr>
          <w:b/>
          <w:bCs/>
        </w:rPr>
        <w:t>agricultural value chain</w:t>
      </w:r>
      <w:r>
        <w:t xml:space="preserve"> refers to the processes involved in the production, harvest/collection, processing, packaging, logistics and marketing (wholesale and retail) of a specific commodity. The value chain approach aims to analyse each of these steps and add value that improves the overall efficiency, returns, health or benefits. An </w:t>
      </w:r>
      <w:r>
        <w:rPr>
          <w:b/>
          <w:bCs/>
        </w:rPr>
        <w:t>agricultural market</w:t>
      </w:r>
      <w:r>
        <w:t xml:space="preserve"> </w:t>
      </w:r>
      <w:r>
        <w:rPr>
          <w:b/>
          <w:bCs/>
        </w:rPr>
        <w:t>system</w:t>
      </w:r>
      <w:r>
        <w:t xml:space="preserve"> is a broader concept that </w:t>
      </w:r>
      <w:r w:rsidR="00A00BA0">
        <w:t>includes</w:t>
      </w:r>
      <w:r>
        <w:t xml:space="preserve"> the various commodity value chains, but also considers the important need for inputs (fertiliser, seed, irrigation), services (information, finance, transportation) and policy to work together harmoniously. The </w:t>
      </w:r>
      <w:r>
        <w:rPr>
          <w:b/>
          <w:bCs/>
        </w:rPr>
        <w:t>markets systems development</w:t>
      </w:r>
      <w:r>
        <w:t xml:space="preserve"> approach aims to develop market systems so that they function more effectively, sustainably and beneficially for poor people, building their capacities and offering them the opportunity to enhance their lives.</w:t>
      </w:r>
    </w:p>
    <w:p w14:paraId="3B23CC2F" w14:textId="03B696A5" w:rsidR="002E4651" w:rsidRDefault="002E4651" w:rsidP="00E34B75">
      <w:pPr>
        <w:pStyle w:val="TOC1"/>
        <w:spacing w:before="480"/>
        <w:rPr>
          <w:color w:val="003478"/>
          <w:sz w:val="36"/>
          <w:szCs w:val="36"/>
          <w:lang w:val="en-AU"/>
        </w:rPr>
      </w:pPr>
      <w:r w:rsidRPr="00A96337">
        <w:rPr>
          <w:color w:val="003478"/>
          <w:sz w:val="36"/>
          <w:szCs w:val="36"/>
          <w:lang w:val="en-AU"/>
        </w:rPr>
        <w:t>Abbreviations</w:t>
      </w:r>
    </w:p>
    <w:p w14:paraId="0CC4D04B" w14:textId="77777777" w:rsidR="00A009EB" w:rsidRDefault="00A009EB" w:rsidP="00F46F06">
      <w:pPr>
        <w:sectPr w:rsidR="00A009EB" w:rsidSect="00C9780F">
          <w:headerReference w:type="default" r:id="rId15"/>
          <w:footerReference w:type="default" r:id="rId16"/>
          <w:pgSz w:w="11907" w:h="16839" w:code="9"/>
          <w:pgMar w:top="1418" w:right="1418" w:bottom="1134" w:left="1418" w:header="709" w:footer="709" w:gutter="0"/>
          <w:pgNumType w:fmt="lowerRoman" w:start="1"/>
          <w:cols w:space="708"/>
          <w:docGrid w:linePitch="360"/>
        </w:sectPr>
      </w:pPr>
    </w:p>
    <w:p w14:paraId="675CFD3D"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ADR</w:t>
      </w:r>
      <w:r w:rsidRPr="00A96337">
        <w:rPr>
          <w:rStyle w:val="Heading2NoNumbersChar"/>
          <w:b w:val="0"/>
          <w:color w:val="auto"/>
          <w:sz w:val="20"/>
          <w:szCs w:val="20"/>
          <w:lang w:val="en-AU"/>
        </w:rPr>
        <w:tab/>
        <w:t xml:space="preserve">Aggregate Development Results </w:t>
      </w:r>
    </w:p>
    <w:p w14:paraId="756C0904"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AIP</w:t>
      </w:r>
      <w:r w:rsidRPr="00A96337">
        <w:rPr>
          <w:rStyle w:val="Heading2NoNumbersChar"/>
          <w:b w:val="0"/>
          <w:color w:val="auto"/>
          <w:sz w:val="20"/>
          <w:szCs w:val="20"/>
          <w:lang w:val="en-AU"/>
        </w:rPr>
        <w:tab/>
        <w:t>Aid Investment Plan (DFAT)</w:t>
      </w:r>
    </w:p>
    <w:p w14:paraId="4CA2C1F5"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AHLD</w:t>
      </w:r>
      <w:r w:rsidRPr="00A96337">
        <w:rPr>
          <w:rStyle w:val="Heading2NoNumbersChar"/>
          <w:b w:val="0"/>
          <w:color w:val="auto"/>
          <w:sz w:val="20"/>
          <w:szCs w:val="20"/>
          <w:lang w:val="en-AU"/>
        </w:rPr>
        <w:tab/>
        <w:t>Annual High-level Dialogue</w:t>
      </w:r>
    </w:p>
    <w:p w14:paraId="1AF7B63D" w14:textId="77B8A5FE" w:rsidR="00DE53E9" w:rsidRPr="00A96337" w:rsidRDefault="009B58A0"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AMENCA 3</w:t>
      </w:r>
      <w:r w:rsidR="00DE53E9" w:rsidRPr="00A96337">
        <w:rPr>
          <w:rStyle w:val="Heading2NoNumbersChar"/>
          <w:b w:val="0"/>
          <w:color w:val="auto"/>
          <w:sz w:val="20"/>
          <w:szCs w:val="20"/>
          <w:lang w:val="en-AU"/>
        </w:rPr>
        <w:tab/>
        <w:t>Australia Middle East NGO Cooperation Agreement Program Phase 3</w:t>
      </w:r>
    </w:p>
    <w:p w14:paraId="2C16FAA8"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APHEDA</w:t>
      </w:r>
      <w:r w:rsidRPr="00A96337">
        <w:rPr>
          <w:rStyle w:val="Heading2NoNumbersChar"/>
          <w:b w:val="0"/>
          <w:color w:val="auto"/>
          <w:sz w:val="20"/>
          <w:szCs w:val="20"/>
          <w:lang w:val="en-AU"/>
        </w:rPr>
        <w:tab/>
        <w:t>Union Aid Abroad-APHEDA (Australian People for Health, Education and Development Abroad)</w:t>
      </w:r>
    </w:p>
    <w:p w14:paraId="089AD73A"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APPR</w:t>
      </w:r>
      <w:r w:rsidRPr="00A96337">
        <w:rPr>
          <w:rStyle w:val="Heading2NoNumbersChar"/>
          <w:b w:val="0"/>
          <w:color w:val="auto"/>
          <w:sz w:val="20"/>
          <w:szCs w:val="20"/>
          <w:lang w:val="en-AU"/>
        </w:rPr>
        <w:tab/>
        <w:t>Aid Program Performance Report (DFAT)</w:t>
      </w:r>
    </w:p>
    <w:p w14:paraId="373F7788"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ARIJ</w:t>
      </w:r>
      <w:r w:rsidRPr="00A96337">
        <w:rPr>
          <w:rStyle w:val="Heading2NoNumbersChar"/>
          <w:b w:val="0"/>
          <w:color w:val="auto"/>
          <w:sz w:val="20"/>
          <w:szCs w:val="20"/>
          <w:lang w:val="en-AU"/>
        </w:rPr>
        <w:tab/>
        <w:t>Applied Research Institute in Jerusalem</w:t>
      </w:r>
    </w:p>
    <w:p w14:paraId="18D95D5F"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ASALA</w:t>
      </w:r>
      <w:r w:rsidRPr="00A96337">
        <w:rPr>
          <w:rStyle w:val="Heading2NoNumbersChar"/>
          <w:b w:val="0"/>
          <w:color w:val="auto"/>
          <w:sz w:val="20"/>
          <w:szCs w:val="20"/>
          <w:lang w:val="en-AU"/>
        </w:rPr>
        <w:tab/>
        <w:t>Palestinian Businesswomen's Association</w:t>
      </w:r>
    </w:p>
    <w:p w14:paraId="65DFCB7E"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AUD</w:t>
      </w:r>
      <w:r w:rsidRPr="00A96337">
        <w:rPr>
          <w:rStyle w:val="Heading2NoNumbersChar"/>
          <w:b w:val="0"/>
          <w:color w:val="auto"/>
          <w:sz w:val="20"/>
          <w:szCs w:val="20"/>
          <w:lang w:val="en-AU"/>
        </w:rPr>
        <w:tab/>
        <w:t>Australian Dollar</w:t>
      </w:r>
    </w:p>
    <w:p w14:paraId="558E93A3"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CBO</w:t>
      </w:r>
      <w:r w:rsidRPr="00A96337">
        <w:rPr>
          <w:rStyle w:val="Heading2NoNumbersChar"/>
          <w:b w:val="0"/>
          <w:color w:val="auto"/>
          <w:sz w:val="20"/>
          <w:szCs w:val="20"/>
          <w:lang w:val="en-AU"/>
        </w:rPr>
        <w:tab/>
        <w:t>Community-Based Organisation</w:t>
      </w:r>
    </w:p>
    <w:p w14:paraId="59C2BF83"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DFAT</w:t>
      </w:r>
      <w:r w:rsidRPr="00A96337">
        <w:rPr>
          <w:rStyle w:val="Heading2NoNumbersChar"/>
          <w:b w:val="0"/>
          <w:color w:val="auto"/>
          <w:sz w:val="20"/>
          <w:szCs w:val="20"/>
          <w:lang w:val="en-AU"/>
        </w:rPr>
        <w:tab/>
        <w:t>Department of Foreign Affairs and Trade (Australia)</w:t>
      </w:r>
    </w:p>
    <w:p w14:paraId="1F39E2A1" w14:textId="2957D2E8"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FGD</w:t>
      </w:r>
      <w:r w:rsidRPr="00A96337">
        <w:rPr>
          <w:rStyle w:val="Heading2NoNumbersChar"/>
          <w:b w:val="0"/>
          <w:color w:val="auto"/>
          <w:sz w:val="20"/>
          <w:szCs w:val="20"/>
          <w:lang w:val="en-AU"/>
        </w:rPr>
        <w:tab/>
        <w:t>Focus Group Discussion</w:t>
      </w:r>
    </w:p>
    <w:p w14:paraId="0AB7EC65"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GBV</w:t>
      </w:r>
      <w:r w:rsidRPr="00A96337">
        <w:rPr>
          <w:rStyle w:val="Heading2NoNumbersChar"/>
          <w:b w:val="0"/>
          <w:color w:val="auto"/>
          <w:sz w:val="20"/>
          <w:szCs w:val="20"/>
          <w:lang w:val="en-AU"/>
        </w:rPr>
        <w:tab/>
        <w:t>Gender-Based Violence</w:t>
      </w:r>
    </w:p>
    <w:p w14:paraId="4CF4911E"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GSC</w:t>
      </w:r>
      <w:r w:rsidRPr="00A96337">
        <w:rPr>
          <w:rStyle w:val="Heading2NoNumbersChar"/>
          <w:b w:val="0"/>
          <w:color w:val="auto"/>
          <w:sz w:val="20"/>
          <w:szCs w:val="20"/>
          <w:lang w:val="en-AU"/>
        </w:rPr>
        <w:tab/>
        <w:t>Golden Sheep Company</w:t>
      </w:r>
    </w:p>
    <w:p w14:paraId="5D700F1A"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ICARDA</w:t>
      </w:r>
      <w:r w:rsidRPr="00A96337">
        <w:rPr>
          <w:rStyle w:val="Heading2NoNumbersChar"/>
          <w:b w:val="0"/>
          <w:color w:val="auto"/>
          <w:sz w:val="20"/>
          <w:szCs w:val="20"/>
          <w:lang w:val="en-AU"/>
        </w:rPr>
        <w:tab/>
        <w:t>International Centre for Agricultural Research in Dry Areas</w:t>
      </w:r>
    </w:p>
    <w:p w14:paraId="2F00452B"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INGO</w:t>
      </w:r>
      <w:r w:rsidRPr="00A96337">
        <w:rPr>
          <w:rStyle w:val="Heading2NoNumbersChar"/>
          <w:b w:val="0"/>
          <w:color w:val="auto"/>
          <w:sz w:val="20"/>
          <w:szCs w:val="20"/>
          <w:lang w:val="en-AU"/>
        </w:rPr>
        <w:tab/>
        <w:t>International NGO</w:t>
      </w:r>
    </w:p>
    <w:p w14:paraId="386A4B9A"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JIC</w:t>
      </w:r>
      <w:r w:rsidRPr="00A96337">
        <w:rPr>
          <w:rStyle w:val="Heading2NoNumbersChar"/>
          <w:b w:val="0"/>
          <w:color w:val="auto"/>
          <w:sz w:val="20"/>
          <w:szCs w:val="20"/>
          <w:lang w:val="en-AU"/>
        </w:rPr>
        <w:tab/>
        <w:t>Jenin Investment Company</w:t>
      </w:r>
    </w:p>
    <w:p w14:paraId="60E329A3"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M&amp;E</w:t>
      </w:r>
      <w:r w:rsidRPr="00A96337">
        <w:rPr>
          <w:rStyle w:val="Heading2NoNumbersChar"/>
          <w:b w:val="0"/>
          <w:color w:val="auto"/>
          <w:sz w:val="20"/>
          <w:szCs w:val="20"/>
          <w:lang w:val="en-AU"/>
        </w:rPr>
        <w:tab/>
        <w:t>Monitoring and evaluation</w:t>
      </w:r>
    </w:p>
    <w:p w14:paraId="05C13220"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MEL</w:t>
      </w:r>
      <w:r w:rsidRPr="00A96337">
        <w:rPr>
          <w:rStyle w:val="Heading2NoNumbersChar"/>
          <w:b w:val="0"/>
          <w:color w:val="auto"/>
          <w:sz w:val="20"/>
          <w:szCs w:val="20"/>
          <w:lang w:val="en-AU"/>
        </w:rPr>
        <w:tab/>
        <w:t>Monitoring, Evaluation and Learning</w:t>
      </w:r>
    </w:p>
    <w:p w14:paraId="5FACBC48"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MEF</w:t>
      </w:r>
      <w:r w:rsidRPr="00A96337">
        <w:rPr>
          <w:rStyle w:val="Heading2NoNumbersChar"/>
          <w:b w:val="0"/>
          <w:color w:val="auto"/>
          <w:sz w:val="20"/>
          <w:szCs w:val="20"/>
          <w:lang w:val="en-AU"/>
        </w:rPr>
        <w:tab/>
        <w:t>Monitoring and evaluation framework</w:t>
      </w:r>
    </w:p>
    <w:p w14:paraId="00BFFB04"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MoA</w:t>
      </w:r>
      <w:r w:rsidRPr="00A96337">
        <w:rPr>
          <w:rStyle w:val="Heading2NoNumbersChar"/>
          <w:b w:val="0"/>
          <w:color w:val="auto"/>
          <w:sz w:val="20"/>
          <w:szCs w:val="20"/>
          <w:lang w:val="en-AU"/>
        </w:rPr>
        <w:tab/>
        <w:t>Ministry of Agriculture</w:t>
      </w:r>
    </w:p>
    <w:p w14:paraId="600D684C"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MRL</w:t>
      </w:r>
      <w:r w:rsidRPr="00A96337">
        <w:rPr>
          <w:rStyle w:val="Heading2NoNumbersChar"/>
          <w:b w:val="0"/>
          <w:color w:val="auto"/>
          <w:sz w:val="20"/>
          <w:szCs w:val="20"/>
          <w:lang w:val="en-AU"/>
        </w:rPr>
        <w:tab/>
        <w:t>Maximum residue limit</w:t>
      </w:r>
    </w:p>
    <w:p w14:paraId="7D670D04"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MSD</w:t>
      </w:r>
      <w:r w:rsidRPr="00A96337">
        <w:rPr>
          <w:rStyle w:val="Heading2NoNumbersChar"/>
          <w:b w:val="0"/>
          <w:color w:val="auto"/>
          <w:sz w:val="20"/>
          <w:szCs w:val="20"/>
          <w:lang w:val="en-AU"/>
        </w:rPr>
        <w:tab/>
        <w:t>Market Systems Development</w:t>
      </w:r>
    </w:p>
    <w:p w14:paraId="756B3CD9"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MTR</w:t>
      </w:r>
      <w:r w:rsidRPr="00A96337">
        <w:rPr>
          <w:rStyle w:val="Heading2NoNumbersChar"/>
          <w:b w:val="0"/>
          <w:color w:val="auto"/>
          <w:sz w:val="20"/>
          <w:szCs w:val="20"/>
          <w:lang w:val="en-AU"/>
        </w:rPr>
        <w:tab/>
        <w:t>Mid-term review</w:t>
      </w:r>
    </w:p>
    <w:p w14:paraId="2E0A4E57"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NGO</w:t>
      </w:r>
      <w:r w:rsidRPr="00A96337">
        <w:rPr>
          <w:rStyle w:val="Heading2NoNumbersChar"/>
          <w:b w:val="0"/>
          <w:color w:val="auto"/>
          <w:sz w:val="20"/>
          <w:szCs w:val="20"/>
          <w:lang w:val="en-AU"/>
        </w:rPr>
        <w:tab/>
        <w:t>Non-government organisation</w:t>
      </w:r>
    </w:p>
    <w:p w14:paraId="5C6C1CAC"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NIS</w:t>
      </w:r>
      <w:r w:rsidRPr="00A96337">
        <w:rPr>
          <w:rStyle w:val="Heading2NoNumbersChar"/>
          <w:b w:val="0"/>
          <w:color w:val="auto"/>
          <w:sz w:val="20"/>
          <w:szCs w:val="20"/>
          <w:lang w:val="en-AU"/>
        </w:rPr>
        <w:tab/>
        <w:t>New Israeli Shekal</w:t>
      </w:r>
    </w:p>
    <w:p w14:paraId="3A94CDBF" w14:textId="6DA5FE2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OCHA</w:t>
      </w:r>
      <w:r w:rsidRPr="00A96337">
        <w:rPr>
          <w:rStyle w:val="Heading2NoNumbersChar"/>
          <w:b w:val="0"/>
          <w:color w:val="auto"/>
          <w:sz w:val="20"/>
          <w:szCs w:val="20"/>
          <w:lang w:val="en-AU"/>
        </w:rPr>
        <w:tab/>
        <w:t>Office for the Coordination of Humanitarian Affairs (UN)</w:t>
      </w:r>
    </w:p>
    <w:p w14:paraId="141406C5" w14:textId="37966BEB" w:rsidR="000D0F67" w:rsidRPr="00A96337" w:rsidRDefault="000D0F67"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PA</w:t>
      </w:r>
      <w:r w:rsidRPr="00A96337">
        <w:rPr>
          <w:rStyle w:val="Heading2NoNumbersChar"/>
          <w:b w:val="0"/>
          <w:color w:val="auto"/>
          <w:sz w:val="20"/>
          <w:szCs w:val="20"/>
          <w:lang w:val="en-AU"/>
        </w:rPr>
        <w:tab/>
        <w:t>Palestinian Authority</w:t>
      </w:r>
    </w:p>
    <w:p w14:paraId="79A5FB5D"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PARC</w:t>
      </w:r>
      <w:r w:rsidRPr="00A96337">
        <w:rPr>
          <w:rStyle w:val="Heading2NoNumbersChar"/>
          <w:b w:val="0"/>
          <w:color w:val="auto"/>
          <w:sz w:val="20"/>
          <w:szCs w:val="20"/>
          <w:lang w:val="en-AU"/>
        </w:rPr>
        <w:tab/>
        <w:t>Agricultural Development Association</w:t>
      </w:r>
    </w:p>
    <w:p w14:paraId="6FA91CF6"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PIF</w:t>
      </w:r>
      <w:r w:rsidRPr="00A96337">
        <w:rPr>
          <w:rStyle w:val="Heading2NoNumbersChar"/>
          <w:b w:val="0"/>
          <w:color w:val="auto"/>
          <w:sz w:val="20"/>
          <w:szCs w:val="20"/>
          <w:lang w:val="en-AU"/>
        </w:rPr>
        <w:tab/>
        <w:t>Palestinian Investment Fund</w:t>
      </w:r>
    </w:p>
    <w:p w14:paraId="45C90513"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PLDC</w:t>
      </w:r>
      <w:r w:rsidRPr="00A96337">
        <w:rPr>
          <w:rStyle w:val="Heading2NoNumbersChar"/>
          <w:b w:val="0"/>
          <w:color w:val="auto"/>
          <w:sz w:val="20"/>
          <w:szCs w:val="20"/>
          <w:lang w:val="en-AU"/>
        </w:rPr>
        <w:tab/>
        <w:t>Palestinian Livestock Development Centre</w:t>
      </w:r>
    </w:p>
    <w:p w14:paraId="4BD47F8C"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PSI</w:t>
      </w:r>
      <w:r w:rsidRPr="00A96337">
        <w:rPr>
          <w:rStyle w:val="Heading2NoNumbersChar"/>
          <w:b w:val="0"/>
          <w:color w:val="auto"/>
          <w:sz w:val="20"/>
          <w:szCs w:val="20"/>
          <w:lang w:val="en-AU"/>
        </w:rPr>
        <w:tab/>
        <w:t>Palestinian Standards Institute</w:t>
      </w:r>
    </w:p>
    <w:p w14:paraId="322DE8F0"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RWDS</w:t>
      </w:r>
      <w:r w:rsidRPr="00A96337">
        <w:rPr>
          <w:rStyle w:val="Heading2NoNumbersChar"/>
          <w:b w:val="0"/>
          <w:color w:val="auto"/>
          <w:sz w:val="20"/>
          <w:szCs w:val="20"/>
          <w:lang w:val="en-AU"/>
        </w:rPr>
        <w:tab/>
        <w:t>Rural Women's Development Society</w:t>
      </w:r>
    </w:p>
    <w:p w14:paraId="264E192E"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TPAG</w:t>
      </w:r>
      <w:r w:rsidRPr="00A96337">
        <w:rPr>
          <w:rStyle w:val="Heading2NoNumbersChar"/>
          <w:b w:val="0"/>
          <w:color w:val="auto"/>
          <w:sz w:val="20"/>
          <w:szCs w:val="20"/>
          <w:lang w:val="en-AU"/>
        </w:rPr>
        <w:tab/>
        <w:t>Technical and Program Advisory Group</w:t>
      </w:r>
    </w:p>
    <w:p w14:paraId="1D28B2F5"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UAE</w:t>
      </w:r>
      <w:r w:rsidRPr="00A96337">
        <w:rPr>
          <w:rStyle w:val="Heading2NoNumbersChar"/>
          <w:b w:val="0"/>
          <w:color w:val="auto"/>
          <w:sz w:val="20"/>
          <w:szCs w:val="20"/>
          <w:lang w:val="en-AU"/>
        </w:rPr>
        <w:tab/>
        <w:t>United Arab Emirates</w:t>
      </w:r>
    </w:p>
    <w:p w14:paraId="3D663227"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UN</w:t>
      </w:r>
      <w:r w:rsidRPr="00A96337">
        <w:rPr>
          <w:rStyle w:val="Heading2NoNumbersChar"/>
          <w:b w:val="0"/>
          <w:color w:val="auto"/>
          <w:sz w:val="20"/>
          <w:szCs w:val="20"/>
          <w:lang w:val="en-AU"/>
        </w:rPr>
        <w:tab/>
        <w:t>United Nations</w:t>
      </w:r>
    </w:p>
    <w:p w14:paraId="149ED125"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UNCTAD</w:t>
      </w:r>
      <w:r w:rsidRPr="00A96337">
        <w:rPr>
          <w:rStyle w:val="Heading2NoNumbersChar"/>
          <w:b w:val="0"/>
          <w:color w:val="auto"/>
          <w:sz w:val="20"/>
          <w:szCs w:val="20"/>
          <w:lang w:val="en-AU"/>
        </w:rPr>
        <w:tab/>
        <w:t>United Nations Conference on Trade and Development</w:t>
      </w:r>
    </w:p>
    <w:p w14:paraId="2BCA3D27" w14:textId="77777777" w:rsidR="00DE53E9" w:rsidRPr="00A96337" w:rsidRDefault="00DE53E9" w:rsidP="00A009EB">
      <w:pPr>
        <w:spacing w:after="0" w:line="276" w:lineRule="auto"/>
        <w:ind w:left="1134" w:hanging="1134"/>
        <w:rPr>
          <w:rStyle w:val="Heading2NoNumbersChar"/>
          <w:b w:val="0"/>
          <w:color w:val="auto"/>
          <w:sz w:val="20"/>
          <w:szCs w:val="20"/>
          <w:lang w:val="en-AU"/>
        </w:rPr>
      </w:pPr>
      <w:r w:rsidRPr="00A96337">
        <w:rPr>
          <w:rStyle w:val="Heading2NoNumbersChar"/>
          <w:b w:val="0"/>
          <w:color w:val="auto"/>
          <w:sz w:val="20"/>
          <w:szCs w:val="20"/>
          <w:lang w:val="en-AU"/>
        </w:rPr>
        <w:t>USD</w:t>
      </w:r>
      <w:r w:rsidRPr="00A96337">
        <w:rPr>
          <w:rStyle w:val="Heading2NoNumbersChar"/>
          <w:b w:val="0"/>
          <w:color w:val="auto"/>
          <w:sz w:val="20"/>
          <w:szCs w:val="20"/>
          <w:lang w:val="en-AU"/>
        </w:rPr>
        <w:tab/>
        <w:t>United States Dollar</w:t>
      </w:r>
    </w:p>
    <w:p w14:paraId="0898CA4D" w14:textId="700007BE" w:rsidR="00396E6E" w:rsidRPr="00A96337" w:rsidRDefault="00DE53E9" w:rsidP="00A009EB">
      <w:pPr>
        <w:spacing w:after="0" w:line="276" w:lineRule="auto"/>
        <w:ind w:left="1134" w:hanging="1134"/>
        <w:rPr>
          <w:rStyle w:val="BodyTextChar"/>
        </w:rPr>
      </w:pPr>
      <w:r w:rsidRPr="00A96337">
        <w:rPr>
          <w:rStyle w:val="Heading2NoNumbersChar"/>
          <w:b w:val="0"/>
          <w:color w:val="auto"/>
          <w:sz w:val="20"/>
          <w:szCs w:val="20"/>
          <w:lang w:val="en-AU"/>
        </w:rPr>
        <w:t>WATC</w:t>
      </w:r>
      <w:r w:rsidRPr="00A96337">
        <w:rPr>
          <w:rStyle w:val="Heading2NoNumbersChar"/>
          <w:b w:val="0"/>
          <w:color w:val="auto"/>
          <w:sz w:val="20"/>
          <w:szCs w:val="20"/>
          <w:lang w:val="en-AU"/>
        </w:rPr>
        <w:tab/>
        <w:t xml:space="preserve">Women’s Affairs Technical </w:t>
      </w:r>
      <w:r w:rsidRPr="00A96337">
        <w:rPr>
          <w:rStyle w:val="BodyTextChar"/>
        </w:rPr>
        <w:t>Committee</w:t>
      </w:r>
      <w:r w:rsidR="00E42BC8" w:rsidRPr="00A96337">
        <w:rPr>
          <w:rStyle w:val="BodyTextChar"/>
        </w:rPr>
        <w:t xml:space="preserve"> </w:t>
      </w:r>
    </w:p>
    <w:p w14:paraId="6895AA3C" w14:textId="77777777" w:rsidR="00E2006D" w:rsidRPr="00A96337" w:rsidRDefault="00E2006D" w:rsidP="003E2D49">
      <w:pPr>
        <w:spacing w:after="0"/>
        <w:rPr>
          <w:rFonts w:ascii="Arial" w:hAnsi="Arial" w:cs="Arial"/>
        </w:rPr>
        <w:sectPr w:rsidR="00E2006D" w:rsidRPr="00A96337" w:rsidSect="00A009EB">
          <w:type w:val="continuous"/>
          <w:pgSz w:w="11907" w:h="16839" w:code="9"/>
          <w:pgMar w:top="1418" w:right="1418" w:bottom="1134" w:left="1418" w:header="709" w:footer="709" w:gutter="0"/>
          <w:pgNumType w:fmt="lowerRoman" w:start="1"/>
          <w:cols w:num="2" w:space="708"/>
          <w:docGrid w:linePitch="360"/>
        </w:sectPr>
      </w:pPr>
    </w:p>
    <w:p w14:paraId="50B0BDD3" w14:textId="77777777" w:rsidR="00670043" w:rsidRPr="00A96337" w:rsidRDefault="00670043" w:rsidP="00041666">
      <w:pPr>
        <w:pStyle w:val="Heading1NoNumbers"/>
        <w:ind w:left="0" w:firstLine="0"/>
      </w:pPr>
      <w:bookmarkStart w:id="4" w:name="_Toc8978014"/>
      <w:bookmarkEnd w:id="2"/>
      <w:r w:rsidRPr="00A96337">
        <w:lastRenderedPageBreak/>
        <w:t>Executive Summary</w:t>
      </w:r>
      <w:bookmarkEnd w:id="4"/>
    </w:p>
    <w:p w14:paraId="276F356D" w14:textId="261F12FC" w:rsidR="00670043" w:rsidRPr="00A96337" w:rsidRDefault="00670043" w:rsidP="00670043">
      <w:pPr>
        <w:pStyle w:val="BodyText"/>
        <w:rPr>
          <w:lang w:val="en-AU"/>
        </w:rPr>
      </w:pPr>
      <w:r w:rsidRPr="00A96337">
        <w:rPr>
          <w:lang w:val="en-AU"/>
        </w:rPr>
        <w:t xml:space="preserve">This report presents findings from the independent Mid-Term Review (MTR) of the third phase of the </w:t>
      </w:r>
      <w:r w:rsidRPr="00A96337">
        <w:rPr>
          <w:i/>
          <w:lang w:val="en-AU"/>
        </w:rPr>
        <w:t>Australia Middle East NGO Cooperation Agreement (</w:t>
      </w:r>
      <w:r w:rsidR="009B58A0" w:rsidRPr="00A96337">
        <w:rPr>
          <w:i/>
          <w:lang w:val="en-AU"/>
        </w:rPr>
        <w:t>AMENCA 3</w:t>
      </w:r>
      <w:r w:rsidRPr="00A96337">
        <w:rPr>
          <w:i/>
          <w:lang w:val="en-AU"/>
        </w:rPr>
        <w:t xml:space="preserve">) </w:t>
      </w:r>
      <w:r w:rsidRPr="00A96337">
        <w:rPr>
          <w:lang w:val="en-AU"/>
        </w:rPr>
        <w:t>Program.</w:t>
      </w:r>
      <w:r w:rsidR="00E42BC8" w:rsidRPr="00A96337">
        <w:rPr>
          <w:lang w:val="en-AU"/>
        </w:rPr>
        <w:t xml:space="preserve"> </w:t>
      </w:r>
      <w:r w:rsidR="009B58A0" w:rsidRPr="00A96337">
        <w:rPr>
          <w:lang w:val="en-AU"/>
        </w:rPr>
        <w:t>AMENCA 3</w:t>
      </w:r>
      <w:r w:rsidRPr="00A96337">
        <w:rPr>
          <w:lang w:val="en-AU"/>
        </w:rPr>
        <w:t xml:space="preserve"> is funded by the Australian government through the Department of Foreign Affairs and Trade (DFAT).</w:t>
      </w:r>
      <w:r w:rsidR="00E42BC8" w:rsidRPr="00A96337">
        <w:rPr>
          <w:lang w:val="en-AU"/>
        </w:rPr>
        <w:t xml:space="preserve"> </w:t>
      </w:r>
      <w:r w:rsidRPr="00A96337">
        <w:rPr>
          <w:lang w:val="en-AU"/>
        </w:rPr>
        <w:t>It is a A</w:t>
      </w:r>
      <w:r w:rsidR="00575100">
        <w:rPr>
          <w:lang w:val="en-AU"/>
        </w:rPr>
        <w:t>UD</w:t>
      </w:r>
      <w:r w:rsidRPr="00A96337">
        <w:rPr>
          <w:lang w:val="en-AU"/>
        </w:rPr>
        <w:t>40</w:t>
      </w:r>
      <w:r w:rsidR="00AE1954">
        <w:rPr>
          <w:lang w:val="en-AU"/>
        </w:rPr>
        <w:t xml:space="preserve"> </w:t>
      </w:r>
      <w:r w:rsidRPr="00A96337">
        <w:rPr>
          <w:lang w:val="en-AU"/>
        </w:rPr>
        <w:t>m</w:t>
      </w:r>
      <w:r w:rsidR="00FC4BBF" w:rsidRPr="00A96337">
        <w:rPr>
          <w:lang w:val="en-AU"/>
        </w:rPr>
        <w:t>illion</w:t>
      </w:r>
      <w:r w:rsidRPr="00A96337">
        <w:rPr>
          <w:lang w:val="en-AU"/>
        </w:rPr>
        <w:t xml:space="preserve"> investment which commenced in April 2016 in the Palestinian Territories and builds on the achievements of its two predecessor programs (AMENCA 1 and AMENCA 2) which date back to 2005.</w:t>
      </w:r>
      <w:r w:rsidR="00E42BC8" w:rsidRPr="00A96337">
        <w:rPr>
          <w:lang w:val="en-AU"/>
        </w:rPr>
        <w:t xml:space="preserve"> </w:t>
      </w:r>
      <w:r w:rsidRPr="00A96337">
        <w:rPr>
          <w:lang w:val="en-AU"/>
        </w:rPr>
        <w:t>It is implemented by a consortium of Australian and Palestinian non-government organisations (NGOs) and supported by a panel of short-term technical advisers.</w:t>
      </w:r>
    </w:p>
    <w:p w14:paraId="70614E0B" w14:textId="56FEB691" w:rsidR="00670043" w:rsidRPr="00A96337" w:rsidRDefault="009B58A0" w:rsidP="00670043">
      <w:pPr>
        <w:pStyle w:val="BodyText"/>
        <w:rPr>
          <w:lang w:val="en-AU"/>
        </w:rPr>
      </w:pPr>
      <w:r w:rsidRPr="00A96337">
        <w:rPr>
          <w:lang w:val="en-AU"/>
        </w:rPr>
        <w:t>AMENCA 3</w:t>
      </w:r>
      <w:r w:rsidR="00670043" w:rsidRPr="00A96337">
        <w:rPr>
          <w:lang w:val="en-AU"/>
        </w:rPr>
        <w:t xml:space="preserve"> was designed as a five-year program to connect Palestinian farmers to markets.</w:t>
      </w:r>
      <w:r w:rsidR="00E42BC8" w:rsidRPr="00A96337">
        <w:rPr>
          <w:lang w:val="en-AU"/>
        </w:rPr>
        <w:t xml:space="preserve"> </w:t>
      </w:r>
      <w:r w:rsidR="00670043" w:rsidRPr="00A96337">
        <w:rPr>
          <w:lang w:val="en-AU"/>
        </w:rPr>
        <w:t>It included a ‘stop/go’ point at the three-year mark (approximately April 2019), to determine whether a final two years should be undertaken.</w:t>
      </w:r>
      <w:r w:rsidR="00E42BC8" w:rsidRPr="00A96337">
        <w:rPr>
          <w:lang w:val="en-AU"/>
        </w:rPr>
        <w:t xml:space="preserve"> </w:t>
      </w:r>
      <w:r w:rsidR="00670043" w:rsidRPr="00A96337">
        <w:rPr>
          <w:lang w:val="en-AU"/>
        </w:rPr>
        <w:t xml:space="preserve">The MTR was commissioned partly to provide DFAT with an evidence base to help them make this decision, and partly to consider improvements to </w:t>
      </w:r>
      <w:r w:rsidRPr="00A96337">
        <w:rPr>
          <w:lang w:val="en-AU"/>
        </w:rPr>
        <w:t>AMENCA 3</w:t>
      </w:r>
      <w:r w:rsidR="00670043" w:rsidRPr="00A96337">
        <w:rPr>
          <w:lang w:val="en-AU"/>
        </w:rPr>
        <w:t xml:space="preserve"> in the event that it continues.</w:t>
      </w:r>
    </w:p>
    <w:p w14:paraId="5FFBE5B8" w14:textId="41085554" w:rsidR="00670043" w:rsidRPr="00A96337" w:rsidRDefault="00670043" w:rsidP="00670043">
      <w:pPr>
        <w:pStyle w:val="BodyText"/>
        <w:rPr>
          <w:spacing w:val="-2"/>
          <w:lang w:val="en-AU"/>
        </w:rPr>
      </w:pPr>
      <w:r w:rsidRPr="00A96337">
        <w:rPr>
          <w:spacing w:val="-2"/>
          <w:lang w:val="en-AU"/>
        </w:rPr>
        <w:t xml:space="preserve">Economic integration, inclusive growth, and open trade and investment are basic principles of the </w:t>
      </w:r>
      <w:r w:rsidRPr="00A96337">
        <w:rPr>
          <w:i/>
          <w:spacing w:val="-2"/>
          <w:lang w:val="en-AU"/>
        </w:rPr>
        <w:t>2017 Foreign Policy White Paper</w:t>
      </w:r>
      <w:r w:rsidRPr="00A96337">
        <w:rPr>
          <w:spacing w:val="-2"/>
          <w:lang w:val="en-AU"/>
        </w:rPr>
        <w:t xml:space="preserve"> (DFAT, 2019).</w:t>
      </w:r>
      <w:r w:rsidR="00E42BC8" w:rsidRPr="00A96337">
        <w:rPr>
          <w:spacing w:val="-2"/>
          <w:lang w:val="en-AU"/>
        </w:rPr>
        <w:t xml:space="preserve"> </w:t>
      </w:r>
      <w:r w:rsidRPr="00A96337">
        <w:rPr>
          <w:spacing w:val="-2"/>
          <w:lang w:val="en-AU"/>
        </w:rPr>
        <w:t xml:space="preserve">Reflecting this ambition, </w:t>
      </w:r>
      <w:r w:rsidR="009B58A0" w:rsidRPr="00A96337">
        <w:rPr>
          <w:spacing w:val="-2"/>
          <w:lang w:val="en-AU"/>
        </w:rPr>
        <w:t>AMENCA 3</w:t>
      </w:r>
      <w:r w:rsidRPr="00A96337">
        <w:rPr>
          <w:spacing w:val="-2"/>
          <w:lang w:val="en-AU"/>
        </w:rPr>
        <w:t xml:space="preserve"> commits to a range of measures designed to foster stronger partnerships for economic growth and thereby contributes to greater market linkages, as well as stronger relationships for stability and security of the region.</w:t>
      </w:r>
    </w:p>
    <w:p w14:paraId="5DA8A912" w14:textId="589200C4" w:rsidR="00670043" w:rsidRPr="00A96337" w:rsidRDefault="009B58A0" w:rsidP="00670043">
      <w:pPr>
        <w:pStyle w:val="BodyText"/>
        <w:rPr>
          <w:lang w:val="en-AU"/>
        </w:rPr>
      </w:pPr>
      <w:r w:rsidRPr="00A96337">
        <w:rPr>
          <w:lang w:val="en-AU"/>
        </w:rPr>
        <w:t>AMENCA 3</w:t>
      </w:r>
      <w:r w:rsidR="00670043" w:rsidRPr="00A96337">
        <w:rPr>
          <w:lang w:val="en-AU"/>
        </w:rPr>
        <w:t xml:space="preserve"> commenced using a </w:t>
      </w:r>
      <w:r w:rsidR="00670043" w:rsidRPr="00A96337">
        <w:rPr>
          <w:i/>
          <w:lang w:val="en-AU"/>
        </w:rPr>
        <w:t>Market Systems Development</w:t>
      </w:r>
      <w:r w:rsidR="00670043" w:rsidRPr="00A96337">
        <w:rPr>
          <w:lang w:val="en-AU"/>
        </w:rPr>
        <w:t xml:space="preserve"> (MSD) approach which was subsequently evolved into a ‘hybrid’ MSD approach in recognition of the unique and complex economic and social conditions that exist in the Palestinian Territories.</w:t>
      </w:r>
      <w:r w:rsidR="00E42BC8" w:rsidRPr="00A96337">
        <w:rPr>
          <w:lang w:val="en-AU"/>
        </w:rPr>
        <w:t xml:space="preserve"> </w:t>
      </w:r>
      <w:r w:rsidR="00670043" w:rsidRPr="00A96337">
        <w:rPr>
          <w:lang w:val="en-AU"/>
        </w:rPr>
        <w:t>The ‘hybrid’ approach accepts that markets function better when implementing partners work to ‘</w:t>
      </w:r>
      <w:r w:rsidR="00670043" w:rsidRPr="00A96337">
        <w:rPr>
          <w:i/>
          <w:lang w:val="en-AU"/>
        </w:rPr>
        <w:t>lift’</w:t>
      </w:r>
      <w:r w:rsidR="00670043" w:rsidRPr="00A96337">
        <w:rPr>
          <w:lang w:val="en-AU"/>
        </w:rPr>
        <w:t xml:space="preserve"> the smallholder’s capacity for market engagement, while also increasing the ‘</w:t>
      </w:r>
      <w:r w:rsidR="00670043" w:rsidRPr="00A96337">
        <w:rPr>
          <w:i/>
          <w:lang w:val="en-AU"/>
        </w:rPr>
        <w:t>reach’</w:t>
      </w:r>
      <w:r w:rsidR="00670043" w:rsidRPr="00A96337">
        <w:rPr>
          <w:lang w:val="en-AU"/>
        </w:rPr>
        <w:t xml:space="preserve"> of the private sector to equitably engage with empowered smallholders.</w:t>
      </w:r>
    </w:p>
    <w:p w14:paraId="2A6B0097" w14:textId="77777777" w:rsidR="00670043" w:rsidRPr="00A96337" w:rsidRDefault="00670043" w:rsidP="00041666">
      <w:pPr>
        <w:pStyle w:val="Heading2NoNumbers"/>
        <w:ind w:left="0" w:firstLine="0"/>
      </w:pPr>
      <w:bookmarkStart w:id="5" w:name="_Toc8978015"/>
      <w:r w:rsidRPr="00A96337">
        <w:t>Review Findings</w:t>
      </w:r>
      <w:bookmarkEnd w:id="5"/>
    </w:p>
    <w:p w14:paraId="66026DA8" w14:textId="16EF7975" w:rsidR="00670043" w:rsidRPr="00A96337" w:rsidRDefault="009B58A0" w:rsidP="00670043">
      <w:pPr>
        <w:pStyle w:val="BodyText"/>
        <w:rPr>
          <w:lang w:val="en-AU"/>
        </w:rPr>
      </w:pPr>
      <w:r w:rsidRPr="00A96337">
        <w:rPr>
          <w:lang w:val="en-AU" w:eastAsia="ko-KR"/>
        </w:rPr>
        <w:t>AMENCA 3</w:t>
      </w:r>
      <w:r w:rsidR="00670043" w:rsidRPr="00A96337">
        <w:rPr>
          <w:lang w:val="en-AU" w:eastAsia="ko-KR"/>
        </w:rPr>
        <w:t xml:space="preserve"> has achieved considerable on-the-ground traction and success, despite the seemingly paralysing nature of the political situation in the Palestinian Territories.</w:t>
      </w:r>
      <w:r w:rsidR="00E42BC8" w:rsidRPr="00A96337">
        <w:rPr>
          <w:lang w:val="en-AU" w:eastAsia="ko-KR"/>
        </w:rPr>
        <w:t xml:space="preserve"> </w:t>
      </w:r>
      <w:r w:rsidR="00670043" w:rsidRPr="00A96337">
        <w:rPr>
          <w:lang w:val="en-AU"/>
        </w:rPr>
        <w:t>The challenges smallholder Palestinian families face when trying to access agricultural markets reflect the insecurity, deep distrust, structured exclusion, and extreme market fragility that are common to conflict-affected economies.</w:t>
      </w:r>
      <w:r w:rsidR="00E42BC8" w:rsidRPr="00A96337">
        <w:rPr>
          <w:lang w:val="en-AU"/>
        </w:rPr>
        <w:t xml:space="preserve"> </w:t>
      </w:r>
      <w:r w:rsidR="00670043" w:rsidRPr="00A96337">
        <w:rPr>
          <w:lang w:val="en-AU"/>
        </w:rPr>
        <w:t>The evidence obtained through this MTR definitively demonstrates that even under such challenging circumstances, markets can grow for the benefit of smallholders provided they are given the right support and mentoring.</w:t>
      </w:r>
    </w:p>
    <w:p w14:paraId="0635A6D8" w14:textId="60E0B749" w:rsidR="00670043" w:rsidRPr="00A96337" w:rsidRDefault="009B58A0" w:rsidP="00670043">
      <w:pPr>
        <w:pStyle w:val="BodyText"/>
        <w:rPr>
          <w:lang w:val="en-AU"/>
        </w:rPr>
      </w:pPr>
      <w:r w:rsidRPr="00A96337">
        <w:rPr>
          <w:lang w:val="en-AU"/>
        </w:rPr>
        <w:t>AMENCA 3</w:t>
      </w:r>
      <w:r w:rsidR="00670043" w:rsidRPr="00A96337">
        <w:rPr>
          <w:lang w:val="en-AU"/>
        </w:rPr>
        <w:t>’s early indications of meaningful market transformation, shows that there is no development effectiveness reason for the program not to continue for its full five years.</w:t>
      </w:r>
      <w:r w:rsidR="00E42BC8" w:rsidRPr="00A96337">
        <w:rPr>
          <w:lang w:val="en-AU"/>
        </w:rPr>
        <w:t xml:space="preserve"> </w:t>
      </w:r>
      <w:r w:rsidRPr="00A96337">
        <w:rPr>
          <w:lang w:val="en-AU"/>
        </w:rPr>
        <w:t>AMENCA 3</w:t>
      </w:r>
      <w:r w:rsidR="00670043" w:rsidRPr="00A96337">
        <w:rPr>
          <w:lang w:val="en-AU"/>
        </w:rPr>
        <w:t>’s current trajectory, its success to date, and the experience of similar MSD programs internationally, more than justifies ongoing support as this will significantly augment the market-level impacts that are currently emerging.</w:t>
      </w:r>
    </w:p>
    <w:p w14:paraId="534E53A8" w14:textId="7BF7E412" w:rsidR="00670043" w:rsidRPr="00A96337" w:rsidRDefault="00670043" w:rsidP="00670043">
      <w:pPr>
        <w:pStyle w:val="BodyText"/>
        <w:rPr>
          <w:lang w:val="en-AU" w:eastAsia="ko-KR"/>
        </w:rPr>
      </w:pPr>
      <w:r w:rsidRPr="00A96337">
        <w:rPr>
          <w:lang w:val="en-AU" w:eastAsia="ko-KR"/>
        </w:rPr>
        <w:t>Equally promising, though inconsistent at the present time, are the program’s achievements to support social inclusion – particularly for women and youth.</w:t>
      </w:r>
      <w:r w:rsidR="00E42BC8" w:rsidRPr="00A96337">
        <w:rPr>
          <w:lang w:val="en-AU" w:eastAsia="ko-KR"/>
        </w:rPr>
        <w:t xml:space="preserve"> </w:t>
      </w:r>
      <w:r w:rsidRPr="00A96337">
        <w:rPr>
          <w:lang w:val="en-AU"/>
        </w:rPr>
        <w:t xml:space="preserve">The program has exceeded its 2018 income targets for farmers and especially for women - with significant </w:t>
      </w:r>
      <w:r w:rsidRPr="00A96337">
        <w:rPr>
          <w:rFonts w:cstheme="minorHAnsi"/>
          <w:lang w:val="en-AU"/>
        </w:rPr>
        <w:t>gains being made in cost savings on input supply, production improvements, and market access.</w:t>
      </w:r>
      <w:r w:rsidR="00E42BC8" w:rsidRPr="00A96337">
        <w:rPr>
          <w:rFonts w:cstheme="minorHAnsi"/>
          <w:lang w:val="en-AU"/>
        </w:rPr>
        <w:t xml:space="preserve"> </w:t>
      </w:r>
      <w:r w:rsidRPr="00A96337">
        <w:rPr>
          <w:lang w:val="en-AU" w:eastAsia="ko-KR"/>
        </w:rPr>
        <w:t xml:space="preserve">Importantly, </w:t>
      </w:r>
      <w:r w:rsidRPr="00A96337">
        <w:rPr>
          <w:rFonts w:cstheme="minorHAnsi"/>
          <w:lang w:val="en-AU"/>
        </w:rPr>
        <w:t>traditional prejudices surrounding women’s businesses and products are changing despite significant barriers in this area. The NGOs are innovatively meeting these challenges, notably through demonstrations and peer communication.</w:t>
      </w:r>
      <w:r w:rsidR="00E42BC8" w:rsidRPr="00A96337">
        <w:rPr>
          <w:rFonts w:cstheme="minorHAnsi"/>
          <w:lang w:val="en-AU"/>
        </w:rPr>
        <w:t xml:space="preserve"> </w:t>
      </w:r>
      <w:r w:rsidRPr="00A96337">
        <w:rPr>
          <w:rFonts w:cstheme="minorHAnsi"/>
          <w:lang w:val="en-AU"/>
        </w:rPr>
        <w:t xml:space="preserve">Gender transformative approaches, </w:t>
      </w:r>
      <w:r w:rsidRPr="00A96337">
        <w:rPr>
          <w:lang w:val="en-AU"/>
        </w:rPr>
        <w:t>particularly in the dairy value chain and animator program, extend beyond economic empowerment, addressing gender norms and gender inequality - thus creating potential impacts and advances in women’s status, mobility and land inheritance rights.</w:t>
      </w:r>
      <w:r w:rsidR="00E42BC8" w:rsidRPr="00A96337">
        <w:rPr>
          <w:lang w:val="en-AU"/>
        </w:rPr>
        <w:t xml:space="preserve"> </w:t>
      </w:r>
      <w:r w:rsidRPr="00A96337">
        <w:rPr>
          <w:lang w:val="en-AU"/>
        </w:rPr>
        <w:t xml:space="preserve">While these are promising examples, </w:t>
      </w:r>
      <w:r w:rsidR="009B58A0" w:rsidRPr="00A96337">
        <w:rPr>
          <w:lang w:val="en-AU"/>
        </w:rPr>
        <w:t>AMENCA 3</w:t>
      </w:r>
      <w:r w:rsidRPr="00A96337">
        <w:rPr>
          <w:lang w:val="en-AU"/>
        </w:rPr>
        <w:t xml:space="preserve"> could be more consistent in challenging gender related barriers</w:t>
      </w:r>
      <w:r w:rsidR="00E6133B" w:rsidRPr="00A96337">
        <w:rPr>
          <w:lang w:val="en-AU"/>
        </w:rPr>
        <w:t xml:space="preserve">, especially ensuring that gender </w:t>
      </w:r>
      <w:r w:rsidR="00C23DD1" w:rsidRPr="00A96337">
        <w:rPr>
          <w:lang w:val="en-AU"/>
        </w:rPr>
        <w:t xml:space="preserve">and poverty </w:t>
      </w:r>
      <w:r w:rsidR="00E6133B" w:rsidRPr="00A96337">
        <w:rPr>
          <w:lang w:val="en-AU"/>
        </w:rPr>
        <w:t>analysis is explicit and visible in all program documentation, including market analysis</w:t>
      </w:r>
      <w:r w:rsidRPr="00A96337">
        <w:rPr>
          <w:lang w:val="en-AU"/>
        </w:rPr>
        <w:t>.</w:t>
      </w:r>
    </w:p>
    <w:p w14:paraId="7EEC2DCB" w14:textId="3B21E30B" w:rsidR="00670043" w:rsidRPr="00A96337" w:rsidRDefault="00670043" w:rsidP="00670043">
      <w:pPr>
        <w:pStyle w:val="BodyText"/>
        <w:rPr>
          <w:spacing w:val="-2"/>
          <w:lang w:val="en-AU" w:eastAsia="ko-KR"/>
        </w:rPr>
      </w:pPr>
      <w:r w:rsidRPr="00A96337">
        <w:rPr>
          <w:spacing w:val="-2"/>
          <w:lang w:val="en-AU" w:eastAsia="ko-KR"/>
        </w:rPr>
        <w:t xml:space="preserve">Through </w:t>
      </w:r>
      <w:r w:rsidR="009B58A0" w:rsidRPr="00A96337">
        <w:rPr>
          <w:spacing w:val="-2"/>
          <w:lang w:val="en-AU" w:eastAsia="ko-KR"/>
        </w:rPr>
        <w:t>AMENCA 3</w:t>
      </w:r>
      <w:r w:rsidRPr="00A96337">
        <w:rPr>
          <w:spacing w:val="-2"/>
          <w:lang w:val="en-AU" w:eastAsia="ko-KR"/>
        </w:rPr>
        <w:t>, Australia has established a reputation for working with civil society in the Palestinian Territories in a way that fosters, facilitates and mobilises the impressive capacity of Palestinian civil society, development professionals, agribusiness and communities to engage in effective development.</w:t>
      </w:r>
      <w:r w:rsidR="00E42BC8" w:rsidRPr="00A96337">
        <w:rPr>
          <w:spacing w:val="-2"/>
          <w:lang w:val="en-AU" w:eastAsia="ko-KR"/>
        </w:rPr>
        <w:t xml:space="preserve"> </w:t>
      </w:r>
      <w:r w:rsidRPr="00A96337">
        <w:rPr>
          <w:spacing w:val="-2"/>
          <w:lang w:val="en-AU" w:eastAsia="ko-KR"/>
        </w:rPr>
        <w:t>Local NGOs, who were initially openly sceptical of the program’s ‘hybrid’ MSD approach, now see that this offers more consistent and sustainable market-level impacts and ownership than they have achieved through their more prevalent humanitarian or direct delivery approaches.</w:t>
      </w:r>
    </w:p>
    <w:p w14:paraId="45A5B5D0" w14:textId="32CA4AC2" w:rsidR="00670043" w:rsidRPr="00A96337" w:rsidRDefault="00D64A8D" w:rsidP="003C2AEB">
      <w:pPr>
        <w:pStyle w:val="BodyText"/>
        <w:rPr>
          <w:lang w:val="en-AU" w:eastAsia="ko-KR"/>
        </w:rPr>
      </w:pPr>
      <w:r w:rsidRPr="00A96337">
        <w:rPr>
          <w:lang w:val="en-AU" w:eastAsia="ko-KR"/>
        </w:rPr>
        <w:t xml:space="preserve">At the overall program level, </w:t>
      </w:r>
      <w:r w:rsidR="009B58A0" w:rsidRPr="00A96337">
        <w:rPr>
          <w:lang w:val="en-AU" w:eastAsia="ko-KR"/>
        </w:rPr>
        <w:t>AMENCA 3</w:t>
      </w:r>
      <w:r w:rsidR="00670043" w:rsidRPr="00A96337">
        <w:rPr>
          <w:lang w:val="en-AU" w:eastAsia="ko-KR"/>
        </w:rPr>
        <w:t xml:space="preserve"> has a strong monitoring and evaluation system focused on high-level </w:t>
      </w:r>
      <w:r w:rsidR="00C23DD1" w:rsidRPr="00A96337">
        <w:rPr>
          <w:lang w:val="en-AU" w:eastAsia="ko-KR"/>
        </w:rPr>
        <w:t xml:space="preserve">aggregated </w:t>
      </w:r>
      <w:r w:rsidR="00670043" w:rsidRPr="00A96337">
        <w:rPr>
          <w:lang w:val="en-AU" w:eastAsia="ko-KR"/>
        </w:rPr>
        <w:t xml:space="preserve">results. </w:t>
      </w:r>
      <w:r w:rsidRPr="00A96337">
        <w:rPr>
          <w:lang w:val="en-AU" w:eastAsia="ko-KR"/>
        </w:rPr>
        <w:t>However, t</w:t>
      </w:r>
      <w:r w:rsidR="00C23DD1" w:rsidRPr="00A96337">
        <w:rPr>
          <w:lang w:val="en-AU"/>
        </w:rPr>
        <w:t>he system has not been adapted to measur</w:t>
      </w:r>
      <w:r w:rsidRPr="00A96337">
        <w:rPr>
          <w:lang w:val="en-AU"/>
        </w:rPr>
        <w:t>e</w:t>
      </w:r>
      <w:r w:rsidR="00C23DD1" w:rsidRPr="00A96337">
        <w:rPr>
          <w:lang w:val="en-AU"/>
        </w:rPr>
        <w:t xml:space="preserve"> market-level outcomes attributable to the intervention</w:t>
      </w:r>
      <w:r w:rsidRPr="00A96337">
        <w:rPr>
          <w:lang w:val="en-AU"/>
        </w:rPr>
        <w:t xml:space="preserve"> or sector level engagements</w:t>
      </w:r>
      <w:r w:rsidR="00C23DD1" w:rsidRPr="00A96337">
        <w:rPr>
          <w:lang w:val="en-AU"/>
        </w:rPr>
        <w:t xml:space="preserve">. This is a deficiency that prevents </w:t>
      </w:r>
      <w:r w:rsidR="009B58A0" w:rsidRPr="00A96337">
        <w:rPr>
          <w:lang w:val="en-AU"/>
        </w:rPr>
        <w:t>AMENCA 3</w:t>
      </w:r>
      <w:r w:rsidR="00C23DD1" w:rsidRPr="00A96337">
        <w:rPr>
          <w:lang w:val="en-AU"/>
        </w:rPr>
        <w:t xml:space="preserve"> from demonstrating its impacts in the manner other MSD programs are able to do. </w:t>
      </w:r>
      <w:r w:rsidR="00C23DD1" w:rsidRPr="00A96337">
        <w:rPr>
          <w:lang w:val="en-AU" w:eastAsia="ko-KR"/>
        </w:rPr>
        <w:t>Despite this</w:t>
      </w:r>
      <w:r w:rsidR="00670043" w:rsidRPr="00A96337">
        <w:rPr>
          <w:lang w:val="en-AU" w:eastAsia="ko-KR"/>
        </w:rPr>
        <w:t xml:space="preserve">, </w:t>
      </w:r>
      <w:r w:rsidRPr="00A96337">
        <w:rPr>
          <w:lang w:val="en-AU"/>
        </w:rPr>
        <w:t>data collection is occurring at the project level and credible data does appear to be being generated.  Hence, t</w:t>
      </w:r>
      <w:r w:rsidR="00670043" w:rsidRPr="00A96337">
        <w:rPr>
          <w:lang w:val="en-AU" w:eastAsia="ko-KR"/>
        </w:rPr>
        <w:t>he MTR is confident that the partners know significantly more a</w:t>
      </w:r>
      <w:r w:rsidR="00670043" w:rsidRPr="00A96337">
        <w:rPr>
          <w:lang w:val="en-AU"/>
        </w:rPr>
        <w:t>bout the results the interventions are generating than is currently being reported.</w:t>
      </w:r>
      <w:r w:rsidR="00E42BC8" w:rsidRPr="00A96337">
        <w:rPr>
          <w:lang w:val="en-AU"/>
        </w:rPr>
        <w:t xml:space="preserve"> </w:t>
      </w:r>
      <w:r w:rsidRPr="00A96337">
        <w:rPr>
          <w:lang w:val="en-AU"/>
        </w:rPr>
        <w:t xml:space="preserve">Intervention and sector level monitoring and results measurement (MRM) now </w:t>
      </w:r>
      <w:r w:rsidR="00670043" w:rsidRPr="00A96337">
        <w:rPr>
          <w:lang w:val="en-AU"/>
        </w:rPr>
        <w:t xml:space="preserve">needs to be </w:t>
      </w:r>
      <w:r w:rsidRPr="00A96337">
        <w:rPr>
          <w:lang w:val="en-AU"/>
        </w:rPr>
        <w:t>strengthened to enhance</w:t>
      </w:r>
      <w:r w:rsidR="00670043" w:rsidRPr="00A96337">
        <w:rPr>
          <w:lang w:val="en-AU"/>
        </w:rPr>
        <w:t xml:space="preserve"> internal learning and adaptation.</w:t>
      </w:r>
    </w:p>
    <w:p w14:paraId="013CCA27" w14:textId="50F15F30" w:rsidR="00670043" w:rsidRPr="00A96337" w:rsidRDefault="00670043" w:rsidP="00670043">
      <w:pPr>
        <w:pStyle w:val="BodyText"/>
        <w:rPr>
          <w:lang w:val="en-AU" w:eastAsia="ko-KR"/>
        </w:rPr>
      </w:pPr>
      <w:r w:rsidRPr="00A96337">
        <w:rPr>
          <w:lang w:val="en-AU" w:eastAsia="ko-KR"/>
        </w:rPr>
        <w:t xml:space="preserve">On balance, the current delivery model is facilitating results, however there are indications that the governance structures and technical advice provided in support of the program </w:t>
      </w:r>
      <w:r w:rsidR="006A0FB9" w:rsidRPr="00A96337">
        <w:rPr>
          <w:lang w:val="en-AU" w:eastAsia="ko-KR"/>
        </w:rPr>
        <w:t>could</w:t>
      </w:r>
      <w:r w:rsidR="0099016C" w:rsidRPr="00A96337">
        <w:rPr>
          <w:lang w:val="en-AU" w:eastAsia="ko-KR"/>
        </w:rPr>
        <w:t xml:space="preserve"> be strengthened to enable improved </w:t>
      </w:r>
      <w:r w:rsidRPr="00A96337">
        <w:rPr>
          <w:lang w:val="en-AU" w:eastAsia="ko-KR"/>
        </w:rPr>
        <w:t>strategic and efficient delivery. Furthermore, DFAT program management capacity is significantly stretch</w:t>
      </w:r>
      <w:r w:rsidR="0029631B" w:rsidRPr="00A96337">
        <w:rPr>
          <w:lang w:val="en-AU" w:eastAsia="ko-KR"/>
        </w:rPr>
        <w:t>ed</w:t>
      </w:r>
      <w:r w:rsidRPr="00A96337">
        <w:rPr>
          <w:lang w:val="en-AU" w:eastAsia="ko-KR"/>
        </w:rPr>
        <w:t xml:space="preserve"> in addressing the political and risk profile of the program. Some practical measures can be taken to remedy this through recalibration of the program management and oversight function together with adjustments to the profile of technical assistance and </w:t>
      </w:r>
      <w:r w:rsidR="00D64A8D" w:rsidRPr="00A96337">
        <w:rPr>
          <w:lang w:val="en-AU" w:eastAsia="ko-KR"/>
        </w:rPr>
        <w:t xml:space="preserve">more flexible use </w:t>
      </w:r>
      <w:r w:rsidRPr="00A96337">
        <w:rPr>
          <w:lang w:val="en-AU" w:eastAsia="ko-KR"/>
        </w:rPr>
        <w:t>of the advisory pool.</w:t>
      </w:r>
    </w:p>
    <w:p w14:paraId="1423E8A0" w14:textId="206D5B23" w:rsidR="00670043" w:rsidRPr="00A96337" w:rsidRDefault="00670043" w:rsidP="00670043">
      <w:pPr>
        <w:pStyle w:val="BodyText"/>
        <w:rPr>
          <w:lang w:val="en-AU" w:eastAsia="ko-KR"/>
        </w:rPr>
      </w:pPr>
      <w:r w:rsidRPr="00A96337">
        <w:rPr>
          <w:lang w:val="en-AU" w:eastAsia="ko-KR"/>
        </w:rPr>
        <w:t xml:space="preserve">Furthermore, while the relationship with the Palestinian Ministry of Agriculture remains fraught, this is not considered to be critical for ongoing delivery as </w:t>
      </w:r>
      <w:r w:rsidR="009B58A0" w:rsidRPr="00A96337">
        <w:rPr>
          <w:lang w:val="en-AU" w:eastAsia="ko-KR"/>
        </w:rPr>
        <w:t>AMENCA 3</w:t>
      </w:r>
      <w:r w:rsidRPr="00A96337">
        <w:rPr>
          <w:lang w:val="en-AU" w:eastAsia="ko-KR"/>
        </w:rPr>
        <w:t xml:space="preserve"> is increasingly recognised by all other stakeholders as one of the leading market programs in the Palestinian Territories.</w:t>
      </w:r>
    </w:p>
    <w:p w14:paraId="40A00D48" w14:textId="2F1E0998" w:rsidR="00670043" w:rsidRPr="00A96337" w:rsidRDefault="00670043" w:rsidP="00670043">
      <w:pPr>
        <w:pStyle w:val="BodyText"/>
        <w:rPr>
          <w:lang w:val="en-AU" w:eastAsia="ko-KR"/>
        </w:rPr>
      </w:pPr>
      <w:r w:rsidRPr="00A96337">
        <w:rPr>
          <w:lang w:val="en-AU" w:eastAsia="ko-KR"/>
        </w:rPr>
        <w:t xml:space="preserve">The sustainability of </w:t>
      </w:r>
      <w:r w:rsidR="009B58A0" w:rsidRPr="00A96337">
        <w:rPr>
          <w:lang w:val="en-AU" w:eastAsia="ko-KR"/>
        </w:rPr>
        <w:t>AMENCA 3</w:t>
      </w:r>
      <w:r w:rsidRPr="00A96337">
        <w:rPr>
          <w:lang w:val="en-AU" w:eastAsia="ko-KR"/>
        </w:rPr>
        <w:t>’s interventions are inextricably linked with the need for a long-term political solution in the region.</w:t>
      </w:r>
      <w:r w:rsidR="00E42BC8" w:rsidRPr="00A96337">
        <w:rPr>
          <w:lang w:val="en-AU" w:eastAsia="ko-KR"/>
        </w:rPr>
        <w:t xml:space="preserve"> </w:t>
      </w:r>
      <w:r w:rsidRPr="00A96337">
        <w:rPr>
          <w:lang w:val="en-AU" w:eastAsia="ko-KR"/>
        </w:rPr>
        <w:t xml:space="preserve">However, </w:t>
      </w:r>
      <w:r w:rsidR="009B58A0" w:rsidRPr="00A96337">
        <w:rPr>
          <w:lang w:val="en-AU" w:eastAsia="ko-KR"/>
        </w:rPr>
        <w:t>AMENCA 3</w:t>
      </w:r>
      <w:r w:rsidRPr="00A96337">
        <w:rPr>
          <w:lang w:val="en-AU" w:eastAsia="ko-KR"/>
        </w:rPr>
        <w:t xml:space="preserve"> is, in the meantime, providing Palestinian communities and businesses with a capacity that should help them to maintain some stability in the face of an unpredictable economy and </w:t>
      </w:r>
      <w:r w:rsidR="002C50CA" w:rsidRPr="00A96337">
        <w:rPr>
          <w:lang w:val="en-AU" w:eastAsia="ko-KR"/>
        </w:rPr>
        <w:t>operating environment.</w:t>
      </w:r>
    </w:p>
    <w:p w14:paraId="0C49065A" w14:textId="77777777" w:rsidR="00670043" w:rsidRPr="00A96337" w:rsidRDefault="00670043" w:rsidP="00041666">
      <w:pPr>
        <w:pStyle w:val="Heading2NoNumbers"/>
        <w:ind w:left="0" w:firstLine="0"/>
      </w:pPr>
      <w:bookmarkStart w:id="6" w:name="_Toc521508923"/>
      <w:bookmarkStart w:id="7" w:name="_Toc8978016"/>
      <w:r w:rsidRPr="00A96337">
        <w:t>Recommendations</w:t>
      </w:r>
      <w:bookmarkEnd w:id="6"/>
      <w:bookmarkEnd w:id="7"/>
    </w:p>
    <w:p w14:paraId="688565F6" w14:textId="3C3800B3" w:rsidR="00670043" w:rsidRPr="00A96337" w:rsidRDefault="00670043" w:rsidP="00670043">
      <w:pPr>
        <w:pStyle w:val="BodyText"/>
        <w:rPr>
          <w:spacing w:val="-2"/>
          <w:lang w:val="en-AU"/>
        </w:rPr>
      </w:pPr>
      <w:r w:rsidRPr="00A96337">
        <w:rPr>
          <w:spacing w:val="-2"/>
          <w:lang w:val="en-AU"/>
        </w:rPr>
        <w:t xml:space="preserve">This report makes a number of recommendations that have been summarised and clustered into </w:t>
      </w:r>
      <w:r w:rsidR="00430B69" w:rsidRPr="00A96337">
        <w:rPr>
          <w:spacing w:val="-2"/>
          <w:lang w:val="en-AU"/>
        </w:rPr>
        <w:t>three</w:t>
      </w:r>
      <w:r w:rsidRPr="00A96337">
        <w:rPr>
          <w:spacing w:val="-2"/>
          <w:lang w:val="en-AU"/>
        </w:rPr>
        <w:t xml:space="preserve"> categories (see </w:t>
      </w:r>
      <w:r w:rsidRPr="00A96337">
        <w:rPr>
          <w:spacing w:val="-2"/>
          <w:lang w:val="en-AU"/>
        </w:rPr>
        <w:fldChar w:fldCharType="begin"/>
      </w:r>
      <w:r w:rsidRPr="00A96337">
        <w:rPr>
          <w:spacing w:val="-2"/>
          <w:lang w:val="en-AU"/>
        </w:rPr>
        <w:instrText xml:space="preserve"> REF _Ref8897656 \h </w:instrText>
      </w:r>
      <w:r w:rsidR="006837B7" w:rsidRPr="00A96337">
        <w:rPr>
          <w:spacing w:val="-2"/>
          <w:lang w:val="en-AU"/>
        </w:rPr>
        <w:instrText xml:space="preserve"> \* MERGEFORMAT </w:instrText>
      </w:r>
      <w:r w:rsidRPr="00A96337">
        <w:rPr>
          <w:spacing w:val="-2"/>
          <w:lang w:val="en-AU"/>
        </w:rPr>
      </w:r>
      <w:r w:rsidRPr="00A96337">
        <w:rPr>
          <w:spacing w:val="-2"/>
          <w:lang w:val="en-AU"/>
        </w:rPr>
        <w:fldChar w:fldCharType="separate"/>
      </w:r>
      <w:r w:rsidR="00E06D4A" w:rsidRPr="00E06D4A">
        <w:rPr>
          <w:spacing w:val="-2"/>
          <w:lang w:val="en-AU"/>
        </w:rPr>
        <w:t xml:space="preserve">Table </w:t>
      </w:r>
      <w:r w:rsidR="00E06D4A" w:rsidRPr="00E06D4A">
        <w:rPr>
          <w:noProof/>
          <w:spacing w:val="-2"/>
          <w:lang w:val="en-AU"/>
        </w:rPr>
        <w:t>1</w:t>
      </w:r>
      <w:r w:rsidRPr="00A96337">
        <w:rPr>
          <w:spacing w:val="-2"/>
          <w:lang w:val="en-AU"/>
        </w:rPr>
        <w:fldChar w:fldCharType="end"/>
      </w:r>
      <w:r w:rsidRPr="00A96337">
        <w:rPr>
          <w:spacing w:val="-2"/>
          <w:lang w:val="en-AU"/>
        </w:rPr>
        <w:t>). While recommendations have been grouped for clarity, the original links are also provided along with the page references.</w:t>
      </w:r>
      <w:r w:rsidR="00E42BC8" w:rsidRPr="00A96337">
        <w:rPr>
          <w:spacing w:val="-2"/>
          <w:lang w:val="en-AU"/>
        </w:rPr>
        <w:t xml:space="preserve"> </w:t>
      </w:r>
      <w:r w:rsidRPr="00A96337">
        <w:rPr>
          <w:spacing w:val="-2"/>
          <w:lang w:val="en-AU" w:eastAsia="ja-JP"/>
        </w:rPr>
        <w:t>It is suggested that the reader consider each recommendation within the narrative of the report, as this will clarify the context from which it originates.</w:t>
      </w:r>
    </w:p>
    <w:p w14:paraId="60A58234" w14:textId="648E801E" w:rsidR="00670043" w:rsidRPr="00A96337" w:rsidRDefault="00670043" w:rsidP="00670043">
      <w:pPr>
        <w:pStyle w:val="Caption"/>
        <w:rPr>
          <w:color w:val="808080" w:themeColor="background1" w:themeShade="80"/>
          <w:sz w:val="18"/>
          <w:lang w:val="en-AU"/>
        </w:rPr>
      </w:pPr>
      <w:bookmarkStart w:id="8" w:name="_Ref8897656"/>
      <w:r w:rsidRPr="00A96337">
        <w:rPr>
          <w:color w:val="808080" w:themeColor="background1" w:themeShade="80"/>
          <w:sz w:val="18"/>
          <w:lang w:val="en-AU"/>
        </w:rPr>
        <w:t xml:space="preserve">Table </w:t>
      </w:r>
      <w:r w:rsidRPr="00A96337">
        <w:rPr>
          <w:noProof/>
          <w:color w:val="808080" w:themeColor="background1" w:themeShade="80"/>
          <w:sz w:val="18"/>
          <w:lang w:val="en-AU"/>
        </w:rPr>
        <w:fldChar w:fldCharType="begin"/>
      </w:r>
      <w:r w:rsidRPr="00A96337">
        <w:rPr>
          <w:noProof/>
          <w:color w:val="808080" w:themeColor="background1" w:themeShade="80"/>
          <w:sz w:val="18"/>
          <w:lang w:val="en-AU"/>
        </w:rPr>
        <w:instrText xml:space="preserve"> SEQ Table \* ARABIC </w:instrText>
      </w:r>
      <w:r w:rsidRPr="00A96337">
        <w:rPr>
          <w:noProof/>
          <w:color w:val="808080" w:themeColor="background1" w:themeShade="80"/>
          <w:sz w:val="18"/>
          <w:lang w:val="en-AU"/>
        </w:rPr>
        <w:fldChar w:fldCharType="separate"/>
      </w:r>
      <w:r w:rsidR="00E06D4A">
        <w:rPr>
          <w:noProof/>
          <w:color w:val="808080" w:themeColor="background1" w:themeShade="80"/>
          <w:sz w:val="18"/>
          <w:lang w:val="en-AU"/>
        </w:rPr>
        <w:t>1</w:t>
      </w:r>
      <w:r w:rsidRPr="00A96337">
        <w:rPr>
          <w:noProof/>
          <w:color w:val="808080" w:themeColor="background1" w:themeShade="80"/>
          <w:sz w:val="18"/>
          <w:lang w:val="en-AU"/>
        </w:rPr>
        <w:fldChar w:fldCharType="end"/>
      </w:r>
      <w:bookmarkEnd w:id="8"/>
      <w:r w:rsidRPr="00A96337">
        <w:rPr>
          <w:color w:val="808080" w:themeColor="background1" w:themeShade="80"/>
          <w:sz w:val="18"/>
          <w:lang w:val="en-AU"/>
        </w:rPr>
        <w:t>:</w:t>
      </w:r>
      <w:r w:rsidR="00E42BC8" w:rsidRPr="00A96337">
        <w:rPr>
          <w:color w:val="808080" w:themeColor="background1" w:themeShade="80"/>
          <w:sz w:val="18"/>
          <w:lang w:val="en-AU"/>
        </w:rPr>
        <w:t xml:space="preserve"> </w:t>
      </w:r>
      <w:r w:rsidR="009B58A0" w:rsidRPr="00A96337">
        <w:rPr>
          <w:color w:val="808080" w:themeColor="background1" w:themeShade="80"/>
          <w:sz w:val="18"/>
          <w:lang w:val="en-AU"/>
        </w:rPr>
        <w:t>AMENCA 3</w:t>
      </w:r>
      <w:r w:rsidRPr="00A96337">
        <w:rPr>
          <w:color w:val="808080" w:themeColor="background1" w:themeShade="80"/>
          <w:sz w:val="18"/>
          <w:lang w:val="en-AU"/>
        </w:rPr>
        <w:t xml:space="preserve"> MTR Recommendations</w:t>
      </w:r>
    </w:p>
    <w:tbl>
      <w:tblPr>
        <w:tblStyle w:val="GridTable4-Accent5"/>
        <w:tblW w:w="5000" w:type="pct"/>
        <w:tblBorders>
          <w:top w:val="single" w:sz="4" w:space="0" w:color="5482AB"/>
          <w:left w:val="none" w:sz="0" w:space="0" w:color="auto"/>
          <w:bottom w:val="single" w:sz="4" w:space="0" w:color="5482AB"/>
          <w:right w:val="none" w:sz="0" w:space="0" w:color="auto"/>
          <w:insideH w:val="single" w:sz="4" w:space="0" w:color="5482AB"/>
          <w:insideV w:val="none" w:sz="0" w:space="0" w:color="auto"/>
        </w:tblBorders>
        <w:tblLook w:val="04A0" w:firstRow="1" w:lastRow="0" w:firstColumn="1" w:lastColumn="0" w:noHBand="0" w:noVBand="1"/>
      </w:tblPr>
      <w:tblGrid>
        <w:gridCol w:w="8224"/>
        <w:gridCol w:w="802"/>
      </w:tblGrid>
      <w:tr w:rsidR="00E744AC" w:rsidRPr="00A96337" w14:paraId="73A12AEB" w14:textId="77777777" w:rsidTr="00FC4BBF">
        <w:trPr>
          <w:cnfStyle w:val="100000000000" w:firstRow="1" w:lastRow="0" w:firstColumn="0" w:lastColumn="0" w:oddVBand="0" w:evenVBand="0" w:oddHBand="0" w:evenHBand="0" w:firstRowFirstColumn="0" w:firstRowLastColumn="0" w:lastRowFirstColumn="0" w:lastRowLastColumn="0"/>
          <w:trHeight w:val="77"/>
          <w:tblHeader/>
        </w:trPr>
        <w:tc>
          <w:tcPr>
            <w:cnfStyle w:val="001000000000" w:firstRow="0" w:lastRow="0" w:firstColumn="1" w:lastColumn="0" w:oddVBand="0" w:evenVBand="0" w:oddHBand="0" w:evenHBand="0" w:firstRowFirstColumn="0" w:firstRowLastColumn="0" w:lastRowFirstColumn="0" w:lastRowLastColumn="0"/>
            <w:tcW w:w="4556" w:type="pct"/>
            <w:tcBorders>
              <w:top w:val="none" w:sz="0" w:space="0" w:color="auto"/>
              <w:left w:val="none" w:sz="0" w:space="0" w:color="auto"/>
              <w:bottom w:val="none" w:sz="0" w:space="0" w:color="auto"/>
              <w:right w:val="none" w:sz="0" w:space="0" w:color="auto"/>
            </w:tcBorders>
            <w:shd w:val="clear" w:color="auto" w:fill="5482AB"/>
          </w:tcPr>
          <w:p w14:paraId="6885138B" w14:textId="77777777" w:rsidR="00E744AC" w:rsidRPr="00A96337" w:rsidRDefault="00E744AC" w:rsidP="00FC4BBF">
            <w:pPr>
              <w:spacing w:before="60" w:after="60"/>
              <w:rPr>
                <w:rFonts w:ascii="Arial" w:hAnsi="Arial" w:cs="Arial"/>
              </w:rPr>
            </w:pPr>
            <w:r w:rsidRPr="00A96337">
              <w:rPr>
                <w:rFonts w:ascii="Arial" w:hAnsi="Arial" w:cs="Arial"/>
              </w:rPr>
              <w:t>Recommendation</w:t>
            </w:r>
          </w:p>
        </w:tc>
        <w:tc>
          <w:tcPr>
            <w:tcW w:w="444" w:type="pct"/>
            <w:tcBorders>
              <w:top w:val="none" w:sz="0" w:space="0" w:color="auto"/>
              <w:left w:val="none" w:sz="0" w:space="0" w:color="auto"/>
              <w:bottom w:val="none" w:sz="0" w:space="0" w:color="auto"/>
              <w:right w:val="none" w:sz="0" w:space="0" w:color="auto"/>
            </w:tcBorders>
            <w:shd w:val="clear" w:color="auto" w:fill="5482AB"/>
          </w:tcPr>
          <w:p w14:paraId="544B9BB4" w14:textId="77777777" w:rsidR="00E744AC" w:rsidRPr="00A96337" w:rsidRDefault="00E744AC" w:rsidP="00FC4BBF">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Page</w:t>
            </w:r>
          </w:p>
        </w:tc>
      </w:tr>
      <w:tr w:rsidR="00E744AC" w:rsidRPr="00A96337" w14:paraId="744C1603" w14:textId="77777777" w:rsidTr="00FC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pct"/>
            <w:shd w:val="clear" w:color="auto" w:fill="F2F2F2" w:themeFill="background1" w:themeFillShade="F2"/>
          </w:tcPr>
          <w:p w14:paraId="08F8741B" w14:textId="77777777" w:rsidR="00E744AC" w:rsidRPr="00A96337" w:rsidRDefault="00E744AC" w:rsidP="00B86FD9">
            <w:pPr>
              <w:pStyle w:val="ListParagraph"/>
              <w:numPr>
                <w:ilvl w:val="0"/>
                <w:numId w:val="24"/>
              </w:numPr>
            </w:pPr>
            <w:r w:rsidRPr="00A96337">
              <w:t>Stay the course, learn lessons and embed a common approach.</w:t>
            </w:r>
          </w:p>
        </w:tc>
        <w:tc>
          <w:tcPr>
            <w:tcW w:w="444" w:type="pct"/>
            <w:shd w:val="clear" w:color="auto" w:fill="F2F2F2" w:themeFill="background1" w:themeFillShade="F2"/>
          </w:tcPr>
          <w:p w14:paraId="3E8AF7AA" w14:textId="77777777" w:rsidR="00E744AC" w:rsidRPr="00A96337" w:rsidRDefault="00E744AC" w:rsidP="00FC4BB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744AC" w:rsidRPr="00A96337" w14:paraId="01B1F089" w14:textId="77777777" w:rsidTr="00FC4BBF">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25F56874" w14:textId="5ACF2AC3" w:rsidR="00E744AC" w:rsidRPr="00A96337" w:rsidRDefault="00D65A62" w:rsidP="00B86FD9">
            <w:pPr>
              <w:pStyle w:val="ListParagraph"/>
              <w:numPr>
                <w:ilvl w:val="1"/>
                <w:numId w:val="24"/>
              </w:numPr>
              <w:rPr>
                <w:b w:val="0"/>
                <w:bCs w:val="0"/>
                <w:szCs w:val="20"/>
              </w:rPr>
            </w:pPr>
            <w:r w:rsidRPr="00A96337">
              <w:rPr>
                <w:color w:val="000000" w:themeColor="text1"/>
              </w:rPr>
              <w:fldChar w:fldCharType="begin"/>
            </w:r>
            <w:r w:rsidRPr="00A96337">
              <w:rPr>
                <w:b w:val="0"/>
                <w:bCs w:val="0"/>
                <w:color w:val="000000" w:themeColor="text1"/>
              </w:rPr>
              <w:instrText xml:space="preserve"> REF _Ref11932486 \h  \* MERGEFORMAT </w:instrText>
            </w:r>
            <w:r w:rsidRPr="00A96337">
              <w:rPr>
                <w:color w:val="000000" w:themeColor="text1"/>
              </w:rPr>
            </w:r>
            <w:r w:rsidRPr="00A96337">
              <w:rPr>
                <w:color w:val="000000" w:themeColor="text1"/>
              </w:rPr>
              <w:fldChar w:fldCharType="separate"/>
            </w:r>
            <w:r w:rsidR="00E06D4A" w:rsidRPr="00E06D4A">
              <w:rPr>
                <w:color w:val="000000" w:themeColor="text1"/>
              </w:rPr>
              <w:t xml:space="preserve">Clearly articulate the hybrid model: </w:t>
            </w:r>
            <w:r w:rsidR="00E06D4A" w:rsidRPr="00E06D4A">
              <w:rPr>
                <w:b w:val="0"/>
                <w:bCs w:val="0"/>
                <w:color w:val="000000" w:themeColor="text1"/>
              </w:rPr>
              <w:t>AMENCA 3 partners have developed some common understandings of the hybrid MSD model but these remain undocumented and hence open to interpretation.  DFAT, the MSD adviser and INGO partners should work together to agree on a description of the AMENCA 3 hybrid approach and the principles behind it by the end of 2019 to inform future investments.</w:t>
            </w:r>
            <w:r w:rsidRPr="00A96337">
              <w:rPr>
                <w:color w:val="000000" w:themeColor="text1"/>
              </w:rPr>
              <w:fldChar w:fldCharType="end"/>
            </w:r>
            <w:r w:rsidRPr="00A96337">
              <w:rPr>
                <w:b w:val="0"/>
                <w:bCs w:val="0"/>
                <w:color w:val="000000" w:themeColor="text1"/>
              </w:rPr>
              <w:t xml:space="preserve"> </w:t>
            </w:r>
            <w:r w:rsidR="00147E42" w:rsidRPr="00A96337">
              <w:rPr>
                <w:b w:val="0"/>
                <w:bCs w:val="0"/>
                <w:color w:val="000000" w:themeColor="text1"/>
              </w:rPr>
              <w:t xml:space="preserve"> </w:t>
            </w:r>
            <w:r w:rsidRPr="00A96337">
              <w:rPr>
                <w:b w:val="0"/>
                <w:bCs w:val="0"/>
              </w:rPr>
              <w:t>(</w:t>
            </w:r>
            <w:r w:rsidRPr="00A96337">
              <w:fldChar w:fldCharType="begin"/>
            </w:r>
            <w:r w:rsidRPr="00A96337">
              <w:rPr>
                <w:b w:val="0"/>
                <w:bCs w:val="0"/>
              </w:rPr>
              <w:instrText xml:space="preserve"> REF _Ref11932486 \r \h  \* MERGEFORMAT </w:instrText>
            </w:r>
            <w:r w:rsidRPr="00A96337">
              <w:fldChar w:fldCharType="separate"/>
            </w:r>
            <w:r w:rsidR="00E06D4A">
              <w:rPr>
                <w:b w:val="0"/>
                <w:bCs w:val="0"/>
              </w:rPr>
              <w:t>Recommendation 1</w:t>
            </w:r>
            <w:r w:rsidRPr="00A96337">
              <w:fldChar w:fldCharType="end"/>
            </w:r>
            <w:r w:rsidRPr="00A96337">
              <w:rPr>
                <w:b w:val="0"/>
                <w:bCs w:val="0"/>
              </w:rPr>
              <w:t>)</w:t>
            </w:r>
          </w:p>
        </w:tc>
        <w:tc>
          <w:tcPr>
            <w:tcW w:w="444" w:type="pct"/>
            <w:shd w:val="clear" w:color="auto" w:fill="auto"/>
          </w:tcPr>
          <w:p w14:paraId="52B4EB41" w14:textId="50D5FA11" w:rsidR="00E744AC" w:rsidRPr="00A96337" w:rsidRDefault="00D65A62" w:rsidP="00FC4BB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_Ref11932486 \h </w:instrText>
            </w:r>
            <w:r w:rsidRPr="00A96337">
              <w:rPr>
                <w:rFonts w:ascii="Arial" w:hAnsi="Arial" w:cs="Arial"/>
              </w:rPr>
            </w:r>
            <w:r w:rsidRPr="00A96337">
              <w:rPr>
                <w:rFonts w:ascii="Arial" w:hAnsi="Arial" w:cs="Arial"/>
              </w:rPr>
              <w:fldChar w:fldCharType="separate"/>
            </w:r>
            <w:r w:rsidR="00E06D4A">
              <w:rPr>
                <w:rFonts w:ascii="Arial" w:hAnsi="Arial" w:cs="Arial"/>
                <w:noProof/>
              </w:rPr>
              <w:t>22</w:t>
            </w:r>
            <w:r w:rsidRPr="00A96337">
              <w:rPr>
                <w:rFonts w:ascii="Arial" w:hAnsi="Arial" w:cs="Arial"/>
              </w:rPr>
              <w:fldChar w:fldCharType="end"/>
            </w:r>
          </w:p>
        </w:tc>
      </w:tr>
      <w:tr w:rsidR="007B7F07" w:rsidRPr="00A96337" w14:paraId="744102D9" w14:textId="77777777" w:rsidTr="00FC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22657C08" w14:textId="6B0B57D7" w:rsidR="00E744AC" w:rsidRPr="00A96337" w:rsidRDefault="00022843" w:rsidP="00B86FD9">
            <w:pPr>
              <w:pStyle w:val="ListParagraph"/>
              <w:numPr>
                <w:ilvl w:val="1"/>
                <w:numId w:val="24"/>
              </w:numPr>
              <w:rPr>
                <w:b w:val="0"/>
                <w:bCs w:val="0"/>
                <w:szCs w:val="20"/>
              </w:rPr>
            </w:pPr>
            <w:r w:rsidRPr="00A96337">
              <w:rPr>
                <w:szCs w:val="20"/>
              </w:rPr>
              <w:fldChar w:fldCharType="begin"/>
            </w:r>
            <w:r w:rsidRPr="00A96337">
              <w:rPr>
                <w:b w:val="0"/>
                <w:bCs w:val="0"/>
                <w:szCs w:val="20"/>
              </w:rPr>
              <w:instrText xml:space="preserve"> REF _Ref11932648 \h </w:instrText>
            </w:r>
            <w:r w:rsidR="004E2326" w:rsidRPr="00A96337">
              <w:rPr>
                <w:b w:val="0"/>
                <w:bCs w:val="0"/>
                <w:szCs w:val="20"/>
              </w:rPr>
              <w:instrText xml:space="preserve"> \* MERGEFORMAT </w:instrText>
            </w:r>
            <w:r w:rsidRPr="00A96337">
              <w:rPr>
                <w:szCs w:val="20"/>
              </w:rPr>
            </w:r>
            <w:r w:rsidRPr="00A96337">
              <w:rPr>
                <w:szCs w:val="20"/>
              </w:rPr>
              <w:fldChar w:fldCharType="separate"/>
            </w:r>
            <w:r w:rsidR="00E06D4A" w:rsidRPr="00E06D4A">
              <w:t>Clarify APHEDA situation:</w:t>
            </w:r>
            <w:r w:rsidR="00E06D4A" w:rsidRPr="00E06D4A">
              <w:rPr>
                <w:b w:val="0"/>
                <w:bCs w:val="0"/>
              </w:rPr>
              <w:t xml:space="preserve"> DFAT to agree that APHEDA may provide a copy of DFAT’s letter advising of APHEDA’s full reinstatement to its communities, stakeholders, partners and the Palestinian Authority.  DFAT to explore other opportunities to help communicate the current state of play.</w:t>
            </w:r>
            <w:r w:rsidRPr="00A96337">
              <w:rPr>
                <w:szCs w:val="20"/>
              </w:rPr>
              <w:fldChar w:fldCharType="end"/>
            </w:r>
            <w:r w:rsidR="00147E42" w:rsidRPr="00A96337">
              <w:rPr>
                <w:b w:val="0"/>
                <w:bCs w:val="0"/>
                <w:szCs w:val="20"/>
              </w:rPr>
              <w:t xml:space="preserve"> </w:t>
            </w:r>
            <w:r w:rsidR="00F91B6F" w:rsidRPr="00A96337">
              <w:rPr>
                <w:b w:val="0"/>
                <w:bCs w:val="0"/>
                <w:szCs w:val="20"/>
              </w:rPr>
              <w:t xml:space="preserve"> (</w:t>
            </w:r>
            <w:r w:rsidRPr="00A96337">
              <w:rPr>
                <w:szCs w:val="20"/>
              </w:rPr>
              <w:fldChar w:fldCharType="begin"/>
            </w:r>
            <w:r w:rsidRPr="00A96337">
              <w:rPr>
                <w:b w:val="0"/>
                <w:bCs w:val="0"/>
                <w:szCs w:val="20"/>
              </w:rPr>
              <w:instrText xml:space="preserve"> REF _Ref11932648 \r \h </w:instrText>
            </w:r>
            <w:r w:rsidR="004E2326" w:rsidRPr="00A96337">
              <w:rPr>
                <w:b w:val="0"/>
                <w:bCs w:val="0"/>
                <w:szCs w:val="20"/>
              </w:rPr>
              <w:instrText xml:space="preserve"> \* MERGEFORMAT </w:instrText>
            </w:r>
            <w:r w:rsidRPr="00A96337">
              <w:rPr>
                <w:szCs w:val="20"/>
              </w:rPr>
            </w:r>
            <w:r w:rsidRPr="00A96337">
              <w:rPr>
                <w:szCs w:val="20"/>
              </w:rPr>
              <w:fldChar w:fldCharType="separate"/>
            </w:r>
            <w:r w:rsidR="00E06D4A">
              <w:rPr>
                <w:b w:val="0"/>
                <w:bCs w:val="0"/>
                <w:szCs w:val="20"/>
              </w:rPr>
              <w:t>Recommendation 2</w:t>
            </w:r>
            <w:r w:rsidRPr="00A96337">
              <w:rPr>
                <w:szCs w:val="20"/>
              </w:rPr>
              <w:fldChar w:fldCharType="end"/>
            </w:r>
            <w:r w:rsidR="00F91B6F" w:rsidRPr="00A96337">
              <w:rPr>
                <w:b w:val="0"/>
                <w:bCs w:val="0"/>
                <w:szCs w:val="20"/>
              </w:rPr>
              <w:t>).</w:t>
            </w:r>
          </w:p>
        </w:tc>
        <w:tc>
          <w:tcPr>
            <w:tcW w:w="444" w:type="pct"/>
            <w:shd w:val="clear" w:color="auto" w:fill="auto"/>
          </w:tcPr>
          <w:p w14:paraId="2A540498" w14:textId="036021D0" w:rsidR="00E744AC" w:rsidRPr="00A96337" w:rsidRDefault="00022843" w:rsidP="00FC4BB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_Ref11932648 \h </w:instrText>
            </w:r>
            <w:r w:rsidRPr="00A96337">
              <w:rPr>
                <w:rFonts w:ascii="Arial" w:hAnsi="Arial" w:cs="Arial"/>
              </w:rPr>
            </w:r>
            <w:r w:rsidRPr="00A96337">
              <w:rPr>
                <w:rFonts w:ascii="Arial" w:hAnsi="Arial" w:cs="Arial"/>
              </w:rPr>
              <w:fldChar w:fldCharType="separate"/>
            </w:r>
            <w:r w:rsidR="00E06D4A">
              <w:rPr>
                <w:rFonts w:ascii="Arial" w:hAnsi="Arial" w:cs="Arial"/>
                <w:noProof/>
              </w:rPr>
              <w:t>25</w:t>
            </w:r>
            <w:r w:rsidRPr="00A96337">
              <w:rPr>
                <w:rFonts w:ascii="Arial" w:hAnsi="Arial" w:cs="Arial"/>
              </w:rPr>
              <w:fldChar w:fldCharType="end"/>
            </w:r>
          </w:p>
        </w:tc>
      </w:tr>
      <w:tr w:rsidR="007B7F07" w:rsidRPr="00A96337" w14:paraId="61D61B91" w14:textId="77777777" w:rsidTr="00FC4BBF">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7D17318B" w14:textId="5272C46C" w:rsidR="00E744AC" w:rsidRPr="00A96337" w:rsidRDefault="00247AAF" w:rsidP="00B86FD9">
            <w:pPr>
              <w:pStyle w:val="ListParagraph"/>
              <w:numPr>
                <w:ilvl w:val="1"/>
                <w:numId w:val="24"/>
              </w:numPr>
              <w:rPr>
                <w:b w:val="0"/>
                <w:bCs w:val="0"/>
                <w:szCs w:val="20"/>
              </w:rPr>
            </w:pPr>
            <w:r w:rsidRPr="00A96337">
              <w:rPr>
                <w:szCs w:val="20"/>
              </w:rPr>
              <w:fldChar w:fldCharType="begin"/>
            </w:r>
            <w:r w:rsidRPr="00A96337">
              <w:rPr>
                <w:b w:val="0"/>
                <w:bCs w:val="0"/>
                <w:szCs w:val="20"/>
              </w:rPr>
              <w:instrText xml:space="preserve"> REF _Ref8635358 \h </w:instrText>
            </w:r>
            <w:r w:rsidR="004E2326" w:rsidRPr="00A96337">
              <w:rPr>
                <w:b w:val="0"/>
                <w:bCs w:val="0"/>
                <w:szCs w:val="20"/>
              </w:rPr>
              <w:instrText xml:space="preserve"> \* MERGEFORMAT </w:instrText>
            </w:r>
            <w:r w:rsidRPr="00A96337">
              <w:rPr>
                <w:szCs w:val="20"/>
              </w:rPr>
            </w:r>
            <w:r w:rsidRPr="00A96337">
              <w:rPr>
                <w:szCs w:val="20"/>
              </w:rPr>
              <w:fldChar w:fldCharType="separate"/>
            </w:r>
            <w:r w:rsidR="00E06D4A" w:rsidRPr="00E06D4A">
              <w:t xml:space="preserve">Continue AMENCA 3: </w:t>
            </w:r>
            <w:r w:rsidR="00E06D4A" w:rsidRPr="00E06D4A">
              <w:rPr>
                <w:b w:val="0"/>
                <w:bCs w:val="0"/>
              </w:rPr>
              <w:t>Consider extending support for AMENCA 3 for at least a further two years to embed current changes within markets and to reach impact at scale, noting that MSD programs typically implement for 5-10 years to reach sustainable results at scale</w:t>
            </w:r>
            <w:r w:rsidR="00E06D4A" w:rsidRPr="00A96337">
              <w:rPr>
                <w:b w:val="0"/>
                <w:bCs w:val="0"/>
              </w:rPr>
              <w:t>.</w:t>
            </w:r>
            <w:r w:rsidRPr="00A96337">
              <w:rPr>
                <w:szCs w:val="20"/>
              </w:rPr>
              <w:fldChar w:fldCharType="end"/>
            </w:r>
            <w:r w:rsidR="00147E42" w:rsidRPr="00A96337">
              <w:rPr>
                <w:b w:val="0"/>
                <w:bCs w:val="0"/>
                <w:szCs w:val="20"/>
              </w:rPr>
              <w:t xml:space="preserve">  (</w:t>
            </w:r>
            <w:r w:rsidRPr="00A96337">
              <w:rPr>
                <w:szCs w:val="20"/>
              </w:rPr>
              <w:fldChar w:fldCharType="begin"/>
            </w:r>
            <w:r w:rsidRPr="00A96337">
              <w:rPr>
                <w:b w:val="0"/>
                <w:bCs w:val="0"/>
                <w:szCs w:val="20"/>
              </w:rPr>
              <w:instrText xml:space="preserve"> REF _Ref8635358 \r \h </w:instrText>
            </w:r>
            <w:r w:rsidR="004E2326" w:rsidRPr="00A96337">
              <w:rPr>
                <w:b w:val="0"/>
                <w:bCs w:val="0"/>
                <w:szCs w:val="20"/>
              </w:rPr>
              <w:instrText xml:space="preserve"> \* MERGEFORMAT </w:instrText>
            </w:r>
            <w:r w:rsidRPr="00A96337">
              <w:rPr>
                <w:szCs w:val="20"/>
              </w:rPr>
            </w:r>
            <w:r w:rsidRPr="00A96337">
              <w:rPr>
                <w:szCs w:val="20"/>
              </w:rPr>
              <w:fldChar w:fldCharType="separate"/>
            </w:r>
            <w:r w:rsidR="00E06D4A">
              <w:rPr>
                <w:b w:val="0"/>
                <w:bCs w:val="0"/>
                <w:szCs w:val="20"/>
              </w:rPr>
              <w:t>Recommendation 11</w:t>
            </w:r>
            <w:r w:rsidRPr="00A96337">
              <w:rPr>
                <w:szCs w:val="20"/>
              </w:rPr>
              <w:fldChar w:fldCharType="end"/>
            </w:r>
            <w:r w:rsidR="00147E42" w:rsidRPr="00A96337">
              <w:rPr>
                <w:b w:val="0"/>
                <w:bCs w:val="0"/>
                <w:szCs w:val="20"/>
              </w:rPr>
              <w:t>).</w:t>
            </w:r>
          </w:p>
        </w:tc>
        <w:tc>
          <w:tcPr>
            <w:tcW w:w="444" w:type="pct"/>
            <w:shd w:val="clear" w:color="auto" w:fill="auto"/>
          </w:tcPr>
          <w:p w14:paraId="7DD4A54B" w14:textId="7A092DCF" w:rsidR="00E744AC" w:rsidRPr="00A96337" w:rsidRDefault="00247AAF" w:rsidP="00FC4BB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_Ref8635358 \h </w:instrText>
            </w:r>
            <w:r w:rsidRPr="00A96337">
              <w:rPr>
                <w:rFonts w:ascii="Arial" w:hAnsi="Arial" w:cs="Arial"/>
              </w:rPr>
            </w:r>
            <w:r w:rsidRPr="00A96337">
              <w:rPr>
                <w:rFonts w:ascii="Arial" w:hAnsi="Arial" w:cs="Arial"/>
              </w:rPr>
              <w:fldChar w:fldCharType="separate"/>
            </w:r>
            <w:r w:rsidR="00E06D4A">
              <w:rPr>
                <w:rFonts w:ascii="Arial" w:hAnsi="Arial" w:cs="Arial"/>
                <w:noProof/>
              </w:rPr>
              <w:t>39</w:t>
            </w:r>
            <w:r w:rsidRPr="00A96337">
              <w:rPr>
                <w:rFonts w:ascii="Arial" w:hAnsi="Arial" w:cs="Arial"/>
              </w:rPr>
              <w:fldChar w:fldCharType="end"/>
            </w:r>
          </w:p>
        </w:tc>
      </w:tr>
      <w:tr w:rsidR="007B7F07" w:rsidRPr="00A96337" w14:paraId="6F9672C9" w14:textId="77777777" w:rsidTr="00FC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6DEC641D" w14:textId="15AE2208" w:rsidR="00E744AC" w:rsidRPr="00A96337" w:rsidRDefault="00965825" w:rsidP="00B86FD9">
            <w:pPr>
              <w:pStyle w:val="ListParagraph"/>
              <w:numPr>
                <w:ilvl w:val="1"/>
                <w:numId w:val="24"/>
              </w:numPr>
              <w:rPr>
                <w:b w:val="0"/>
                <w:bCs w:val="0"/>
                <w:szCs w:val="20"/>
              </w:rPr>
            </w:pPr>
            <w:r w:rsidRPr="00A96337">
              <w:rPr>
                <w:szCs w:val="20"/>
              </w:rPr>
              <w:fldChar w:fldCharType="begin"/>
            </w:r>
            <w:r w:rsidRPr="00A96337">
              <w:rPr>
                <w:b w:val="0"/>
                <w:bCs w:val="0"/>
                <w:szCs w:val="20"/>
              </w:rPr>
              <w:instrText xml:space="preserve"> REF _Ref11932796 \h </w:instrText>
            </w:r>
            <w:r w:rsidR="004E2326" w:rsidRPr="00A96337">
              <w:rPr>
                <w:b w:val="0"/>
                <w:bCs w:val="0"/>
                <w:szCs w:val="20"/>
              </w:rPr>
              <w:instrText xml:space="preserve"> \* MERGEFORMAT </w:instrText>
            </w:r>
            <w:r w:rsidRPr="00A96337">
              <w:rPr>
                <w:szCs w:val="20"/>
              </w:rPr>
            </w:r>
            <w:r w:rsidRPr="00A96337">
              <w:rPr>
                <w:szCs w:val="20"/>
              </w:rPr>
              <w:fldChar w:fldCharType="separate"/>
            </w:r>
            <w:r w:rsidR="00E06D4A" w:rsidRPr="00E06D4A">
              <w:t>Collaborate at sector level:</w:t>
            </w:r>
            <w:r w:rsidR="00E06D4A" w:rsidRPr="00E06D4A">
              <w:rPr>
                <w:b w:val="0"/>
                <w:bCs w:val="0"/>
              </w:rPr>
              <w:t xml:space="preserve"> DFAT should facilitate the NGO consortia to form cross-program agriculture sector teams to undertake regular (annual or six-monthly) sector-level reviews of the overall work as a new part of the current TPAG arrangements. Each review should define the sector-level results chain, review the intervention portfolio, and determine what changes are necessary. Initial sectors should include small ruminant dairy and high value horticulture</w:t>
            </w:r>
            <w:r w:rsidRPr="00A96337">
              <w:rPr>
                <w:szCs w:val="20"/>
              </w:rPr>
              <w:fldChar w:fldCharType="end"/>
            </w:r>
            <w:r w:rsidR="00147E42" w:rsidRPr="00A96337">
              <w:rPr>
                <w:b w:val="0"/>
                <w:bCs w:val="0"/>
                <w:szCs w:val="20"/>
              </w:rPr>
              <w:t xml:space="preserve">  (</w:t>
            </w:r>
            <w:r w:rsidRPr="00A96337">
              <w:rPr>
                <w:szCs w:val="20"/>
              </w:rPr>
              <w:fldChar w:fldCharType="begin"/>
            </w:r>
            <w:r w:rsidRPr="00A96337">
              <w:rPr>
                <w:b w:val="0"/>
                <w:bCs w:val="0"/>
                <w:szCs w:val="20"/>
              </w:rPr>
              <w:instrText xml:space="preserve"> REF _Ref11932796 \r \h </w:instrText>
            </w:r>
            <w:r w:rsidR="004E2326" w:rsidRPr="00A96337">
              <w:rPr>
                <w:b w:val="0"/>
                <w:bCs w:val="0"/>
                <w:szCs w:val="20"/>
              </w:rPr>
              <w:instrText xml:space="preserve"> \* MERGEFORMAT </w:instrText>
            </w:r>
            <w:r w:rsidRPr="00A96337">
              <w:rPr>
                <w:szCs w:val="20"/>
              </w:rPr>
            </w:r>
            <w:r w:rsidRPr="00A96337">
              <w:rPr>
                <w:szCs w:val="20"/>
              </w:rPr>
              <w:fldChar w:fldCharType="separate"/>
            </w:r>
            <w:r w:rsidR="00E06D4A">
              <w:rPr>
                <w:b w:val="0"/>
                <w:bCs w:val="0"/>
                <w:szCs w:val="20"/>
              </w:rPr>
              <w:t>Recommendation 3</w:t>
            </w:r>
            <w:r w:rsidRPr="00A96337">
              <w:rPr>
                <w:szCs w:val="20"/>
              </w:rPr>
              <w:fldChar w:fldCharType="end"/>
            </w:r>
            <w:r w:rsidR="00147E42" w:rsidRPr="00A96337">
              <w:rPr>
                <w:b w:val="0"/>
                <w:bCs w:val="0"/>
                <w:szCs w:val="20"/>
              </w:rPr>
              <w:t>).</w:t>
            </w:r>
          </w:p>
        </w:tc>
        <w:tc>
          <w:tcPr>
            <w:tcW w:w="444" w:type="pct"/>
            <w:shd w:val="clear" w:color="auto" w:fill="auto"/>
          </w:tcPr>
          <w:p w14:paraId="20C98F98" w14:textId="75353DB5" w:rsidR="00E744AC" w:rsidRPr="00A96337" w:rsidRDefault="00965825" w:rsidP="00FC4BB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_Ref11932796 \h </w:instrText>
            </w:r>
            <w:r w:rsidRPr="00A96337">
              <w:rPr>
                <w:rFonts w:ascii="Arial" w:hAnsi="Arial" w:cs="Arial"/>
              </w:rPr>
            </w:r>
            <w:r w:rsidRPr="00A96337">
              <w:rPr>
                <w:rFonts w:ascii="Arial" w:hAnsi="Arial" w:cs="Arial"/>
              </w:rPr>
              <w:fldChar w:fldCharType="separate"/>
            </w:r>
            <w:r w:rsidR="00E06D4A">
              <w:rPr>
                <w:rFonts w:ascii="Arial" w:hAnsi="Arial" w:cs="Arial"/>
                <w:noProof/>
              </w:rPr>
              <w:t>28</w:t>
            </w:r>
            <w:r w:rsidRPr="00A96337">
              <w:rPr>
                <w:rFonts w:ascii="Arial" w:hAnsi="Arial" w:cs="Arial"/>
              </w:rPr>
              <w:fldChar w:fldCharType="end"/>
            </w:r>
          </w:p>
        </w:tc>
      </w:tr>
      <w:tr w:rsidR="007B7F07" w:rsidRPr="00A96337" w14:paraId="2BD17DAF" w14:textId="77777777" w:rsidTr="00FC4BBF">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79BE8E8A" w14:textId="4236754C" w:rsidR="00E744AC" w:rsidRPr="00A96337" w:rsidRDefault="00965825" w:rsidP="00B86FD9">
            <w:pPr>
              <w:pStyle w:val="ListParagraph"/>
              <w:numPr>
                <w:ilvl w:val="1"/>
                <w:numId w:val="24"/>
              </w:numPr>
              <w:rPr>
                <w:b w:val="0"/>
                <w:bCs w:val="0"/>
                <w:szCs w:val="20"/>
              </w:rPr>
            </w:pPr>
            <w:r w:rsidRPr="00A96337">
              <w:rPr>
                <w:color w:val="000000" w:themeColor="text1"/>
                <w:szCs w:val="20"/>
              </w:rPr>
              <w:fldChar w:fldCharType="begin"/>
            </w:r>
            <w:r w:rsidRPr="00A96337">
              <w:rPr>
                <w:b w:val="0"/>
                <w:bCs w:val="0"/>
                <w:color w:val="000000" w:themeColor="text1"/>
                <w:szCs w:val="20"/>
              </w:rPr>
              <w:instrText xml:space="preserve"> REF _Ref11932832 \h </w:instrText>
            </w:r>
            <w:r w:rsidR="004E2326" w:rsidRPr="00A96337">
              <w:rPr>
                <w:b w:val="0"/>
                <w:bCs w:val="0"/>
                <w:color w:val="000000" w:themeColor="text1"/>
                <w:szCs w:val="20"/>
              </w:rPr>
              <w:instrText xml:space="preserve"> \* MERGEFORMAT </w:instrText>
            </w:r>
            <w:r w:rsidRPr="00A96337">
              <w:rPr>
                <w:color w:val="000000" w:themeColor="text1"/>
                <w:szCs w:val="20"/>
              </w:rPr>
            </w:r>
            <w:r w:rsidRPr="00A96337">
              <w:rPr>
                <w:color w:val="000000" w:themeColor="text1"/>
                <w:szCs w:val="20"/>
              </w:rPr>
              <w:fldChar w:fldCharType="separate"/>
            </w:r>
            <w:r w:rsidR="00E06D4A" w:rsidRPr="00E06D4A">
              <w:rPr>
                <w:color w:val="000000" w:themeColor="text1"/>
              </w:rPr>
              <w:t xml:space="preserve">Review approach to infrastructure investments: </w:t>
            </w:r>
            <w:r w:rsidR="00E06D4A" w:rsidRPr="00E06D4A">
              <w:rPr>
                <w:b w:val="0"/>
                <w:bCs w:val="0"/>
                <w:color w:val="000000" w:themeColor="text1"/>
              </w:rPr>
              <w:t>AMENCA 3 advisers (MSD, Program) should be tasked to undertake a study of small infrastructure investments and the broader systemic constraints that limit the capacity of stakeholders (the Palestinian Authority, farmers, the private sector and contractors) to meet what is clearly an important market gap. AMENCA 3 should base any future infrastructure portfolio on addressing these systemic constraints wherever possible.</w:t>
            </w:r>
            <w:r w:rsidRPr="00A96337">
              <w:rPr>
                <w:color w:val="000000" w:themeColor="text1"/>
                <w:szCs w:val="20"/>
              </w:rPr>
              <w:fldChar w:fldCharType="end"/>
            </w:r>
            <w:r w:rsidR="00147E42" w:rsidRPr="00A96337">
              <w:rPr>
                <w:b w:val="0"/>
                <w:bCs w:val="0"/>
                <w:szCs w:val="20"/>
              </w:rPr>
              <w:t xml:space="preserve">  (</w:t>
            </w:r>
            <w:r w:rsidR="00457D90" w:rsidRPr="00A96337">
              <w:rPr>
                <w:szCs w:val="20"/>
              </w:rPr>
              <w:fldChar w:fldCharType="begin"/>
            </w:r>
            <w:r w:rsidR="00457D90" w:rsidRPr="00A96337">
              <w:rPr>
                <w:b w:val="0"/>
                <w:bCs w:val="0"/>
                <w:szCs w:val="20"/>
              </w:rPr>
              <w:instrText xml:space="preserve"> REF _Ref11932832 \r \h </w:instrText>
            </w:r>
            <w:r w:rsidR="004E2326" w:rsidRPr="00A96337">
              <w:rPr>
                <w:b w:val="0"/>
                <w:bCs w:val="0"/>
                <w:szCs w:val="20"/>
              </w:rPr>
              <w:instrText xml:space="preserve"> \* MERGEFORMAT </w:instrText>
            </w:r>
            <w:r w:rsidR="00457D90" w:rsidRPr="00A96337">
              <w:rPr>
                <w:szCs w:val="20"/>
              </w:rPr>
            </w:r>
            <w:r w:rsidR="00457D90" w:rsidRPr="00A96337">
              <w:rPr>
                <w:szCs w:val="20"/>
              </w:rPr>
              <w:fldChar w:fldCharType="separate"/>
            </w:r>
            <w:r w:rsidR="00E06D4A">
              <w:rPr>
                <w:b w:val="0"/>
                <w:bCs w:val="0"/>
                <w:szCs w:val="20"/>
              </w:rPr>
              <w:t>Recommendation 4</w:t>
            </w:r>
            <w:r w:rsidR="00457D90" w:rsidRPr="00A96337">
              <w:rPr>
                <w:szCs w:val="20"/>
              </w:rPr>
              <w:fldChar w:fldCharType="end"/>
            </w:r>
            <w:r w:rsidR="00147E42" w:rsidRPr="00A96337">
              <w:rPr>
                <w:b w:val="0"/>
                <w:bCs w:val="0"/>
                <w:szCs w:val="20"/>
              </w:rPr>
              <w:t>).</w:t>
            </w:r>
          </w:p>
        </w:tc>
        <w:tc>
          <w:tcPr>
            <w:tcW w:w="444" w:type="pct"/>
            <w:shd w:val="clear" w:color="auto" w:fill="auto"/>
          </w:tcPr>
          <w:p w14:paraId="1E6F3859" w14:textId="0A369B45" w:rsidR="00E744AC" w:rsidRPr="00A96337" w:rsidRDefault="00457D90" w:rsidP="00FC4BB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_Ref11932832 \h </w:instrText>
            </w:r>
            <w:r w:rsidRPr="00A96337">
              <w:rPr>
                <w:rFonts w:ascii="Arial" w:hAnsi="Arial" w:cs="Arial"/>
              </w:rPr>
            </w:r>
            <w:r w:rsidRPr="00A96337">
              <w:rPr>
                <w:rFonts w:ascii="Arial" w:hAnsi="Arial" w:cs="Arial"/>
              </w:rPr>
              <w:fldChar w:fldCharType="separate"/>
            </w:r>
            <w:r w:rsidR="00E06D4A">
              <w:rPr>
                <w:rFonts w:ascii="Arial" w:hAnsi="Arial" w:cs="Arial"/>
                <w:noProof/>
              </w:rPr>
              <w:t>28</w:t>
            </w:r>
            <w:r w:rsidRPr="00A96337">
              <w:rPr>
                <w:rFonts w:ascii="Arial" w:hAnsi="Arial" w:cs="Arial"/>
              </w:rPr>
              <w:fldChar w:fldCharType="end"/>
            </w:r>
          </w:p>
        </w:tc>
      </w:tr>
      <w:tr w:rsidR="007B7F07" w:rsidRPr="00A96337" w14:paraId="622F6812" w14:textId="77777777" w:rsidTr="00FC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1ECF63C4" w14:textId="4E1AEAA9" w:rsidR="00E744AC" w:rsidRPr="00A96337" w:rsidRDefault="000C0540" w:rsidP="00B86FD9">
            <w:pPr>
              <w:pStyle w:val="ListParagraph"/>
              <w:numPr>
                <w:ilvl w:val="1"/>
                <w:numId w:val="24"/>
              </w:numPr>
              <w:rPr>
                <w:b w:val="0"/>
                <w:bCs w:val="0"/>
                <w:szCs w:val="20"/>
              </w:rPr>
            </w:pPr>
            <w:r w:rsidRPr="00A96337">
              <w:rPr>
                <w:szCs w:val="20"/>
              </w:rPr>
              <w:fldChar w:fldCharType="begin"/>
            </w:r>
            <w:r w:rsidRPr="00A96337">
              <w:rPr>
                <w:b w:val="0"/>
                <w:bCs w:val="0"/>
                <w:szCs w:val="20"/>
              </w:rPr>
              <w:instrText xml:space="preserve"> REF _Ref11932915 \h </w:instrText>
            </w:r>
            <w:r w:rsidR="004E2326" w:rsidRPr="00A96337">
              <w:rPr>
                <w:b w:val="0"/>
                <w:bCs w:val="0"/>
                <w:szCs w:val="20"/>
              </w:rPr>
              <w:instrText xml:space="preserve"> \* MERGEFORMAT </w:instrText>
            </w:r>
            <w:r w:rsidRPr="00A96337">
              <w:rPr>
                <w:szCs w:val="20"/>
              </w:rPr>
            </w:r>
            <w:r w:rsidRPr="00A96337">
              <w:rPr>
                <w:szCs w:val="20"/>
              </w:rPr>
              <w:fldChar w:fldCharType="separate"/>
            </w:r>
            <w:r w:rsidR="00E06D4A" w:rsidRPr="00E06D4A">
              <w:t>Impact evaluation:</w:t>
            </w:r>
            <w:r w:rsidR="00E06D4A" w:rsidRPr="00E06D4A">
              <w:rPr>
                <w:b w:val="0"/>
                <w:bCs w:val="0"/>
              </w:rPr>
              <w:t xml:space="preserve"> Consider undertaking a formal DFAT-funded independent impact evaluation to address under-reporting to date and to capture:</w:t>
            </w:r>
            <w:r w:rsidR="00E06D4A" w:rsidRPr="00E06D4A">
              <w:rPr>
                <w:b w:val="0"/>
                <w:bCs w:val="0"/>
              </w:rPr>
              <w:br/>
              <w:t>a) indirect impacts not currently being considered by the reporting framework (e.g. from establishing missing market functions, crowding, copying and monopoly disruption);</w:t>
            </w:r>
            <w:r w:rsidR="00E06D4A" w:rsidRPr="00E06D4A">
              <w:rPr>
                <w:b w:val="0"/>
                <w:bCs w:val="0"/>
              </w:rPr>
              <w:br/>
              <w:t>b) ongoing impacts from AMENCA 2 (e.g. seed banks, nurseries);</w:t>
            </w:r>
            <w:r w:rsidR="00E06D4A" w:rsidRPr="00E06D4A">
              <w:rPr>
                <w:b w:val="0"/>
                <w:bCs w:val="0"/>
              </w:rPr>
              <w:br/>
              <w:t>c) cross-partner impacts across a sector (e.g. sheep dairy sector where multiple partners are contributing to transformation).</w:t>
            </w:r>
            <w:r w:rsidRPr="00A96337">
              <w:rPr>
                <w:szCs w:val="20"/>
              </w:rPr>
              <w:fldChar w:fldCharType="end"/>
            </w:r>
            <w:r w:rsidR="00147E42" w:rsidRPr="00A96337">
              <w:rPr>
                <w:b w:val="0"/>
                <w:bCs w:val="0"/>
                <w:szCs w:val="20"/>
              </w:rPr>
              <w:t xml:space="preserve">  (</w:t>
            </w:r>
            <w:r w:rsidRPr="00A96337">
              <w:rPr>
                <w:szCs w:val="20"/>
              </w:rPr>
              <w:fldChar w:fldCharType="begin"/>
            </w:r>
            <w:r w:rsidRPr="00A96337">
              <w:rPr>
                <w:b w:val="0"/>
                <w:bCs w:val="0"/>
                <w:szCs w:val="20"/>
              </w:rPr>
              <w:instrText xml:space="preserve"> REF _Ref11932915 \r \h </w:instrText>
            </w:r>
            <w:r w:rsidR="004E2326" w:rsidRPr="00A96337">
              <w:rPr>
                <w:b w:val="0"/>
                <w:bCs w:val="0"/>
                <w:szCs w:val="20"/>
              </w:rPr>
              <w:instrText xml:space="preserve"> \* MERGEFORMAT </w:instrText>
            </w:r>
            <w:r w:rsidRPr="00A96337">
              <w:rPr>
                <w:szCs w:val="20"/>
              </w:rPr>
            </w:r>
            <w:r w:rsidRPr="00A96337">
              <w:rPr>
                <w:szCs w:val="20"/>
              </w:rPr>
              <w:fldChar w:fldCharType="separate"/>
            </w:r>
            <w:r w:rsidR="00E06D4A">
              <w:rPr>
                <w:b w:val="0"/>
                <w:bCs w:val="0"/>
                <w:szCs w:val="20"/>
              </w:rPr>
              <w:t>Recommendation 14</w:t>
            </w:r>
            <w:r w:rsidRPr="00A96337">
              <w:rPr>
                <w:szCs w:val="20"/>
              </w:rPr>
              <w:fldChar w:fldCharType="end"/>
            </w:r>
            <w:r w:rsidR="00147E42" w:rsidRPr="00A96337">
              <w:rPr>
                <w:b w:val="0"/>
                <w:bCs w:val="0"/>
                <w:szCs w:val="20"/>
              </w:rPr>
              <w:t>).</w:t>
            </w:r>
          </w:p>
        </w:tc>
        <w:tc>
          <w:tcPr>
            <w:tcW w:w="444" w:type="pct"/>
            <w:shd w:val="clear" w:color="auto" w:fill="auto"/>
          </w:tcPr>
          <w:p w14:paraId="15330ABB" w14:textId="6DFB3AA2" w:rsidR="00E744AC" w:rsidRPr="00A96337" w:rsidRDefault="000C0540" w:rsidP="00FC4BB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_Ref11932915 \h </w:instrText>
            </w:r>
            <w:r w:rsidRPr="00A96337">
              <w:rPr>
                <w:rFonts w:ascii="Arial" w:hAnsi="Arial" w:cs="Arial"/>
              </w:rPr>
            </w:r>
            <w:r w:rsidRPr="00A96337">
              <w:rPr>
                <w:rFonts w:ascii="Arial" w:hAnsi="Arial" w:cs="Arial"/>
              </w:rPr>
              <w:fldChar w:fldCharType="separate"/>
            </w:r>
            <w:r w:rsidR="00E06D4A">
              <w:rPr>
                <w:rFonts w:ascii="Arial" w:hAnsi="Arial" w:cs="Arial"/>
                <w:noProof/>
              </w:rPr>
              <w:t>41</w:t>
            </w:r>
            <w:r w:rsidRPr="00A96337">
              <w:rPr>
                <w:rFonts w:ascii="Arial" w:hAnsi="Arial" w:cs="Arial"/>
              </w:rPr>
              <w:fldChar w:fldCharType="end"/>
            </w:r>
          </w:p>
        </w:tc>
      </w:tr>
      <w:tr w:rsidR="00E744AC" w:rsidRPr="00A96337" w14:paraId="316FFEEB" w14:textId="77777777" w:rsidTr="00FC4BBF">
        <w:tc>
          <w:tcPr>
            <w:cnfStyle w:val="001000000000" w:firstRow="0" w:lastRow="0" w:firstColumn="1" w:lastColumn="0" w:oddVBand="0" w:evenVBand="0" w:oddHBand="0" w:evenHBand="0" w:firstRowFirstColumn="0" w:firstRowLastColumn="0" w:lastRowFirstColumn="0" w:lastRowLastColumn="0"/>
            <w:tcW w:w="4556" w:type="pct"/>
            <w:shd w:val="clear" w:color="auto" w:fill="F2F2F2" w:themeFill="background1" w:themeFillShade="F2"/>
          </w:tcPr>
          <w:p w14:paraId="4FB866F6" w14:textId="77777777" w:rsidR="00E744AC" w:rsidRPr="00A96337" w:rsidRDefault="00E744AC" w:rsidP="00B86FD9">
            <w:pPr>
              <w:pStyle w:val="ListParagraph"/>
              <w:numPr>
                <w:ilvl w:val="0"/>
                <w:numId w:val="24"/>
              </w:numPr>
            </w:pPr>
            <w:r w:rsidRPr="00A96337">
              <w:t>Invest differently</w:t>
            </w:r>
          </w:p>
        </w:tc>
        <w:tc>
          <w:tcPr>
            <w:tcW w:w="444" w:type="pct"/>
            <w:shd w:val="clear" w:color="auto" w:fill="F2F2F2" w:themeFill="background1" w:themeFillShade="F2"/>
          </w:tcPr>
          <w:p w14:paraId="7052BED6" w14:textId="77777777" w:rsidR="00E744AC" w:rsidRPr="00A96337" w:rsidRDefault="00E744AC" w:rsidP="00FC4BB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4E2326" w:rsidRPr="00A96337" w14:paraId="3CBBE012" w14:textId="77777777" w:rsidTr="00FC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0F478E33" w14:textId="2AAE0654" w:rsidR="00E744AC" w:rsidRPr="00A96337" w:rsidRDefault="00797D5D" w:rsidP="00B86FD9">
            <w:pPr>
              <w:pStyle w:val="ListParagraph"/>
              <w:numPr>
                <w:ilvl w:val="1"/>
                <w:numId w:val="24"/>
              </w:numPr>
              <w:rPr>
                <w:b w:val="0"/>
                <w:bCs w:val="0"/>
              </w:rPr>
            </w:pPr>
            <w:r w:rsidRPr="00A96337">
              <w:fldChar w:fldCharType="begin"/>
            </w:r>
            <w:r w:rsidRPr="00A96337">
              <w:rPr>
                <w:b w:val="0"/>
                <w:bCs w:val="0"/>
              </w:rPr>
              <w:instrText xml:space="preserve"> REF _Ref8898648 \h </w:instrText>
            </w:r>
            <w:r w:rsidR="007B7F07" w:rsidRPr="00A96337">
              <w:rPr>
                <w:b w:val="0"/>
                <w:bCs w:val="0"/>
              </w:rPr>
              <w:instrText xml:space="preserve"> \* MERGEFORMAT </w:instrText>
            </w:r>
            <w:r w:rsidRPr="00A96337">
              <w:fldChar w:fldCharType="separate"/>
            </w:r>
            <w:r w:rsidR="00E06D4A" w:rsidRPr="00E06D4A">
              <w:t xml:space="preserve">Adapt advisor arrangements: </w:t>
            </w:r>
            <w:r w:rsidR="00E06D4A" w:rsidRPr="00E06D4A">
              <w:rPr>
                <w:b w:val="0"/>
                <w:bCs w:val="0"/>
              </w:rPr>
              <w:t>DFAT should update contracted advisory arrangements to fill technical gaps, and support NGOs to improve integration and responsiveness:</w:t>
            </w:r>
            <w:r w:rsidR="00E06D4A" w:rsidRPr="00E06D4A">
              <w:rPr>
                <w:b w:val="0"/>
                <w:bCs w:val="0"/>
              </w:rPr>
              <w:br/>
              <w:t xml:space="preserve">(a) retain a cross-program coordination and report-writing function (ideally a single person who could also negotiate flexible advisory services); </w:t>
            </w:r>
            <w:r w:rsidR="00E06D4A" w:rsidRPr="00E06D4A">
              <w:rPr>
                <w:b w:val="0"/>
                <w:bCs w:val="0"/>
              </w:rPr>
              <w:br/>
              <w:t>(b) localise the GESI advisor position and ensure they have sufficient poverty analysis skills;</w:t>
            </w:r>
            <w:r w:rsidR="00E06D4A" w:rsidRPr="00E06D4A">
              <w:rPr>
                <w:b w:val="0"/>
                <w:bCs w:val="0"/>
              </w:rPr>
              <w:br/>
              <w:t>(c) add a fixed international Monitoring and Results Measurement (MRM) adviser to update consortia and AMENCA 3 M&amp;E Frameworks to appropriately capture market systems results; and</w:t>
            </w:r>
            <w:r w:rsidR="00E06D4A" w:rsidRPr="00E06D4A">
              <w:rPr>
                <w:b w:val="0"/>
                <w:bCs w:val="0"/>
              </w:rPr>
              <w:br/>
              <w:t>(d) introduce demand-driven flexible advisor services (contractor could use a panel arrangement) to complement these skills where necessary</w:t>
            </w:r>
            <w:r w:rsidR="00E06D4A" w:rsidRPr="00E06D4A">
              <w:rPr>
                <w:b w:val="0"/>
                <w:bCs w:val="0"/>
              </w:rPr>
              <w:br/>
            </w:r>
            <w:r w:rsidR="00E06D4A" w:rsidRPr="00E06D4A">
              <w:rPr>
                <w:b w:val="0"/>
                <w:bCs w:val="0"/>
              </w:rPr>
              <w:br/>
              <w:t>To begin this adjustment, DFAT could task the advisory services contractor with proposing how it would go about this and other recommendations in this report</w:t>
            </w:r>
            <w:r w:rsidRPr="00A96337">
              <w:fldChar w:fldCharType="end"/>
            </w:r>
            <w:r w:rsidR="005448DD" w:rsidRPr="00A96337">
              <w:rPr>
                <w:b w:val="0"/>
                <w:bCs w:val="0"/>
              </w:rPr>
              <w:t>.  (</w:t>
            </w:r>
            <w:r w:rsidR="00185892" w:rsidRPr="00A96337">
              <w:fldChar w:fldCharType="begin"/>
            </w:r>
            <w:r w:rsidR="00185892" w:rsidRPr="00A96337">
              <w:rPr>
                <w:b w:val="0"/>
                <w:bCs w:val="0"/>
              </w:rPr>
              <w:instrText xml:space="preserve"> REF _Ref8898648 \r \h </w:instrText>
            </w:r>
            <w:r w:rsidR="007B7F07" w:rsidRPr="00A96337">
              <w:rPr>
                <w:b w:val="0"/>
                <w:bCs w:val="0"/>
              </w:rPr>
              <w:instrText xml:space="preserve"> \* MERGEFORMAT </w:instrText>
            </w:r>
            <w:r w:rsidR="00185892" w:rsidRPr="00A96337">
              <w:fldChar w:fldCharType="separate"/>
            </w:r>
            <w:r w:rsidR="00E06D4A">
              <w:rPr>
                <w:b w:val="0"/>
                <w:bCs w:val="0"/>
              </w:rPr>
              <w:t>Recommendation 7</w:t>
            </w:r>
            <w:r w:rsidR="00185892" w:rsidRPr="00A96337">
              <w:fldChar w:fldCharType="end"/>
            </w:r>
            <w:r w:rsidR="005448DD" w:rsidRPr="00A96337">
              <w:rPr>
                <w:b w:val="0"/>
                <w:bCs w:val="0"/>
              </w:rPr>
              <w:t>).</w:t>
            </w:r>
          </w:p>
        </w:tc>
        <w:tc>
          <w:tcPr>
            <w:tcW w:w="444" w:type="pct"/>
            <w:shd w:val="clear" w:color="auto" w:fill="auto"/>
          </w:tcPr>
          <w:p w14:paraId="4726F618" w14:textId="2F389F9E" w:rsidR="00E744AC" w:rsidRPr="00A96337" w:rsidRDefault="00185892" w:rsidP="00FC4BB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_Ref8898648 \h </w:instrText>
            </w:r>
            <w:r w:rsidRPr="00A96337">
              <w:rPr>
                <w:rFonts w:ascii="Arial" w:hAnsi="Arial" w:cs="Arial"/>
              </w:rPr>
            </w:r>
            <w:r w:rsidRPr="00A96337">
              <w:rPr>
                <w:rFonts w:ascii="Arial" w:hAnsi="Arial" w:cs="Arial"/>
              </w:rPr>
              <w:fldChar w:fldCharType="separate"/>
            </w:r>
            <w:r w:rsidR="00E06D4A">
              <w:rPr>
                <w:rFonts w:ascii="Arial" w:hAnsi="Arial" w:cs="Arial"/>
                <w:noProof/>
              </w:rPr>
              <w:t>34</w:t>
            </w:r>
            <w:r w:rsidRPr="00A96337">
              <w:rPr>
                <w:rFonts w:ascii="Arial" w:hAnsi="Arial" w:cs="Arial"/>
              </w:rPr>
              <w:fldChar w:fldCharType="end"/>
            </w:r>
          </w:p>
        </w:tc>
      </w:tr>
      <w:tr w:rsidR="004E2326" w:rsidRPr="00A96337" w14:paraId="0559E05F" w14:textId="77777777" w:rsidTr="00FC4BBF">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0E8FD4DB" w14:textId="41EA0D26" w:rsidR="00E744AC" w:rsidRPr="00A96337" w:rsidRDefault="00751939" w:rsidP="00B86FD9">
            <w:pPr>
              <w:pStyle w:val="ListParagraph"/>
              <w:numPr>
                <w:ilvl w:val="1"/>
                <w:numId w:val="24"/>
              </w:numPr>
              <w:rPr>
                <w:b w:val="0"/>
                <w:bCs w:val="0"/>
              </w:rPr>
            </w:pPr>
            <w:r w:rsidRPr="00A96337">
              <w:fldChar w:fldCharType="begin"/>
            </w:r>
            <w:r w:rsidRPr="00A96337">
              <w:rPr>
                <w:b w:val="0"/>
                <w:bCs w:val="0"/>
              </w:rPr>
              <w:instrText xml:space="preserve"> REF _Ref11933135 \h </w:instrText>
            </w:r>
            <w:r w:rsidR="007B7F07" w:rsidRPr="00A96337">
              <w:rPr>
                <w:b w:val="0"/>
                <w:bCs w:val="0"/>
              </w:rPr>
              <w:instrText xml:space="preserve"> \* MERGEFORMAT </w:instrText>
            </w:r>
            <w:r w:rsidRPr="00A96337">
              <w:fldChar w:fldCharType="separate"/>
            </w:r>
            <w:r w:rsidR="00E06D4A" w:rsidRPr="00E06D4A">
              <w:t>Structured MSD capacity development:</w:t>
            </w:r>
            <w:r w:rsidR="00E06D4A" w:rsidRPr="00E06D4A">
              <w:rPr>
                <w:b w:val="0"/>
                <w:bCs w:val="0"/>
              </w:rPr>
              <w:t xml:space="preserve">  The contractor for advisory services should be tasked to support further structured MSD skills development both directly, as well as through staff involvement in organised MSD training, drawing on skills within the INGO teams as well as external advisors and training programs as appropriate. This should concentrate on key management, Results Measurement and Inclusion issues.</w:t>
            </w:r>
            <w:r w:rsidRPr="00A96337">
              <w:fldChar w:fldCharType="end"/>
            </w:r>
            <w:r w:rsidR="00C034BC" w:rsidRPr="00A96337">
              <w:rPr>
                <w:b w:val="0"/>
                <w:bCs w:val="0"/>
              </w:rPr>
              <w:t xml:space="preserve">  </w:t>
            </w:r>
            <w:r w:rsidR="000B65E1" w:rsidRPr="00A96337">
              <w:rPr>
                <w:b w:val="0"/>
                <w:bCs w:val="0"/>
              </w:rPr>
              <w:t>(</w:t>
            </w:r>
            <w:r w:rsidRPr="00A96337">
              <w:fldChar w:fldCharType="begin"/>
            </w:r>
            <w:r w:rsidRPr="00A96337">
              <w:rPr>
                <w:b w:val="0"/>
                <w:bCs w:val="0"/>
              </w:rPr>
              <w:instrText xml:space="preserve"> REF _Ref11933135 \r \h </w:instrText>
            </w:r>
            <w:r w:rsidR="007B7F07" w:rsidRPr="00A96337">
              <w:rPr>
                <w:b w:val="0"/>
                <w:bCs w:val="0"/>
              </w:rPr>
              <w:instrText xml:space="preserve"> \* MERGEFORMAT </w:instrText>
            </w:r>
            <w:r w:rsidRPr="00A96337">
              <w:fldChar w:fldCharType="separate"/>
            </w:r>
            <w:r w:rsidR="00E06D4A">
              <w:rPr>
                <w:b w:val="0"/>
                <w:bCs w:val="0"/>
              </w:rPr>
              <w:t>Recommendation 6</w:t>
            </w:r>
            <w:r w:rsidRPr="00A96337">
              <w:fldChar w:fldCharType="end"/>
            </w:r>
            <w:r w:rsidR="000B65E1" w:rsidRPr="00A96337">
              <w:rPr>
                <w:b w:val="0"/>
                <w:bCs w:val="0"/>
              </w:rPr>
              <w:t>).</w:t>
            </w:r>
          </w:p>
        </w:tc>
        <w:tc>
          <w:tcPr>
            <w:tcW w:w="444" w:type="pct"/>
            <w:shd w:val="clear" w:color="auto" w:fill="auto"/>
          </w:tcPr>
          <w:p w14:paraId="3EE57F85" w14:textId="71E9B3B6" w:rsidR="00E744AC" w:rsidRPr="00A96337" w:rsidRDefault="00751939" w:rsidP="00FC4BB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_Ref11933135 \h </w:instrText>
            </w:r>
            <w:r w:rsidRPr="00A96337">
              <w:rPr>
                <w:rFonts w:ascii="Arial" w:hAnsi="Arial" w:cs="Arial"/>
              </w:rPr>
            </w:r>
            <w:r w:rsidRPr="00A96337">
              <w:rPr>
                <w:rFonts w:ascii="Arial" w:hAnsi="Arial" w:cs="Arial"/>
              </w:rPr>
              <w:fldChar w:fldCharType="separate"/>
            </w:r>
            <w:r w:rsidR="00E06D4A">
              <w:rPr>
                <w:rFonts w:ascii="Arial" w:hAnsi="Arial" w:cs="Arial"/>
                <w:noProof/>
              </w:rPr>
              <w:t>30</w:t>
            </w:r>
            <w:r w:rsidRPr="00A96337">
              <w:rPr>
                <w:rFonts w:ascii="Arial" w:hAnsi="Arial" w:cs="Arial"/>
              </w:rPr>
              <w:fldChar w:fldCharType="end"/>
            </w:r>
          </w:p>
        </w:tc>
      </w:tr>
      <w:tr w:rsidR="004E2326" w:rsidRPr="00A96337" w14:paraId="07B0F630" w14:textId="77777777" w:rsidTr="00FC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640141D3" w14:textId="7F7AB63B" w:rsidR="00E744AC" w:rsidRPr="00A96337" w:rsidRDefault="00AD0C35" w:rsidP="00B86FD9">
            <w:pPr>
              <w:pStyle w:val="ListParagraph"/>
              <w:numPr>
                <w:ilvl w:val="1"/>
                <w:numId w:val="24"/>
              </w:numPr>
              <w:rPr>
                <w:b w:val="0"/>
                <w:bCs w:val="0"/>
                <w:szCs w:val="20"/>
              </w:rPr>
            </w:pPr>
            <w:r w:rsidRPr="00A96337">
              <w:rPr>
                <w:szCs w:val="20"/>
              </w:rPr>
              <w:fldChar w:fldCharType="begin"/>
            </w:r>
            <w:r w:rsidRPr="00A96337">
              <w:rPr>
                <w:b w:val="0"/>
                <w:bCs w:val="0"/>
                <w:szCs w:val="20"/>
              </w:rPr>
              <w:instrText xml:space="preserve"> REF _Ref11933224 \h </w:instrText>
            </w:r>
            <w:r w:rsidR="007B7F07" w:rsidRPr="00A96337">
              <w:rPr>
                <w:b w:val="0"/>
                <w:bCs w:val="0"/>
                <w:szCs w:val="20"/>
              </w:rPr>
              <w:instrText xml:space="preserve"> \* MERGEFORMAT </w:instrText>
            </w:r>
            <w:r w:rsidRPr="00A96337">
              <w:rPr>
                <w:szCs w:val="20"/>
              </w:rPr>
            </w:r>
            <w:r w:rsidRPr="00A96337">
              <w:rPr>
                <w:szCs w:val="20"/>
              </w:rPr>
              <w:fldChar w:fldCharType="separate"/>
            </w:r>
            <w:r w:rsidR="00E06D4A" w:rsidRPr="00E06D4A">
              <w:t xml:space="preserve">AHLD Key Stakeholder Group: </w:t>
            </w:r>
            <w:r w:rsidR="00E06D4A" w:rsidRPr="00E06D4A">
              <w:rPr>
                <w:b w:val="0"/>
                <w:bCs w:val="0"/>
              </w:rPr>
              <w:t>DFAT should adapt the AHLD format. DFAT should retain the conference and exposition format and add a formal half-day meeting of a select Key Stakeholder Group (comprised of appropriate representatives from DFAT, INGOs, the Palestinian Authority, local NGOs, the private sector and producer associations).</w:t>
            </w:r>
            <w:r w:rsidRPr="00A96337">
              <w:rPr>
                <w:szCs w:val="20"/>
              </w:rPr>
              <w:fldChar w:fldCharType="end"/>
            </w:r>
            <w:r w:rsidR="00BB242B" w:rsidRPr="00A96337">
              <w:rPr>
                <w:b w:val="0"/>
                <w:bCs w:val="0"/>
                <w:szCs w:val="20"/>
              </w:rPr>
              <w:t xml:space="preserve">  (</w:t>
            </w:r>
            <w:r w:rsidRPr="00A96337">
              <w:rPr>
                <w:szCs w:val="20"/>
              </w:rPr>
              <w:fldChar w:fldCharType="begin"/>
            </w:r>
            <w:r w:rsidRPr="00A96337">
              <w:rPr>
                <w:b w:val="0"/>
                <w:bCs w:val="0"/>
                <w:szCs w:val="20"/>
              </w:rPr>
              <w:instrText xml:space="preserve"> REF _Ref11933224 \r \h </w:instrText>
            </w:r>
            <w:r w:rsidR="007B7F07" w:rsidRPr="00A96337">
              <w:rPr>
                <w:b w:val="0"/>
                <w:bCs w:val="0"/>
                <w:szCs w:val="20"/>
              </w:rPr>
              <w:instrText xml:space="preserve"> \* MERGEFORMAT </w:instrText>
            </w:r>
            <w:r w:rsidRPr="00A96337">
              <w:rPr>
                <w:szCs w:val="20"/>
              </w:rPr>
            </w:r>
            <w:r w:rsidRPr="00A96337">
              <w:rPr>
                <w:szCs w:val="20"/>
              </w:rPr>
              <w:fldChar w:fldCharType="separate"/>
            </w:r>
            <w:r w:rsidR="00E06D4A">
              <w:rPr>
                <w:b w:val="0"/>
                <w:bCs w:val="0"/>
                <w:szCs w:val="20"/>
              </w:rPr>
              <w:t>Recommendation 8</w:t>
            </w:r>
            <w:r w:rsidRPr="00A96337">
              <w:rPr>
                <w:szCs w:val="20"/>
              </w:rPr>
              <w:fldChar w:fldCharType="end"/>
            </w:r>
            <w:r w:rsidR="00BB242B" w:rsidRPr="00A96337">
              <w:rPr>
                <w:b w:val="0"/>
                <w:bCs w:val="0"/>
                <w:szCs w:val="20"/>
              </w:rPr>
              <w:t>).</w:t>
            </w:r>
          </w:p>
        </w:tc>
        <w:tc>
          <w:tcPr>
            <w:tcW w:w="444" w:type="pct"/>
            <w:shd w:val="clear" w:color="auto" w:fill="auto"/>
          </w:tcPr>
          <w:p w14:paraId="1F472707" w14:textId="2B560D23" w:rsidR="00E744AC" w:rsidRPr="00A96337" w:rsidRDefault="00AD0C35" w:rsidP="00FC4BB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_Ref11933224 \h </w:instrText>
            </w:r>
            <w:r w:rsidRPr="00A96337">
              <w:rPr>
                <w:rFonts w:ascii="Arial" w:hAnsi="Arial" w:cs="Arial"/>
              </w:rPr>
            </w:r>
            <w:r w:rsidRPr="00A96337">
              <w:rPr>
                <w:rFonts w:ascii="Arial" w:hAnsi="Arial" w:cs="Arial"/>
              </w:rPr>
              <w:fldChar w:fldCharType="separate"/>
            </w:r>
            <w:r w:rsidR="00E06D4A">
              <w:rPr>
                <w:rFonts w:ascii="Arial" w:hAnsi="Arial" w:cs="Arial"/>
                <w:noProof/>
              </w:rPr>
              <w:t>36</w:t>
            </w:r>
            <w:r w:rsidRPr="00A96337">
              <w:rPr>
                <w:rFonts w:ascii="Arial" w:hAnsi="Arial" w:cs="Arial"/>
              </w:rPr>
              <w:fldChar w:fldCharType="end"/>
            </w:r>
          </w:p>
        </w:tc>
      </w:tr>
      <w:tr w:rsidR="004E2326" w:rsidRPr="00A96337" w14:paraId="10C768EA" w14:textId="77777777" w:rsidTr="00FC4BBF">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2AE13D38" w14:textId="3C6392A1" w:rsidR="00E744AC" w:rsidRPr="00A96337" w:rsidRDefault="005D36E0" w:rsidP="00B86FD9">
            <w:pPr>
              <w:pStyle w:val="ListParagraph"/>
              <w:numPr>
                <w:ilvl w:val="1"/>
                <w:numId w:val="24"/>
              </w:numPr>
              <w:rPr>
                <w:b w:val="0"/>
                <w:bCs w:val="0"/>
                <w:szCs w:val="20"/>
              </w:rPr>
            </w:pPr>
            <w:r w:rsidRPr="00A96337">
              <w:rPr>
                <w:szCs w:val="20"/>
              </w:rPr>
              <w:fldChar w:fldCharType="begin"/>
            </w:r>
            <w:r w:rsidRPr="00A96337">
              <w:rPr>
                <w:b w:val="0"/>
                <w:bCs w:val="0"/>
                <w:szCs w:val="20"/>
              </w:rPr>
              <w:instrText xml:space="preserve"> REF _Ref8898804 \h </w:instrText>
            </w:r>
            <w:r w:rsidR="007B7F07" w:rsidRPr="00A96337">
              <w:rPr>
                <w:b w:val="0"/>
                <w:bCs w:val="0"/>
                <w:szCs w:val="20"/>
              </w:rPr>
              <w:instrText xml:space="preserve"> \* MERGEFORMAT </w:instrText>
            </w:r>
            <w:r w:rsidRPr="00A96337">
              <w:rPr>
                <w:szCs w:val="20"/>
              </w:rPr>
            </w:r>
            <w:r w:rsidRPr="00A96337">
              <w:rPr>
                <w:szCs w:val="20"/>
              </w:rPr>
              <w:fldChar w:fldCharType="separate"/>
            </w:r>
            <w:r w:rsidR="00E06D4A" w:rsidRPr="00E06D4A">
              <w:t xml:space="preserve">Community of Practice: </w:t>
            </w:r>
            <w:r w:rsidR="00E06D4A" w:rsidRPr="00E06D4A">
              <w:rPr>
                <w:b w:val="0"/>
                <w:bCs w:val="0"/>
              </w:rPr>
              <w:t>Australia could work with other donors to form or strengthen a Market Systems Development working group or sub-group to harmonise donor efforts and share good practice across the development community in the Palestinian Territories.</w:t>
            </w:r>
            <w:r w:rsidRPr="00A96337">
              <w:rPr>
                <w:szCs w:val="20"/>
              </w:rPr>
              <w:fldChar w:fldCharType="end"/>
            </w:r>
            <w:r w:rsidR="00C034BC" w:rsidRPr="00A96337">
              <w:rPr>
                <w:b w:val="0"/>
                <w:bCs w:val="0"/>
                <w:szCs w:val="20"/>
              </w:rPr>
              <w:t xml:space="preserve">  (</w:t>
            </w:r>
            <w:r w:rsidRPr="00A96337">
              <w:rPr>
                <w:szCs w:val="20"/>
              </w:rPr>
              <w:fldChar w:fldCharType="begin"/>
            </w:r>
            <w:r w:rsidRPr="00A96337">
              <w:rPr>
                <w:b w:val="0"/>
                <w:bCs w:val="0"/>
                <w:szCs w:val="20"/>
              </w:rPr>
              <w:instrText xml:space="preserve"> REF _Ref8898804 \r \h </w:instrText>
            </w:r>
            <w:r w:rsidR="007B7F07" w:rsidRPr="00A96337">
              <w:rPr>
                <w:b w:val="0"/>
                <w:bCs w:val="0"/>
                <w:szCs w:val="20"/>
              </w:rPr>
              <w:instrText xml:space="preserve"> \* MERGEFORMAT </w:instrText>
            </w:r>
            <w:r w:rsidRPr="00A96337">
              <w:rPr>
                <w:szCs w:val="20"/>
              </w:rPr>
            </w:r>
            <w:r w:rsidRPr="00A96337">
              <w:rPr>
                <w:szCs w:val="20"/>
              </w:rPr>
              <w:fldChar w:fldCharType="separate"/>
            </w:r>
            <w:r w:rsidR="00E06D4A">
              <w:rPr>
                <w:b w:val="0"/>
                <w:bCs w:val="0"/>
                <w:szCs w:val="20"/>
              </w:rPr>
              <w:t>Recommendation 9</w:t>
            </w:r>
            <w:r w:rsidRPr="00A96337">
              <w:rPr>
                <w:szCs w:val="20"/>
              </w:rPr>
              <w:fldChar w:fldCharType="end"/>
            </w:r>
            <w:r w:rsidR="00C034BC" w:rsidRPr="00A96337">
              <w:rPr>
                <w:b w:val="0"/>
                <w:bCs w:val="0"/>
                <w:szCs w:val="20"/>
              </w:rPr>
              <w:t>).</w:t>
            </w:r>
          </w:p>
        </w:tc>
        <w:tc>
          <w:tcPr>
            <w:tcW w:w="444" w:type="pct"/>
            <w:shd w:val="clear" w:color="auto" w:fill="auto"/>
          </w:tcPr>
          <w:p w14:paraId="1DF66683" w14:textId="4CA7DE33" w:rsidR="00E744AC" w:rsidRPr="00A96337" w:rsidRDefault="005D36E0" w:rsidP="00FC4BB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_Ref8898804 \h </w:instrText>
            </w:r>
            <w:r w:rsidRPr="00A96337">
              <w:rPr>
                <w:rFonts w:ascii="Arial" w:hAnsi="Arial" w:cs="Arial"/>
              </w:rPr>
            </w:r>
            <w:r w:rsidRPr="00A96337">
              <w:rPr>
                <w:rFonts w:ascii="Arial" w:hAnsi="Arial" w:cs="Arial"/>
              </w:rPr>
              <w:fldChar w:fldCharType="separate"/>
            </w:r>
            <w:r w:rsidR="00E06D4A">
              <w:rPr>
                <w:rFonts w:ascii="Arial" w:hAnsi="Arial" w:cs="Arial"/>
                <w:noProof/>
              </w:rPr>
              <w:t>37</w:t>
            </w:r>
            <w:r w:rsidRPr="00A96337">
              <w:rPr>
                <w:rFonts w:ascii="Arial" w:hAnsi="Arial" w:cs="Arial"/>
              </w:rPr>
              <w:fldChar w:fldCharType="end"/>
            </w:r>
          </w:p>
        </w:tc>
      </w:tr>
      <w:tr w:rsidR="004E2326" w:rsidRPr="00A96337" w14:paraId="63BAE2BF" w14:textId="77777777" w:rsidTr="00FC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4D108AC2" w14:textId="3DEFAD64" w:rsidR="00E744AC" w:rsidRPr="00A96337" w:rsidRDefault="00BB05C1" w:rsidP="00AE1954">
            <w:pPr>
              <w:pStyle w:val="ListParagraph"/>
              <w:numPr>
                <w:ilvl w:val="1"/>
                <w:numId w:val="24"/>
              </w:numPr>
              <w:rPr>
                <w:b w:val="0"/>
                <w:bCs w:val="0"/>
              </w:rPr>
            </w:pPr>
            <w:r w:rsidRPr="00AE1954">
              <w:fldChar w:fldCharType="begin"/>
            </w:r>
            <w:r w:rsidRPr="00A96337">
              <w:rPr>
                <w:b w:val="0"/>
                <w:bCs w:val="0"/>
              </w:rPr>
              <w:instrText xml:space="preserve"> REF _Ref11933298 \h </w:instrText>
            </w:r>
            <w:r w:rsidR="007B7F07" w:rsidRPr="00A96337">
              <w:rPr>
                <w:b w:val="0"/>
                <w:bCs w:val="0"/>
              </w:rPr>
              <w:instrText xml:space="preserve"> \* MERGEFORMAT </w:instrText>
            </w:r>
            <w:r w:rsidRPr="00AE1954">
              <w:fldChar w:fldCharType="separate"/>
            </w:r>
            <w:r w:rsidR="00E06D4A" w:rsidRPr="00E06D4A">
              <w:rPr>
                <w:b w:val="0"/>
                <w:bCs w:val="0"/>
              </w:rPr>
              <w:t>Improve communications arrangements: NGO partners should ensure they follow DFAT’s communications and branding policies and processes to ensure cross program lessons and outcomes are properly communicated and that Australia’s contribution is appropriately acknowledged.  Any future contract amendment with the INGOs should include the provision of regular publishable social media or other communications content that exemplifies the strong results seen in the field.</w:t>
            </w:r>
            <w:r w:rsidRPr="00AE1954">
              <w:fldChar w:fldCharType="end"/>
            </w:r>
            <w:r w:rsidR="00BB242B" w:rsidRPr="00A96337">
              <w:rPr>
                <w:b w:val="0"/>
                <w:bCs w:val="0"/>
              </w:rPr>
              <w:t xml:space="preserve">  (</w:t>
            </w:r>
            <w:r w:rsidRPr="00AE1954">
              <w:fldChar w:fldCharType="begin"/>
            </w:r>
            <w:r w:rsidRPr="00A96337">
              <w:rPr>
                <w:b w:val="0"/>
                <w:bCs w:val="0"/>
              </w:rPr>
              <w:instrText xml:space="preserve"> REF _Ref11933298 \r \h </w:instrText>
            </w:r>
            <w:r w:rsidR="007B7F07" w:rsidRPr="00A96337">
              <w:rPr>
                <w:b w:val="0"/>
                <w:bCs w:val="0"/>
              </w:rPr>
              <w:instrText xml:space="preserve"> \* MERGEFORMAT </w:instrText>
            </w:r>
            <w:r w:rsidRPr="00AE1954">
              <w:fldChar w:fldCharType="separate"/>
            </w:r>
            <w:r w:rsidR="00E06D4A">
              <w:rPr>
                <w:b w:val="0"/>
                <w:bCs w:val="0"/>
              </w:rPr>
              <w:t>Recommendation 10</w:t>
            </w:r>
            <w:r w:rsidRPr="00AE1954">
              <w:fldChar w:fldCharType="end"/>
            </w:r>
            <w:r w:rsidR="00BB242B" w:rsidRPr="00A96337">
              <w:rPr>
                <w:b w:val="0"/>
                <w:bCs w:val="0"/>
              </w:rPr>
              <w:t>).</w:t>
            </w:r>
          </w:p>
        </w:tc>
        <w:tc>
          <w:tcPr>
            <w:tcW w:w="444" w:type="pct"/>
            <w:shd w:val="clear" w:color="auto" w:fill="auto"/>
          </w:tcPr>
          <w:p w14:paraId="0EA825B2" w14:textId="3D5490DD" w:rsidR="00E744AC" w:rsidRPr="00A96337" w:rsidRDefault="00BB05C1" w:rsidP="00FC4BB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_Ref11933298 \h </w:instrText>
            </w:r>
            <w:r w:rsidRPr="00A96337">
              <w:rPr>
                <w:rFonts w:ascii="Arial" w:hAnsi="Arial" w:cs="Arial"/>
              </w:rPr>
            </w:r>
            <w:r w:rsidRPr="00A96337">
              <w:rPr>
                <w:rFonts w:ascii="Arial" w:hAnsi="Arial" w:cs="Arial"/>
              </w:rPr>
              <w:fldChar w:fldCharType="separate"/>
            </w:r>
            <w:r w:rsidR="00E06D4A">
              <w:rPr>
                <w:rFonts w:ascii="Arial" w:hAnsi="Arial" w:cs="Arial"/>
                <w:noProof/>
              </w:rPr>
              <w:t>37</w:t>
            </w:r>
            <w:r w:rsidRPr="00A96337">
              <w:rPr>
                <w:rFonts w:ascii="Arial" w:hAnsi="Arial" w:cs="Arial"/>
              </w:rPr>
              <w:fldChar w:fldCharType="end"/>
            </w:r>
          </w:p>
        </w:tc>
      </w:tr>
      <w:tr w:rsidR="004E2326" w:rsidRPr="00A96337" w14:paraId="53F110F4" w14:textId="77777777" w:rsidTr="00FC4BBF">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1399A55D" w14:textId="4CAED02F" w:rsidR="00E744AC" w:rsidRPr="00A96337" w:rsidRDefault="000C2FA7" w:rsidP="00B86FD9">
            <w:pPr>
              <w:pStyle w:val="ListParagraph"/>
              <w:numPr>
                <w:ilvl w:val="1"/>
                <w:numId w:val="24"/>
              </w:numPr>
              <w:rPr>
                <w:b w:val="0"/>
                <w:bCs w:val="0"/>
                <w:szCs w:val="20"/>
              </w:rPr>
            </w:pPr>
            <w:r w:rsidRPr="00AE1954">
              <w:fldChar w:fldCharType="begin"/>
            </w:r>
            <w:r w:rsidRPr="00AE1954">
              <w:rPr>
                <w:b w:val="0"/>
                <w:bCs w:val="0"/>
              </w:rPr>
              <w:instrText xml:space="preserve"> REF _Ref8903058 \h </w:instrText>
            </w:r>
            <w:r w:rsidR="007B7F07" w:rsidRPr="00AE1954">
              <w:rPr>
                <w:b w:val="0"/>
                <w:bCs w:val="0"/>
              </w:rPr>
              <w:instrText xml:space="preserve"> \* MERGEFORMAT </w:instrText>
            </w:r>
            <w:r w:rsidRPr="00AE1954">
              <w:fldChar w:fldCharType="separate"/>
            </w:r>
            <w:r w:rsidR="00E06D4A" w:rsidRPr="00E06D4A">
              <w:rPr>
                <w:b w:val="0"/>
                <w:bCs w:val="0"/>
              </w:rPr>
              <w:t>Consistent poverty and gender analysis to inform interventions: Enhance GESI advisory skills to work with the INGO partners to undertake a rigorous poverty and gender analysis for all existing and future interventions, to ensure that at least 50% of beneficiaries in each intervention are poor and/or small-scale producers and that gender norms and risks are explicit and visible in market studies and the design of interventions. Gender analysis should be more holistic and focus on identifying and valuing gender patterns within the market in addition to counting women’s participation.</w:t>
            </w:r>
            <w:r w:rsidRPr="00AE1954">
              <w:fldChar w:fldCharType="end"/>
            </w:r>
            <w:r w:rsidR="00BB242B" w:rsidRPr="00AE1954">
              <w:rPr>
                <w:b w:val="0"/>
                <w:bCs w:val="0"/>
              </w:rPr>
              <w:t xml:space="preserve">  (</w:t>
            </w:r>
            <w:r w:rsidRPr="00A96337">
              <w:rPr>
                <w:szCs w:val="20"/>
              </w:rPr>
              <w:fldChar w:fldCharType="begin"/>
            </w:r>
            <w:r w:rsidRPr="00A96337">
              <w:rPr>
                <w:b w:val="0"/>
                <w:bCs w:val="0"/>
                <w:szCs w:val="20"/>
              </w:rPr>
              <w:instrText xml:space="preserve"> REF _Ref8903058 \r \h </w:instrText>
            </w:r>
            <w:r w:rsidR="007B7F07" w:rsidRPr="00A96337">
              <w:rPr>
                <w:b w:val="0"/>
                <w:bCs w:val="0"/>
                <w:szCs w:val="20"/>
              </w:rPr>
              <w:instrText xml:space="preserve"> \* MERGEFORMAT </w:instrText>
            </w:r>
            <w:r w:rsidRPr="00A96337">
              <w:rPr>
                <w:szCs w:val="20"/>
              </w:rPr>
            </w:r>
            <w:r w:rsidRPr="00A96337">
              <w:rPr>
                <w:szCs w:val="20"/>
              </w:rPr>
              <w:fldChar w:fldCharType="separate"/>
            </w:r>
            <w:r w:rsidR="00E06D4A">
              <w:rPr>
                <w:b w:val="0"/>
                <w:bCs w:val="0"/>
                <w:szCs w:val="20"/>
              </w:rPr>
              <w:t>Recommendation 15</w:t>
            </w:r>
            <w:r w:rsidRPr="00A96337">
              <w:rPr>
                <w:szCs w:val="20"/>
              </w:rPr>
              <w:fldChar w:fldCharType="end"/>
            </w:r>
            <w:r w:rsidR="00BB242B" w:rsidRPr="00A96337">
              <w:rPr>
                <w:b w:val="0"/>
                <w:bCs w:val="0"/>
                <w:szCs w:val="20"/>
              </w:rPr>
              <w:t>).</w:t>
            </w:r>
          </w:p>
        </w:tc>
        <w:tc>
          <w:tcPr>
            <w:tcW w:w="444" w:type="pct"/>
            <w:shd w:val="clear" w:color="auto" w:fill="auto"/>
          </w:tcPr>
          <w:p w14:paraId="08698A73" w14:textId="5A9FE057" w:rsidR="00E744AC" w:rsidRPr="00A96337" w:rsidRDefault="000C2FA7" w:rsidP="00FC4BB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_Ref8903058 \h </w:instrText>
            </w:r>
            <w:r w:rsidRPr="00A96337">
              <w:rPr>
                <w:rFonts w:ascii="Arial" w:hAnsi="Arial" w:cs="Arial"/>
              </w:rPr>
            </w:r>
            <w:r w:rsidRPr="00A96337">
              <w:rPr>
                <w:rFonts w:ascii="Arial" w:hAnsi="Arial" w:cs="Arial"/>
              </w:rPr>
              <w:fldChar w:fldCharType="separate"/>
            </w:r>
            <w:r w:rsidR="00E06D4A">
              <w:rPr>
                <w:rFonts w:ascii="Arial" w:hAnsi="Arial" w:cs="Arial"/>
                <w:noProof/>
              </w:rPr>
              <w:t>45</w:t>
            </w:r>
            <w:r w:rsidRPr="00A96337">
              <w:rPr>
                <w:rFonts w:ascii="Arial" w:hAnsi="Arial" w:cs="Arial"/>
              </w:rPr>
              <w:fldChar w:fldCharType="end"/>
            </w:r>
          </w:p>
        </w:tc>
      </w:tr>
      <w:tr w:rsidR="004E2326" w:rsidRPr="00A96337" w14:paraId="06BF1910" w14:textId="77777777" w:rsidTr="00FC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pct"/>
            <w:shd w:val="clear" w:color="auto" w:fill="F2F2F2" w:themeFill="background1" w:themeFillShade="F2"/>
          </w:tcPr>
          <w:p w14:paraId="62243CCD" w14:textId="77777777" w:rsidR="00E744AC" w:rsidRPr="00A96337" w:rsidRDefault="00E744AC" w:rsidP="00B86FD9">
            <w:pPr>
              <w:pStyle w:val="ListParagraph"/>
              <w:numPr>
                <w:ilvl w:val="0"/>
                <w:numId w:val="24"/>
              </w:numPr>
            </w:pPr>
            <w:r w:rsidRPr="00A96337">
              <w:t xml:space="preserve">Pivot practice within existing interventions and approaches </w:t>
            </w:r>
          </w:p>
        </w:tc>
        <w:tc>
          <w:tcPr>
            <w:tcW w:w="444" w:type="pct"/>
            <w:shd w:val="clear" w:color="auto" w:fill="F2F2F2" w:themeFill="background1" w:themeFillShade="F2"/>
          </w:tcPr>
          <w:p w14:paraId="233D6E59" w14:textId="77777777" w:rsidR="00E744AC" w:rsidRPr="00A96337" w:rsidRDefault="00E744AC" w:rsidP="00FC4BB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4E2326" w:rsidRPr="00A96337" w14:paraId="12D48721" w14:textId="77777777" w:rsidTr="00FC4BBF">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6C312E49" w14:textId="0CA713FD" w:rsidR="00E744AC" w:rsidRPr="00A96337" w:rsidRDefault="000C2FA7" w:rsidP="00B86FD9">
            <w:pPr>
              <w:pStyle w:val="ListParagraph"/>
              <w:numPr>
                <w:ilvl w:val="1"/>
                <w:numId w:val="24"/>
              </w:numPr>
              <w:rPr>
                <w:b w:val="0"/>
                <w:bCs w:val="0"/>
                <w:szCs w:val="20"/>
              </w:rPr>
            </w:pPr>
            <w:r w:rsidRPr="00A96337">
              <w:rPr>
                <w:szCs w:val="20"/>
              </w:rPr>
              <w:fldChar w:fldCharType="begin"/>
            </w:r>
            <w:r w:rsidRPr="00A96337">
              <w:rPr>
                <w:b w:val="0"/>
                <w:bCs w:val="0"/>
                <w:szCs w:val="20"/>
              </w:rPr>
              <w:instrText xml:space="preserve"> REF _Ref11933403 \h </w:instrText>
            </w:r>
            <w:r w:rsidR="007B7F07" w:rsidRPr="00A96337">
              <w:rPr>
                <w:b w:val="0"/>
                <w:bCs w:val="0"/>
                <w:szCs w:val="20"/>
              </w:rPr>
              <w:instrText xml:space="preserve"> \* MERGEFORMAT </w:instrText>
            </w:r>
            <w:r w:rsidRPr="00A96337">
              <w:rPr>
                <w:szCs w:val="20"/>
              </w:rPr>
            </w:r>
            <w:r w:rsidRPr="00A96337">
              <w:rPr>
                <w:szCs w:val="20"/>
              </w:rPr>
              <w:fldChar w:fldCharType="separate"/>
            </w:r>
            <w:r w:rsidR="00E06D4A" w:rsidRPr="00E06D4A">
              <w:t>Better capture results:</w:t>
            </w:r>
            <w:r w:rsidR="00E06D4A" w:rsidRPr="00E06D4A">
              <w:rPr>
                <w:b w:val="0"/>
                <w:bCs w:val="0"/>
              </w:rPr>
              <w:t xml:space="preserve">  Complement the current high-level aggregate results reporting with a deeper emphasis on monitoring and results measurement (MRM) including processes for formal review, reflection, learning and adaptation. AMENCA 3 should enhance the capacity and consistency with which MRM is used across the program.  AMENCA 3’s current M&amp;E Advisor should be complemented with enhanced inputs from an MRM specialist to help the projects and the program capture results pertaining to ‘indirect’ market systems impacts (such as copying and crowding), women’s economic empowerment and agency, civil society strengthening and – to the degree possible – systemic change.  AMENCA 3 should revise its program level targets and indicators to better monitor and understand social outcomes, including differences in outcomes for men and women in communities.</w:t>
            </w:r>
            <w:r w:rsidRPr="00A96337">
              <w:rPr>
                <w:szCs w:val="20"/>
              </w:rPr>
              <w:fldChar w:fldCharType="end"/>
            </w:r>
            <w:r w:rsidR="00BB242B" w:rsidRPr="00A96337">
              <w:rPr>
                <w:b w:val="0"/>
                <w:bCs w:val="0"/>
                <w:szCs w:val="20"/>
              </w:rPr>
              <w:t xml:space="preserve">  (</w:t>
            </w:r>
            <w:r w:rsidRPr="00A96337">
              <w:rPr>
                <w:szCs w:val="20"/>
              </w:rPr>
              <w:fldChar w:fldCharType="begin"/>
            </w:r>
            <w:r w:rsidRPr="00A96337">
              <w:rPr>
                <w:b w:val="0"/>
                <w:bCs w:val="0"/>
                <w:szCs w:val="20"/>
              </w:rPr>
              <w:instrText xml:space="preserve"> REF _Ref11933403 \r \h </w:instrText>
            </w:r>
            <w:r w:rsidR="007B7F07" w:rsidRPr="00A96337">
              <w:rPr>
                <w:b w:val="0"/>
                <w:bCs w:val="0"/>
                <w:szCs w:val="20"/>
              </w:rPr>
              <w:instrText xml:space="preserve"> \* MERGEFORMAT </w:instrText>
            </w:r>
            <w:r w:rsidRPr="00A96337">
              <w:rPr>
                <w:szCs w:val="20"/>
              </w:rPr>
            </w:r>
            <w:r w:rsidRPr="00A96337">
              <w:rPr>
                <w:szCs w:val="20"/>
              </w:rPr>
              <w:fldChar w:fldCharType="separate"/>
            </w:r>
            <w:r w:rsidR="00E06D4A">
              <w:rPr>
                <w:b w:val="0"/>
                <w:bCs w:val="0"/>
                <w:szCs w:val="20"/>
              </w:rPr>
              <w:t>Recommendation 12</w:t>
            </w:r>
            <w:r w:rsidRPr="00A96337">
              <w:rPr>
                <w:szCs w:val="20"/>
              </w:rPr>
              <w:fldChar w:fldCharType="end"/>
            </w:r>
            <w:r w:rsidR="00BB242B" w:rsidRPr="00A96337">
              <w:rPr>
                <w:b w:val="0"/>
                <w:bCs w:val="0"/>
                <w:szCs w:val="20"/>
              </w:rPr>
              <w:t>).</w:t>
            </w:r>
          </w:p>
        </w:tc>
        <w:tc>
          <w:tcPr>
            <w:tcW w:w="444" w:type="pct"/>
            <w:shd w:val="clear" w:color="auto" w:fill="auto"/>
          </w:tcPr>
          <w:p w14:paraId="35C99E8E" w14:textId="73105202" w:rsidR="00E744AC" w:rsidRPr="00A96337" w:rsidRDefault="000C2FA7" w:rsidP="00FC4BB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_Ref11933403 \h </w:instrText>
            </w:r>
            <w:r w:rsidRPr="00A96337">
              <w:rPr>
                <w:rFonts w:ascii="Arial" w:hAnsi="Arial" w:cs="Arial"/>
              </w:rPr>
            </w:r>
            <w:r w:rsidRPr="00A96337">
              <w:rPr>
                <w:rFonts w:ascii="Arial" w:hAnsi="Arial" w:cs="Arial"/>
              </w:rPr>
              <w:fldChar w:fldCharType="separate"/>
            </w:r>
            <w:r w:rsidR="00E06D4A">
              <w:rPr>
                <w:rFonts w:ascii="Arial" w:hAnsi="Arial" w:cs="Arial"/>
                <w:noProof/>
              </w:rPr>
              <w:t>40</w:t>
            </w:r>
            <w:r w:rsidRPr="00A96337">
              <w:rPr>
                <w:rFonts w:ascii="Arial" w:hAnsi="Arial" w:cs="Arial"/>
              </w:rPr>
              <w:fldChar w:fldCharType="end"/>
            </w:r>
          </w:p>
        </w:tc>
      </w:tr>
      <w:tr w:rsidR="004E2326" w:rsidRPr="00A96337" w14:paraId="6BC6C7FE" w14:textId="77777777" w:rsidTr="00FC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7E50B2C9" w14:textId="0B6D49A9" w:rsidR="00E744AC" w:rsidRPr="00A96337" w:rsidRDefault="000C2FA7" w:rsidP="00AE1954">
            <w:pPr>
              <w:pStyle w:val="ListParagraph"/>
              <w:numPr>
                <w:ilvl w:val="1"/>
                <w:numId w:val="24"/>
              </w:numPr>
              <w:rPr>
                <w:b w:val="0"/>
                <w:bCs w:val="0"/>
                <w:szCs w:val="20"/>
              </w:rPr>
            </w:pPr>
            <w:r w:rsidRPr="00A96337">
              <w:rPr>
                <w:szCs w:val="20"/>
              </w:rPr>
              <w:fldChar w:fldCharType="begin"/>
            </w:r>
            <w:r w:rsidRPr="00A96337">
              <w:rPr>
                <w:b w:val="0"/>
                <w:bCs w:val="0"/>
                <w:szCs w:val="20"/>
              </w:rPr>
              <w:instrText xml:space="preserve"> REF _Ref11933451 \h </w:instrText>
            </w:r>
            <w:r w:rsidR="007B7F07" w:rsidRPr="00A96337">
              <w:rPr>
                <w:b w:val="0"/>
                <w:bCs w:val="0"/>
                <w:szCs w:val="20"/>
              </w:rPr>
              <w:instrText xml:space="preserve"> \* MERGEFORMAT </w:instrText>
            </w:r>
            <w:r w:rsidRPr="00A96337">
              <w:rPr>
                <w:szCs w:val="20"/>
              </w:rPr>
            </w:r>
            <w:r w:rsidRPr="00A96337">
              <w:rPr>
                <w:szCs w:val="20"/>
              </w:rPr>
              <w:fldChar w:fldCharType="separate"/>
            </w:r>
            <w:r w:rsidR="00E06D4A" w:rsidRPr="00E06D4A">
              <w:t>Address exclusion:</w:t>
            </w:r>
            <w:r w:rsidR="00E06D4A" w:rsidRPr="00E06D4A">
              <w:rPr>
                <w:b w:val="0"/>
                <w:bCs w:val="0"/>
              </w:rPr>
              <w:t xml:space="preserve">  New GESI adviser to work with NGOs to conduct consistent and careful assessments of who is being excluded from markets because of gender, age, ethnicity, disability, or cultural reasons by undertaking household level analysis, followed by a focus of efforts on removing barriers and finding ways of fostering culturally sensitive ways for more inclusive and equitable markets.  Monitoring should also consider how gender norms and patterns are a risk to effective value chain and market effectiveness.</w:t>
            </w:r>
            <w:r w:rsidRPr="00A96337">
              <w:rPr>
                <w:szCs w:val="20"/>
              </w:rPr>
              <w:fldChar w:fldCharType="end"/>
            </w:r>
            <w:r w:rsidR="00BB242B" w:rsidRPr="00A96337">
              <w:rPr>
                <w:b w:val="0"/>
                <w:bCs w:val="0"/>
                <w:szCs w:val="20"/>
              </w:rPr>
              <w:t xml:space="preserve">  (</w:t>
            </w:r>
            <w:r w:rsidRPr="00A96337">
              <w:rPr>
                <w:szCs w:val="20"/>
              </w:rPr>
              <w:fldChar w:fldCharType="begin"/>
            </w:r>
            <w:r w:rsidRPr="00A96337">
              <w:rPr>
                <w:b w:val="0"/>
                <w:bCs w:val="0"/>
                <w:szCs w:val="20"/>
              </w:rPr>
              <w:instrText xml:space="preserve"> REF _Ref11933451 \r \h </w:instrText>
            </w:r>
            <w:r w:rsidR="007B7F07" w:rsidRPr="00A96337">
              <w:rPr>
                <w:b w:val="0"/>
                <w:bCs w:val="0"/>
                <w:szCs w:val="20"/>
              </w:rPr>
              <w:instrText xml:space="preserve"> \* MERGEFORMAT </w:instrText>
            </w:r>
            <w:r w:rsidRPr="00A96337">
              <w:rPr>
                <w:szCs w:val="20"/>
              </w:rPr>
            </w:r>
            <w:r w:rsidRPr="00A96337">
              <w:rPr>
                <w:szCs w:val="20"/>
              </w:rPr>
              <w:fldChar w:fldCharType="separate"/>
            </w:r>
            <w:r w:rsidR="00E06D4A">
              <w:rPr>
                <w:b w:val="0"/>
                <w:bCs w:val="0"/>
                <w:szCs w:val="20"/>
              </w:rPr>
              <w:t>Recommendation 16</w:t>
            </w:r>
            <w:r w:rsidRPr="00A96337">
              <w:rPr>
                <w:szCs w:val="20"/>
              </w:rPr>
              <w:fldChar w:fldCharType="end"/>
            </w:r>
            <w:r w:rsidR="00BB242B" w:rsidRPr="00A96337">
              <w:rPr>
                <w:b w:val="0"/>
                <w:bCs w:val="0"/>
                <w:szCs w:val="20"/>
              </w:rPr>
              <w:t>).</w:t>
            </w:r>
          </w:p>
        </w:tc>
        <w:tc>
          <w:tcPr>
            <w:tcW w:w="444" w:type="pct"/>
            <w:shd w:val="clear" w:color="auto" w:fill="auto"/>
          </w:tcPr>
          <w:p w14:paraId="78E7B2E4" w14:textId="3A4B2A8F" w:rsidR="00E744AC" w:rsidRPr="00A96337" w:rsidRDefault="000C2FA7" w:rsidP="00FC4BB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_Ref11933451 \h </w:instrText>
            </w:r>
            <w:r w:rsidRPr="00A96337">
              <w:rPr>
                <w:rFonts w:ascii="Arial" w:hAnsi="Arial" w:cs="Arial"/>
              </w:rPr>
            </w:r>
            <w:r w:rsidRPr="00A96337">
              <w:rPr>
                <w:rFonts w:ascii="Arial" w:hAnsi="Arial" w:cs="Arial"/>
              </w:rPr>
              <w:fldChar w:fldCharType="separate"/>
            </w:r>
            <w:r w:rsidR="00E06D4A">
              <w:rPr>
                <w:rFonts w:ascii="Arial" w:hAnsi="Arial" w:cs="Arial"/>
                <w:noProof/>
              </w:rPr>
              <w:t>46</w:t>
            </w:r>
            <w:r w:rsidRPr="00A96337">
              <w:rPr>
                <w:rFonts w:ascii="Arial" w:hAnsi="Arial" w:cs="Arial"/>
              </w:rPr>
              <w:fldChar w:fldCharType="end"/>
            </w:r>
          </w:p>
        </w:tc>
      </w:tr>
      <w:tr w:rsidR="004E2326" w:rsidRPr="00A96337" w14:paraId="6D806B3C" w14:textId="77777777" w:rsidTr="00FC4BBF">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43F33C28" w14:textId="53F4ACDA" w:rsidR="00E744AC" w:rsidRPr="00A96337" w:rsidRDefault="007B7F07" w:rsidP="00B86FD9">
            <w:pPr>
              <w:pStyle w:val="ListParagraph"/>
              <w:numPr>
                <w:ilvl w:val="1"/>
                <w:numId w:val="24"/>
              </w:numPr>
              <w:rPr>
                <w:b w:val="0"/>
                <w:bCs w:val="0"/>
              </w:rPr>
            </w:pPr>
            <w:r w:rsidRPr="00A96337">
              <w:fldChar w:fldCharType="begin"/>
            </w:r>
            <w:r w:rsidRPr="00A96337">
              <w:rPr>
                <w:b w:val="0"/>
                <w:bCs w:val="0"/>
              </w:rPr>
              <w:instrText xml:space="preserve"> REF _Ref11933515 \h  \* MERGEFORMAT </w:instrText>
            </w:r>
            <w:r w:rsidRPr="00A96337">
              <w:fldChar w:fldCharType="separate"/>
            </w:r>
            <w:r w:rsidR="00E06D4A" w:rsidRPr="00E06D4A">
              <w:t xml:space="preserve">Encourage exit from underperforming interventions: </w:t>
            </w:r>
            <w:r w:rsidR="00E06D4A" w:rsidRPr="00E06D4A">
              <w:rPr>
                <w:b w:val="0"/>
                <w:bCs w:val="0"/>
              </w:rPr>
              <w:t>Each AMENCA 3 NGO Consortium should undertake quarterly intervention reviews to track progress against expected</w:t>
            </w:r>
            <w:r w:rsidR="00E06D4A" w:rsidRPr="00E06D4A" w:rsidDel="00C21C59">
              <w:rPr>
                <w:b w:val="0"/>
                <w:bCs w:val="0"/>
              </w:rPr>
              <w:t xml:space="preserve"> </w:t>
            </w:r>
            <w:r w:rsidR="00E06D4A" w:rsidRPr="00E06D4A">
              <w:rPr>
                <w:b w:val="0"/>
                <w:bCs w:val="0"/>
              </w:rPr>
              <w:t>results. Where partners are underperforming or where assumptions underpinning the results chain are found to be invalid, or where changes have no chance to scale further, the Consortium should consider withdrawing from the intervention.  Decisions about whether to continue or exit from an intervention should be reviewed by the AHLD Key Stakeholder Group (or similar).</w:t>
            </w:r>
            <w:r w:rsidRPr="00A96337">
              <w:fldChar w:fldCharType="end"/>
            </w:r>
            <w:r w:rsidR="00BB242B" w:rsidRPr="00A96337">
              <w:rPr>
                <w:b w:val="0"/>
                <w:bCs w:val="0"/>
              </w:rPr>
              <w:t xml:space="preserve">  (</w:t>
            </w:r>
            <w:r w:rsidRPr="00A96337">
              <w:fldChar w:fldCharType="begin"/>
            </w:r>
            <w:r w:rsidRPr="00A96337">
              <w:rPr>
                <w:b w:val="0"/>
                <w:bCs w:val="0"/>
              </w:rPr>
              <w:instrText xml:space="preserve"> REF _Ref11933515 \r \h  \* MERGEFORMAT </w:instrText>
            </w:r>
            <w:r w:rsidRPr="00A96337">
              <w:fldChar w:fldCharType="separate"/>
            </w:r>
            <w:r w:rsidR="00E06D4A">
              <w:rPr>
                <w:b w:val="0"/>
                <w:bCs w:val="0"/>
              </w:rPr>
              <w:t>Recommendation 5</w:t>
            </w:r>
            <w:r w:rsidRPr="00A96337">
              <w:fldChar w:fldCharType="end"/>
            </w:r>
            <w:r w:rsidR="00BB242B" w:rsidRPr="00A96337">
              <w:rPr>
                <w:b w:val="0"/>
                <w:bCs w:val="0"/>
              </w:rPr>
              <w:t>).</w:t>
            </w:r>
          </w:p>
        </w:tc>
        <w:tc>
          <w:tcPr>
            <w:tcW w:w="444" w:type="pct"/>
            <w:shd w:val="clear" w:color="auto" w:fill="auto"/>
          </w:tcPr>
          <w:p w14:paraId="65579F20" w14:textId="21D660A1" w:rsidR="00E744AC" w:rsidRPr="00A96337" w:rsidRDefault="007B7F07" w:rsidP="00FC4BB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_Ref11933515 \h </w:instrText>
            </w:r>
            <w:r w:rsidRPr="00A96337">
              <w:rPr>
                <w:rFonts w:ascii="Arial" w:hAnsi="Arial" w:cs="Arial"/>
              </w:rPr>
            </w:r>
            <w:r w:rsidRPr="00A96337">
              <w:rPr>
                <w:rFonts w:ascii="Arial" w:hAnsi="Arial" w:cs="Arial"/>
              </w:rPr>
              <w:fldChar w:fldCharType="separate"/>
            </w:r>
            <w:r w:rsidR="00E06D4A">
              <w:rPr>
                <w:rFonts w:ascii="Arial" w:hAnsi="Arial" w:cs="Arial"/>
                <w:noProof/>
              </w:rPr>
              <w:t>29</w:t>
            </w:r>
            <w:r w:rsidRPr="00A96337">
              <w:rPr>
                <w:rFonts w:ascii="Arial" w:hAnsi="Arial" w:cs="Arial"/>
              </w:rPr>
              <w:fldChar w:fldCharType="end"/>
            </w:r>
          </w:p>
        </w:tc>
      </w:tr>
      <w:tr w:rsidR="004E2326" w:rsidRPr="00A96337" w14:paraId="736BB55F" w14:textId="77777777" w:rsidTr="00FC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729ECA1D" w14:textId="53A3E894" w:rsidR="00E744AC" w:rsidRPr="00A96337" w:rsidRDefault="007B7F07" w:rsidP="00B86FD9">
            <w:pPr>
              <w:pStyle w:val="ListParagraph"/>
              <w:numPr>
                <w:ilvl w:val="1"/>
                <w:numId w:val="24"/>
              </w:numPr>
              <w:rPr>
                <w:b w:val="0"/>
                <w:bCs w:val="0"/>
                <w:szCs w:val="20"/>
              </w:rPr>
            </w:pPr>
            <w:r w:rsidRPr="00A96337">
              <w:rPr>
                <w:szCs w:val="20"/>
              </w:rPr>
              <w:fldChar w:fldCharType="begin"/>
            </w:r>
            <w:r w:rsidRPr="00A96337">
              <w:rPr>
                <w:b w:val="0"/>
                <w:bCs w:val="0"/>
                <w:szCs w:val="20"/>
              </w:rPr>
              <w:instrText xml:space="preserve"> REF _Ref11933565 \h  \* MERGEFORMAT </w:instrText>
            </w:r>
            <w:r w:rsidRPr="00A96337">
              <w:rPr>
                <w:szCs w:val="20"/>
              </w:rPr>
            </w:r>
            <w:r w:rsidRPr="00A96337">
              <w:rPr>
                <w:szCs w:val="20"/>
              </w:rPr>
              <w:fldChar w:fldCharType="separate"/>
            </w:r>
            <w:r w:rsidR="00E06D4A" w:rsidRPr="00E06D4A">
              <w:t>Revise high level targets:</w:t>
            </w:r>
            <w:r w:rsidR="00E06D4A" w:rsidRPr="00E06D4A">
              <w:rPr>
                <w:b w:val="0"/>
                <w:bCs w:val="0"/>
              </w:rPr>
              <w:t xml:space="preserve">  Considering the high level of overperformance compared with initial targets, continuation for a further two years should be based on a collective revision of targets to reflect positive progress to date and provide appropriate performance incentives across AMENCA 3.  This will require recommended updates from the MRM and Reporting/Coordination advisers which would then be workshopped with DFAT and Consortia and the AHLD Key Stakeholder Group.</w:t>
            </w:r>
            <w:r w:rsidRPr="00A96337">
              <w:rPr>
                <w:szCs w:val="20"/>
              </w:rPr>
              <w:fldChar w:fldCharType="end"/>
            </w:r>
            <w:r w:rsidR="00BB242B" w:rsidRPr="00A96337">
              <w:rPr>
                <w:b w:val="0"/>
                <w:bCs w:val="0"/>
                <w:szCs w:val="20"/>
              </w:rPr>
              <w:t xml:space="preserve">  (</w:t>
            </w:r>
            <w:r w:rsidRPr="00A96337">
              <w:rPr>
                <w:szCs w:val="20"/>
              </w:rPr>
              <w:fldChar w:fldCharType="begin"/>
            </w:r>
            <w:r w:rsidRPr="00A96337">
              <w:rPr>
                <w:b w:val="0"/>
                <w:bCs w:val="0"/>
                <w:szCs w:val="20"/>
              </w:rPr>
              <w:instrText xml:space="preserve"> REF _Ref11933565 \r \h  \* MERGEFORMAT </w:instrText>
            </w:r>
            <w:r w:rsidRPr="00A96337">
              <w:rPr>
                <w:szCs w:val="20"/>
              </w:rPr>
            </w:r>
            <w:r w:rsidRPr="00A96337">
              <w:rPr>
                <w:szCs w:val="20"/>
              </w:rPr>
              <w:fldChar w:fldCharType="separate"/>
            </w:r>
            <w:r w:rsidR="00E06D4A">
              <w:rPr>
                <w:b w:val="0"/>
                <w:bCs w:val="0"/>
                <w:szCs w:val="20"/>
              </w:rPr>
              <w:t>Recommendation 13</w:t>
            </w:r>
            <w:r w:rsidRPr="00A96337">
              <w:rPr>
                <w:szCs w:val="20"/>
              </w:rPr>
              <w:fldChar w:fldCharType="end"/>
            </w:r>
            <w:r w:rsidR="00BB242B" w:rsidRPr="00A96337">
              <w:rPr>
                <w:b w:val="0"/>
                <w:bCs w:val="0"/>
                <w:szCs w:val="20"/>
              </w:rPr>
              <w:t>).</w:t>
            </w:r>
            <w:r w:rsidR="001229A2" w:rsidRPr="00A96337">
              <w:rPr>
                <w:b w:val="0"/>
                <w:bCs w:val="0"/>
                <w:szCs w:val="20"/>
              </w:rPr>
              <w:t xml:space="preserve"> </w:t>
            </w:r>
          </w:p>
        </w:tc>
        <w:tc>
          <w:tcPr>
            <w:tcW w:w="444" w:type="pct"/>
            <w:shd w:val="clear" w:color="auto" w:fill="auto"/>
          </w:tcPr>
          <w:p w14:paraId="50BCBB56" w14:textId="73395870" w:rsidR="00E744AC" w:rsidRPr="00A96337" w:rsidRDefault="007B7F07" w:rsidP="00FC4BB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_Ref11933565 \h </w:instrText>
            </w:r>
            <w:r w:rsidRPr="00A96337">
              <w:rPr>
                <w:rFonts w:ascii="Arial" w:hAnsi="Arial" w:cs="Arial"/>
              </w:rPr>
            </w:r>
            <w:r w:rsidRPr="00A96337">
              <w:rPr>
                <w:rFonts w:ascii="Arial" w:hAnsi="Arial" w:cs="Arial"/>
              </w:rPr>
              <w:fldChar w:fldCharType="separate"/>
            </w:r>
            <w:r w:rsidR="00E06D4A">
              <w:rPr>
                <w:rFonts w:ascii="Arial" w:hAnsi="Arial" w:cs="Arial"/>
                <w:noProof/>
              </w:rPr>
              <w:t>40</w:t>
            </w:r>
            <w:r w:rsidRPr="00A96337">
              <w:rPr>
                <w:rFonts w:ascii="Arial" w:hAnsi="Arial" w:cs="Arial"/>
              </w:rPr>
              <w:fldChar w:fldCharType="end"/>
            </w:r>
          </w:p>
        </w:tc>
      </w:tr>
      <w:tr w:rsidR="004E2326" w:rsidRPr="00A96337" w14:paraId="200398E6" w14:textId="77777777" w:rsidTr="00FC4BBF">
        <w:tc>
          <w:tcPr>
            <w:cnfStyle w:val="001000000000" w:firstRow="0" w:lastRow="0" w:firstColumn="1" w:lastColumn="0" w:oddVBand="0" w:evenVBand="0" w:oddHBand="0" w:evenHBand="0" w:firstRowFirstColumn="0" w:firstRowLastColumn="0" w:lastRowFirstColumn="0" w:lastRowLastColumn="0"/>
            <w:tcW w:w="4556" w:type="pct"/>
            <w:shd w:val="clear" w:color="auto" w:fill="auto"/>
          </w:tcPr>
          <w:p w14:paraId="0619E345" w14:textId="7BA9FCC6" w:rsidR="00E744AC" w:rsidRPr="00A96337" w:rsidRDefault="007B7F07" w:rsidP="00B86FD9">
            <w:pPr>
              <w:pStyle w:val="ListParagraph"/>
              <w:numPr>
                <w:ilvl w:val="1"/>
                <w:numId w:val="24"/>
              </w:numPr>
              <w:rPr>
                <w:b w:val="0"/>
                <w:bCs w:val="0"/>
              </w:rPr>
            </w:pPr>
            <w:r w:rsidRPr="00A96337">
              <w:fldChar w:fldCharType="begin"/>
            </w:r>
            <w:r w:rsidRPr="00A96337">
              <w:rPr>
                <w:b w:val="0"/>
                <w:bCs w:val="0"/>
              </w:rPr>
              <w:instrText xml:space="preserve"> REF _Ref11933592 \h  \* MERGEFORMAT </w:instrText>
            </w:r>
            <w:r w:rsidRPr="00A96337">
              <w:fldChar w:fldCharType="separate"/>
            </w:r>
            <w:r w:rsidR="00E06D4A" w:rsidRPr="00E06D4A">
              <w:t>Adjust definition of youth:</w:t>
            </w:r>
            <w:r w:rsidR="00E06D4A" w:rsidRPr="00E06D4A">
              <w:rPr>
                <w:b w:val="0"/>
                <w:bCs w:val="0"/>
              </w:rPr>
              <w:t xml:space="preserve"> DFAT ARO revise the definition of youth to increase the upper age limit to 30 years to enable AMENCA 3 to apply its core skills (agricultural market linkages) to young Palestinians appropriately given the social and cultural context.</w:t>
            </w:r>
            <w:r w:rsidRPr="00A96337">
              <w:fldChar w:fldCharType="end"/>
            </w:r>
            <w:r w:rsidR="00BB242B" w:rsidRPr="00A96337">
              <w:rPr>
                <w:b w:val="0"/>
                <w:bCs w:val="0"/>
              </w:rPr>
              <w:t xml:space="preserve">  (</w:t>
            </w:r>
            <w:r w:rsidRPr="00A96337">
              <w:fldChar w:fldCharType="begin"/>
            </w:r>
            <w:r w:rsidRPr="00A96337">
              <w:rPr>
                <w:b w:val="0"/>
                <w:bCs w:val="0"/>
              </w:rPr>
              <w:instrText xml:space="preserve"> REF _Ref11933592 \r \h  \* MERGEFORMAT </w:instrText>
            </w:r>
            <w:r w:rsidRPr="00A96337">
              <w:fldChar w:fldCharType="separate"/>
            </w:r>
            <w:r w:rsidR="00E06D4A">
              <w:rPr>
                <w:b w:val="0"/>
                <w:bCs w:val="0"/>
              </w:rPr>
              <w:t>Recommendation 17</w:t>
            </w:r>
            <w:r w:rsidRPr="00A96337">
              <w:fldChar w:fldCharType="end"/>
            </w:r>
            <w:r w:rsidR="00BB242B" w:rsidRPr="00A96337">
              <w:rPr>
                <w:b w:val="0"/>
                <w:bCs w:val="0"/>
              </w:rPr>
              <w:t>).</w:t>
            </w:r>
          </w:p>
        </w:tc>
        <w:tc>
          <w:tcPr>
            <w:tcW w:w="444" w:type="pct"/>
            <w:shd w:val="clear" w:color="auto" w:fill="auto"/>
          </w:tcPr>
          <w:p w14:paraId="2A3074F5" w14:textId="6A6F442A" w:rsidR="00E744AC" w:rsidRPr="00A96337" w:rsidRDefault="007B7F07" w:rsidP="00FC4BB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fldChar w:fldCharType="begin"/>
            </w:r>
            <w:r w:rsidRPr="00A96337">
              <w:rPr>
                <w:rFonts w:ascii="Arial" w:hAnsi="Arial" w:cs="Arial"/>
              </w:rPr>
              <w:instrText xml:space="preserve"> PAGEREF _Ref11933592 \h </w:instrText>
            </w:r>
            <w:r w:rsidRPr="00A96337">
              <w:rPr>
                <w:rFonts w:ascii="Arial" w:hAnsi="Arial" w:cs="Arial"/>
              </w:rPr>
            </w:r>
            <w:r w:rsidRPr="00A96337">
              <w:rPr>
                <w:rFonts w:ascii="Arial" w:hAnsi="Arial" w:cs="Arial"/>
              </w:rPr>
              <w:fldChar w:fldCharType="separate"/>
            </w:r>
            <w:r w:rsidR="00E06D4A">
              <w:rPr>
                <w:rFonts w:ascii="Arial" w:hAnsi="Arial" w:cs="Arial"/>
                <w:noProof/>
              </w:rPr>
              <w:t>47</w:t>
            </w:r>
            <w:r w:rsidRPr="00A96337">
              <w:rPr>
                <w:rFonts w:ascii="Arial" w:hAnsi="Arial" w:cs="Arial"/>
              </w:rPr>
              <w:fldChar w:fldCharType="end"/>
            </w:r>
          </w:p>
        </w:tc>
      </w:tr>
    </w:tbl>
    <w:p w14:paraId="61FBF262" w14:textId="77777777" w:rsidR="002F4F42" w:rsidRPr="00A96337" w:rsidRDefault="002F4F42" w:rsidP="007B7F07">
      <w:pPr>
        <w:pStyle w:val="BodyText"/>
        <w:rPr>
          <w:rFonts w:eastAsia="Times New Roman"/>
          <w:lang w:val="en-AU"/>
        </w:rPr>
      </w:pPr>
      <w:r w:rsidRPr="00A96337">
        <w:rPr>
          <w:lang w:val="en-AU"/>
        </w:rPr>
        <w:br w:type="page"/>
      </w:r>
    </w:p>
    <w:p w14:paraId="198E8D12" w14:textId="77777777" w:rsidR="002F4F42" w:rsidRPr="00A96337" w:rsidRDefault="002F4F42" w:rsidP="00F05621">
      <w:pPr>
        <w:pStyle w:val="Heading1"/>
        <w:numPr>
          <w:ilvl w:val="0"/>
          <w:numId w:val="0"/>
        </w:numPr>
      </w:pPr>
      <w:bookmarkStart w:id="9" w:name="_Toc12364787"/>
      <w:bookmarkStart w:id="10" w:name="_Hlk8444818"/>
      <w:r w:rsidRPr="00A96337">
        <w:t>Section A: About this Mid Term Review</w:t>
      </w:r>
      <w:bookmarkEnd w:id="9"/>
    </w:p>
    <w:p w14:paraId="0CC69B7F" w14:textId="223285AB" w:rsidR="002F4F42" w:rsidRPr="00A96337" w:rsidRDefault="009B58A0" w:rsidP="002F4F42">
      <w:pPr>
        <w:pStyle w:val="BodyText"/>
        <w:rPr>
          <w:lang w:val="en-AU"/>
        </w:rPr>
      </w:pPr>
      <w:r w:rsidRPr="00A96337">
        <w:rPr>
          <w:lang w:val="en-AU"/>
        </w:rPr>
        <w:t>AMENCA 3</w:t>
      </w:r>
      <w:r w:rsidR="002F4F42" w:rsidRPr="00A96337">
        <w:rPr>
          <w:lang w:val="en-AU"/>
        </w:rPr>
        <w:t xml:space="preserve"> (also referred to in this report as ‘the program’) is funded and managed by the Australian government through the Department of Foreign Affairs and Trade (DFAT).</w:t>
      </w:r>
      <w:r w:rsidR="00E42BC8" w:rsidRPr="00A96337">
        <w:rPr>
          <w:lang w:val="en-AU"/>
        </w:rPr>
        <w:t xml:space="preserve"> </w:t>
      </w:r>
      <w:r w:rsidR="002F4F42" w:rsidRPr="00A96337">
        <w:rPr>
          <w:lang w:val="en-AU"/>
        </w:rPr>
        <w:t>It is implemented by a consortium of Australian and Palestinian non-government organisations (NGOs); and supported by a panel of technical advisers</w:t>
      </w:r>
      <w:r w:rsidR="002F4F42" w:rsidRPr="00A96337">
        <w:rPr>
          <w:vertAlign w:val="superscript"/>
          <w:lang w:val="en-AU"/>
        </w:rPr>
        <w:footnoteReference w:id="2"/>
      </w:r>
      <w:r w:rsidR="002F4F42" w:rsidRPr="00A96337">
        <w:rPr>
          <w:lang w:val="en-AU"/>
        </w:rPr>
        <w:t>.</w:t>
      </w:r>
    </w:p>
    <w:p w14:paraId="3A481434" w14:textId="1FC7673D" w:rsidR="002F4F42" w:rsidRPr="00A96337" w:rsidRDefault="002F4F42" w:rsidP="002F4F42">
      <w:pPr>
        <w:pStyle w:val="BodyText"/>
        <w:rPr>
          <w:lang w:val="en-AU"/>
        </w:rPr>
      </w:pPr>
      <w:r w:rsidRPr="00A96337">
        <w:rPr>
          <w:lang w:val="en-AU"/>
        </w:rPr>
        <w:t xml:space="preserve">This report presents the findings of the independent Mid-Term Review (MTR) of the third phase of the </w:t>
      </w:r>
      <w:r w:rsidRPr="00A96337">
        <w:rPr>
          <w:i/>
          <w:lang w:val="en-AU"/>
        </w:rPr>
        <w:t xml:space="preserve">Australia Middle East NGO Cooperation Agreement Program </w:t>
      </w:r>
      <w:r w:rsidRPr="00A96337">
        <w:rPr>
          <w:lang w:val="en-AU"/>
        </w:rPr>
        <w:t>(</w:t>
      </w:r>
      <w:r w:rsidR="009B58A0" w:rsidRPr="00A96337">
        <w:rPr>
          <w:lang w:val="en-AU"/>
        </w:rPr>
        <w:t>AMENCA 3</w:t>
      </w:r>
      <w:r w:rsidRPr="00A96337">
        <w:rPr>
          <w:lang w:val="en-AU"/>
        </w:rPr>
        <w:t>).</w:t>
      </w:r>
      <w:r w:rsidR="00E42BC8" w:rsidRPr="00A96337">
        <w:rPr>
          <w:lang w:val="en-AU"/>
        </w:rPr>
        <w:t xml:space="preserve"> </w:t>
      </w:r>
      <w:r w:rsidRPr="00A96337">
        <w:rPr>
          <w:lang w:val="en-AU"/>
        </w:rPr>
        <w:t xml:space="preserve">This MTR is intended to inform immediate decisions regarding the future of </w:t>
      </w:r>
      <w:r w:rsidR="009B58A0" w:rsidRPr="00A96337">
        <w:rPr>
          <w:lang w:val="en-AU"/>
        </w:rPr>
        <w:t>AMENCA 3</w:t>
      </w:r>
      <w:r w:rsidRPr="00A96337">
        <w:rPr>
          <w:lang w:val="en-AU"/>
        </w:rPr>
        <w:t>, and thus it will have implications for DFAT, its NGO partners, and its advisers.</w:t>
      </w:r>
    </w:p>
    <w:p w14:paraId="7A3BEA26" w14:textId="77777777" w:rsidR="002F4F42" w:rsidRPr="00A96337" w:rsidRDefault="002F4F42" w:rsidP="002F4F42">
      <w:pPr>
        <w:pStyle w:val="BodyText"/>
        <w:rPr>
          <w:lang w:val="en-AU"/>
        </w:rPr>
      </w:pPr>
      <w:r w:rsidRPr="00A96337">
        <w:rPr>
          <w:b/>
          <w:lang w:val="en-AU"/>
        </w:rPr>
        <w:t>Section A (</w:t>
      </w:r>
      <w:r w:rsidRPr="00A96337">
        <w:rPr>
          <w:b/>
          <w:i/>
          <w:lang w:val="en-AU"/>
        </w:rPr>
        <w:t>About this Mid-Term Review</w:t>
      </w:r>
      <w:r w:rsidRPr="00A96337">
        <w:rPr>
          <w:b/>
          <w:lang w:val="en-AU"/>
        </w:rPr>
        <w:t>)</w:t>
      </w:r>
      <w:r w:rsidRPr="00A96337">
        <w:rPr>
          <w:lang w:val="en-AU"/>
        </w:rPr>
        <w:t>, provides the background and purpose of the MTR and why it matters.</w:t>
      </w:r>
      <w:r w:rsidR="00E42BC8" w:rsidRPr="00A96337">
        <w:rPr>
          <w:lang w:val="en-AU"/>
        </w:rPr>
        <w:t xml:space="preserve"> </w:t>
      </w:r>
      <w:r w:rsidRPr="00A96337">
        <w:rPr>
          <w:lang w:val="en-AU"/>
        </w:rPr>
        <w:t>This includes an overview of DFAT’s objectives for the MTR, the key evaluation questions, and the methods used to collect and analyse the available data.</w:t>
      </w:r>
    </w:p>
    <w:p w14:paraId="6792BD25" w14:textId="698439E3" w:rsidR="002F4F42" w:rsidRPr="00A96337" w:rsidRDefault="002F4F42" w:rsidP="002F4F42">
      <w:pPr>
        <w:pStyle w:val="BodyText"/>
        <w:rPr>
          <w:lang w:val="en-AU"/>
        </w:rPr>
      </w:pPr>
      <w:r w:rsidRPr="00A96337">
        <w:rPr>
          <w:b/>
          <w:lang w:val="en-AU"/>
        </w:rPr>
        <w:t>Section B (</w:t>
      </w:r>
      <w:r w:rsidRPr="00A96337">
        <w:rPr>
          <w:b/>
          <w:i/>
          <w:lang w:val="en-AU"/>
        </w:rPr>
        <w:t xml:space="preserve">About </w:t>
      </w:r>
      <w:r w:rsidR="009B58A0" w:rsidRPr="00A96337">
        <w:rPr>
          <w:b/>
          <w:i/>
          <w:lang w:val="en-AU"/>
        </w:rPr>
        <w:t>AMENCA 3</w:t>
      </w:r>
      <w:r w:rsidRPr="00A96337">
        <w:rPr>
          <w:b/>
          <w:lang w:val="en-AU"/>
        </w:rPr>
        <w:t>)</w:t>
      </w:r>
      <w:r w:rsidRPr="00A96337">
        <w:rPr>
          <w:lang w:val="en-AU"/>
        </w:rPr>
        <w:t xml:space="preserve">, introduces the </w:t>
      </w:r>
      <w:r w:rsidR="009B58A0" w:rsidRPr="00A96337">
        <w:rPr>
          <w:lang w:val="en-AU"/>
        </w:rPr>
        <w:t>AMENCA 3</w:t>
      </w:r>
      <w:r w:rsidRPr="00A96337">
        <w:rPr>
          <w:lang w:val="en-AU"/>
        </w:rPr>
        <w:t xml:space="preserve"> program, and provides an overview of the program’s objectives, partners and activities.</w:t>
      </w:r>
    </w:p>
    <w:p w14:paraId="036F32B3" w14:textId="725436D4" w:rsidR="002F4F42" w:rsidRPr="00A96337" w:rsidRDefault="002F4F42" w:rsidP="002F4F42">
      <w:pPr>
        <w:pStyle w:val="BodyText"/>
        <w:rPr>
          <w:lang w:val="en-AU"/>
        </w:rPr>
      </w:pPr>
      <w:r w:rsidRPr="00A96337">
        <w:rPr>
          <w:b/>
          <w:lang w:val="en-AU"/>
        </w:rPr>
        <w:t>Section C (</w:t>
      </w:r>
      <w:r w:rsidRPr="00A96337">
        <w:rPr>
          <w:b/>
          <w:i/>
          <w:lang w:val="en-AU"/>
        </w:rPr>
        <w:t>MTR findings</w:t>
      </w:r>
      <w:r w:rsidRPr="00A96337">
        <w:rPr>
          <w:b/>
          <w:lang w:val="en-AU"/>
        </w:rPr>
        <w:t>)</w:t>
      </w:r>
      <w:r w:rsidRPr="00A96337">
        <w:rPr>
          <w:lang w:val="en-AU"/>
        </w:rPr>
        <w:t xml:space="preserve">, presents the Review’s findings against each evaluation question, and then outlines its conclusions and recommendations for </w:t>
      </w:r>
      <w:r w:rsidR="009B58A0" w:rsidRPr="00A96337">
        <w:rPr>
          <w:lang w:val="en-AU"/>
        </w:rPr>
        <w:t>AMENCA 3</w:t>
      </w:r>
      <w:r w:rsidRPr="00A96337">
        <w:rPr>
          <w:lang w:val="en-AU"/>
        </w:rPr>
        <w:t xml:space="preserve">’s future. </w:t>
      </w:r>
    </w:p>
    <w:p w14:paraId="5BF8B2F9" w14:textId="6172AC82" w:rsidR="002F4F42" w:rsidRPr="00A96337" w:rsidRDefault="002F4F42" w:rsidP="007F6FE5">
      <w:pPr>
        <w:pStyle w:val="Heading1"/>
      </w:pPr>
      <w:bookmarkStart w:id="11" w:name="_Toc8978017"/>
      <w:bookmarkStart w:id="12" w:name="_Toc12364788"/>
      <w:bookmarkEnd w:id="10"/>
      <w:r w:rsidRPr="00A96337">
        <w:t xml:space="preserve">Why this MTR </w:t>
      </w:r>
      <w:r w:rsidR="00F05621" w:rsidRPr="00A96337">
        <w:t>m</w:t>
      </w:r>
      <w:r w:rsidRPr="00A96337">
        <w:t>atters</w:t>
      </w:r>
      <w:bookmarkEnd w:id="11"/>
      <w:bookmarkEnd w:id="12"/>
    </w:p>
    <w:p w14:paraId="6EF6F244" w14:textId="620D12A2" w:rsidR="002F4F42" w:rsidRPr="00A96337" w:rsidRDefault="009B58A0" w:rsidP="002F4F42">
      <w:pPr>
        <w:pStyle w:val="BodyText"/>
        <w:rPr>
          <w:lang w:val="en-AU"/>
        </w:rPr>
      </w:pPr>
      <w:r w:rsidRPr="00A96337">
        <w:rPr>
          <w:lang w:val="en-AU"/>
        </w:rPr>
        <w:t>AMENCA 3</w:t>
      </w:r>
      <w:r w:rsidR="002F4F42" w:rsidRPr="00A96337">
        <w:rPr>
          <w:lang w:val="en-AU"/>
        </w:rPr>
        <w:t xml:space="preserve"> was designed as a five-year program.</w:t>
      </w:r>
      <w:r w:rsidR="00E42BC8" w:rsidRPr="00A96337">
        <w:rPr>
          <w:lang w:val="en-AU"/>
        </w:rPr>
        <w:t xml:space="preserve"> </w:t>
      </w:r>
      <w:r w:rsidR="002F4F42" w:rsidRPr="00A96337">
        <w:rPr>
          <w:lang w:val="en-AU"/>
        </w:rPr>
        <w:t>Given the complex and dynamic political and security context in the Palestinian Territories, DFAT included a ‘</w:t>
      </w:r>
      <w:bookmarkStart w:id="13" w:name="_Hlk8133509"/>
      <w:r w:rsidR="002F4F42" w:rsidRPr="00A96337">
        <w:rPr>
          <w:lang w:val="en-AU"/>
        </w:rPr>
        <w:t>stop/go</w:t>
      </w:r>
      <w:bookmarkEnd w:id="13"/>
      <w:r w:rsidR="002F4F42" w:rsidRPr="00A96337">
        <w:rPr>
          <w:lang w:val="en-AU"/>
        </w:rPr>
        <w:t>’ point at the three-year mark (approximately April 2019), as an opportunity to review progress, consider the evolving context, and determine whether a final two years should, in fact, be undertaken.</w:t>
      </w:r>
      <w:r w:rsidR="00E42BC8" w:rsidRPr="00A96337">
        <w:rPr>
          <w:lang w:val="en-AU"/>
        </w:rPr>
        <w:t xml:space="preserve"> </w:t>
      </w:r>
      <w:r w:rsidR="002F4F42" w:rsidRPr="00A96337">
        <w:rPr>
          <w:lang w:val="en-AU"/>
        </w:rPr>
        <w:t>One of the primary tasks of the MTR is therefore to add to the evidence base from which DFAT can make this stop/go</w:t>
      </w:r>
      <w:r w:rsidR="002F4F42" w:rsidRPr="00A96337" w:rsidDel="00B71299">
        <w:rPr>
          <w:lang w:val="en-AU"/>
        </w:rPr>
        <w:t xml:space="preserve"> </w:t>
      </w:r>
      <w:r w:rsidR="002F4F42" w:rsidRPr="00A96337">
        <w:rPr>
          <w:lang w:val="en-AU"/>
        </w:rPr>
        <w:t>decision.</w:t>
      </w:r>
      <w:r w:rsidR="00E42BC8" w:rsidRPr="00A96337">
        <w:rPr>
          <w:lang w:val="en-AU"/>
        </w:rPr>
        <w:t xml:space="preserve"> </w:t>
      </w:r>
      <w:r w:rsidR="002F4F42" w:rsidRPr="00A96337">
        <w:rPr>
          <w:lang w:val="en-AU"/>
        </w:rPr>
        <w:t>Because DFAT appreciates that all stakeholders need a prompt decision, the agency moved to contract and deliver the MTR as efficiently as possible</w:t>
      </w:r>
      <w:sdt>
        <w:sdtPr>
          <w:rPr>
            <w:lang w:val="en-AU"/>
          </w:rPr>
          <w:id w:val="-1162389768"/>
          <w:citation/>
        </w:sdtPr>
        <w:sdtEndPr/>
        <w:sdtContent>
          <w:r w:rsidR="002F4F42" w:rsidRPr="00A96337">
            <w:rPr>
              <w:lang w:val="en-AU"/>
            </w:rPr>
            <w:fldChar w:fldCharType="begin"/>
          </w:r>
          <w:r w:rsidR="002F4F42" w:rsidRPr="00A96337">
            <w:rPr>
              <w:lang w:val="en-AU"/>
            </w:rPr>
            <w:instrText xml:space="preserve"> CITATION Wil19 \l 5129 </w:instrText>
          </w:r>
          <w:r w:rsidR="002F4F42" w:rsidRPr="00A96337">
            <w:rPr>
              <w:lang w:val="en-AU"/>
            </w:rPr>
            <w:fldChar w:fldCharType="separate"/>
          </w:r>
          <w:r w:rsidR="00593D9F">
            <w:rPr>
              <w:noProof/>
              <w:lang w:val="en-AU"/>
            </w:rPr>
            <w:t xml:space="preserve"> </w:t>
          </w:r>
          <w:r w:rsidR="00593D9F" w:rsidRPr="00593D9F">
            <w:rPr>
              <w:noProof/>
              <w:lang w:val="en-AU"/>
            </w:rPr>
            <w:t>(Wild, 2019)</w:t>
          </w:r>
          <w:r w:rsidR="002F4F42" w:rsidRPr="00A96337">
            <w:rPr>
              <w:lang w:val="en-AU"/>
            </w:rPr>
            <w:fldChar w:fldCharType="end"/>
          </w:r>
        </w:sdtContent>
      </w:sdt>
      <w:r w:rsidR="002F4F42" w:rsidRPr="00A96337">
        <w:rPr>
          <w:lang w:val="en-AU"/>
        </w:rPr>
        <w:t>.</w:t>
      </w:r>
    </w:p>
    <w:p w14:paraId="12B9058E" w14:textId="5C826DCE" w:rsidR="002F4F42" w:rsidRPr="00A96337" w:rsidRDefault="002F4F42" w:rsidP="002F4F42">
      <w:pPr>
        <w:pStyle w:val="BodyText"/>
        <w:rPr>
          <w:lang w:val="en-AU"/>
        </w:rPr>
      </w:pPr>
      <w:r w:rsidRPr="00A96337">
        <w:rPr>
          <w:lang w:val="en-AU"/>
        </w:rPr>
        <w:t xml:space="preserve">The MTR has also been tasked to provide evidence and guidance that can inform </w:t>
      </w:r>
      <w:r w:rsidR="009B58A0" w:rsidRPr="00A96337">
        <w:rPr>
          <w:lang w:val="en-AU"/>
        </w:rPr>
        <w:t>AMENCA 3</w:t>
      </w:r>
      <w:r w:rsidRPr="00A96337">
        <w:rPr>
          <w:lang w:val="en-AU"/>
        </w:rPr>
        <w:t>’s future direction should the decision be made in favour of continuing the program.</w:t>
      </w:r>
      <w:r w:rsidR="00E42BC8" w:rsidRPr="00A96337">
        <w:rPr>
          <w:lang w:val="en-AU"/>
        </w:rPr>
        <w:t xml:space="preserve"> </w:t>
      </w:r>
      <w:r w:rsidRPr="00A96337">
        <w:rPr>
          <w:lang w:val="en-AU"/>
        </w:rPr>
        <w:t>Accordingly, this MTR has a strong formative aspect.</w:t>
      </w:r>
      <w:r w:rsidR="00E42BC8" w:rsidRPr="00A96337">
        <w:rPr>
          <w:lang w:val="en-AU"/>
        </w:rPr>
        <w:t xml:space="preserve"> </w:t>
      </w:r>
      <w:r w:rsidRPr="00A96337">
        <w:rPr>
          <w:lang w:val="en-AU"/>
        </w:rPr>
        <w:t>This guidance will help DFAT, the NGO consortiums, and their affiliated advisers, to:</w:t>
      </w:r>
    </w:p>
    <w:p w14:paraId="5F16CCF6" w14:textId="77777777" w:rsidR="002F4F42" w:rsidRPr="00A96337" w:rsidRDefault="002F4F42" w:rsidP="00E50F49">
      <w:pPr>
        <w:pStyle w:val="Dotpoint"/>
      </w:pPr>
      <w:r w:rsidRPr="00A96337">
        <w:t>reflect on and learn from the results to date;</w:t>
      </w:r>
    </w:p>
    <w:p w14:paraId="08C1D1F0" w14:textId="77777777" w:rsidR="002F4F42" w:rsidRPr="00A96337" w:rsidRDefault="002F4F42" w:rsidP="00E50F49">
      <w:pPr>
        <w:pStyle w:val="Dotpoint"/>
      </w:pPr>
      <w:r w:rsidRPr="00A96337">
        <w:t>optimise the program’s implementation;</w:t>
      </w:r>
    </w:p>
    <w:p w14:paraId="0E9F8C21" w14:textId="77777777" w:rsidR="002F4F42" w:rsidRPr="00A96337" w:rsidRDefault="002F4F42" w:rsidP="00E50F49">
      <w:pPr>
        <w:pStyle w:val="Dotpoint"/>
      </w:pPr>
      <w:r w:rsidRPr="00A96337">
        <w:t>maximise its results in the future; and</w:t>
      </w:r>
    </w:p>
    <w:p w14:paraId="19CF7A59" w14:textId="13C62F57" w:rsidR="000E1846" w:rsidRPr="00A96337" w:rsidRDefault="002F4F42" w:rsidP="00E50F49">
      <w:pPr>
        <w:pStyle w:val="Dotpoint"/>
      </w:pPr>
      <w:r w:rsidRPr="00A96337">
        <w:t xml:space="preserve">refine its monitoring, evaluation and learning to ensure that this not only captures </w:t>
      </w:r>
      <w:r w:rsidR="00430B69" w:rsidRPr="00A96337">
        <w:t xml:space="preserve">aggregated </w:t>
      </w:r>
      <w:r w:rsidRPr="00A96337">
        <w:t>results, but informs the ongoing evolution of the interventions and activities.</w:t>
      </w:r>
    </w:p>
    <w:p w14:paraId="47957030" w14:textId="16D226B4" w:rsidR="002F4F42" w:rsidRPr="00A96337" w:rsidRDefault="002F4F42" w:rsidP="007F6FE5">
      <w:pPr>
        <w:pStyle w:val="Heading1"/>
      </w:pPr>
      <w:bookmarkStart w:id="14" w:name="_Toc8978018"/>
      <w:bookmarkStart w:id="15" w:name="_Toc12364789"/>
      <w:r w:rsidRPr="00A96337">
        <w:t xml:space="preserve">MTR </w:t>
      </w:r>
      <w:r w:rsidR="00F05621" w:rsidRPr="00A96337">
        <w:t>o</w:t>
      </w:r>
      <w:r w:rsidRPr="00A96337">
        <w:t xml:space="preserve">bjectives and </w:t>
      </w:r>
      <w:r w:rsidR="00F05621" w:rsidRPr="00A96337">
        <w:t>t</w:t>
      </w:r>
      <w:r w:rsidRPr="00A96337">
        <w:t>eam</w:t>
      </w:r>
      <w:bookmarkEnd w:id="14"/>
      <w:bookmarkEnd w:id="15"/>
    </w:p>
    <w:p w14:paraId="4AFDC2B2" w14:textId="77777777" w:rsidR="002F4F42" w:rsidRPr="00A96337" w:rsidRDefault="002F4F42" w:rsidP="000E1846">
      <w:pPr>
        <w:pStyle w:val="BodyText"/>
        <w:spacing w:line="269" w:lineRule="auto"/>
        <w:rPr>
          <w:iCs/>
          <w:lang w:val="en-AU"/>
        </w:rPr>
      </w:pPr>
      <w:r w:rsidRPr="00A96337">
        <w:rPr>
          <w:iCs/>
          <w:lang w:val="en-AU"/>
        </w:rPr>
        <w:t>The MTR has three aims:</w:t>
      </w:r>
    </w:p>
    <w:p w14:paraId="0422F7AA" w14:textId="77777777" w:rsidR="002F4F42" w:rsidRPr="00A96337" w:rsidRDefault="002F4F42" w:rsidP="00F37BBC">
      <w:pPr>
        <w:pStyle w:val="EvaluationNumbered"/>
        <w:rPr>
          <w:lang w:val="en-AU"/>
        </w:rPr>
      </w:pPr>
      <w:r w:rsidRPr="00A96337">
        <w:rPr>
          <w:lang w:val="en-AU"/>
        </w:rPr>
        <w:t>To determine the progress of the program against its objectives to date.</w:t>
      </w:r>
    </w:p>
    <w:p w14:paraId="4C83F5CC" w14:textId="28BE6871" w:rsidR="002F4F42" w:rsidRPr="00A96337" w:rsidRDefault="002F4F42" w:rsidP="00F37BBC">
      <w:pPr>
        <w:pStyle w:val="EvaluationNumbered"/>
        <w:rPr>
          <w:lang w:val="en-AU"/>
        </w:rPr>
      </w:pPr>
      <w:r w:rsidRPr="00A96337">
        <w:rPr>
          <w:lang w:val="en-AU"/>
        </w:rPr>
        <w:t>To provide an evidence base and advi</w:t>
      </w:r>
      <w:r w:rsidR="0008731E" w:rsidRPr="00A96337">
        <w:rPr>
          <w:lang w:val="en-AU"/>
        </w:rPr>
        <w:t>c</w:t>
      </w:r>
      <w:r w:rsidRPr="00A96337">
        <w:rPr>
          <w:lang w:val="en-AU"/>
        </w:rPr>
        <w:t>e that will help DFAT determine whether the program should be extended.</w:t>
      </w:r>
    </w:p>
    <w:p w14:paraId="7D79600F" w14:textId="3512DF84" w:rsidR="002F4F42" w:rsidRPr="00A96337" w:rsidRDefault="002F4F42" w:rsidP="00F37BBC">
      <w:pPr>
        <w:pStyle w:val="EvaluationNumbered"/>
        <w:rPr>
          <w:lang w:val="en-AU"/>
        </w:rPr>
      </w:pPr>
      <w:r w:rsidRPr="00A96337">
        <w:rPr>
          <w:lang w:val="en-AU"/>
        </w:rPr>
        <w:t>To advise if/ what adjustments might enhance the program’s future direction.</w:t>
      </w:r>
    </w:p>
    <w:p w14:paraId="34670E32" w14:textId="77777777" w:rsidR="002F4F42" w:rsidRPr="00A96337" w:rsidRDefault="002F4F42" w:rsidP="000E1846">
      <w:pPr>
        <w:pStyle w:val="BodyText"/>
        <w:spacing w:line="269" w:lineRule="auto"/>
        <w:rPr>
          <w:spacing w:val="-2"/>
          <w:lang w:val="en-AU"/>
        </w:rPr>
      </w:pPr>
      <w:r w:rsidRPr="00A96337">
        <w:rPr>
          <w:spacing w:val="-2"/>
          <w:lang w:val="en-AU"/>
        </w:rPr>
        <w:t>DFAT contracted Coffey, a Tetra Tech Company, to conduct the MTR.</w:t>
      </w:r>
      <w:r w:rsidR="00E42BC8" w:rsidRPr="00A96337">
        <w:rPr>
          <w:spacing w:val="-2"/>
          <w:lang w:val="en-AU"/>
        </w:rPr>
        <w:t xml:space="preserve"> </w:t>
      </w:r>
      <w:r w:rsidRPr="00A96337">
        <w:rPr>
          <w:spacing w:val="-2"/>
          <w:lang w:val="en-AU"/>
        </w:rPr>
        <w:t>The Review Team consisted of:</w:t>
      </w:r>
    </w:p>
    <w:p w14:paraId="7098599F" w14:textId="33890808" w:rsidR="002F4F42" w:rsidRPr="00A96337" w:rsidRDefault="002F4F42" w:rsidP="00E50F49">
      <w:pPr>
        <w:pStyle w:val="Dotpoint"/>
      </w:pPr>
      <w:r w:rsidRPr="00A96337">
        <w:t xml:space="preserve">David Swete Kelly as </w:t>
      </w:r>
      <w:r w:rsidR="00F37BBC" w:rsidRPr="00A96337">
        <w:t>the t</w:t>
      </w:r>
      <w:r w:rsidRPr="00A96337">
        <w:t xml:space="preserve">eam </w:t>
      </w:r>
      <w:r w:rsidR="00F37BBC" w:rsidRPr="00A96337">
        <w:t>l</w:t>
      </w:r>
      <w:r w:rsidRPr="00A96337">
        <w:t>eader and agriculture markets specialist;</w:t>
      </w:r>
    </w:p>
    <w:p w14:paraId="1FB31137" w14:textId="0C294783" w:rsidR="002F4F42" w:rsidRPr="00A96337" w:rsidRDefault="002F4F42" w:rsidP="00E50F49">
      <w:pPr>
        <w:pStyle w:val="Dotpoint"/>
      </w:pPr>
      <w:r w:rsidRPr="00A96337">
        <w:t xml:space="preserve">Amy Gildea as </w:t>
      </w:r>
      <w:r w:rsidR="00430B69" w:rsidRPr="00A96337">
        <w:t>m</w:t>
      </w:r>
      <w:r w:rsidRPr="00A96337">
        <w:t xml:space="preserve">onitoring and </w:t>
      </w:r>
      <w:r w:rsidR="00F37BBC" w:rsidRPr="00A96337">
        <w:t>ev</w:t>
      </w:r>
      <w:r w:rsidRPr="00A96337">
        <w:t xml:space="preserve">aluation </w:t>
      </w:r>
      <w:r w:rsidR="00430B69" w:rsidRPr="00A96337">
        <w:t>specialist</w:t>
      </w:r>
      <w:r w:rsidRPr="00A96337">
        <w:t>.</w:t>
      </w:r>
    </w:p>
    <w:p w14:paraId="33A8268D" w14:textId="4F845C40" w:rsidR="002F4F42" w:rsidRPr="00A96337" w:rsidRDefault="002F4F42" w:rsidP="00E50F49">
      <w:pPr>
        <w:pStyle w:val="Dotpoint"/>
      </w:pPr>
      <w:r w:rsidRPr="00A96337">
        <w:t xml:space="preserve">Tim Gill as </w:t>
      </w:r>
      <w:r w:rsidR="00F37BBC" w:rsidRPr="00A96337">
        <w:t>f</w:t>
      </w:r>
      <w:r w:rsidRPr="00A96337">
        <w:t xml:space="preserve">ood </w:t>
      </w:r>
      <w:r w:rsidR="00F37BBC" w:rsidRPr="00A96337">
        <w:t>s</w:t>
      </w:r>
      <w:r w:rsidRPr="00A96337">
        <w:t xml:space="preserve">ecurity and </w:t>
      </w:r>
      <w:r w:rsidR="00F37BBC" w:rsidRPr="00A96337">
        <w:t>a</w:t>
      </w:r>
      <w:r w:rsidRPr="00A96337">
        <w:t xml:space="preserve">griculture </w:t>
      </w:r>
      <w:r w:rsidR="00F37BBC" w:rsidRPr="00A96337">
        <w:t>s</w:t>
      </w:r>
      <w:r w:rsidRPr="00A96337">
        <w:t xml:space="preserve">ector </w:t>
      </w:r>
      <w:r w:rsidR="00F37BBC" w:rsidRPr="00A96337">
        <w:t>s</w:t>
      </w:r>
      <w:r w:rsidRPr="00A96337">
        <w:t>pecialist (provided by DFAT</w:t>
      </w:r>
      <w:r w:rsidRPr="00A96337">
        <w:rPr>
          <w:rStyle w:val="FootnoteReference"/>
        </w:rPr>
        <w:footnoteReference w:id="3"/>
      </w:r>
      <w:r w:rsidRPr="00A96337">
        <w:t>).</w:t>
      </w:r>
    </w:p>
    <w:p w14:paraId="54DBB235" w14:textId="77777777" w:rsidR="002F4F42" w:rsidRPr="00A96337" w:rsidRDefault="002F4F42" w:rsidP="000E1846">
      <w:pPr>
        <w:pStyle w:val="BodyText"/>
        <w:spacing w:line="269" w:lineRule="auto"/>
        <w:rPr>
          <w:lang w:val="en-AU"/>
        </w:rPr>
      </w:pPr>
      <w:r w:rsidRPr="00A96337">
        <w:rPr>
          <w:lang w:val="en-AU"/>
        </w:rPr>
        <w:t>Ishara Davey (DFAT Policy Officer, Middle East Development Section) joined in the review mission as an observer and provided valuable insights into DFAT policy settings.</w:t>
      </w:r>
    </w:p>
    <w:p w14:paraId="0B5083EF" w14:textId="4ADF1DC6" w:rsidR="002F4F42" w:rsidRPr="00A96337" w:rsidRDefault="002F4F42" w:rsidP="007F6FE5">
      <w:pPr>
        <w:pStyle w:val="Heading1"/>
      </w:pPr>
      <w:bookmarkStart w:id="16" w:name="_Toc8978019"/>
      <w:bookmarkStart w:id="17" w:name="_Toc12364790"/>
      <w:r w:rsidRPr="00A96337">
        <w:t xml:space="preserve">MTR </w:t>
      </w:r>
      <w:r w:rsidR="00F05621" w:rsidRPr="00A96337">
        <w:t>m</w:t>
      </w:r>
      <w:r w:rsidRPr="00A96337">
        <w:t>ethodology</w:t>
      </w:r>
      <w:bookmarkEnd w:id="16"/>
      <w:bookmarkEnd w:id="17"/>
    </w:p>
    <w:p w14:paraId="2AE211C9" w14:textId="77777777" w:rsidR="002F4F42" w:rsidRPr="00A96337" w:rsidRDefault="002F4F42" w:rsidP="00F8335C">
      <w:pPr>
        <w:pStyle w:val="Heading2"/>
        <w:ind w:left="851" w:hanging="851"/>
      </w:pPr>
      <w:bookmarkStart w:id="18" w:name="_Toc8978020"/>
      <w:bookmarkStart w:id="19" w:name="_Toc12364791"/>
      <w:r w:rsidRPr="00A96337">
        <w:t>Answering the evaluation questions</w:t>
      </w:r>
      <w:bookmarkEnd w:id="18"/>
      <w:bookmarkEnd w:id="19"/>
    </w:p>
    <w:p w14:paraId="3DD11B12" w14:textId="77777777" w:rsidR="002F4F42" w:rsidRPr="00A96337" w:rsidRDefault="002F4F42" w:rsidP="000E1846">
      <w:pPr>
        <w:pStyle w:val="BodyText"/>
        <w:spacing w:line="269" w:lineRule="auto"/>
        <w:rPr>
          <w:spacing w:val="-4"/>
          <w:lang w:val="en-AU"/>
        </w:rPr>
      </w:pPr>
      <w:r w:rsidRPr="00A96337">
        <w:rPr>
          <w:spacing w:val="-4"/>
          <w:lang w:val="en-AU"/>
        </w:rPr>
        <w:t>The MTR was guided by the following seven questions.</w:t>
      </w:r>
      <w:r w:rsidR="00E42BC8" w:rsidRPr="00A96337">
        <w:rPr>
          <w:spacing w:val="-4"/>
          <w:lang w:val="en-AU"/>
        </w:rPr>
        <w:t xml:space="preserve"> </w:t>
      </w:r>
      <w:r w:rsidRPr="00A96337">
        <w:rPr>
          <w:spacing w:val="-4"/>
          <w:lang w:val="en-AU"/>
        </w:rPr>
        <w:t>Section 3 is therefore broadly structured to respond to these questions, while also providing additional insights that the MTR Team consider important.</w:t>
      </w:r>
    </w:p>
    <w:p w14:paraId="1A084D38" w14:textId="38054DCD" w:rsidR="002F4F42" w:rsidRPr="00A96337" w:rsidRDefault="002F4F42" w:rsidP="00F8335C">
      <w:pPr>
        <w:pStyle w:val="EvaluationNumbered"/>
        <w:numPr>
          <w:ilvl w:val="0"/>
          <w:numId w:val="26"/>
        </w:numPr>
        <w:spacing w:line="269" w:lineRule="auto"/>
        <w:ind w:left="426" w:hanging="426"/>
        <w:rPr>
          <w:lang w:val="en-AU"/>
        </w:rPr>
      </w:pPr>
      <w:r w:rsidRPr="00A96337">
        <w:rPr>
          <w:lang w:val="en-AU"/>
        </w:rPr>
        <w:t xml:space="preserve">Does </w:t>
      </w:r>
      <w:r w:rsidR="009B58A0" w:rsidRPr="00A96337">
        <w:rPr>
          <w:lang w:val="en-AU"/>
        </w:rPr>
        <w:t>AMENCA 3</w:t>
      </w:r>
      <w:r w:rsidRPr="00A96337">
        <w:rPr>
          <w:lang w:val="en-AU"/>
        </w:rPr>
        <w:t>’s program logic, approach and governance remain valid or require changes?</w:t>
      </w:r>
    </w:p>
    <w:p w14:paraId="4B87225A" w14:textId="4B7B83A6" w:rsidR="002F4F42" w:rsidRPr="00A96337" w:rsidRDefault="002F4F42" w:rsidP="000E1846">
      <w:pPr>
        <w:pStyle w:val="EvaluationNumbered"/>
        <w:spacing w:line="269" w:lineRule="auto"/>
        <w:rPr>
          <w:lang w:val="en-AU"/>
        </w:rPr>
      </w:pPr>
      <w:r w:rsidRPr="00A96337">
        <w:rPr>
          <w:lang w:val="en-AU"/>
        </w:rPr>
        <w:t xml:space="preserve">What results has </w:t>
      </w:r>
      <w:r w:rsidR="009B58A0" w:rsidRPr="00A96337">
        <w:rPr>
          <w:lang w:val="en-AU"/>
        </w:rPr>
        <w:t>AMENCA 3</w:t>
      </w:r>
      <w:r w:rsidRPr="00A96337">
        <w:rPr>
          <w:lang w:val="en-AU"/>
        </w:rPr>
        <w:t xml:space="preserve"> achieved to date? Do these achievements indicate the Program is on track to realise its objectives?</w:t>
      </w:r>
    </w:p>
    <w:p w14:paraId="1A3DBBB4" w14:textId="3FD4E3FB" w:rsidR="002F4F42" w:rsidRPr="00A96337" w:rsidRDefault="002F4F42" w:rsidP="000E1846">
      <w:pPr>
        <w:pStyle w:val="EvaluationNumbered"/>
        <w:spacing w:line="269" w:lineRule="auto"/>
        <w:rPr>
          <w:lang w:val="en-AU"/>
        </w:rPr>
      </w:pPr>
      <w:r w:rsidRPr="00A96337">
        <w:rPr>
          <w:lang w:val="en-AU"/>
        </w:rPr>
        <w:t xml:space="preserve">Are the current NGO projects on track to achieve the intermediate and long-term outcomes of the </w:t>
      </w:r>
      <w:r w:rsidR="009B58A0" w:rsidRPr="00A96337">
        <w:rPr>
          <w:lang w:val="en-AU"/>
        </w:rPr>
        <w:t>AMENCA 3</w:t>
      </w:r>
      <w:r w:rsidRPr="00A96337">
        <w:rPr>
          <w:lang w:val="en-AU"/>
        </w:rPr>
        <w:t xml:space="preserve"> Program?</w:t>
      </w:r>
    </w:p>
    <w:p w14:paraId="4D56962C" w14:textId="1DC210C6" w:rsidR="002F4F42" w:rsidRPr="00A96337" w:rsidRDefault="002F4F42" w:rsidP="000E1846">
      <w:pPr>
        <w:pStyle w:val="EvaluationNumbered"/>
        <w:spacing w:line="269" w:lineRule="auto"/>
        <w:rPr>
          <w:lang w:val="en-AU"/>
        </w:rPr>
      </w:pPr>
      <w:r w:rsidRPr="00A96337">
        <w:rPr>
          <w:lang w:val="en-AU"/>
        </w:rPr>
        <w:t xml:space="preserve">Have enough financial and human resources been allocated to enable </w:t>
      </w:r>
      <w:r w:rsidR="009B58A0" w:rsidRPr="00A96337">
        <w:rPr>
          <w:lang w:val="en-AU"/>
        </w:rPr>
        <w:t>AMENCA 3</w:t>
      </w:r>
      <w:r w:rsidRPr="00A96337">
        <w:rPr>
          <w:lang w:val="en-AU"/>
        </w:rPr>
        <w:t xml:space="preserve"> to achieve its objectives?</w:t>
      </w:r>
    </w:p>
    <w:p w14:paraId="0DCBEF27" w14:textId="56BDFAF8" w:rsidR="002F4F42" w:rsidRPr="00A96337" w:rsidRDefault="002F4F42" w:rsidP="000E1846">
      <w:pPr>
        <w:pStyle w:val="EvaluationNumbered"/>
        <w:spacing w:line="269" w:lineRule="auto"/>
        <w:rPr>
          <w:lang w:val="en-AU"/>
        </w:rPr>
      </w:pPr>
      <w:r w:rsidRPr="00A96337">
        <w:rPr>
          <w:lang w:val="en-AU"/>
        </w:rPr>
        <w:t xml:space="preserve">What is the level of sustainability in the current NGO projects; how can </w:t>
      </w:r>
      <w:r w:rsidR="009B58A0" w:rsidRPr="00A96337">
        <w:rPr>
          <w:lang w:val="en-AU"/>
        </w:rPr>
        <w:t>AMENCA 3</w:t>
      </w:r>
      <w:r w:rsidRPr="00A96337">
        <w:rPr>
          <w:lang w:val="en-AU"/>
        </w:rPr>
        <w:t xml:space="preserve"> strengthen the sustainability of the outcomes by the end of the NGO projects?</w:t>
      </w:r>
    </w:p>
    <w:p w14:paraId="63A2647C" w14:textId="77777777" w:rsidR="002F4F42" w:rsidRPr="00A96337" w:rsidRDefault="002F4F42" w:rsidP="000E1846">
      <w:pPr>
        <w:pStyle w:val="EvaluationNumbered"/>
        <w:spacing w:line="269" w:lineRule="auto"/>
        <w:rPr>
          <w:lang w:val="en-AU"/>
        </w:rPr>
      </w:pPr>
      <w:r w:rsidRPr="00A96337">
        <w:rPr>
          <w:lang w:val="en-AU"/>
        </w:rPr>
        <w:t xml:space="preserve">How effective are the NGO projects in improving the economic and social position of women and youth? What are the factors that contribute and / or hinder successful approaches? </w:t>
      </w:r>
    </w:p>
    <w:p w14:paraId="67F5E786" w14:textId="25B12CA9" w:rsidR="002F4F42" w:rsidRPr="00A96337" w:rsidRDefault="002F4F42" w:rsidP="000E1846">
      <w:pPr>
        <w:pStyle w:val="EvaluationNumbered"/>
        <w:spacing w:line="269" w:lineRule="auto"/>
        <w:rPr>
          <w:lang w:val="en-AU"/>
        </w:rPr>
      </w:pPr>
      <w:r w:rsidRPr="00A96337">
        <w:rPr>
          <w:lang w:val="en-AU"/>
        </w:rPr>
        <w:t xml:space="preserve">Based on the assessments made above, are there any improvements to </w:t>
      </w:r>
      <w:r w:rsidR="009B58A0" w:rsidRPr="00A96337">
        <w:rPr>
          <w:lang w:val="en-AU"/>
        </w:rPr>
        <w:t>AMENCA 3</w:t>
      </w:r>
      <w:r w:rsidRPr="00A96337">
        <w:rPr>
          <w:lang w:val="en-AU"/>
        </w:rPr>
        <w:t xml:space="preserve"> that could be identified if DFAT determines to extend </w:t>
      </w:r>
      <w:r w:rsidR="009B58A0" w:rsidRPr="00A96337">
        <w:rPr>
          <w:lang w:val="en-AU"/>
        </w:rPr>
        <w:t>AMENCA 3</w:t>
      </w:r>
      <w:r w:rsidRPr="00A96337">
        <w:rPr>
          <w:lang w:val="en-AU"/>
        </w:rPr>
        <w:t xml:space="preserve"> for a further two years?</w:t>
      </w:r>
    </w:p>
    <w:p w14:paraId="5FBFF0E5" w14:textId="7DE63D8D" w:rsidR="002F4F42" w:rsidRPr="00A96337" w:rsidRDefault="002F4F42" w:rsidP="000E1846">
      <w:pPr>
        <w:pStyle w:val="BodyText"/>
        <w:spacing w:line="269" w:lineRule="auto"/>
        <w:rPr>
          <w:lang w:val="en-AU"/>
        </w:rPr>
      </w:pPr>
      <w:r w:rsidRPr="00A96337">
        <w:rPr>
          <w:lang w:val="en-AU"/>
        </w:rPr>
        <w:t xml:space="preserve">The analytical framework for the MTR was provided in an </w:t>
      </w:r>
      <w:r w:rsidRPr="00A96337">
        <w:rPr>
          <w:i/>
          <w:iCs/>
          <w:lang w:val="en-AU"/>
        </w:rPr>
        <w:t>Evaluation Plan</w:t>
      </w:r>
      <w:r w:rsidRPr="00A96337">
        <w:rPr>
          <w:lang w:val="en-AU"/>
        </w:rPr>
        <w:t xml:space="preserve"> describing how the MTR would collect and assess the evidence needed to answer each question </w:t>
      </w:r>
      <w:sdt>
        <w:sdtPr>
          <w:rPr>
            <w:lang w:val="en-AU"/>
          </w:rPr>
          <w:id w:val="1948273483"/>
          <w:citation/>
        </w:sdtPr>
        <w:sdtEndPr/>
        <w:sdtContent>
          <w:r w:rsidRPr="00A96337">
            <w:rPr>
              <w:lang w:val="en-AU"/>
            </w:rPr>
            <w:fldChar w:fldCharType="begin"/>
          </w:r>
          <w:r w:rsidRPr="00A96337">
            <w:rPr>
              <w:lang w:val="en-AU"/>
            </w:rPr>
            <w:instrText xml:space="preserve"> CITATION Cof19 \l 5129 </w:instrText>
          </w:r>
          <w:r w:rsidRPr="00A96337">
            <w:rPr>
              <w:lang w:val="en-AU"/>
            </w:rPr>
            <w:fldChar w:fldCharType="separate"/>
          </w:r>
          <w:r w:rsidR="00593D9F" w:rsidRPr="00593D9F">
            <w:rPr>
              <w:noProof/>
              <w:lang w:val="en-AU"/>
            </w:rPr>
            <w:t>(Coffey, 2019)</w:t>
          </w:r>
          <w:r w:rsidRPr="00A96337">
            <w:rPr>
              <w:lang w:val="en-AU"/>
            </w:rPr>
            <w:fldChar w:fldCharType="end"/>
          </w:r>
        </w:sdtContent>
      </w:sdt>
      <w:r w:rsidRPr="00A96337">
        <w:rPr>
          <w:lang w:val="en-AU"/>
        </w:rPr>
        <w:t>.</w:t>
      </w:r>
    </w:p>
    <w:p w14:paraId="61896CA3" w14:textId="77777777" w:rsidR="002F4F42" w:rsidRPr="00A96337" w:rsidRDefault="002F4F42" w:rsidP="00F8335C">
      <w:pPr>
        <w:pStyle w:val="Heading2"/>
        <w:ind w:left="851" w:hanging="851"/>
      </w:pPr>
      <w:bookmarkStart w:id="20" w:name="_Toc8978021"/>
      <w:bookmarkStart w:id="21" w:name="_Toc12364792"/>
      <w:r w:rsidRPr="00A96337">
        <w:t>Data collection</w:t>
      </w:r>
      <w:bookmarkEnd w:id="20"/>
      <w:bookmarkEnd w:id="21"/>
    </w:p>
    <w:p w14:paraId="7019952F" w14:textId="77777777" w:rsidR="002F4F42" w:rsidRPr="00A96337" w:rsidRDefault="002F4F42" w:rsidP="000E1846">
      <w:pPr>
        <w:pStyle w:val="BodyText"/>
        <w:spacing w:line="269" w:lineRule="auto"/>
        <w:rPr>
          <w:lang w:val="en-AU"/>
        </w:rPr>
      </w:pPr>
      <w:r w:rsidRPr="00A96337">
        <w:rPr>
          <w:lang w:val="en-AU"/>
        </w:rPr>
        <w:t>The MTR findings have been informed by the program’s theory, its reported learning, and the feedback provided by its participants and stakeholders.</w:t>
      </w:r>
      <w:r w:rsidR="00E42BC8" w:rsidRPr="00A96337">
        <w:rPr>
          <w:lang w:val="en-AU"/>
        </w:rPr>
        <w:t xml:space="preserve"> </w:t>
      </w:r>
      <w:r w:rsidRPr="00A96337">
        <w:rPr>
          <w:lang w:val="en-AU"/>
        </w:rPr>
        <w:t>The findings draw from data collected during three activities:</w:t>
      </w:r>
    </w:p>
    <w:p w14:paraId="207D2277" w14:textId="77777777" w:rsidR="002F4F42" w:rsidRPr="00A96337" w:rsidRDefault="002F4F42" w:rsidP="00F8335C">
      <w:pPr>
        <w:pStyle w:val="EvaluationNumbered"/>
        <w:numPr>
          <w:ilvl w:val="0"/>
          <w:numId w:val="27"/>
        </w:numPr>
        <w:spacing w:line="269" w:lineRule="auto"/>
        <w:ind w:left="426" w:hanging="426"/>
        <w:rPr>
          <w:lang w:val="en-AU"/>
        </w:rPr>
      </w:pPr>
      <w:bookmarkStart w:id="22" w:name="_Ref8461618"/>
      <w:r w:rsidRPr="00A96337">
        <w:rPr>
          <w:lang w:val="en-AU"/>
        </w:rPr>
        <w:t>Phone interviews with the program’s Australian-based stakeholders.</w:t>
      </w:r>
      <w:bookmarkEnd w:id="22"/>
    </w:p>
    <w:p w14:paraId="7B9FE267" w14:textId="77777777" w:rsidR="002F4F42" w:rsidRPr="00A96337" w:rsidRDefault="002F4F42" w:rsidP="000E1846">
      <w:pPr>
        <w:pStyle w:val="EvaluationNumbered"/>
        <w:spacing w:line="269" w:lineRule="auto"/>
        <w:rPr>
          <w:lang w:val="en-AU"/>
        </w:rPr>
      </w:pPr>
      <w:r w:rsidRPr="00A96337">
        <w:rPr>
          <w:lang w:val="en-AU"/>
        </w:rPr>
        <w:t>A desk review of program documentation.</w:t>
      </w:r>
    </w:p>
    <w:p w14:paraId="3FBD8BF2" w14:textId="77777777" w:rsidR="002F4F42" w:rsidRPr="00A96337" w:rsidRDefault="002F4F42" w:rsidP="000E1846">
      <w:pPr>
        <w:pStyle w:val="EvaluationNumbered"/>
        <w:spacing w:line="269" w:lineRule="auto"/>
        <w:rPr>
          <w:lang w:val="en-AU"/>
        </w:rPr>
      </w:pPr>
      <w:r w:rsidRPr="00A96337">
        <w:rPr>
          <w:lang w:val="en-AU"/>
        </w:rPr>
        <w:t>The in-country fieldwork and consultation with key stakeholders (17 March to 27 March 2019).</w:t>
      </w:r>
    </w:p>
    <w:p w14:paraId="65AE8693" w14:textId="77777777" w:rsidR="002F4F42" w:rsidRPr="00A96337" w:rsidRDefault="002F4F42" w:rsidP="002F4F42">
      <w:pPr>
        <w:pStyle w:val="BodyText"/>
        <w:rPr>
          <w:lang w:val="en-AU"/>
        </w:rPr>
      </w:pPr>
      <w:r w:rsidRPr="00A96337">
        <w:rPr>
          <w:lang w:val="en-AU"/>
        </w:rPr>
        <w:t>Across these three activities the MTR used a mix of methods that combined qualitative and quantitative data collection in an iterative process.</w:t>
      </w:r>
    </w:p>
    <w:p w14:paraId="736D9010" w14:textId="5C28753E" w:rsidR="002F4F42" w:rsidRPr="00A96337" w:rsidRDefault="002F4F42" w:rsidP="002F4F42">
      <w:pPr>
        <w:pStyle w:val="BodyText"/>
        <w:rPr>
          <w:lang w:val="en-AU"/>
        </w:rPr>
      </w:pPr>
      <w:r w:rsidRPr="00A96337">
        <w:rPr>
          <w:lang w:val="en-AU"/>
        </w:rPr>
        <w:t xml:space="preserve">Primary data collection methods included: interviews, field visits, focus group discussions, and observations of </w:t>
      </w:r>
      <w:r w:rsidR="009B58A0" w:rsidRPr="00A96337">
        <w:rPr>
          <w:lang w:val="en-AU"/>
        </w:rPr>
        <w:t>AMENCA 3</w:t>
      </w:r>
      <w:r w:rsidRPr="00A96337">
        <w:rPr>
          <w:lang w:val="en-AU"/>
        </w:rPr>
        <w:t>’s governance meetings.</w:t>
      </w:r>
      <w:r w:rsidR="00E42BC8" w:rsidRPr="00A96337">
        <w:rPr>
          <w:lang w:val="en-AU"/>
        </w:rPr>
        <w:t xml:space="preserve"> </w:t>
      </w:r>
      <w:r w:rsidRPr="00A96337">
        <w:rPr>
          <w:lang w:val="en-AU"/>
        </w:rPr>
        <w:t xml:space="preserve">Overall, 125 people were interviewed and/or participated in focus group discussions, including: 76 program </w:t>
      </w:r>
      <w:r w:rsidR="00E50F49" w:rsidRPr="00A96337">
        <w:rPr>
          <w:lang w:val="en-AU"/>
        </w:rPr>
        <w:t>partners</w:t>
      </w:r>
      <w:r w:rsidRPr="00A96337">
        <w:rPr>
          <w:lang w:val="en-AU"/>
        </w:rPr>
        <w:t>, 29 program staff and affiliates, four DFAT staff in Ramallah, and four DFAT staff based in Canberra.</w:t>
      </w:r>
      <w:r w:rsidR="00E42BC8" w:rsidRPr="00A96337">
        <w:rPr>
          <w:lang w:val="en-AU"/>
        </w:rPr>
        <w:t xml:space="preserve"> </w:t>
      </w:r>
      <w:r w:rsidRPr="00A96337">
        <w:rPr>
          <w:lang w:val="en-AU"/>
        </w:rPr>
        <w:t>Those consulted during the MTR are listed in Annex 5.</w:t>
      </w:r>
    </w:p>
    <w:p w14:paraId="4D3CADC6" w14:textId="154FAB68" w:rsidR="002F4F42" w:rsidRPr="00A96337" w:rsidRDefault="002F4F42" w:rsidP="002F4F42">
      <w:pPr>
        <w:pStyle w:val="BodyText"/>
        <w:rPr>
          <w:lang w:val="en-AU"/>
        </w:rPr>
      </w:pPr>
      <w:r w:rsidRPr="00A96337">
        <w:rPr>
          <w:lang w:val="en-AU"/>
        </w:rPr>
        <w:t>The interview dataset was then triangulated with the findings from the desk review, and the scan of the literature relevant to both the program, and to delivery in the Palestinian context.</w:t>
      </w:r>
    </w:p>
    <w:p w14:paraId="2BE3576D" w14:textId="63224219" w:rsidR="002F4F42" w:rsidRPr="00A96337" w:rsidRDefault="002F4F42" w:rsidP="00F8335C">
      <w:pPr>
        <w:pStyle w:val="Heading2"/>
        <w:ind w:left="851" w:hanging="851"/>
      </w:pPr>
      <w:bookmarkStart w:id="23" w:name="_Toc8978022"/>
      <w:bookmarkStart w:id="24" w:name="_Toc12364793"/>
      <w:r w:rsidRPr="00A96337">
        <w:t xml:space="preserve">Assessment </w:t>
      </w:r>
      <w:r w:rsidR="00E50F49" w:rsidRPr="00A96337">
        <w:t>c</w:t>
      </w:r>
      <w:r w:rsidRPr="00A96337">
        <w:t>riteria</w:t>
      </w:r>
      <w:bookmarkEnd w:id="23"/>
      <w:bookmarkEnd w:id="24"/>
    </w:p>
    <w:p w14:paraId="4B9DC9E9" w14:textId="77777777" w:rsidR="002F4F42" w:rsidRPr="00A96337" w:rsidRDefault="002F4F42" w:rsidP="002F4F42">
      <w:pPr>
        <w:pStyle w:val="BodyText"/>
        <w:rPr>
          <w:lang w:val="en-AU"/>
        </w:rPr>
      </w:pPr>
      <w:r w:rsidRPr="00A96337">
        <w:rPr>
          <w:lang w:val="en-AU"/>
        </w:rPr>
        <w:t xml:space="preserve">The MTR </w:t>
      </w:r>
      <w:r w:rsidRPr="00A96337">
        <w:rPr>
          <w:i/>
          <w:iCs/>
          <w:lang w:val="en-AU"/>
        </w:rPr>
        <w:t>Evaluation Plan</w:t>
      </w:r>
      <w:r w:rsidRPr="00A96337">
        <w:rPr>
          <w:lang w:val="en-AU"/>
        </w:rPr>
        <w:t xml:space="preserve"> included a Review Framework (Annex 4), that provided a complete mapping of data sources, assessment processes, and assessment criteria against the seven evaluation questions.</w:t>
      </w:r>
      <w:r w:rsidR="00E42BC8" w:rsidRPr="00A96337">
        <w:rPr>
          <w:lang w:val="en-AU"/>
        </w:rPr>
        <w:t xml:space="preserve"> </w:t>
      </w:r>
      <w:r w:rsidRPr="00A96337">
        <w:rPr>
          <w:lang w:val="en-AU"/>
        </w:rPr>
        <w:t>The eleven assessment criteria included:</w:t>
      </w:r>
    </w:p>
    <w:p w14:paraId="7F57DD43" w14:textId="4446088E" w:rsidR="002F4F42" w:rsidRPr="00A96337" w:rsidRDefault="002F4F42" w:rsidP="00F8335C">
      <w:pPr>
        <w:pStyle w:val="ListParagraph"/>
        <w:numPr>
          <w:ilvl w:val="0"/>
          <w:numId w:val="25"/>
        </w:numPr>
        <w:ind w:left="567" w:hanging="567"/>
      </w:pPr>
      <w:r w:rsidRPr="00A96337">
        <w:t xml:space="preserve">The Results Reported by </w:t>
      </w:r>
      <w:r w:rsidR="009B58A0" w:rsidRPr="00A96337">
        <w:t>AMENCA 3</w:t>
      </w:r>
      <w:r w:rsidRPr="00A96337">
        <w:t xml:space="preserve"> are consistent with its results framework and are considered to be sustainable.</w:t>
      </w:r>
    </w:p>
    <w:p w14:paraId="68D04993" w14:textId="77777777" w:rsidR="002F4F42" w:rsidRPr="00A96337" w:rsidRDefault="002F4F42" w:rsidP="00F8335C">
      <w:pPr>
        <w:pStyle w:val="ListParagraph"/>
        <w:numPr>
          <w:ilvl w:val="0"/>
          <w:numId w:val="25"/>
        </w:numPr>
        <w:ind w:left="567" w:hanging="567"/>
      </w:pPr>
      <w:r w:rsidRPr="00A96337">
        <w:t>The evidence underpinning results reporting is of sound-to-high quality.</w:t>
      </w:r>
    </w:p>
    <w:p w14:paraId="19A37E85" w14:textId="513605CA" w:rsidR="002F4F42" w:rsidRPr="00A96337" w:rsidRDefault="002F4F42" w:rsidP="00F8335C">
      <w:pPr>
        <w:pStyle w:val="ListParagraph"/>
        <w:numPr>
          <w:ilvl w:val="0"/>
          <w:numId w:val="25"/>
        </w:numPr>
        <w:ind w:left="567" w:hanging="567"/>
      </w:pPr>
      <w:r w:rsidRPr="00A96337">
        <w:t xml:space="preserve">The intervention model (i.e. hybrid MSD model) used by </w:t>
      </w:r>
      <w:r w:rsidR="009B58A0" w:rsidRPr="00A96337">
        <w:t>AMENCA 3</w:t>
      </w:r>
      <w:r w:rsidRPr="00A96337">
        <w:t xml:space="preserve"> is credibly able to achieve the objectives (for example, has the selection of value chains been appropriate and does it remain appropriate moving forward) and have partners implemented the hybrid model as intended and/or made any adaptations or innovations that have impacted </w:t>
      </w:r>
      <w:r w:rsidR="009B58A0" w:rsidRPr="00A96337">
        <w:t>AMENCA 3</w:t>
      </w:r>
      <w:r w:rsidRPr="00A96337">
        <w:t>.</w:t>
      </w:r>
    </w:p>
    <w:p w14:paraId="3039804C" w14:textId="77777777" w:rsidR="002F4F42" w:rsidRPr="00A96337" w:rsidRDefault="002F4F42" w:rsidP="00F8335C">
      <w:pPr>
        <w:pStyle w:val="ListParagraph"/>
        <w:numPr>
          <w:ilvl w:val="0"/>
          <w:numId w:val="25"/>
        </w:numPr>
        <w:ind w:left="567" w:hanging="567"/>
      </w:pPr>
      <w:r w:rsidRPr="00A96337">
        <w:t>Program activities effectively address known barriers to women’s, men’s and youth’s participation in economic activities/livelihoods.</w:t>
      </w:r>
    </w:p>
    <w:p w14:paraId="28FB9E21" w14:textId="77777777" w:rsidR="002F4F42" w:rsidRPr="00A96337" w:rsidRDefault="002F4F42" w:rsidP="00F8335C">
      <w:pPr>
        <w:pStyle w:val="ListParagraph"/>
        <w:numPr>
          <w:ilvl w:val="0"/>
          <w:numId w:val="25"/>
        </w:numPr>
        <w:ind w:left="567" w:hanging="567"/>
      </w:pPr>
      <w:r w:rsidRPr="00A96337">
        <w:t xml:space="preserve">Program activities are delivered in a way that facilitates participation by and results for women, men and youth. </w:t>
      </w:r>
    </w:p>
    <w:p w14:paraId="57EE2C82" w14:textId="77777777" w:rsidR="002F4F42" w:rsidRPr="00A96337" w:rsidRDefault="002F4F42" w:rsidP="00F8335C">
      <w:pPr>
        <w:pStyle w:val="ListParagraph"/>
        <w:numPr>
          <w:ilvl w:val="0"/>
          <w:numId w:val="25"/>
        </w:numPr>
        <w:ind w:left="567" w:hanging="567"/>
      </w:pPr>
      <w:r w:rsidRPr="00A96337">
        <w:t>Women perceive the program activities to be of high value, and report (at least) equivalent results.</w:t>
      </w:r>
    </w:p>
    <w:p w14:paraId="672E4CDE" w14:textId="77777777" w:rsidR="002F4F42" w:rsidRPr="00A96337" w:rsidRDefault="002F4F42" w:rsidP="00F8335C">
      <w:pPr>
        <w:pStyle w:val="ListParagraph"/>
        <w:numPr>
          <w:ilvl w:val="0"/>
          <w:numId w:val="25"/>
        </w:numPr>
        <w:ind w:left="567" w:hanging="567"/>
      </w:pPr>
      <w:r w:rsidRPr="00A96337">
        <w:t>Program activities are on-time, on-budget, and consistent with the intent of the design.</w:t>
      </w:r>
    </w:p>
    <w:p w14:paraId="7647D216" w14:textId="77777777" w:rsidR="002F4F42" w:rsidRPr="00A96337" w:rsidRDefault="002F4F42" w:rsidP="00F8335C">
      <w:pPr>
        <w:pStyle w:val="ListParagraph"/>
        <w:numPr>
          <w:ilvl w:val="0"/>
          <w:numId w:val="25"/>
        </w:numPr>
        <w:ind w:left="567" w:hanging="567"/>
      </w:pPr>
      <w:r w:rsidRPr="00A96337">
        <w:t>Program resources are proportionate to the expected activities and outputs.</w:t>
      </w:r>
    </w:p>
    <w:p w14:paraId="3C539658" w14:textId="77777777" w:rsidR="002F4F42" w:rsidRPr="00A96337" w:rsidRDefault="002F4F42" w:rsidP="00F8335C">
      <w:pPr>
        <w:pStyle w:val="ListParagraph"/>
        <w:numPr>
          <w:ilvl w:val="0"/>
          <w:numId w:val="25"/>
        </w:numPr>
        <w:ind w:left="567" w:hanging="567"/>
      </w:pPr>
      <w:r w:rsidRPr="00A96337">
        <w:t>The Program is learning during implementation, and has an adequate MEL system working to support this.</w:t>
      </w:r>
    </w:p>
    <w:p w14:paraId="6DBB8DA6" w14:textId="77777777" w:rsidR="002F4F42" w:rsidRPr="00A96337" w:rsidRDefault="002F4F42" w:rsidP="00F8335C">
      <w:pPr>
        <w:pStyle w:val="ListParagraph"/>
        <w:numPr>
          <w:ilvl w:val="0"/>
          <w:numId w:val="25"/>
        </w:numPr>
        <w:ind w:left="567" w:hanging="567"/>
      </w:pPr>
      <w:r w:rsidRPr="00A96337">
        <w:t>Program staff are performing their roles effectively, and no significant gaps or governance concerns are identified.</w:t>
      </w:r>
    </w:p>
    <w:p w14:paraId="4F3617C8" w14:textId="77777777" w:rsidR="002F4F42" w:rsidRPr="00A96337" w:rsidRDefault="002F4F42" w:rsidP="00F8335C">
      <w:pPr>
        <w:pStyle w:val="ListParagraph"/>
        <w:numPr>
          <w:ilvl w:val="0"/>
          <w:numId w:val="25"/>
        </w:numPr>
        <w:ind w:left="567" w:hanging="567"/>
      </w:pPr>
      <w:r w:rsidRPr="00A96337">
        <w:t>The Program architecture and governance structures (i.e. the AHLD and TPAG) are efficiently fulfilling DFAT’s standards for program management and are engaging effectively to oversee the Program.</w:t>
      </w:r>
    </w:p>
    <w:p w14:paraId="693B44DF" w14:textId="77777777" w:rsidR="002F4F42" w:rsidRPr="00A96337" w:rsidRDefault="002F4F42" w:rsidP="00F8335C">
      <w:pPr>
        <w:pStyle w:val="Heading2"/>
        <w:ind w:left="851" w:hanging="851"/>
      </w:pPr>
      <w:bookmarkStart w:id="25" w:name="_Toc8978023"/>
      <w:bookmarkStart w:id="26" w:name="_Toc12364794"/>
      <w:r w:rsidRPr="00A96337">
        <w:t>Limitations of the MTR</w:t>
      </w:r>
      <w:bookmarkEnd w:id="25"/>
      <w:bookmarkEnd w:id="26"/>
    </w:p>
    <w:p w14:paraId="21CE0A76" w14:textId="77777777" w:rsidR="002F4F42" w:rsidRPr="00A96337" w:rsidRDefault="002F4F42" w:rsidP="002F4F42">
      <w:pPr>
        <w:pStyle w:val="BodyText"/>
        <w:rPr>
          <w:lang w:val="en-AU"/>
        </w:rPr>
      </w:pPr>
      <w:r w:rsidRPr="00A96337">
        <w:rPr>
          <w:lang w:val="en-AU"/>
        </w:rPr>
        <w:t>The challenges of working in the Palestinian Territories are significant, and this MTR was no exception. The MTR faced five major limitations:</w:t>
      </w:r>
    </w:p>
    <w:p w14:paraId="78741679" w14:textId="407A4C1F" w:rsidR="002F4F42" w:rsidRPr="00A96337" w:rsidRDefault="002F4F42" w:rsidP="00F8335C">
      <w:pPr>
        <w:pStyle w:val="EvaluationNumbered"/>
        <w:numPr>
          <w:ilvl w:val="0"/>
          <w:numId w:val="28"/>
        </w:numPr>
        <w:spacing w:before="60" w:after="60"/>
        <w:ind w:left="425" w:hanging="425"/>
        <w:rPr>
          <w:lang w:val="en-AU"/>
        </w:rPr>
      </w:pPr>
      <w:r w:rsidRPr="00A96337">
        <w:rPr>
          <w:lang w:val="en-AU"/>
        </w:rPr>
        <w:t>It was difficult for the MTR to determine the sustainability of the inclusive market opportunities as these, although promising, were still early-stage.</w:t>
      </w:r>
      <w:r w:rsidR="00E42BC8" w:rsidRPr="00A96337">
        <w:rPr>
          <w:lang w:val="en-AU"/>
        </w:rPr>
        <w:t xml:space="preserve"> </w:t>
      </w:r>
      <w:r w:rsidRPr="00A96337">
        <w:rPr>
          <w:lang w:val="en-AU"/>
        </w:rPr>
        <w:t>The program level data shows significant achievements, yet most have been delivered in the last twelve months.</w:t>
      </w:r>
      <w:r w:rsidR="00E42BC8" w:rsidRPr="00A96337">
        <w:rPr>
          <w:lang w:val="en-AU"/>
        </w:rPr>
        <w:t xml:space="preserve"> </w:t>
      </w:r>
      <w:r w:rsidRPr="00A96337">
        <w:rPr>
          <w:lang w:val="en-AU"/>
        </w:rPr>
        <w:t xml:space="preserve">Furthermore, the longer-term impacts are difficult to predict, given the multitude of market distorting factors and the security concerns in the Palestinian Territories, all of which are beyond </w:t>
      </w:r>
      <w:r w:rsidR="009B58A0" w:rsidRPr="00A96337">
        <w:rPr>
          <w:lang w:val="en-AU"/>
        </w:rPr>
        <w:t>AMENCA 3</w:t>
      </w:r>
      <w:r w:rsidRPr="00A96337">
        <w:rPr>
          <w:lang w:val="en-AU"/>
        </w:rPr>
        <w:t>’s control.</w:t>
      </w:r>
    </w:p>
    <w:p w14:paraId="188F1659" w14:textId="261A151F" w:rsidR="002F4F42" w:rsidRPr="00A96337" w:rsidRDefault="002F4F42" w:rsidP="002F4F42">
      <w:pPr>
        <w:pStyle w:val="EvaluationNumbered"/>
        <w:spacing w:before="60" w:after="60"/>
        <w:ind w:left="425" w:hanging="425"/>
        <w:rPr>
          <w:lang w:val="en-AU"/>
        </w:rPr>
      </w:pPr>
      <w:r w:rsidRPr="00A96337">
        <w:rPr>
          <w:lang w:val="en-AU"/>
        </w:rPr>
        <w:t xml:space="preserve">Two of </w:t>
      </w:r>
      <w:r w:rsidR="009B58A0" w:rsidRPr="00A96337">
        <w:rPr>
          <w:lang w:val="en-AU"/>
        </w:rPr>
        <w:t>AMENCA 3</w:t>
      </w:r>
      <w:r w:rsidRPr="00A96337">
        <w:rPr>
          <w:lang w:val="en-AU"/>
        </w:rPr>
        <w:t>’s four partner consortiums have been suspended as a result of alleged terrorist links. The suspension of World Vision, which occurred</w:t>
      </w:r>
      <w:r w:rsidR="000D0F67" w:rsidRPr="00A96337">
        <w:rPr>
          <w:lang w:val="en-AU"/>
        </w:rPr>
        <w:t xml:space="preserve"> in August 2016</w:t>
      </w:r>
      <w:r w:rsidR="00C16CA8" w:rsidRPr="00A96337">
        <w:rPr>
          <w:lang w:val="en-AU"/>
        </w:rPr>
        <w:t xml:space="preserve"> (</w:t>
      </w:r>
      <w:r w:rsidRPr="00A96337">
        <w:rPr>
          <w:lang w:val="en-AU"/>
        </w:rPr>
        <w:t>soon after program commencement</w:t>
      </w:r>
      <w:r w:rsidR="00C16CA8" w:rsidRPr="00A96337">
        <w:rPr>
          <w:lang w:val="en-AU"/>
        </w:rPr>
        <w:t>)</w:t>
      </w:r>
      <w:r w:rsidRPr="00A96337">
        <w:rPr>
          <w:lang w:val="en-AU"/>
        </w:rPr>
        <w:t>, compromised program targets, but not so much the beneficiaries who were yet to fully engage.</w:t>
      </w:r>
      <w:r w:rsidR="00E42BC8" w:rsidRPr="00A96337">
        <w:rPr>
          <w:lang w:val="en-AU"/>
        </w:rPr>
        <w:t xml:space="preserve"> </w:t>
      </w:r>
      <w:r w:rsidRPr="00A96337">
        <w:rPr>
          <w:lang w:val="en-AU"/>
        </w:rPr>
        <w:t>In contrast, the suspension of APHEDA in mid-2018 not only compromised program delivery and undermined its sustainability, but adversely affected the project’s beneficiaries who by then were fully engaged.</w:t>
      </w:r>
      <w:r w:rsidR="00E42BC8" w:rsidRPr="00A96337">
        <w:rPr>
          <w:lang w:val="en-AU"/>
        </w:rPr>
        <w:t xml:space="preserve"> </w:t>
      </w:r>
      <w:r w:rsidRPr="00A96337">
        <w:rPr>
          <w:lang w:val="en-AU"/>
        </w:rPr>
        <w:t>The MTR has struggled to understand the implications this has for program achievements and potential impact.</w:t>
      </w:r>
      <w:r w:rsidR="00E42BC8" w:rsidRPr="00A96337">
        <w:rPr>
          <w:lang w:val="en-AU"/>
        </w:rPr>
        <w:t xml:space="preserve"> </w:t>
      </w:r>
      <w:r w:rsidRPr="00A96337">
        <w:rPr>
          <w:lang w:val="en-AU"/>
        </w:rPr>
        <w:t>This has been further confounded by the decision to stop all monitoring of APHEDA initiatives while the suspension was in place, hence more recent data has not been collected.</w:t>
      </w:r>
      <w:r w:rsidR="00E42BC8" w:rsidRPr="00A96337">
        <w:rPr>
          <w:lang w:val="en-AU"/>
        </w:rPr>
        <w:t xml:space="preserve"> </w:t>
      </w:r>
      <w:r w:rsidRPr="00A96337">
        <w:rPr>
          <w:lang w:val="en-AU"/>
        </w:rPr>
        <w:t>Since the MTR mission was completed, the decision has been made to lift APHEDA’s suspension.</w:t>
      </w:r>
      <w:r w:rsidR="00E42BC8" w:rsidRPr="00A96337">
        <w:rPr>
          <w:lang w:val="en-AU"/>
        </w:rPr>
        <w:t xml:space="preserve"> </w:t>
      </w:r>
      <w:r w:rsidRPr="00A96337">
        <w:rPr>
          <w:lang w:val="en-AU"/>
        </w:rPr>
        <w:t>Reintegration of APHEDA will be a hugely beneficial, if not challenging task.</w:t>
      </w:r>
    </w:p>
    <w:p w14:paraId="44590782" w14:textId="5741A2F3" w:rsidR="002F4F42" w:rsidRPr="00A96337" w:rsidRDefault="002F4F42" w:rsidP="002F4F42">
      <w:pPr>
        <w:pStyle w:val="EvaluationNumbered"/>
        <w:spacing w:before="60" w:after="60"/>
        <w:ind w:left="425" w:hanging="425"/>
        <w:rPr>
          <w:lang w:val="en-AU"/>
        </w:rPr>
      </w:pPr>
      <w:r w:rsidRPr="00A96337">
        <w:rPr>
          <w:lang w:val="en-AU"/>
        </w:rPr>
        <w:t xml:space="preserve">The </w:t>
      </w:r>
      <w:r w:rsidR="007C2C2B" w:rsidRPr="00A96337">
        <w:rPr>
          <w:lang w:val="en-AU"/>
        </w:rPr>
        <w:t xml:space="preserve">economic and </w:t>
      </w:r>
      <w:r w:rsidRPr="00A96337">
        <w:rPr>
          <w:lang w:val="en-AU"/>
        </w:rPr>
        <w:t xml:space="preserve">political dimensions </w:t>
      </w:r>
      <w:r w:rsidR="007C2C2B" w:rsidRPr="00A96337">
        <w:rPr>
          <w:lang w:val="en-AU"/>
        </w:rPr>
        <w:t>on the ground</w:t>
      </w:r>
      <w:r w:rsidRPr="00A96337">
        <w:rPr>
          <w:lang w:val="en-AU"/>
        </w:rPr>
        <w:t xml:space="preserve"> have played a significant role in </w:t>
      </w:r>
      <w:r w:rsidR="00783A9A" w:rsidRPr="00A96337">
        <w:rPr>
          <w:lang w:val="en-AU"/>
        </w:rPr>
        <w:t xml:space="preserve">the </w:t>
      </w:r>
      <w:r w:rsidRPr="00A96337">
        <w:rPr>
          <w:lang w:val="en-AU"/>
        </w:rPr>
        <w:t xml:space="preserve">development </w:t>
      </w:r>
      <w:r w:rsidR="007C2C2B" w:rsidRPr="00A96337">
        <w:rPr>
          <w:lang w:val="en-AU"/>
        </w:rPr>
        <w:t xml:space="preserve">of </w:t>
      </w:r>
      <w:r w:rsidR="009B58A0" w:rsidRPr="00A96337">
        <w:rPr>
          <w:lang w:val="en-AU"/>
        </w:rPr>
        <w:t>AMENCA 3</w:t>
      </w:r>
      <w:r w:rsidRPr="00A96337">
        <w:rPr>
          <w:lang w:val="en-AU"/>
        </w:rPr>
        <w:t>.</w:t>
      </w:r>
      <w:r w:rsidR="00E42BC8" w:rsidRPr="00A96337">
        <w:rPr>
          <w:lang w:val="en-AU"/>
        </w:rPr>
        <w:t xml:space="preserve"> </w:t>
      </w:r>
      <w:r w:rsidRPr="00A96337">
        <w:rPr>
          <w:lang w:val="en-AU"/>
        </w:rPr>
        <w:t xml:space="preserve">Any emergent private sector enterprise in the </w:t>
      </w:r>
      <w:bookmarkStart w:id="27" w:name="_Hlk8212261"/>
      <w:r w:rsidRPr="00A96337">
        <w:rPr>
          <w:lang w:val="en-AU"/>
        </w:rPr>
        <w:t>Palestinian Territories</w:t>
      </w:r>
      <w:r w:rsidR="007C2C2B" w:rsidRPr="00A96337">
        <w:rPr>
          <w:lang w:val="en-AU"/>
        </w:rPr>
        <w:t xml:space="preserve"> can be </w:t>
      </w:r>
      <w:r w:rsidRPr="00A96337">
        <w:rPr>
          <w:lang w:val="en-AU"/>
        </w:rPr>
        <w:t xml:space="preserve">subject to </w:t>
      </w:r>
      <w:r w:rsidR="007C2C2B" w:rsidRPr="00A96337">
        <w:rPr>
          <w:lang w:val="en-AU"/>
        </w:rPr>
        <w:t>high level of economic, supply and political pressure</w:t>
      </w:r>
      <w:bookmarkEnd w:id="27"/>
      <w:r w:rsidRPr="00A96337">
        <w:rPr>
          <w:lang w:val="en-AU"/>
        </w:rPr>
        <w:t>.</w:t>
      </w:r>
      <w:r w:rsidR="00E42BC8" w:rsidRPr="00A96337">
        <w:rPr>
          <w:lang w:val="en-AU"/>
        </w:rPr>
        <w:t xml:space="preserve"> </w:t>
      </w:r>
      <w:r w:rsidRPr="00A96337">
        <w:rPr>
          <w:lang w:val="en-AU"/>
        </w:rPr>
        <w:t>The MTR has therefore provided its professional judgement on the realism of the intended outcomes in such a fraught environment.</w:t>
      </w:r>
      <w:r w:rsidR="00E42BC8" w:rsidRPr="00A96337">
        <w:rPr>
          <w:lang w:val="en-AU"/>
        </w:rPr>
        <w:t xml:space="preserve"> </w:t>
      </w:r>
      <w:r w:rsidRPr="00A96337">
        <w:rPr>
          <w:lang w:val="en-AU"/>
        </w:rPr>
        <w:t>Regrettably, no stakeholders were interviewed from the Israeli civil administration responsible for overseeing the movement of goods and people into and out of the Palestinian Territories.</w:t>
      </w:r>
      <w:r w:rsidR="00E42BC8" w:rsidRPr="00A96337">
        <w:rPr>
          <w:lang w:val="en-AU"/>
        </w:rPr>
        <w:t xml:space="preserve"> </w:t>
      </w:r>
      <w:r w:rsidRPr="00A96337">
        <w:rPr>
          <w:lang w:val="en-AU"/>
        </w:rPr>
        <w:t>Nor were interviews possible with the Israeli traders or merchants involved in the supply chains that were being assessed.</w:t>
      </w:r>
      <w:r w:rsidR="00E42BC8" w:rsidRPr="00A96337">
        <w:rPr>
          <w:lang w:val="en-AU"/>
        </w:rPr>
        <w:t xml:space="preserve"> </w:t>
      </w:r>
      <w:r w:rsidRPr="00A96337">
        <w:rPr>
          <w:lang w:val="en-AU"/>
        </w:rPr>
        <w:t xml:space="preserve">Yet while this would have helped the MTR to refine the contextual understanding of </w:t>
      </w:r>
      <w:r w:rsidR="009B58A0" w:rsidRPr="00A96337">
        <w:rPr>
          <w:lang w:val="en-AU"/>
        </w:rPr>
        <w:t>AMENCA 3</w:t>
      </w:r>
      <w:r w:rsidRPr="00A96337">
        <w:rPr>
          <w:lang w:val="en-AU"/>
        </w:rPr>
        <w:t>, it is not considered a substantive limitation on the findings.</w:t>
      </w:r>
    </w:p>
    <w:p w14:paraId="2681E264" w14:textId="20793ED9" w:rsidR="002F4F42" w:rsidRPr="00A96337" w:rsidRDefault="002F4F42" w:rsidP="002F4F42">
      <w:pPr>
        <w:pStyle w:val="EvaluationNumbered"/>
        <w:spacing w:before="60" w:after="60"/>
        <w:ind w:left="425" w:hanging="425"/>
        <w:rPr>
          <w:lang w:val="en-AU"/>
        </w:rPr>
      </w:pPr>
      <w:r w:rsidRPr="00A96337">
        <w:rPr>
          <w:lang w:val="en-AU"/>
        </w:rPr>
        <w:t>The MTR team was unable to visit Gaza to assess the local activities of Oxfam and APHEDA due to security issues at the time.</w:t>
      </w:r>
      <w:r w:rsidR="00E42BC8" w:rsidRPr="00A96337">
        <w:rPr>
          <w:lang w:val="en-AU"/>
        </w:rPr>
        <w:t xml:space="preserve"> </w:t>
      </w:r>
      <w:r w:rsidRPr="00A96337">
        <w:rPr>
          <w:lang w:val="en-AU"/>
        </w:rPr>
        <w:t>Although a subsequent telephone interview with Oxfam partners in Gaza allowed them to verbally share their experiences, the failure to witness (even briefly) the progress being made by the projects on-the-ground diminished the MTR Team’s perspective,</w:t>
      </w:r>
      <w:r w:rsidR="00575100">
        <w:rPr>
          <w:lang w:val="en-AU"/>
        </w:rPr>
        <w:t xml:space="preserve"> </w:t>
      </w:r>
      <w:r w:rsidRPr="00A96337">
        <w:rPr>
          <w:lang w:val="en-AU"/>
        </w:rPr>
        <w:t xml:space="preserve">and undermined the rigour of its understanding of </w:t>
      </w:r>
      <w:r w:rsidR="009B58A0" w:rsidRPr="00A96337">
        <w:rPr>
          <w:lang w:val="en-AU"/>
        </w:rPr>
        <w:t>AMENCA 3</w:t>
      </w:r>
      <w:r w:rsidRPr="00A96337">
        <w:rPr>
          <w:lang w:val="en-AU"/>
        </w:rPr>
        <w:t>’s potential in the Gaza Strip.</w:t>
      </w:r>
      <w:r w:rsidR="008B33DC" w:rsidRPr="00A96337">
        <w:rPr>
          <w:lang w:val="en-AU"/>
        </w:rPr>
        <w:t xml:space="preserve">  This is important as NGOs stressed the very different market </w:t>
      </w:r>
      <w:r w:rsidR="00687D81" w:rsidRPr="00A96337">
        <w:rPr>
          <w:lang w:val="en-AU"/>
        </w:rPr>
        <w:t>conditions</w:t>
      </w:r>
      <w:r w:rsidR="008B33DC" w:rsidRPr="00A96337">
        <w:rPr>
          <w:lang w:val="en-AU"/>
        </w:rPr>
        <w:t xml:space="preserve"> faced between Gaza and the West Bank.</w:t>
      </w:r>
    </w:p>
    <w:p w14:paraId="5FD6D9D6" w14:textId="463D0791" w:rsidR="002F4F42" w:rsidRPr="00A96337" w:rsidRDefault="002F4F42" w:rsidP="002F4F42">
      <w:pPr>
        <w:pStyle w:val="EvaluationNumbered"/>
        <w:spacing w:before="60" w:after="60"/>
        <w:ind w:left="425" w:hanging="425"/>
        <w:rPr>
          <w:lang w:val="en-AU"/>
        </w:rPr>
      </w:pPr>
      <w:r w:rsidRPr="00A96337">
        <w:rPr>
          <w:lang w:val="en-AU"/>
        </w:rPr>
        <w:t xml:space="preserve">All of </w:t>
      </w:r>
      <w:r w:rsidR="009B58A0" w:rsidRPr="00A96337">
        <w:rPr>
          <w:lang w:val="en-AU"/>
        </w:rPr>
        <w:t>AMENCA 3</w:t>
      </w:r>
      <w:r w:rsidRPr="00A96337">
        <w:rPr>
          <w:lang w:val="en-AU"/>
        </w:rPr>
        <w:t>’s stakeholders appreciated that one of the aims of the MTR was to influence the stop/go decision facing DFAT.</w:t>
      </w:r>
      <w:r w:rsidR="00E42BC8" w:rsidRPr="00A96337">
        <w:rPr>
          <w:lang w:val="en-AU"/>
        </w:rPr>
        <w:t xml:space="preserve"> </w:t>
      </w:r>
      <w:r w:rsidRPr="00A96337">
        <w:rPr>
          <w:lang w:val="en-AU"/>
        </w:rPr>
        <w:t>Hence there was an inevitable desire to present both well and comprehensively.</w:t>
      </w:r>
      <w:r w:rsidR="00E42BC8" w:rsidRPr="00A96337">
        <w:rPr>
          <w:lang w:val="en-AU"/>
        </w:rPr>
        <w:t xml:space="preserve"> </w:t>
      </w:r>
      <w:r w:rsidRPr="00A96337">
        <w:rPr>
          <w:lang w:val="en-AU"/>
        </w:rPr>
        <w:t xml:space="preserve">Knowing this, the MTR took care to ensure transparency regarding the criteria it would be using to assess program performance to date, although not all stakeholders benefited - the lack of </w:t>
      </w:r>
      <w:r w:rsidR="000D0F67" w:rsidRPr="00A96337">
        <w:rPr>
          <w:lang w:val="en-AU"/>
        </w:rPr>
        <w:t xml:space="preserve">longer </w:t>
      </w:r>
      <w:r w:rsidRPr="00A96337">
        <w:rPr>
          <w:lang w:val="en-AU"/>
        </w:rPr>
        <w:t>engagement with APHEDA and its consortium members, as well as the lack of access to Gaza, meant that these stakeholders had less opportunity to speak of their experiences than they were expecting.</w:t>
      </w:r>
    </w:p>
    <w:p w14:paraId="506FD9D5" w14:textId="77777777" w:rsidR="002F4F42" w:rsidRPr="00A96337" w:rsidRDefault="002F4F42">
      <w:pPr>
        <w:spacing w:line="276" w:lineRule="auto"/>
        <w:rPr>
          <w:rFonts w:ascii="Arial" w:eastAsia="Times New Roman" w:hAnsi="Arial" w:cs="Arial"/>
        </w:rPr>
      </w:pPr>
      <w:r w:rsidRPr="00A96337">
        <w:br w:type="page"/>
      </w:r>
    </w:p>
    <w:p w14:paraId="6E049A37" w14:textId="05452210" w:rsidR="002F4F42" w:rsidRPr="00A96337" w:rsidRDefault="002F4F42" w:rsidP="00F05621">
      <w:pPr>
        <w:pStyle w:val="Heading1"/>
        <w:numPr>
          <w:ilvl w:val="0"/>
          <w:numId w:val="0"/>
        </w:numPr>
      </w:pPr>
      <w:bookmarkStart w:id="28" w:name="_Toc12364795"/>
      <w:r w:rsidRPr="00A96337">
        <w:t>Section B:</w:t>
      </w:r>
      <w:r w:rsidR="00E42BC8" w:rsidRPr="00A96337">
        <w:t xml:space="preserve"> </w:t>
      </w:r>
      <w:r w:rsidRPr="00A96337">
        <w:t xml:space="preserve">About </w:t>
      </w:r>
      <w:r w:rsidR="009B58A0" w:rsidRPr="00A96337">
        <w:t>AMENCA 3</w:t>
      </w:r>
      <w:bookmarkEnd w:id="28"/>
    </w:p>
    <w:p w14:paraId="419D2804" w14:textId="6E522076" w:rsidR="002F4F42" w:rsidRPr="00A96337" w:rsidRDefault="009B58A0" w:rsidP="007F6FE5">
      <w:pPr>
        <w:pStyle w:val="Heading1"/>
      </w:pPr>
      <w:bookmarkStart w:id="29" w:name="_Toc8978024"/>
      <w:bookmarkStart w:id="30" w:name="_Toc12364796"/>
      <w:r w:rsidRPr="00A96337">
        <w:t>AMENCA 3</w:t>
      </w:r>
      <w:r w:rsidR="002F4F42" w:rsidRPr="00A96337">
        <w:t xml:space="preserve"> </w:t>
      </w:r>
      <w:r w:rsidR="00F05621" w:rsidRPr="00A96337">
        <w:t>o</w:t>
      </w:r>
      <w:r w:rsidR="002F4F42" w:rsidRPr="00A96337">
        <w:t>verview</w:t>
      </w:r>
      <w:bookmarkEnd w:id="29"/>
      <w:bookmarkEnd w:id="30"/>
    </w:p>
    <w:p w14:paraId="4514FAFE" w14:textId="773A1F92" w:rsidR="002F4F42" w:rsidRPr="00A96337" w:rsidRDefault="009B58A0" w:rsidP="00E42BC8">
      <w:pPr>
        <w:pStyle w:val="BodyText"/>
        <w:rPr>
          <w:lang w:val="en-AU"/>
        </w:rPr>
      </w:pPr>
      <w:bookmarkStart w:id="31" w:name="_Ref8016120"/>
      <w:r w:rsidRPr="00A96337">
        <w:rPr>
          <w:lang w:val="en-AU"/>
        </w:rPr>
        <w:t>AMENCA 3</w:t>
      </w:r>
      <w:r w:rsidR="002F4F42" w:rsidRPr="00A96337">
        <w:rPr>
          <w:lang w:val="en-AU"/>
        </w:rPr>
        <w:t xml:space="preserve"> is a five-year A</w:t>
      </w:r>
      <w:r w:rsidR="00575100">
        <w:rPr>
          <w:lang w:val="en-AU"/>
        </w:rPr>
        <w:t>UD</w:t>
      </w:r>
      <w:r w:rsidR="002F4F42" w:rsidRPr="00A96337">
        <w:rPr>
          <w:lang w:val="en-AU"/>
        </w:rPr>
        <w:t xml:space="preserve">40 million Australian investment which commenced in April 2016 in the </w:t>
      </w:r>
      <w:bookmarkStart w:id="32" w:name="_Hlk7092389"/>
      <w:r w:rsidR="002F4F42" w:rsidRPr="00A96337">
        <w:rPr>
          <w:lang w:val="en-AU"/>
        </w:rPr>
        <w:t>Palestinian Territories</w:t>
      </w:r>
      <w:bookmarkEnd w:id="32"/>
      <w:r w:rsidR="002F4F42" w:rsidRPr="00A96337">
        <w:rPr>
          <w:lang w:val="en-AU"/>
        </w:rPr>
        <w:t>, and which builds on the groundwork, relationships, and achievements of two predecessor programs (AMENCA 1 and AMENCA 2</w:t>
      </w:r>
      <w:r w:rsidR="002F4F42" w:rsidRPr="00A96337">
        <w:rPr>
          <w:rStyle w:val="FootnoteReference"/>
          <w:lang w:val="en-AU"/>
        </w:rPr>
        <w:footnoteReference w:id="4"/>
      </w:r>
      <w:r w:rsidR="002F4F42" w:rsidRPr="00A96337">
        <w:rPr>
          <w:lang w:val="en-AU"/>
        </w:rPr>
        <w:t>), beginning in 2005.</w:t>
      </w:r>
      <w:r w:rsidR="00E42BC8" w:rsidRPr="00A96337">
        <w:rPr>
          <w:lang w:val="en-AU"/>
        </w:rPr>
        <w:t xml:space="preserve"> </w:t>
      </w:r>
      <w:r w:rsidRPr="00A96337">
        <w:rPr>
          <w:lang w:val="en-AU"/>
        </w:rPr>
        <w:t>AMENCA 3</w:t>
      </w:r>
      <w:r w:rsidR="002F4F42" w:rsidRPr="00A96337">
        <w:rPr>
          <w:lang w:val="en-AU"/>
        </w:rPr>
        <w:t xml:space="preserve"> sits alongside other Australian investments in the Palestinian Territories and the wider region, most notably basic services to refugees.</w:t>
      </w:r>
    </w:p>
    <w:p w14:paraId="50EDBE6F" w14:textId="0D3C3800" w:rsidR="002F4F42" w:rsidRPr="00A96337" w:rsidRDefault="009B58A0" w:rsidP="00E42BC8">
      <w:pPr>
        <w:pStyle w:val="BodyText"/>
        <w:rPr>
          <w:lang w:val="en-AU"/>
        </w:rPr>
      </w:pPr>
      <w:r w:rsidRPr="00A96337">
        <w:rPr>
          <w:lang w:val="en-AU"/>
        </w:rPr>
        <w:t>AMENCA 3</w:t>
      </w:r>
      <w:r w:rsidR="002F4F42" w:rsidRPr="00A96337">
        <w:rPr>
          <w:lang w:val="en-AU"/>
        </w:rPr>
        <w:t xml:space="preserve"> has been working in the Palestinian Territories to increase agricultural outputs and strengthen agricultural value chains, and thereby enhance economic opportunities especially for women and youth.</w:t>
      </w:r>
      <w:r w:rsidR="00E42BC8" w:rsidRPr="00A96337">
        <w:rPr>
          <w:lang w:val="en-AU"/>
        </w:rPr>
        <w:t xml:space="preserve"> </w:t>
      </w:r>
      <w:r w:rsidR="002F4F42" w:rsidRPr="00A96337">
        <w:rPr>
          <w:lang w:val="en-AU"/>
        </w:rPr>
        <w:t xml:space="preserve">The goal of </w:t>
      </w:r>
      <w:r w:rsidRPr="00A96337">
        <w:rPr>
          <w:lang w:val="en-AU"/>
        </w:rPr>
        <w:t>AMENCA 3</w:t>
      </w:r>
      <w:r w:rsidR="002F4F42" w:rsidRPr="00A96337">
        <w:rPr>
          <w:lang w:val="en-AU"/>
        </w:rPr>
        <w:t xml:space="preserve"> is for Palestinian farmers to connect with markets.</w:t>
      </w:r>
      <w:r w:rsidR="00E42BC8" w:rsidRPr="00A96337">
        <w:rPr>
          <w:lang w:val="en-AU"/>
        </w:rPr>
        <w:t xml:space="preserve"> </w:t>
      </w:r>
      <w:r w:rsidR="002F4F42" w:rsidRPr="00A96337">
        <w:rPr>
          <w:lang w:val="en-AU"/>
        </w:rPr>
        <w:t>Its three outcomes are:</w:t>
      </w:r>
    </w:p>
    <w:p w14:paraId="4BAF9233" w14:textId="77777777" w:rsidR="002F4F42" w:rsidRPr="00A96337" w:rsidRDefault="002F4F42" w:rsidP="00F8335C">
      <w:pPr>
        <w:pStyle w:val="EvaluationNumbered"/>
        <w:numPr>
          <w:ilvl w:val="0"/>
          <w:numId w:val="53"/>
        </w:numPr>
        <w:spacing w:before="60" w:after="60" w:line="260" w:lineRule="atLeast"/>
        <w:ind w:left="425" w:hanging="425"/>
        <w:rPr>
          <w:lang w:val="en-AU"/>
        </w:rPr>
      </w:pPr>
      <w:r w:rsidRPr="00A96337">
        <w:rPr>
          <w:lang w:val="en-AU"/>
        </w:rPr>
        <w:t>Women and men are more market ready;</w:t>
      </w:r>
    </w:p>
    <w:p w14:paraId="29887B41" w14:textId="77777777" w:rsidR="002F4F42" w:rsidRPr="00A96337" w:rsidRDefault="002F4F42" w:rsidP="00C16CA8">
      <w:pPr>
        <w:pStyle w:val="EvaluationNumbered"/>
        <w:spacing w:before="60" w:after="60" w:line="260" w:lineRule="atLeast"/>
        <w:ind w:left="425" w:hanging="425"/>
        <w:rPr>
          <w:lang w:val="en-AU"/>
        </w:rPr>
      </w:pPr>
      <w:r w:rsidRPr="00A96337">
        <w:rPr>
          <w:lang w:val="en-AU"/>
        </w:rPr>
        <w:t>Women and men engage more sustainably and profitably in value chains; and</w:t>
      </w:r>
    </w:p>
    <w:p w14:paraId="73ED4673" w14:textId="77777777" w:rsidR="002F4F42" w:rsidRPr="00A96337" w:rsidRDefault="002F4F42" w:rsidP="00C16CA8">
      <w:pPr>
        <w:pStyle w:val="EvaluationNumbered"/>
        <w:spacing w:before="60" w:after="60" w:line="260" w:lineRule="atLeast"/>
        <w:ind w:left="425" w:hanging="425"/>
        <w:rPr>
          <w:lang w:val="en-AU"/>
        </w:rPr>
      </w:pPr>
      <w:r w:rsidRPr="00A96337">
        <w:rPr>
          <w:lang w:val="en-AU"/>
        </w:rPr>
        <w:t>Women and youth are more economically empowered.</w:t>
      </w:r>
    </w:p>
    <w:p w14:paraId="70B4A1CF" w14:textId="77777777" w:rsidR="002F4F42" w:rsidRPr="00A96337" w:rsidRDefault="002F4F42" w:rsidP="00E42BC8">
      <w:pPr>
        <w:pStyle w:val="BodyText"/>
        <w:rPr>
          <w:lang w:val="en-AU"/>
        </w:rPr>
      </w:pPr>
      <w:r w:rsidRPr="00A96337">
        <w:rPr>
          <w:lang w:val="en-AU"/>
        </w:rPr>
        <w:t>The program works with international NGOs (INGOs) and their Palestinian networks to identify barriers to participation in the agriculture sector, to design activities that can address these constraints, and to facilitate relationships that bring market actors together.</w:t>
      </w:r>
    </w:p>
    <w:p w14:paraId="5CB0821A" w14:textId="715BAB18" w:rsidR="002F4F42" w:rsidRPr="00A96337" w:rsidRDefault="009B58A0" w:rsidP="00E42BC8">
      <w:pPr>
        <w:pStyle w:val="BodyText"/>
        <w:rPr>
          <w:lang w:val="en-AU"/>
        </w:rPr>
      </w:pPr>
      <w:r w:rsidRPr="00A96337">
        <w:rPr>
          <w:lang w:val="en-AU"/>
        </w:rPr>
        <w:t>AMENCA 3</w:t>
      </w:r>
      <w:r w:rsidR="002F4F42" w:rsidRPr="00A96337">
        <w:rPr>
          <w:lang w:val="en-AU"/>
        </w:rPr>
        <w:t xml:space="preserve"> uses a </w:t>
      </w:r>
      <w:r w:rsidR="002F4F42" w:rsidRPr="00A96337">
        <w:rPr>
          <w:i/>
          <w:lang w:val="en-AU"/>
        </w:rPr>
        <w:t>Market System</w:t>
      </w:r>
      <w:r w:rsidR="00D205F6" w:rsidRPr="00A96337">
        <w:rPr>
          <w:i/>
          <w:lang w:val="en-AU"/>
        </w:rPr>
        <w:t>s</w:t>
      </w:r>
      <w:r w:rsidR="002F4F42" w:rsidRPr="00A96337">
        <w:rPr>
          <w:i/>
          <w:lang w:val="en-AU"/>
        </w:rPr>
        <w:t xml:space="preserve"> Development</w:t>
      </w:r>
      <w:r w:rsidR="002F4F42" w:rsidRPr="00A96337">
        <w:rPr>
          <w:lang w:val="en-AU"/>
        </w:rPr>
        <w:t xml:space="preserve"> (MSD) approach to facilitate agricultural development across the Palestinian Territories.</w:t>
      </w:r>
      <w:r w:rsidR="00E42BC8" w:rsidRPr="00A96337">
        <w:rPr>
          <w:lang w:val="en-AU"/>
        </w:rPr>
        <w:t xml:space="preserve"> </w:t>
      </w:r>
      <w:r w:rsidR="002F4F42" w:rsidRPr="00A96337">
        <w:rPr>
          <w:lang w:val="en-AU"/>
        </w:rPr>
        <w:t>Early in its implementation (2016) this was modified to what was loosely defined as a ‘hybrid’ MSD approach, to allow for some direct delivery by NGOs.</w:t>
      </w:r>
    </w:p>
    <w:p w14:paraId="7A7BFBAE" w14:textId="2A27E8AC" w:rsidR="002F4F42" w:rsidRPr="00A96337" w:rsidRDefault="009B58A0" w:rsidP="00E42BC8">
      <w:pPr>
        <w:pStyle w:val="BodyText"/>
        <w:rPr>
          <w:lang w:val="en-AU"/>
        </w:rPr>
      </w:pPr>
      <w:r w:rsidRPr="00A96337">
        <w:rPr>
          <w:lang w:val="en-AU"/>
        </w:rPr>
        <w:t>AMENCA 3</w:t>
      </w:r>
      <w:r w:rsidR="002F4F42" w:rsidRPr="00A96337">
        <w:rPr>
          <w:lang w:val="en-AU"/>
        </w:rPr>
        <w:t xml:space="preserve"> commenced in April 2016 following a competitive tender process that resulted in the selection of four Australian NGOs (CARE Australia, Oxfam Australia, APHEDA-Union Aid Abroad, and World Vision Australia) as its lead implementing partners.</w:t>
      </w:r>
    </w:p>
    <w:p w14:paraId="0173330F" w14:textId="2B2A8F20" w:rsidR="002F4F42" w:rsidRPr="00A96337" w:rsidRDefault="002F4F42" w:rsidP="00E42BC8">
      <w:pPr>
        <w:pStyle w:val="BodyText"/>
        <w:rPr>
          <w:lang w:val="en-AU"/>
        </w:rPr>
      </w:pPr>
      <w:r w:rsidRPr="00A96337">
        <w:rPr>
          <w:lang w:val="en-AU"/>
        </w:rPr>
        <w:t>CARE Australia, Oxfam Australia, and World Vision Australia are the national arms of international organisations, each with multiple programs operating in the Palestinian Territories, and hence each with activities that benefit from access to significant international resources.</w:t>
      </w:r>
      <w:r w:rsidR="00E42BC8" w:rsidRPr="00A96337">
        <w:rPr>
          <w:lang w:val="en-AU"/>
        </w:rPr>
        <w:t xml:space="preserve"> </w:t>
      </w:r>
      <w:r w:rsidRPr="00A96337">
        <w:rPr>
          <w:lang w:val="en-AU"/>
        </w:rPr>
        <w:t>APHEDA, on the other hand is a smaller Australian-centric NGO, although with a long and committed record of supporting Palestinians living in the Palestinian Territories.</w:t>
      </w:r>
    </w:p>
    <w:p w14:paraId="3B7A68D8" w14:textId="5992FFF0" w:rsidR="002F4F42" w:rsidRPr="00A96337" w:rsidRDefault="002F4F42" w:rsidP="00E42BC8">
      <w:pPr>
        <w:pStyle w:val="BodyText"/>
        <w:rPr>
          <w:spacing w:val="-4"/>
          <w:lang w:val="en-AU"/>
        </w:rPr>
      </w:pPr>
      <w:r w:rsidRPr="00A96337">
        <w:rPr>
          <w:spacing w:val="-4"/>
          <w:lang w:val="en-AU"/>
        </w:rPr>
        <w:t>Four months into the program, on 5 August 2016, DFAT suspended World Vision activities in the Palestinian Territories due to an alleged diversion of funds to Hamas by a staff member</w:t>
      </w:r>
      <w:r w:rsidRPr="00A96337">
        <w:rPr>
          <w:rStyle w:val="FootnoteReference"/>
          <w:spacing w:val="-4"/>
          <w:lang w:val="en-AU"/>
        </w:rPr>
        <w:footnoteReference w:id="5"/>
      </w:r>
      <w:r w:rsidRPr="00A96337">
        <w:rPr>
          <w:spacing w:val="-4"/>
          <w:lang w:val="en-AU"/>
        </w:rPr>
        <w:t>.</w:t>
      </w:r>
      <w:r w:rsidR="00E42BC8" w:rsidRPr="00A96337">
        <w:rPr>
          <w:spacing w:val="-4"/>
          <w:lang w:val="en-AU"/>
        </w:rPr>
        <w:t xml:space="preserve"> </w:t>
      </w:r>
      <w:r w:rsidRPr="00A96337">
        <w:rPr>
          <w:spacing w:val="-4"/>
          <w:lang w:val="en-AU"/>
        </w:rPr>
        <w:t xml:space="preserve">Since this time, funding to World Vision has remained suspended pending the outcome of </w:t>
      </w:r>
      <w:r w:rsidR="000D0F67" w:rsidRPr="00A96337">
        <w:rPr>
          <w:spacing w:val="-4"/>
          <w:lang w:val="en-AU"/>
        </w:rPr>
        <w:t>the court</w:t>
      </w:r>
      <w:r w:rsidRPr="00A96337">
        <w:rPr>
          <w:spacing w:val="-4"/>
          <w:lang w:val="en-AU"/>
        </w:rPr>
        <w:t xml:space="preserve"> case which </w:t>
      </w:r>
      <w:r w:rsidR="000D0F67" w:rsidRPr="00A96337">
        <w:rPr>
          <w:spacing w:val="-4"/>
          <w:lang w:val="en-AU"/>
        </w:rPr>
        <w:t xml:space="preserve">is ongoing </w:t>
      </w:r>
      <w:r w:rsidR="0008731E" w:rsidRPr="00A96337">
        <w:rPr>
          <w:spacing w:val="-4"/>
          <w:lang w:val="en-AU"/>
        </w:rPr>
        <w:t>(at time of writing)</w:t>
      </w:r>
      <w:r w:rsidRPr="00A96337">
        <w:rPr>
          <w:spacing w:val="-4"/>
          <w:lang w:val="en-AU"/>
        </w:rPr>
        <w:t xml:space="preserve">, with the result that World Vision has had no effective implementation during </w:t>
      </w:r>
      <w:r w:rsidR="009B58A0" w:rsidRPr="00A96337">
        <w:rPr>
          <w:spacing w:val="-4"/>
          <w:lang w:val="en-AU"/>
        </w:rPr>
        <w:t>AMENCA 3</w:t>
      </w:r>
      <w:r w:rsidRPr="00A96337">
        <w:rPr>
          <w:spacing w:val="-4"/>
          <w:lang w:val="en-AU"/>
        </w:rPr>
        <w:t>.</w:t>
      </w:r>
    </w:p>
    <w:p w14:paraId="6214E841" w14:textId="6F3D6872" w:rsidR="002F4F42" w:rsidRPr="00A96337" w:rsidRDefault="002F4F42" w:rsidP="00E42BC8">
      <w:pPr>
        <w:pStyle w:val="BodyText"/>
        <w:rPr>
          <w:lang w:val="en-AU"/>
        </w:rPr>
      </w:pPr>
      <w:r w:rsidRPr="00A96337">
        <w:rPr>
          <w:lang w:val="en-AU"/>
        </w:rPr>
        <w:t>The three remaining INGOs each formed a consortium with relevant local organisations, which together include many of the major NGOs operating in the agriculture sector (</w:t>
      </w:r>
      <w:r w:rsidRPr="00A96337">
        <w:rPr>
          <w:lang w:val="en-AU"/>
        </w:rPr>
        <w:fldChar w:fldCharType="begin"/>
      </w:r>
      <w:r w:rsidRPr="00A96337">
        <w:rPr>
          <w:lang w:val="en-AU"/>
        </w:rPr>
        <w:instrText xml:space="preserve"> REF _Ref8650583 \h </w:instrText>
      </w:r>
      <w:r w:rsidR="00E42BC8" w:rsidRPr="00A96337">
        <w:rPr>
          <w:lang w:val="en-AU"/>
        </w:rPr>
        <w:instrText xml:space="preserve"> \* MERGEFORMAT </w:instrText>
      </w:r>
      <w:r w:rsidRPr="00A96337">
        <w:rPr>
          <w:lang w:val="en-AU"/>
        </w:rPr>
      </w:r>
      <w:r w:rsidRPr="00A96337">
        <w:rPr>
          <w:lang w:val="en-AU"/>
        </w:rPr>
        <w:fldChar w:fldCharType="separate"/>
      </w:r>
      <w:r w:rsidR="00E06D4A" w:rsidRPr="00E06D4A">
        <w:rPr>
          <w:lang w:val="en-AU"/>
        </w:rPr>
        <w:t xml:space="preserve">Figure </w:t>
      </w:r>
      <w:r w:rsidR="00E06D4A" w:rsidRPr="00E06D4A">
        <w:rPr>
          <w:noProof/>
          <w:lang w:val="en-AU"/>
        </w:rPr>
        <w:t>1</w:t>
      </w:r>
      <w:r w:rsidRPr="00A96337">
        <w:rPr>
          <w:lang w:val="en-AU"/>
        </w:rPr>
        <w:fldChar w:fldCharType="end"/>
      </w:r>
      <w:r w:rsidRPr="00A96337">
        <w:rPr>
          <w:lang w:val="en-AU"/>
        </w:rPr>
        <w:t>).</w:t>
      </w:r>
      <w:r w:rsidR="00E42BC8" w:rsidRPr="00A96337">
        <w:rPr>
          <w:lang w:val="en-AU"/>
        </w:rPr>
        <w:t xml:space="preserve"> </w:t>
      </w:r>
      <w:r w:rsidRPr="00A96337">
        <w:rPr>
          <w:lang w:val="en-AU"/>
        </w:rPr>
        <w:t xml:space="preserve">The implementation of </w:t>
      </w:r>
      <w:r w:rsidR="009B58A0" w:rsidRPr="00A96337">
        <w:rPr>
          <w:lang w:val="en-AU"/>
        </w:rPr>
        <w:t>AMENCA 3</w:t>
      </w:r>
      <w:r w:rsidRPr="00A96337">
        <w:rPr>
          <w:lang w:val="en-AU"/>
        </w:rPr>
        <w:t xml:space="preserve"> over the last three years has therefore been undertaken by these three consortiums.</w:t>
      </w:r>
      <w:r w:rsidR="00E42BC8" w:rsidRPr="00A96337">
        <w:rPr>
          <w:lang w:val="en-AU"/>
        </w:rPr>
        <w:t xml:space="preserve"> </w:t>
      </w:r>
      <w:r w:rsidRPr="00A96337">
        <w:rPr>
          <w:lang w:val="en-AU"/>
        </w:rPr>
        <w:t>DFAT insisted that each consortium, and all employees, adhered to very strict guidelines to minimise the risk of funding reaching listed terrorist organisations.</w:t>
      </w:r>
    </w:p>
    <w:p w14:paraId="571EFD59" w14:textId="7C9E80B9" w:rsidR="002F4F42" w:rsidRPr="00A96337" w:rsidRDefault="002F4F42" w:rsidP="002F4F42">
      <w:pPr>
        <w:pStyle w:val="Caption"/>
        <w:rPr>
          <w:color w:val="808080" w:themeColor="background1" w:themeShade="80"/>
          <w:sz w:val="18"/>
          <w:lang w:val="en-AU"/>
        </w:rPr>
      </w:pPr>
      <w:bookmarkStart w:id="33" w:name="_Ref8650583"/>
      <w:r w:rsidRPr="00A96337">
        <w:rPr>
          <w:color w:val="808080" w:themeColor="background1" w:themeShade="80"/>
          <w:sz w:val="18"/>
          <w:lang w:val="en-AU"/>
        </w:rPr>
        <w:t xml:space="preserve">Figure </w:t>
      </w:r>
      <w:r w:rsidR="007103AD">
        <w:rPr>
          <w:color w:val="808080" w:themeColor="background1" w:themeShade="80"/>
          <w:sz w:val="18"/>
          <w:lang w:val="en-AU"/>
        </w:rPr>
        <w:fldChar w:fldCharType="begin"/>
      </w:r>
      <w:r w:rsidR="007103AD">
        <w:rPr>
          <w:color w:val="808080" w:themeColor="background1" w:themeShade="80"/>
          <w:sz w:val="18"/>
          <w:lang w:val="en-AU"/>
        </w:rPr>
        <w:instrText xml:space="preserve"> SEQ Figure \* ARABIC </w:instrText>
      </w:r>
      <w:r w:rsidR="007103AD">
        <w:rPr>
          <w:color w:val="808080" w:themeColor="background1" w:themeShade="80"/>
          <w:sz w:val="18"/>
          <w:lang w:val="en-AU"/>
        </w:rPr>
        <w:fldChar w:fldCharType="separate"/>
      </w:r>
      <w:r w:rsidR="00E06D4A">
        <w:rPr>
          <w:noProof/>
          <w:color w:val="808080" w:themeColor="background1" w:themeShade="80"/>
          <w:sz w:val="18"/>
          <w:lang w:val="en-AU"/>
        </w:rPr>
        <w:t>1</w:t>
      </w:r>
      <w:r w:rsidR="007103AD">
        <w:rPr>
          <w:color w:val="808080" w:themeColor="background1" w:themeShade="80"/>
          <w:sz w:val="18"/>
          <w:lang w:val="en-AU"/>
        </w:rPr>
        <w:fldChar w:fldCharType="end"/>
      </w:r>
      <w:bookmarkEnd w:id="31"/>
      <w:bookmarkEnd w:id="33"/>
      <w:r w:rsidRPr="00A96337">
        <w:rPr>
          <w:color w:val="808080" w:themeColor="background1" w:themeShade="80"/>
          <w:sz w:val="18"/>
          <w:lang w:val="en-AU"/>
        </w:rPr>
        <w:t xml:space="preserve">: </w:t>
      </w:r>
      <w:r w:rsidR="009B58A0" w:rsidRPr="00A96337">
        <w:rPr>
          <w:color w:val="808080" w:themeColor="background1" w:themeShade="80"/>
          <w:sz w:val="18"/>
          <w:lang w:val="en-AU"/>
        </w:rPr>
        <w:t>AMENCA 3</w:t>
      </w:r>
      <w:r w:rsidRPr="00A96337">
        <w:rPr>
          <w:color w:val="808080" w:themeColor="background1" w:themeShade="80"/>
          <w:sz w:val="18"/>
          <w:lang w:val="en-AU"/>
        </w:rPr>
        <w:t xml:space="preserve"> NGO Consortia</w:t>
      </w:r>
    </w:p>
    <w:p w14:paraId="5AEA2336" w14:textId="77777777" w:rsidR="002F4F42" w:rsidRPr="00A96337" w:rsidRDefault="002F4F42" w:rsidP="002F4F42">
      <w:r w:rsidRPr="00A96337">
        <w:rPr>
          <w:noProof/>
          <w:lang w:eastAsia="en-AU"/>
        </w:rPr>
        <w:drawing>
          <wp:inline distT="0" distB="0" distL="0" distR="0" wp14:anchorId="09EB3590" wp14:editId="710ACCCE">
            <wp:extent cx="5731510" cy="2790825"/>
            <wp:effectExtent l="38100" t="0" r="59690" b="9525"/>
            <wp:docPr id="14" name="Diagram 14">
              <a:extLst xmlns:a="http://schemas.openxmlformats.org/drawingml/2006/main">
                <a:ext uri="{FF2B5EF4-FFF2-40B4-BE49-F238E27FC236}">
                  <a16:creationId xmlns:a16="http://schemas.microsoft.com/office/drawing/2014/main" id="{B2F8A51A-0D0D-49C1-9405-45A3F2FEC6E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355AD53" w14:textId="77777777" w:rsidR="002F4F42" w:rsidRPr="00A96337" w:rsidRDefault="002F4F42" w:rsidP="00E42BC8">
      <w:pPr>
        <w:pStyle w:val="BodyText"/>
        <w:rPr>
          <w:lang w:val="en-AU"/>
        </w:rPr>
      </w:pPr>
      <w:bookmarkStart w:id="34" w:name="_Hlk527813697"/>
      <w:r w:rsidRPr="00A96337">
        <w:rPr>
          <w:lang w:val="en-AU"/>
        </w:rPr>
        <w:t>Despite these precautions, however, at the end of June 2018, the Sydney Daily Telegraph published allegations that a terrorist link had been found within the APHEDA consortium.</w:t>
      </w:r>
      <w:r w:rsidR="00E42BC8" w:rsidRPr="00A96337">
        <w:rPr>
          <w:lang w:val="en-AU"/>
        </w:rPr>
        <w:t xml:space="preserve"> </w:t>
      </w:r>
      <w:r w:rsidRPr="00A96337">
        <w:rPr>
          <w:lang w:val="en-AU"/>
        </w:rPr>
        <w:t>Thus, once again, intense political fallout resulted in DFAT being forced to immediately suspend APHEDA’s work in the West Bank and Gaza.</w:t>
      </w:r>
    </w:p>
    <w:p w14:paraId="68E739C4" w14:textId="39557087" w:rsidR="002F4F42" w:rsidRPr="00A96337" w:rsidRDefault="002F4F42" w:rsidP="00E42BC8">
      <w:pPr>
        <w:pStyle w:val="BodyText"/>
        <w:rPr>
          <w:lang w:val="en-AU"/>
        </w:rPr>
      </w:pPr>
      <w:r w:rsidRPr="00A96337">
        <w:rPr>
          <w:lang w:val="en-AU"/>
        </w:rPr>
        <w:t xml:space="preserve">The suspension of two of </w:t>
      </w:r>
      <w:r w:rsidR="009B58A0" w:rsidRPr="00A96337">
        <w:rPr>
          <w:lang w:val="en-AU"/>
        </w:rPr>
        <w:t>AMENCA 3</w:t>
      </w:r>
      <w:r w:rsidRPr="00A96337">
        <w:rPr>
          <w:lang w:val="en-AU"/>
        </w:rPr>
        <w:t>’s four partners has significantly reduced the program’s potential for achievement and impact.</w:t>
      </w:r>
      <w:r w:rsidR="00E42BC8" w:rsidRPr="00A96337">
        <w:rPr>
          <w:lang w:val="en-AU"/>
        </w:rPr>
        <w:t xml:space="preserve"> </w:t>
      </w:r>
      <w:bookmarkEnd w:id="34"/>
      <w:r w:rsidR="00941184" w:rsidRPr="00A96337">
        <w:rPr>
          <w:lang w:val="en-AU"/>
        </w:rPr>
        <w:t xml:space="preserve">It is unclear if </w:t>
      </w:r>
      <w:r w:rsidRPr="00A96337">
        <w:rPr>
          <w:lang w:val="en-AU"/>
        </w:rPr>
        <w:t xml:space="preserve">World Vision </w:t>
      </w:r>
      <w:r w:rsidR="00941184" w:rsidRPr="00A96337">
        <w:rPr>
          <w:lang w:val="en-AU"/>
        </w:rPr>
        <w:t xml:space="preserve">will be </w:t>
      </w:r>
      <w:r w:rsidRPr="00A96337">
        <w:rPr>
          <w:lang w:val="en-AU"/>
        </w:rPr>
        <w:t xml:space="preserve">reintegrated into </w:t>
      </w:r>
      <w:r w:rsidR="009B58A0" w:rsidRPr="00A96337">
        <w:rPr>
          <w:lang w:val="en-AU"/>
        </w:rPr>
        <w:t>AMENCA 3</w:t>
      </w:r>
      <w:r w:rsidRPr="00A96337">
        <w:rPr>
          <w:lang w:val="en-AU"/>
        </w:rPr>
        <w:t xml:space="preserve">, however, the </w:t>
      </w:r>
      <w:r w:rsidR="00060A26" w:rsidRPr="00A96337">
        <w:rPr>
          <w:lang w:val="en-AU"/>
        </w:rPr>
        <w:t>audit</w:t>
      </w:r>
      <w:r w:rsidRPr="00A96337">
        <w:rPr>
          <w:lang w:val="en-AU"/>
        </w:rPr>
        <w:t xml:space="preserve"> into allegations against the APHEDA consortium have now been concluded and cleared APHEDA of any wrongdoing.</w:t>
      </w:r>
      <w:r w:rsidR="00E42BC8" w:rsidRPr="00A96337">
        <w:rPr>
          <w:lang w:val="en-AU"/>
        </w:rPr>
        <w:t xml:space="preserve"> </w:t>
      </w:r>
      <w:r w:rsidRPr="00A96337">
        <w:rPr>
          <w:lang w:val="en-AU"/>
        </w:rPr>
        <w:t>APHEDA’s re-accreditation has been approved and early discussions regarding re</w:t>
      </w:r>
      <w:r w:rsidR="00060A26" w:rsidRPr="00A96337">
        <w:rPr>
          <w:lang w:val="en-AU"/>
        </w:rPr>
        <w:t>commencement</w:t>
      </w:r>
      <w:r w:rsidRPr="00A96337">
        <w:rPr>
          <w:lang w:val="en-AU"/>
        </w:rPr>
        <w:t xml:space="preserve"> of </w:t>
      </w:r>
      <w:r w:rsidR="00060A26" w:rsidRPr="00A96337">
        <w:rPr>
          <w:lang w:val="en-AU"/>
        </w:rPr>
        <w:t xml:space="preserve">APHEDA activities </w:t>
      </w:r>
      <w:r w:rsidRPr="00A96337">
        <w:rPr>
          <w:lang w:val="en-AU"/>
        </w:rPr>
        <w:t>have begun.</w:t>
      </w:r>
    </w:p>
    <w:p w14:paraId="09A014A2" w14:textId="1B146AB7" w:rsidR="002F4F42" w:rsidRPr="00A96337" w:rsidRDefault="002F4F42" w:rsidP="00E50F49">
      <w:pPr>
        <w:pStyle w:val="BodyText"/>
        <w:rPr>
          <w:lang w:val="en-AU"/>
        </w:rPr>
      </w:pPr>
      <w:r w:rsidRPr="00A96337">
        <w:rPr>
          <w:lang w:val="en-AU"/>
        </w:rPr>
        <w:t xml:space="preserve">The proposed budget envelope for the full five years of </w:t>
      </w:r>
      <w:r w:rsidR="009B58A0" w:rsidRPr="00A96337">
        <w:rPr>
          <w:lang w:val="en-AU"/>
        </w:rPr>
        <w:t>AMENCA 3</w:t>
      </w:r>
      <w:r w:rsidRPr="00A96337">
        <w:rPr>
          <w:lang w:val="en-AU"/>
        </w:rPr>
        <w:t xml:space="preserve"> was estimated to be around A</w:t>
      </w:r>
      <w:r w:rsidR="00575100">
        <w:rPr>
          <w:lang w:val="en-AU"/>
        </w:rPr>
        <w:t>UD</w:t>
      </w:r>
      <w:r w:rsidRPr="00A96337">
        <w:rPr>
          <w:szCs w:val="20"/>
          <w:lang w:val="en-AU"/>
        </w:rPr>
        <w:t>40m</w:t>
      </w:r>
      <w:r w:rsidR="00D205F6" w:rsidRPr="00A96337">
        <w:rPr>
          <w:szCs w:val="20"/>
          <w:lang w:val="en-AU"/>
        </w:rPr>
        <w:t>illion</w:t>
      </w:r>
      <w:r w:rsidRPr="00A96337">
        <w:rPr>
          <w:szCs w:val="20"/>
          <w:lang w:val="en-AU"/>
        </w:rPr>
        <w:t xml:space="preserve"> (</w:t>
      </w:r>
      <w:r w:rsidRPr="00A96337">
        <w:rPr>
          <w:szCs w:val="20"/>
          <w:lang w:val="en-AU"/>
        </w:rPr>
        <w:fldChar w:fldCharType="begin"/>
      </w:r>
      <w:r w:rsidRPr="00A96337">
        <w:rPr>
          <w:szCs w:val="20"/>
          <w:lang w:val="en-AU"/>
        </w:rPr>
        <w:instrText xml:space="preserve"> REF _Ref8463584 \h </w:instrText>
      </w:r>
      <w:r w:rsidR="00D205F6" w:rsidRPr="00A96337">
        <w:rPr>
          <w:szCs w:val="20"/>
          <w:lang w:val="en-AU"/>
        </w:rPr>
        <w:instrText xml:space="preserve"> \* MERGEFORMAT </w:instrText>
      </w:r>
      <w:r w:rsidRPr="00A96337">
        <w:rPr>
          <w:szCs w:val="20"/>
          <w:lang w:val="en-AU"/>
        </w:rPr>
      </w:r>
      <w:r w:rsidRPr="00A96337">
        <w:rPr>
          <w:szCs w:val="20"/>
          <w:lang w:val="en-AU"/>
        </w:rPr>
        <w:fldChar w:fldCharType="separate"/>
      </w:r>
      <w:r w:rsidR="00E06D4A" w:rsidRPr="00E06D4A">
        <w:rPr>
          <w:szCs w:val="20"/>
          <w:lang w:val="en-AU"/>
        </w:rPr>
        <w:t xml:space="preserve">Table </w:t>
      </w:r>
      <w:r w:rsidR="00E06D4A" w:rsidRPr="00E06D4A">
        <w:rPr>
          <w:noProof/>
          <w:szCs w:val="20"/>
          <w:lang w:val="en-AU"/>
        </w:rPr>
        <w:t>2</w:t>
      </w:r>
      <w:r w:rsidRPr="00A96337">
        <w:rPr>
          <w:szCs w:val="20"/>
          <w:lang w:val="en-AU"/>
        </w:rPr>
        <w:fldChar w:fldCharType="end"/>
      </w:r>
      <w:r w:rsidRPr="00A96337">
        <w:rPr>
          <w:szCs w:val="20"/>
          <w:lang w:val="en-AU"/>
        </w:rPr>
        <w:t>).</w:t>
      </w:r>
      <w:r w:rsidR="00E42BC8" w:rsidRPr="00A96337">
        <w:rPr>
          <w:szCs w:val="20"/>
          <w:lang w:val="en-AU"/>
        </w:rPr>
        <w:t xml:space="preserve"> </w:t>
      </w:r>
      <w:r w:rsidRPr="00A96337">
        <w:rPr>
          <w:szCs w:val="20"/>
          <w:lang w:val="en-AU"/>
        </w:rPr>
        <w:t>However</w:t>
      </w:r>
      <w:r w:rsidRPr="00A96337">
        <w:rPr>
          <w:lang w:val="en-AU"/>
        </w:rPr>
        <w:t xml:space="preserve"> only the first three years was initially approved with a little over A</w:t>
      </w:r>
      <w:r w:rsidR="00575100">
        <w:rPr>
          <w:lang w:val="en-AU"/>
        </w:rPr>
        <w:t>UD</w:t>
      </w:r>
      <w:r w:rsidRPr="00A96337">
        <w:rPr>
          <w:lang w:val="en-AU"/>
        </w:rPr>
        <w:t>26m</w:t>
      </w:r>
      <w:r w:rsidR="00D205F6" w:rsidRPr="00A96337">
        <w:rPr>
          <w:lang w:val="en-AU"/>
        </w:rPr>
        <w:t>illion</w:t>
      </w:r>
      <w:r w:rsidRPr="00A96337">
        <w:rPr>
          <w:lang w:val="en-AU"/>
        </w:rPr>
        <w:t xml:space="preserve"> being committed.</w:t>
      </w:r>
      <w:r w:rsidR="00E42BC8" w:rsidRPr="00A96337">
        <w:rPr>
          <w:lang w:val="en-AU"/>
        </w:rPr>
        <w:t xml:space="preserve"> </w:t>
      </w:r>
      <w:r w:rsidRPr="00A96337">
        <w:rPr>
          <w:lang w:val="en-AU"/>
        </w:rPr>
        <w:t>Of this A</w:t>
      </w:r>
      <w:r w:rsidR="00575100">
        <w:rPr>
          <w:lang w:val="en-AU"/>
        </w:rPr>
        <w:t>UD</w:t>
      </w:r>
      <w:r w:rsidRPr="00A96337">
        <w:rPr>
          <w:lang w:val="en-AU"/>
        </w:rPr>
        <w:t>5.125m</w:t>
      </w:r>
      <w:r w:rsidR="00D205F6" w:rsidRPr="00A96337">
        <w:rPr>
          <w:lang w:val="en-AU"/>
        </w:rPr>
        <w:t>illion</w:t>
      </w:r>
      <w:r w:rsidRPr="00A96337">
        <w:rPr>
          <w:lang w:val="en-AU"/>
        </w:rPr>
        <w:t xml:space="preserve"> was allocated to each NGO.</w:t>
      </w:r>
      <w:r w:rsidR="00E42BC8" w:rsidRPr="00A96337">
        <w:rPr>
          <w:lang w:val="en-AU"/>
        </w:rPr>
        <w:t xml:space="preserve"> </w:t>
      </w:r>
      <w:r w:rsidRPr="00A96337">
        <w:rPr>
          <w:lang w:val="en-AU"/>
        </w:rPr>
        <w:t>The suspension of two NGOs has materially affected delivery.</w:t>
      </w:r>
      <w:r w:rsidR="00E42BC8" w:rsidRPr="00A96337">
        <w:rPr>
          <w:lang w:val="en-AU"/>
        </w:rPr>
        <w:t xml:space="preserve"> </w:t>
      </w:r>
      <w:r w:rsidRPr="00A96337">
        <w:rPr>
          <w:lang w:val="en-AU"/>
        </w:rPr>
        <w:t>Hence, early projections of expenditure for the full three years stand at about A</w:t>
      </w:r>
      <w:r w:rsidR="00575100">
        <w:rPr>
          <w:lang w:val="en-AU"/>
        </w:rPr>
        <w:t>UD</w:t>
      </w:r>
      <w:r w:rsidRPr="00A96337">
        <w:rPr>
          <w:lang w:val="en-AU"/>
        </w:rPr>
        <w:t>20</w:t>
      </w:r>
      <w:r w:rsidR="00AE1954">
        <w:rPr>
          <w:lang w:val="en-AU"/>
        </w:rPr>
        <w:t xml:space="preserve"> </w:t>
      </w:r>
      <w:r w:rsidRPr="00A96337">
        <w:rPr>
          <w:lang w:val="en-AU"/>
        </w:rPr>
        <w:t>m</w:t>
      </w:r>
      <w:r w:rsidR="00D205F6" w:rsidRPr="00A96337">
        <w:rPr>
          <w:lang w:val="en-AU"/>
        </w:rPr>
        <w:t>illion</w:t>
      </w:r>
      <w:r w:rsidRPr="00A96337">
        <w:rPr>
          <w:lang w:val="en-AU"/>
        </w:rPr>
        <w:t xml:space="preserve"> or just under 80 percent of the budget up to 30 June 2019.</w:t>
      </w:r>
      <w:r w:rsidR="00E42BC8" w:rsidRPr="00A96337">
        <w:rPr>
          <w:lang w:val="en-AU"/>
        </w:rPr>
        <w:t xml:space="preserve"> </w:t>
      </w:r>
      <w:r w:rsidRPr="00A96337">
        <w:rPr>
          <w:lang w:val="en-AU"/>
        </w:rPr>
        <w:t xml:space="preserve">The expenditure rate has been very uneven across the three years, with very little expensed initially due to a lack of consensus between advisers and NGOs over intervention logic and design, followed by rapid expenditure on </w:t>
      </w:r>
      <w:r w:rsidR="00060A26" w:rsidRPr="00A96337">
        <w:rPr>
          <w:lang w:val="en-AU"/>
        </w:rPr>
        <w:t xml:space="preserve">co-investments </w:t>
      </w:r>
      <w:r w:rsidR="009B58A0" w:rsidRPr="00A96337">
        <w:rPr>
          <w:lang w:val="en-AU"/>
        </w:rPr>
        <w:t>with</w:t>
      </w:r>
      <w:r w:rsidR="00060A26" w:rsidRPr="00A96337">
        <w:rPr>
          <w:lang w:val="en-AU"/>
        </w:rPr>
        <w:t xml:space="preserve"> </w:t>
      </w:r>
      <w:r w:rsidR="00D205F6" w:rsidRPr="00A96337">
        <w:rPr>
          <w:lang w:val="en-AU"/>
        </w:rPr>
        <w:t xml:space="preserve">perceived </w:t>
      </w:r>
      <w:r w:rsidRPr="00A96337">
        <w:rPr>
          <w:lang w:val="en-AU"/>
        </w:rPr>
        <w:t>low</w:t>
      </w:r>
      <w:r w:rsidR="009B58A0" w:rsidRPr="00A96337">
        <w:rPr>
          <w:lang w:val="en-AU"/>
        </w:rPr>
        <w:t>er</w:t>
      </w:r>
      <w:r w:rsidRPr="00A96337">
        <w:rPr>
          <w:lang w:val="en-AU"/>
        </w:rPr>
        <w:t xml:space="preserve"> risk.</w:t>
      </w:r>
    </w:p>
    <w:p w14:paraId="5D444B10" w14:textId="1EB6B5FB" w:rsidR="002F4F42" w:rsidRPr="00A96337" w:rsidRDefault="002F4F42" w:rsidP="002F4F42">
      <w:pPr>
        <w:pStyle w:val="Caption"/>
        <w:rPr>
          <w:color w:val="808080" w:themeColor="background1" w:themeShade="80"/>
          <w:sz w:val="18"/>
          <w:lang w:val="en-AU"/>
        </w:rPr>
      </w:pPr>
      <w:bookmarkStart w:id="35" w:name="_Ref8463584"/>
      <w:r w:rsidRPr="00A96337">
        <w:rPr>
          <w:color w:val="808080" w:themeColor="background1" w:themeShade="80"/>
          <w:sz w:val="18"/>
          <w:lang w:val="en-AU"/>
        </w:rPr>
        <w:t xml:space="preserve">Table </w:t>
      </w:r>
      <w:r w:rsidRPr="00A96337">
        <w:rPr>
          <w:noProof/>
          <w:color w:val="808080" w:themeColor="background1" w:themeShade="80"/>
          <w:sz w:val="18"/>
          <w:lang w:val="en-AU"/>
        </w:rPr>
        <w:fldChar w:fldCharType="begin"/>
      </w:r>
      <w:r w:rsidRPr="00A96337">
        <w:rPr>
          <w:noProof/>
          <w:color w:val="808080" w:themeColor="background1" w:themeShade="80"/>
          <w:sz w:val="18"/>
          <w:lang w:val="en-AU"/>
        </w:rPr>
        <w:instrText xml:space="preserve"> SEQ Table \* ARABIC </w:instrText>
      </w:r>
      <w:r w:rsidRPr="00A96337">
        <w:rPr>
          <w:noProof/>
          <w:color w:val="808080" w:themeColor="background1" w:themeShade="80"/>
          <w:sz w:val="18"/>
          <w:lang w:val="en-AU"/>
        </w:rPr>
        <w:fldChar w:fldCharType="separate"/>
      </w:r>
      <w:r w:rsidR="00E06D4A">
        <w:rPr>
          <w:noProof/>
          <w:color w:val="808080" w:themeColor="background1" w:themeShade="80"/>
          <w:sz w:val="18"/>
          <w:lang w:val="en-AU"/>
        </w:rPr>
        <w:t>2</w:t>
      </w:r>
      <w:r w:rsidRPr="00A96337">
        <w:rPr>
          <w:noProof/>
          <w:color w:val="808080" w:themeColor="background1" w:themeShade="80"/>
          <w:sz w:val="18"/>
          <w:lang w:val="en-AU"/>
        </w:rPr>
        <w:fldChar w:fldCharType="end"/>
      </w:r>
      <w:bookmarkEnd w:id="35"/>
      <w:r w:rsidRPr="00A96337">
        <w:rPr>
          <w:color w:val="808080" w:themeColor="background1" w:themeShade="80"/>
          <w:sz w:val="18"/>
          <w:lang w:val="en-AU"/>
        </w:rPr>
        <w:t xml:space="preserve">: Amended budget expectations for </w:t>
      </w:r>
      <w:r w:rsidR="009B58A0" w:rsidRPr="00A96337">
        <w:rPr>
          <w:color w:val="808080" w:themeColor="background1" w:themeShade="80"/>
          <w:sz w:val="18"/>
          <w:lang w:val="en-AU"/>
        </w:rPr>
        <w:t>AMENCA 3</w:t>
      </w:r>
      <w:r w:rsidRPr="00A96337">
        <w:rPr>
          <w:color w:val="808080" w:themeColor="background1" w:themeShade="80"/>
          <w:sz w:val="18"/>
          <w:lang w:val="en-AU"/>
        </w:rPr>
        <w:t xml:space="preserve"> (DFAT figures as of April 019)</w:t>
      </w:r>
    </w:p>
    <w:tbl>
      <w:tblPr>
        <w:tblStyle w:val="GridTable4-Accent5"/>
        <w:tblW w:w="5104" w:type="pct"/>
        <w:tblBorders>
          <w:top w:val="single" w:sz="4" w:space="0" w:color="5482AB"/>
          <w:left w:val="none" w:sz="0" w:space="0" w:color="auto"/>
          <w:bottom w:val="single" w:sz="4" w:space="0" w:color="5482AB"/>
          <w:right w:val="none" w:sz="0" w:space="0" w:color="auto"/>
          <w:insideH w:val="single" w:sz="4" w:space="0" w:color="5482AB"/>
          <w:insideV w:val="none" w:sz="0" w:space="0" w:color="auto"/>
        </w:tblBorders>
        <w:tblLayout w:type="fixed"/>
        <w:tblLook w:val="04A0" w:firstRow="1" w:lastRow="0" w:firstColumn="1" w:lastColumn="0" w:noHBand="0" w:noVBand="1"/>
      </w:tblPr>
      <w:tblGrid>
        <w:gridCol w:w="1994"/>
        <w:gridCol w:w="1386"/>
        <w:gridCol w:w="1386"/>
        <w:gridCol w:w="1386"/>
        <w:gridCol w:w="1509"/>
        <w:gridCol w:w="1553"/>
      </w:tblGrid>
      <w:tr w:rsidR="002F4F42" w:rsidRPr="00A96337" w14:paraId="37BA64F5" w14:textId="77777777" w:rsidTr="00575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pct"/>
            <w:tcBorders>
              <w:top w:val="none" w:sz="0" w:space="0" w:color="auto"/>
              <w:left w:val="none" w:sz="0" w:space="0" w:color="auto"/>
              <w:bottom w:val="none" w:sz="0" w:space="0" w:color="auto"/>
              <w:right w:val="none" w:sz="0" w:space="0" w:color="auto"/>
            </w:tcBorders>
            <w:shd w:val="clear" w:color="auto" w:fill="5482AB"/>
            <w:hideMark/>
          </w:tcPr>
          <w:p w14:paraId="20009834" w14:textId="77777777" w:rsidR="002F4F42" w:rsidRPr="00A96337" w:rsidRDefault="002F4F42" w:rsidP="002F4F42">
            <w:pPr>
              <w:rPr>
                <w:rFonts w:ascii="Arial" w:hAnsi="Arial" w:cs="Arial"/>
              </w:rPr>
            </w:pPr>
            <w:r w:rsidRPr="00A96337">
              <w:rPr>
                <w:rFonts w:ascii="Arial" w:hAnsi="Arial" w:cs="Arial"/>
              </w:rPr>
              <w:t>Budget Line</w:t>
            </w:r>
          </w:p>
        </w:tc>
        <w:tc>
          <w:tcPr>
            <w:tcW w:w="752" w:type="pct"/>
            <w:tcBorders>
              <w:top w:val="none" w:sz="0" w:space="0" w:color="auto"/>
              <w:left w:val="none" w:sz="0" w:space="0" w:color="auto"/>
              <w:bottom w:val="none" w:sz="0" w:space="0" w:color="auto"/>
              <w:right w:val="none" w:sz="0" w:space="0" w:color="auto"/>
            </w:tcBorders>
            <w:shd w:val="clear" w:color="auto" w:fill="5482AB"/>
            <w:hideMark/>
          </w:tcPr>
          <w:p w14:paraId="51DBD23D" w14:textId="77777777" w:rsidR="002F4F42" w:rsidRPr="00A96337" w:rsidRDefault="002F4F42" w:rsidP="002F4F4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2015/16</w:t>
            </w:r>
          </w:p>
          <w:p w14:paraId="791D55B5" w14:textId="06A3AA7C" w:rsidR="002F4F42" w:rsidRPr="00A96337" w:rsidRDefault="002F4F42" w:rsidP="002F4F4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Actual</w:t>
            </w:r>
            <w:r w:rsidR="00575100">
              <w:rPr>
                <w:rFonts w:ascii="Arial" w:hAnsi="Arial" w:cs="Arial"/>
              </w:rPr>
              <w:t xml:space="preserve"> AUD</w:t>
            </w:r>
          </w:p>
        </w:tc>
        <w:tc>
          <w:tcPr>
            <w:tcW w:w="752" w:type="pct"/>
            <w:tcBorders>
              <w:top w:val="none" w:sz="0" w:space="0" w:color="auto"/>
              <w:left w:val="none" w:sz="0" w:space="0" w:color="auto"/>
              <w:bottom w:val="none" w:sz="0" w:space="0" w:color="auto"/>
              <w:right w:val="none" w:sz="0" w:space="0" w:color="auto"/>
            </w:tcBorders>
            <w:shd w:val="clear" w:color="auto" w:fill="5482AB"/>
            <w:hideMark/>
          </w:tcPr>
          <w:p w14:paraId="756E0201" w14:textId="77777777" w:rsidR="002F4F42" w:rsidRPr="00A96337" w:rsidRDefault="002F4F42" w:rsidP="002F4F4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2016/17</w:t>
            </w:r>
          </w:p>
          <w:p w14:paraId="184FC6F1" w14:textId="4A5CEFA1" w:rsidR="002F4F42" w:rsidRPr="00A96337" w:rsidRDefault="002F4F42" w:rsidP="002F4F4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Actual</w:t>
            </w:r>
            <w:r w:rsidR="00575100">
              <w:rPr>
                <w:rFonts w:ascii="Arial" w:hAnsi="Arial" w:cs="Arial"/>
              </w:rPr>
              <w:t xml:space="preserve"> AUD</w:t>
            </w:r>
          </w:p>
        </w:tc>
        <w:tc>
          <w:tcPr>
            <w:tcW w:w="752" w:type="pct"/>
            <w:tcBorders>
              <w:top w:val="none" w:sz="0" w:space="0" w:color="auto"/>
              <w:left w:val="none" w:sz="0" w:space="0" w:color="auto"/>
              <w:bottom w:val="none" w:sz="0" w:space="0" w:color="auto"/>
              <w:right w:val="none" w:sz="0" w:space="0" w:color="auto"/>
            </w:tcBorders>
            <w:shd w:val="clear" w:color="auto" w:fill="5482AB"/>
            <w:hideMark/>
          </w:tcPr>
          <w:p w14:paraId="478FD8A7" w14:textId="77777777" w:rsidR="002F4F42" w:rsidRPr="00A96337" w:rsidRDefault="002F4F42" w:rsidP="002F4F4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2017/18</w:t>
            </w:r>
          </w:p>
          <w:p w14:paraId="747754FC" w14:textId="7A2F1E38" w:rsidR="002F4F42" w:rsidRPr="00A96337" w:rsidRDefault="002F4F42" w:rsidP="002F4F4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Actual</w:t>
            </w:r>
            <w:r w:rsidR="00575100">
              <w:rPr>
                <w:rFonts w:ascii="Arial" w:hAnsi="Arial" w:cs="Arial"/>
              </w:rPr>
              <w:t xml:space="preserve"> AUD</w:t>
            </w:r>
          </w:p>
        </w:tc>
        <w:tc>
          <w:tcPr>
            <w:tcW w:w="819" w:type="pct"/>
            <w:tcBorders>
              <w:top w:val="none" w:sz="0" w:space="0" w:color="auto"/>
              <w:left w:val="none" w:sz="0" w:space="0" w:color="auto"/>
              <w:bottom w:val="none" w:sz="0" w:space="0" w:color="auto"/>
              <w:right w:val="none" w:sz="0" w:space="0" w:color="auto"/>
            </w:tcBorders>
            <w:shd w:val="clear" w:color="auto" w:fill="5482AB"/>
            <w:hideMark/>
          </w:tcPr>
          <w:p w14:paraId="21042AFB" w14:textId="77777777" w:rsidR="002F4F42" w:rsidRPr="00A96337" w:rsidRDefault="002F4F42" w:rsidP="002F4F4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2018/19</w:t>
            </w:r>
          </w:p>
          <w:p w14:paraId="37F19429" w14:textId="6173E755" w:rsidR="002F4F42" w:rsidRPr="00A96337" w:rsidRDefault="002F4F42" w:rsidP="002F4F4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Planned</w:t>
            </w:r>
            <w:r w:rsidR="00575100">
              <w:rPr>
                <w:rFonts w:ascii="Arial" w:hAnsi="Arial" w:cs="Arial"/>
              </w:rPr>
              <w:t xml:space="preserve"> AUD</w:t>
            </w:r>
          </w:p>
        </w:tc>
        <w:tc>
          <w:tcPr>
            <w:tcW w:w="844" w:type="pct"/>
            <w:tcBorders>
              <w:top w:val="none" w:sz="0" w:space="0" w:color="auto"/>
              <w:left w:val="none" w:sz="0" w:space="0" w:color="auto"/>
              <w:bottom w:val="none" w:sz="0" w:space="0" w:color="auto"/>
              <w:right w:val="none" w:sz="0" w:space="0" w:color="auto"/>
            </w:tcBorders>
            <w:shd w:val="clear" w:color="auto" w:fill="5482AB"/>
            <w:hideMark/>
          </w:tcPr>
          <w:p w14:paraId="49CDAC7B" w14:textId="77777777" w:rsidR="002F4F42" w:rsidRPr="00A96337" w:rsidRDefault="002F4F42" w:rsidP="002F4F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96337">
              <w:rPr>
                <w:rFonts w:ascii="Arial" w:hAnsi="Arial" w:cs="Arial"/>
              </w:rPr>
              <w:t>Total</w:t>
            </w:r>
          </w:p>
          <w:p w14:paraId="725EBE60" w14:textId="29DF5544" w:rsidR="002F4F42" w:rsidRPr="00A96337" w:rsidRDefault="002F4F42" w:rsidP="002F4F4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Planned</w:t>
            </w:r>
            <w:r w:rsidR="00575100">
              <w:rPr>
                <w:rFonts w:ascii="Arial" w:hAnsi="Arial" w:cs="Arial"/>
              </w:rPr>
              <w:t xml:space="preserve"> AUD</w:t>
            </w:r>
          </w:p>
        </w:tc>
      </w:tr>
      <w:tr w:rsidR="002F4F42" w:rsidRPr="00A96337" w14:paraId="1049D147" w14:textId="77777777" w:rsidTr="00575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pct"/>
            <w:shd w:val="clear" w:color="auto" w:fill="F2F2F2" w:themeFill="background1" w:themeFillShade="F2"/>
            <w:hideMark/>
          </w:tcPr>
          <w:p w14:paraId="04BFDD0E" w14:textId="77777777" w:rsidR="002F4F42" w:rsidRPr="00A96337" w:rsidRDefault="002F4F42" w:rsidP="002F4F42">
            <w:pPr>
              <w:rPr>
                <w:rFonts w:ascii="Arial" w:hAnsi="Arial" w:cs="Arial"/>
              </w:rPr>
            </w:pPr>
            <w:r w:rsidRPr="00A96337">
              <w:rPr>
                <w:rFonts w:ascii="Arial" w:hAnsi="Arial" w:cs="Arial"/>
              </w:rPr>
              <w:t>DFAT oversight and governance</w:t>
            </w:r>
          </w:p>
        </w:tc>
        <w:tc>
          <w:tcPr>
            <w:tcW w:w="752" w:type="pct"/>
            <w:shd w:val="clear" w:color="auto" w:fill="auto"/>
            <w:hideMark/>
          </w:tcPr>
          <w:p w14:paraId="4F901197"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185,990.15</w:t>
            </w:r>
          </w:p>
        </w:tc>
        <w:tc>
          <w:tcPr>
            <w:tcW w:w="752" w:type="pct"/>
            <w:shd w:val="clear" w:color="auto" w:fill="auto"/>
            <w:hideMark/>
          </w:tcPr>
          <w:p w14:paraId="64FFADD6"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8,105.77</w:t>
            </w:r>
          </w:p>
        </w:tc>
        <w:tc>
          <w:tcPr>
            <w:tcW w:w="752" w:type="pct"/>
            <w:shd w:val="clear" w:color="auto" w:fill="auto"/>
            <w:hideMark/>
          </w:tcPr>
          <w:p w14:paraId="3FBCDEBB"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3,607.43</w:t>
            </w:r>
          </w:p>
        </w:tc>
        <w:tc>
          <w:tcPr>
            <w:tcW w:w="819" w:type="pct"/>
            <w:shd w:val="clear" w:color="auto" w:fill="auto"/>
            <w:hideMark/>
          </w:tcPr>
          <w:p w14:paraId="4BB98CAA"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9,381.82</w:t>
            </w:r>
          </w:p>
        </w:tc>
        <w:tc>
          <w:tcPr>
            <w:tcW w:w="844" w:type="pct"/>
            <w:shd w:val="clear" w:color="auto" w:fill="auto"/>
            <w:hideMark/>
          </w:tcPr>
          <w:p w14:paraId="285642B5"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207,085.17</w:t>
            </w:r>
          </w:p>
        </w:tc>
      </w:tr>
      <w:tr w:rsidR="002F4F42" w:rsidRPr="00A96337" w14:paraId="3F4F5D3E" w14:textId="77777777" w:rsidTr="00575100">
        <w:tc>
          <w:tcPr>
            <w:cnfStyle w:val="001000000000" w:firstRow="0" w:lastRow="0" w:firstColumn="1" w:lastColumn="0" w:oddVBand="0" w:evenVBand="0" w:oddHBand="0" w:evenHBand="0" w:firstRowFirstColumn="0" w:firstRowLastColumn="0" w:lastRowFirstColumn="0" w:lastRowLastColumn="0"/>
            <w:tcW w:w="1082" w:type="pct"/>
            <w:shd w:val="clear" w:color="auto" w:fill="F2F2F2" w:themeFill="background1" w:themeFillShade="F2"/>
            <w:hideMark/>
          </w:tcPr>
          <w:p w14:paraId="7AEE5B1E" w14:textId="77777777" w:rsidR="002F4F42" w:rsidRPr="00A96337" w:rsidRDefault="002F4F42" w:rsidP="002F4F42">
            <w:pPr>
              <w:rPr>
                <w:rFonts w:ascii="Arial" w:hAnsi="Arial" w:cs="Arial"/>
              </w:rPr>
            </w:pPr>
            <w:r w:rsidRPr="00A96337">
              <w:rPr>
                <w:rFonts w:ascii="Arial" w:hAnsi="Arial" w:cs="Arial"/>
              </w:rPr>
              <w:t>CARDNO</w:t>
            </w:r>
          </w:p>
        </w:tc>
        <w:tc>
          <w:tcPr>
            <w:tcW w:w="752" w:type="pct"/>
            <w:shd w:val="clear" w:color="auto" w:fill="auto"/>
            <w:hideMark/>
          </w:tcPr>
          <w:p w14:paraId="252A954C"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222,161.18</w:t>
            </w:r>
          </w:p>
        </w:tc>
        <w:tc>
          <w:tcPr>
            <w:tcW w:w="752" w:type="pct"/>
            <w:shd w:val="clear" w:color="auto" w:fill="auto"/>
            <w:hideMark/>
          </w:tcPr>
          <w:p w14:paraId="6DAE40C6"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526,441.31</w:t>
            </w:r>
          </w:p>
        </w:tc>
        <w:tc>
          <w:tcPr>
            <w:tcW w:w="752" w:type="pct"/>
            <w:shd w:val="clear" w:color="auto" w:fill="auto"/>
            <w:hideMark/>
          </w:tcPr>
          <w:p w14:paraId="50F7E6A9"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354,244.88</w:t>
            </w:r>
          </w:p>
        </w:tc>
        <w:tc>
          <w:tcPr>
            <w:tcW w:w="819" w:type="pct"/>
            <w:shd w:val="clear" w:color="auto" w:fill="auto"/>
            <w:hideMark/>
          </w:tcPr>
          <w:p w14:paraId="5158CF9D"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460,173.76</w:t>
            </w:r>
          </w:p>
        </w:tc>
        <w:tc>
          <w:tcPr>
            <w:tcW w:w="844" w:type="pct"/>
            <w:shd w:val="clear" w:color="auto" w:fill="auto"/>
            <w:hideMark/>
          </w:tcPr>
          <w:p w14:paraId="57219B4A"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3,151,759.94</w:t>
            </w:r>
          </w:p>
        </w:tc>
      </w:tr>
      <w:tr w:rsidR="002F4F42" w:rsidRPr="00A96337" w14:paraId="0A5342B2" w14:textId="77777777" w:rsidTr="00575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pct"/>
            <w:shd w:val="clear" w:color="auto" w:fill="F2F2F2" w:themeFill="background1" w:themeFillShade="F2"/>
            <w:hideMark/>
          </w:tcPr>
          <w:p w14:paraId="62B8FAEC" w14:textId="77777777" w:rsidR="002F4F42" w:rsidRPr="00A96337" w:rsidRDefault="002F4F42" w:rsidP="002F4F42">
            <w:pPr>
              <w:rPr>
                <w:rFonts w:ascii="Arial" w:hAnsi="Arial" w:cs="Arial"/>
              </w:rPr>
            </w:pPr>
            <w:r w:rsidRPr="00A96337">
              <w:rPr>
                <w:rFonts w:ascii="Arial" w:hAnsi="Arial" w:cs="Arial"/>
              </w:rPr>
              <w:t>APHEDA</w:t>
            </w:r>
          </w:p>
        </w:tc>
        <w:tc>
          <w:tcPr>
            <w:tcW w:w="752" w:type="pct"/>
            <w:shd w:val="clear" w:color="auto" w:fill="auto"/>
            <w:hideMark/>
          </w:tcPr>
          <w:p w14:paraId="6D7F230C"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800,000</w:t>
            </w:r>
          </w:p>
        </w:tc>
        <w:tc>
          <w:tcPr>
            <w:tcW w:w="752" w:type="pct"/>
            <w:shd w:val="clear" w:color="auto" w:fill="auto"/>
            <w:hideMark/>
          </w:tcPr>
          <w:p w14:paraId="4170721B"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2,217,488</w:t>
            </w:r>
          </w:p>
        </w:tc>
        <w:tc>
          <w:tcPr>
            <w:tcW w:w="752" w:type="pct"/>
            <w:shd w:val="clear" w:color="auto" w:fill="auto"/>
            <w:hideMark/>
          </w:tcPr>
          <w:p w14:paraId="11D63B45"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1,780,089</w:t>
            </w:r>
          </w:p>
        </w:tc>
        <w:tc>
          <w:tcPr>
            <w:tcW w:w="819" w:type="pct"/>
            <w:shd w:val="clear" w:color="auto" w:fill="auto"/>
            <w:hideMark/>
          </w:tcPr>
          <w:p w14:paraId="62AC8827"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0</w:t>
            </w:r>
          </w:p>
        </w:tc>
        <w:tc>
          <w:tcPr>
            <w:tcW w:w="844" w:type="pct"/>
            <w:shd w:val="clear" w:color="auto" w:fill="auto"/>
            <w:hideMark/>
          </w:tcPr>
          <w:p w14:paraId="0FF021F4"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5,125,000</w:t>
            </w:r>
          </w:p>
        </w:tc>
      </w:tr>
      <w:tr w:rsidR="002F4F42" w:rsidRPr="00A96337" w14:paraId="6925F640" w14:textId="77777777" w:rsidTr="00575100">
        <w:tc>
          <w:tcPr>
            <w:cnfStyle w:val="001000000000" w:firstRow="0" w:lastRow="0" w:firstColumn="1" w:lastColumn="0" w:oddVBand="0" w:evenVBand="0" w:oddHBand="0" w:evenHBand="0" w:firstRowFirstColumn="0" w:firstRowLastColumn="0" w:lastRowFirstColumn="0" w:lastRowLastColumn="0"/>
            <w:tcW w:w="1082" w:type="pct"/>
            <w:shd w:val="clear" w:color="auto" w:fill="F2F2F2" w:themeFill="background1" w:themeFillShade="F2"/>
            <w:hideMark/>
          </w:tcPr>
          <w:p w14:paraId="37324ADB" w14:textId="77777777" w:rsidR="002F4F42" w:rsidRPr="00A96337" w:rsidRDefault="002F4F42" w:rsidP="002F4F42">
            <w:pPr>
              <w:rPr>
                <w:rFonts w:ascii="Arial" w:hAnsi="Arial" w:cs="Arial"/>
              </w:rPr>
            </w:pPr>
            <w:r w:rsidRPr="00A96337">
              <w:rPr>
                <w:rFonts w:ascii="Arial" w:hAnsi="Arial" w:cs="Arial"/>
              </w:rPr>
              <w:t>CARE</w:t>
            </w:r>
          </w:p>
        </w:tc>
        <w:tc>
          <w:tcPr>
            <w:tcW w:w="752" w:type="pct"/>
            <w:shd w:val="clear" w:color="auto" w:fill="auto"/>
            <w:hideMark/>
          </w:tcPr>
          <w:p w14:paraId="1F6E8322"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800,000</w:t>
            </w:r>
          </w:p>
        </w:tc>
        <w:tc>
          <w:tcPr>
            <w:tcW w:w="752" w:type="pct"/>
            <w:shd w:val="clear" w:color="auto" w:fill="auto"/>
            <w:hideMark/>
          </w:tcPr>
          <w:p w14:paraId="6DA98571"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2,483,267</w:t>
            </w:r>
          </w:p>
        </w:tc>
        <w:tc>
          <w:tcPr>
            <w:tcW w:w="752" w:type="pct"/>
            <w:shd w:val="clear" w:color="auto" w:fill="auto"/>
            <w:hideMark/>
          </w:tcPr>
          <w:p w14:paraId="1B7134F1"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0</w:t>
            </w:r>
          </w:p>
        </w:tc>
        <w:tc>
          <w:tcPr>
            <w:tcW w:w="819" w:type="pct"/>
            <w:shd w:val="clear" w:color="auto" w:fill="auto"/>
            <w:hideMark/>
          </w:tcPr>
          <w:p w14:paraId="6108C2D0"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1,841,733</w:t>
            </w:r>
          </w:p>
        </w:tc>
        <w:tc>
          <w:tcPr>
            <w:tcW w:w="844" w:type="pct"/>
            <w:shd w:val="clear" w:color="auto" w:fill="auto"/>
            <w:hideMark/>
          </w:tcPr>
          <w:p w14:paraId="2826876C"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5,125,000</w:t>
            </w:r>
          </w:p>
        </w:tc>
      </w:tr>
      <w:tr w:rsidR="002F4F42" w:rsidRPr="00A96337" w14:paraId="7F9083B7" w14:textId="77777777" w:rsidTr="00575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pct"/>
            <w:shd w:val="clear" w:color="auto" w:fill="F2F2F2" w:themeFill="background1" w:themeFillShade="F2"/>
            <w:hideMark/>
          </w:tcPr>
          <w:p w14:paraId="7064E20B" w14:textId="77777777" w:rsidR="002F4F42" w:rsidRPr="00A96337" w:rsidRDefault="002F4F42" w:rsidP="002F4F42">
            <w:pPr>
              <w:rPr>
                <w:rFonts w:ascii="Arial" w:hAnsi="Arial" w:cs="Arial"/>
              </w:rPr>
            </w:pPr>
            <w:r w:rsidRPr="00A96337">
              <w:rPr>
                <w:rFonts w:ascii="Arial" w:hAnsi="Arial" w:cs="Arial"/>
              </w:rPr>
              <w:t>Oxfam</w:t>
            </w:r>
          </w:p>
        </w:tc>
        <w:tc>
          <w:tcPr>
            <w:tcW w:w="752" w:type="pct"/>
            <w:shd w:val="clear" w:color="auto" w:fill="auto"/>
            <w:hideMark/>
          </w:tcPr>
          <w:p w14:paraId="6940B64E"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800,000</w:t>
            </w:r>
          </w:p>
        </w:tc>
        <w:tc>
          <w:tcPr>
            <w:tcW w:w="752" w:type="pct"/>
            <w:shd w:val="clear" w:color="auto" w:fill="auto"/>
            <w:hideMark/>
          </w:tcPr>
          <w:p w14:paraId="729EC758"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2,154,275</w:t>
            </w:r>
          </w:p>
        </w:tc>
        <w:tc>
          <w:tcPr>
            <w:tcW w:w="752" w:type="pct"/>
            <w:shd w:val="clear" w:color="auto" w:fill="auto"/>
            <w:hideMark/>
          </w:tcPr>
          <w:p w14:paraId="50526238"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0</w:t>
            </w:r>
          </w:p>
        </w:tc>
        <w:tc>
          <w:tcPr>
            <w:tcW w:w="819" w:type="pct"/>
            <w:shd w:val="clear" w:color="auto" w:fill="auto"/>
            <w:hideMark/>
          </w:tcPr>
          <w:p w14:paraId="038EE3E0"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2,170,725</w:t>
            </w:r>
          </w:p>
        </w:tc>
        <w:tc>
          <w:tcPr>
            <w:tcW w:w="844" w:type="pct"/>
            <w:shd w:val="clear" w:color="auto" w:fill="auto"/>
            <w:hideMark/>
          </w:tcPr>
          <w:p w14:paraId="1BC8C093"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5,125,000</w:t>
            </w:r>
          </w:p>
        </w:tc>
      </w:tr>
      <w:tr w:rsidR="002F4F42" w:rsidRPr="00A96337" w14:paraId="796F65C9" w14:textId="77777777" w:rsidTr="00575100">
        <w:tc>
          <w:tcPr>
            <w:cnfStyle w:val="001000000000" w:firstRow="0" w:lastRow="0" w:firstColumn="1" w:lastColumn="0" w:oddVBand="0" w:evenVBand="0" w:oddHBand="0" w:evenHBand="0" w:firstRowFirstColumn="0" w:firstRowLastColumn="0" w:lastRowFirstColumn="0" w:lastRowLastColumn="0"/>
            <w:tcW w:w="1082" w:type="pct"/>
            <w:shd w:val="clear" w:color="auto" w:fill="F2F2F2" w:themeFill="background1" w:themeFillShade="F2"/>
            <w:hideMark/>
          </w:tcPr>
          <w:p w14:paraId="661A0C26" w14:textId="77777777" w:rsidR="002F4F42" w:rsidRPr="00A96337" w:rsidRDefault="002F4F42" w:rsidP="002F4F42">
            <w:pPr>
              <w:rPr>
                <w:rFonts w:ascii="Arial" w:hAnsi="Arial" w:cs="Arial"/>
              </w:rPr>
            </w:pPr>
            <w:r w:rsidRPr="00A96337">
              <w:rPr>
                <w:rFonts w:ascii="Arial" w:hAnsi="Arial" w:cs="Arial"/>
              </w:rPr>
              <w:t>World Vision</w:t>
            </w:r>
          </w:p>
        </w:tc>
        <w:tc>
          <w:tcPr>
            <w:tcW w:w="752" w:type="pct"/>
            <w:shd w:val="clear" w:color="auto" w:fill="auto"/>
            <w:hideMark/>
          </w:tcPr>
          <w:p w14:paraId="1050F3A3"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800,000</w:t>
            </w:r>
          </w:p>
        </w:tc>
        <w:tc>
          <w:tcPr>
            <w:tcW w:w="752" w:type="pct"/>
            <w:shd w:val="clear" w:color="auto" w:fill="auto"/>
            <w:hideMark/>
          </w:tcPr>
          <w:p w14:paraId="0C9F61ED"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0</w:t>
            </w:r>
          </w:p>
        </w:tc>
        <w:tc>
          <w:tcPr>
            <w:tcW w:w="752" w:type="pct"/>
            <w:shd w:val="clear" w:color="auto" w:fill="auto"/>
            <w:hideMark/>
          </w:tcPr>
          <w:p w14:paraId="597C6CEE"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0</w:t>
            </w:r>
          </w:p>
        </w:tc>
        <w:tc>
          <w:tcPr>
            <w:tcW w:w="819" w:type="pct"/>
            <w:shd w:val="clear" w:color="auto" w:fill="auto"/>
            <w:hideMark/>
          </w:tcPr>
          <w:p w14:paraId="156BCA45"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0</w:t>
            </w:r>
          </w:p>
        </w:tc>
        <w:tc>
          <w:tcPr>
            <w:tcW w:w="844" w:type="pct"/>
            <w:shd w:val="clear" w:color="auto" w:fill="auto"/>
            <w:hideMark/>
          </w:tcPr>
          <w:p w14:paraId="633B6A71"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800,000</w:t>
            </w:r>
          </w:p>
        </w:tc>
      </w:tr>
      <w:tr w:rsidR="002F4F42" w:rsidRPr="00A96337" w14:paraId="29953027" w14:textId="77777777" w:rsidTr="00575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pct"/>
            <w:shd w:val="clear" w:color="auto" w:fill="F2F2F2" w:themeFill="background1" w:themeFillShade="F2"/>
            <w:hideMark/>
          </w:tcPr>
          <w:p w14:paraId="41A0D012" w14:textId="77777777" w:rsidR="002F4F42" w:rsidRPr="00A96337" w:rsidRDefault="002F4F42" w:rsidP="002F4F42">
            <w:pPr>
              <w:rPr>
                <w:rFonts w:ascii="Arial" w:hAnsi="Arial" w:cs="Arial"/>
              </w:rPr>
            </w:pPr>
            <w:r w:rsidRPr="00A96337">
              <w:rPr>
                <w:rFonts w:ascii="Arial" w:hAnsi="Arial" w:cs="Arial"/>
              </w:rPr>
              <w:t xml:space="preserve">External Audit / Reviews </w:t>
            </w:r>
          </w:p>
        </w:tc>
        <w:tc>
          <w:tcPr>
            <w:tcW w:w="752" w:type="pct"/>
            <w:shd w:val="clear" w:color="auto" w:fill="auto"/>
            <w:hideMark/>
          </w:tcPr>
          <w:p w14:paraId="515B2CB6"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0</w:t>
            </w:r>
          </w:p>
        </w:tc>
        <w:tc>
          <w:tcPr>
            <w:tcW w:w="752" w:type="pct"/>
            <w:shd w:val="clear" w:color="auto" w:fill="auto"/>
            <w:hideMark/>
          </w:tcPr>
          <w:p w14:paraId="31CF2AB8"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35,708.25</w:t>
            </w:r>
          </w:p>
        </w:tc>
        <w:tc>
          <w:tcPr>
            <w:tcW w:w="752" w:type="pct"/>
            <w:shd w:val="clear" w:color="auto" w:fill="auto"/>
            <w:hideMark/>
          </w:tcPr>
          <w:p w14:paraId="73A69E32"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34,277.42</w:t>
            </w:r>
          </w:p>
        </w:tc>
        <w:tc>
          <w:tcPr>
            <w:tcW w:w="819" w:type="pct"/>
            <w:shd w:val="clear" w:color="auto" w:fill="auto"/>
            <w:hideMark/>
          </w:tcPr>
          <w:p w14:paraId="5A0FDDB2"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269,425.45</w:t>
            </w:r>
          </w:p>
        </w:tc>
        <w:tc>
          <w:tcPr>
            <w:tcW w:w="844" w:type="pct"/>
            <w:shd w:val="clear" w:color="auto" w:fill="auto"/>
            <w:hideMark/>
          </w:tcPr>
          <w:p w14:paraId="2DB8E77B" w14:textId="77777777" w:rsidR="002F4F42" w:rsidRPr="00A96337" w:rsidRDefault="002F4F42" w:rsidP="002F4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339,411.12</w:t>
            </w:r>
          </w:p>
        </w:tc>
      </w:tr>
      <w:tr w:rsidR="002F4F42" w:rsidRPr="00A96337" w14:paraId="55525BDB" w14:textId="77777777" w:rsidTr="00575100">
        <w:tc>
          <w:tcPr>
            <w:cnfStyle w:val="001000000000" w:firstRow="0" w:lastRow="0" w:firstColumn="1" w:lastColumn="0" w:oddVBand="0" w:evenVBand="0" w:oddHBand="0" w:evenHBand="0" w:firstRowFirstColumn="0" w:firstRowLastColumn="0" w:lastRowFirstColumn="0" w:lastRowLastColumn="0"/>
            <w:tcW w:w="1082" w:type="pct"/>
            <w:shd w:val="clear" w:color="auto" w:fill="F2F2F2" w:themeFill="background1" w:themeFillShade="F2"/>
            <w:hideMark/>
          </w:tcPr>
          <w:p w14:paraId="5B65132B" w14:textId="77777777" w:rsidR="002F4F42" w:rsidRPr="00A96337" w:rsidRDefault="002F4F42" w:rsidP="002F4F42">
            <w:pPr>
              <w:rPr>
                <w:rFonts w:ascii="Arial" w:hAnsi="Arial" w:cs="Arial"/>
              </w:rPr>
            </w:pPr>
            <w:r w:rsidRPr="00A96337">
              <w:rPr>
                <w:rFonts w:ascii="Arial" w:hAnsi="Arial" w:cs="Arial"/>
              </w:rPr>
              <w:t>Total</w:t>
            </w:r>
          </w:p>
        </w:tc>
        <w:tc>
          <w:tcPr>
            <w:tcW w:w="752" w:type="pct"/>
            <w:shd w:val="clear" w:color="auto" w:fill="auto"/>
            <w:hideMark/>
          </w:tcPr>
          <w:p w14:paraId="4F9D5201"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3,608,151.33</w:t>
            </w:r>
          </w:p>
        </w:tc>
        <w:tc>
          <w:tcPr>
            <w:tcW w:w="752" w:type="pct"/>
            <w:shd w:val="clear" w:color="auto" w:fill="auto"/>
            <w:hideMark/>
          </w:tcPr>
          <w:p w14:paraId="615FD417"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7,425,285.33</w:t>
            </w:r>
          </w:p>
        </w:tc>
        <w:tc>
          <w:tcPr>
            <w:tcW w:w="752" w:type="pct"/>
            <w:shd w:val="clear" w:color="auto" w:fill="auto"/>
            <w:hideMark/>
          </w:tcPr>
          <w:p w14:paraId="34586D7E"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2,172,218.73</w:t>
            </w:r>
          </w:p>
        </w:tc>
        <w:tc>
          <w:tcPr>
            <w:tcW w:w="819" w:type="pct"/>
            <w:shd w:val="clear" w:color="auto" w:fill="auto"/>
            <w:hideMark/>
          </w:tcPr>
          <w:p w14:paraId="3F6D4D45"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4,751,439.03</w:t>
            </w:r>
          </w:p>
        </w:tc>
        <w:tc>
          <w:tcPr>
            <w:tcW w:w="844" w:type="pct"/>
            <w:shd w:val="clear" w:color="auto" w:fill="auto"/>
            <w:hideMark/>
          </w:tcPr>
          <w:p w14:paraId="5F3A2961" w14:textId="77777777" w:rsidR="002F4F42" w:rsidRPr="00A96337" w:rsidRDefault="002F4F42" w:rsidP="002F4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19,873,256.23</w:t>
            </w:r>
          </w:p>
        </w:tc>
      </w:tr>
    </w:tbl>
    <w:p w14:paraId="539AD6CB" w14:textId="43C298B1" w:rsidR="002F4F42" w:rsidRPr="00A96337" w:rsidRDefault="002F4F42" w:rsidP="007F6FE5">
      <w:pPr>
        <w:pStyle w:val="Heading1"/>
      </w:pPr>
      <w:bookmarkStart w:id="36" w:name="_Toc7007223"/>
      <w:bookmarkStart w:id="37" w:name="_Toc7238615"/>
      <w:bookmarkStart w:id="38" w:name="_Toc7238728"/>
      <w:bookmarkStart w:id="39" w:name="_Toc7959444"/>
      <w:bookmarkStart w:id="40" w:name="_Toc7959577"/>
      <w:bookmarkStart w:id="41" w:name="_Toc8130785"/>
      <w:bookmarkStart w:id="42" w:name="_Toc7007224"/>
      <w:bookmarkStart w:id="43" w:name="_Toc7238616"/>
      <w:bookmarkStart w:id="44" w:name="_Toc7238729"/>
      <w:bookmarkStart w:id="45" w:name="_Toc7959445"/>
      <w:bookmarkStart w:id="46" w:name="_Toc7959578"/>
      <w:bookmarkStart w:id="47" w:name="_Toc8130786"/>
      <w:bookmarkStart w:id="48" w:name="_Toc7007225"/>
      <w:bookmarkStart w:id="49" w:name="_Toc7238617"/>
      <w:bookmarkStart w:id="50" w:name="_Toc7238730"/>
      <w:bookmarkStart w:id="51" w:name="_Toc7959446"/>
      <w:bookmarkStart w:id="52" w:name="_Toc7959579"/>
      <w:bookmarkStart w:id="53" w:name="_Toc8130787"/>
      <w:bookmarkStart w:id="54" w:name="_Toc7007226"/>
      <w:bookmarkStart w:id="55" w:name="_Toc7238618"/>
      <w:bookmarkStart w:id="56" w:name="_Toc7238731"/>
      <w:bookmarkStart w:id="57" w:name="_Toc7959447"/>
      <w:bookmarkStart w:id="58" w:name="_Toc7959580"/>
      <w:bookmarkStart w:id="59" w:name="_Toc8130788"/>
      <w:bookmarkStart w:id="60" w:name="_Toc8978025"/>
      <w:bookmarkStart w:id="61" w:name="_Toc12364797"/>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A96337">
        <w:t xml:space="preserve">AMENCA </w:t>
      </w:r>
      <w:r w:rsidR="00F05621" w:rsidRPr="00A96337">
        <w:t>p</w:t>
      </w:r>
      <w:r w:rsidRPr="00A96337">
        <w:t>rojects</w:t>
      </w:r>
      <w:bookmarkEnd w:id="60"/>
      <w:bookmarkEnd w:id="61"/>
    </w:p>
    <w:p w14:paraId="762F1BB6" w14:textId="0AB640B1" w:rsidR="002F4F42" w:rsidRPr="00A96337" w:rsidRDefault="002F4F42" w:rsidP="00680857">
      <w:pPr>
        <w:pStyle w:val="BodyText"/>
        <w:rPr>
          <w:lang w:val="en-AU"/>
        </w:rPr>
      </w:pPr>
      <w:r w:rsidRPr="00A96337">
        <w:rPr>
          <w:lang w:val="en-AU"/>
        </w:rPr>
        <w:t xml:space="preserve">The three consortiums implementing </w:t>
      </w:r>
      <w:r w:rsidR="009B58A0" w:rsidRPr="00A96337">
        <w:rPr>
          <w:lang w:val="en-AU"/>
        </w:rPr>
        <w:t>AMENCA 3</w:t>
      </w:r>
      <w:r w:rsidRPr="00A96337">
        <w:rPr>
          <w:lang w:val="en-AU"/>
        </w:rPr>
        <w:t xml:space="preserve"> run three separate projects:</w:t>
      </w:r>
    </w:p>
    <w:p w14:paraId="0846F986" w14:textId="77777777" w:rsidR="002F4F42" w:rsidRPr="00A96337" w:rsidRDefault="002F4F42" w:rsidP="00F8335C">
      <w:pPr>
        <w:pStyle w:val="EvaluationNumbered"/>
        <w:numPr>
          <w:ilvl w:val="0"/>
          <w:numId w:val="54"/>
        </w:numPr>
        <w:spacing w:before="60" w:after="60" w:line="260" w:lineRule="atLeast"/>
        <w:ind w:left="425" w:hanging="425"/>
        <w:rPr>
          <w:lang w:val="en-AU"/>
        </w:rPr>
      </w:pPr>
      <w:r w:rsidRPr="00A96337">
        <w:rPr>
          <w:lang w:val="en-AU"/>
        </w:rPr>
        <w:t>Souqona being implemented by the CARE consortium.</w:t>
      </w:r>
    </w:p>
    <w:p w14:paraId="25DF4C71" w14:textId="77777777" w:rsidR="002F4F42" w:rsidRPr="00A96337" w:rsidRDefault="002F4F42" w:rsidP="00C16CA8">
      <w:pPr>
        <w:pStyle w:val="EvaluationNumbered"/>
        <w:spacing w:before="60" w:after="60" w:line="260" w:lineRule="atLeast"/>
        <w:ind w:left="425" w:hanging="425"/>
        <w:rPr>
          <w:lang w:val="en-AU"/>
        </w:rPr>
      </w:pPr>
      <w:r w:rsidRPr="00A96337">
        <w:rPr>
          <w:lang w:val="en-AU"/>
        </w:rPr>
        <w:t>Takamol being implemented by the Oxfam consortium.</w:t>
      </w:r>
    </w:p>
    <w:p w14:paraId="02845ED3" w14:textId="77777777" w:rsidR="002F4F42" w:rsidRPr="00A96337" w:rsidRDefault="002F4F42" w:rsidP="00C16CA8">
      <w:pPr>
        <w:pStyle w:val="EvaluationNumbered"/>
        <w:spacing w:before="60" w:after="60" w:line="260" w:lineRule="atLeast"/>
        <w:ind w:left="425" w:hanging="425"/>
        <w:rPr>
          <w:lang w:val="en-AU"/>
        </w:rPr>
      </w:pPr>
      <w:r w:rsidRPr="00A96337">
        <w:rPr>
          <w:lang w:val="en-AU"/>
        </w:rPr>
        <w:t>Ghalleh being implemented by the APHEDA consortium.</w:t>
      </w:r>
    </w:p>
    <w:p w14:paraId="2B367AFA" w14:textId="048B72B0" w:rsidR="002F4F42" w:rsidRPr="00A96337" w:rsidRDefault="002F4F42" w:rsidP="00E42BC8">
      <w:pPr>
        <w:pStyle w:val="BodyText"/>
        <w:rPr>
          <w:lang w:val="en-AU"/>
        </w:rPr>
      </w:pPr>
      <w:r w:rsidRPr="00A96337">
        <w:rPr>
          <w:lang w:val="en-AU"/>
        </w:rPr>
        <w:t xml:space="preserve">These projects, and their associated NGOs, are widely recognised and appreciated by their stakeholders in the Palestinian Territories, whereas recognition of </w:t>
      </w:r>
      <w:r w:rsidR="009B58A0" w:rsidRPr="00A96337">
        <w:rPr>
          <w:lang w:val="en-AU"/>
        </w:rPr>
        <w:t>AMENCA 3</w:t>
      </w:r>
      <w:r w:rsidRPr="00A96337">
        <w:rPr>
          <w:lang w:val="en-AU"/>
        </w:rPr>
        <w:t xml:space="preserve"> as an overarching framework seems to be limited largely to the program staff.</w:t>
      </w:r>
    </w:p>
    <w:p w14:paraId="641896BF" w14:textId="77777777" w:rsidR="002F4F42" w:rsidRPr="00A96337" w:rsidRDefault="002F4F42" w:rsidP="00F8335C">
      <w:pPr>
        <w:pStyle w:val="Heading2"/>
        <w:ind w:left="851" w:hanging="851"/>
      </w:pPr>
      <w:bookmarkStart w:id="62" w:name="_Toc7007229"/>
      <w:bookmarkStart w:id="63" w:name="_Toc7238621"/>
      <w:bookmarkStart w:id="64" w:name="_Toc7238734"/>
      <w:bookmarkStart w:id="65" w:name="_Toc7959450"/>
      <w:bookmarkStart w:id="66" w:name="_Toc7959583"/>
      <w:bookmarkStart w:id="67" w:name="_Toc8130791"/>
      <w:bookmarkStart w:id="68" w:name="_Toc7007230"/>
      <w:bookmarkStart w:id="69" w:name="_Toc7238622"/>
      <w:bookmarkStart w:id="70" w:name="_Toc7238735"/>
      <w:bookmarkStart w:id="71" w:name="_Toc7959451"/>
      <w:bookmarkStart w:id="72" w:name="_Toc7959584"/>
      <w:bookmarkStart w:id="73" w:name="_Toc8130792"/>
      <w:bookmarkStart w:id="74" w:name="_Toc6202916"/>
      <w:bookmarkStart w:id="75" w:name="_Toc7007231"/>
      <w:bookmarkStart w:id="76" w:name="_Toc7238623"/>
      <w:bookmarkStart w:id="77" w:name="_Toc7238736"/>
      <w:bookmarkStart w:id="78" w:name="_Toc7959452"/>
      <w:bookmarkStart w:id="79" w:name="_Toc7959585"/>
      <w:bookmarkStart w:id="80" w:name="_Toc8130793"/>
      <w:bookmarkStart w:id="81" w:name="_Toc6202917"/>
      <w:bookmarkStart w:id="82" w:name="_Toc7007232"/>
      <w:bookmarkStart w:id="83" w:name="_Toc7238624"/>
      <w:bookmarkStart w:id="84" w:name="_Toc7238737"/>
      <w:bookmarkStart w:id="85" w:name="_Toc7959453"/>
      <w:bookmarkStart w:id="86" w:name="_Toc7959586"/>
      <w:bookmarkStart w:id="87" w:name="_Toc8130794"/>
      <w:bookmarkStart w:id="88" w:name="_Toc8978026"/>
      <w:bookmarkStart w:id="89" w:name="_Toc12364798"/>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A96337">
        <w:t>CARE Souqona</w:t>
      </w:r>
      <w:bookmarkEnd w:id="88"/>
      <w:bookmarkEnd w:id="89"/>
    </w:p>
    <w:p w14:paraId="1E5C0AA2" w14:textId="6815FD92" w:rsidR="002F4F42" w:rsidRPr="00A96337" w:rsidRDefault="002F4F42" w:rsidP="002C300A">
      <w:pPr>
        <w:pStyle w:val="BodyText"/>
        <w:spacing w:after="360"/>
        <w:rPr>
          <w:noProof/>
          <w:szCs w:val="20"/>
          <w:lang w:val="en-AU"/>
        </w:rPr>
      </w:pPr>
      <w:r w:rsidRPr="00A96337">
        <w:rPr>
          <w:lang w:val="en-AU"/>
        </w:rPr>
        <w:t>CARE’s Souqona (meaning ‘</w:t>
      </w:r>
      <w:r w:rsidRPr="00A96337">
        <w:rPr>
          <w:i/>
          <w:lang w:val="en-AU"/>
        </w:rPr>
        <w:t>our market’</w:t>
      </w:r>
      <w:r w:rsidRPr="00A96337">
        <w:rPr>
          <w:lang w:val="en-AU"/>
        </w:rPr>
        <w:t>) initiative is aimed at increasing the income, agency, and market opportunity of female and male Palestinian farmers engaged in the vegetable, sheep and goat dairy value-chains.</w:t>
      </w:r>
      <w:r w:rsidR="00E42BC8" w:rsidRPr="00A96337">
        <w:rPr>
          <w:lang w:val="en-AU"/>
        </w:rPr>
        <w:t xml:space="preserve"> </w:t>
      </w:r>
      <w:r w:rsidRPr="00A96337">
        <w:rPr>
          <w:lang w:val="en-AU"/>
        </w:rPr>
        <w:t xml:space="preserve">It was launched in April 2016, and operates in 23 locations in three northern Governates of the West Bank (Nablus, Jenin, and </w:t>
      </w:r>
      <w:r w:rsidRPr="00A96337">
        <w:rPr>
          <w:szCs w:val="20"/>
          <w:lang w:val="en-AU"/>
        </w:rPr>
        <w:t>Tubas) (</w:t>
      </w:r>
      <w:r w:rsidRPr="00A96337">
        <w:rPr>
          <w:szCs w:val="20"/>
          <w:lang w:val="en-AU"/>
        </w:rPr>
        <w:fldChar w:fldCharType="begin"/>
      </w:r>
      <w:r w:rsidRPr="00A96337">
        <w:rPr>
          <w:szCs w:val="20"/>
          <w:lang w:val="en-AU"/>
        </w:rPr>
        <w:instrText xml:space="preserve"> REF _Ref7007185 \h </w:instrText>
      </w:r>
      <w:r w:rsidR="00FF7BD1" w:rsidRPr="00A96337">
        <w:rPr>
          <w:szCs w:val="20"/>
          <w:lang w:val="en-AU"/>
        </w:rPr>
        <w:instrText xml:space="preserve"> \* MERGEFORMAT </w:instrText>
      </w:r>
      <w:r w:rsidRPr="00A96337">
        <w:rPr>
          <w:szCs w:val="20"/>
          <w:lang w:val="en-AU"/>
        </w:rPr>
      </w:r>
      <w:r w:rsidRPr="00A96337">
        <w:rPr>
          <w:szCs w:val="20"/>
          <w:lang w:val="en-AU"/>
        </w:rPr>
        <w:fldChar w:fldCharType="separate"/>
      </w:r>
      <w:r w:rsidR="00E06D4A" w:rsidRPr="00E06D4A">
        <w:rPr>
          <w:szCs w:val="20"/>
          <w:lang w:val="en-AU"/>
        </w:rPr>
        <w:t xml:space="preserve">Figure </w:t>
      </w:r>
      <w:r w:rsidR="00E06D4A" w:rsidRPr="00E06D4A">
        <w:rPr>
          <w:noProof/>
          <w:szCs w:val="20"/>
          <w:lang w:val="en-AU"/>
        </w:rPr>
        <w:t>2</w:t>
      </w:r>
      <w:r w:rsidRPr="00A96337">
        <w:rPr>
          <w:szCs w:val="20"/>
          <w:lang w:val="en-AU"/>
        </w:rPr>
        <w:fldChar w:fldCharType="end"/>
      </w:r>
      <w:r w:rsidRPr="00A96337">
        <w:rPr>
          <w:szCs w:val="20"/>
          <w:lang w:val="en-AU"/>
        </w:rPr>
        <w:t>).</w:t>
      </w:r>
      <w:r w:rsidR="002C300A" w:rsidRPr="00A96337">
        <w:rPr>
          <w:noProof/>
          <w:szCs w:val="20"/>
          <w:lang w:val="en-AU"/>
        </w:rPr>
        <w:t xml:space="preserve"> </w:t>
      </w:r>
    </w:p>
    <w:p w14:paraId="04481822" w14:textId="0EC70A96" w:rsidR="002D1C1A" w:rsidRPr="00A96337" w:rsidRDefault="002D1C1A" w:rsidP="002D1C1A">
      <w:pPr>
        <w:pStyle w:val="Caption"/>
        <w:rPr>
          <w:noProof/>
          <w:color w:val="808080" w:themeColor="background1" w:themeShade="80"/>
          <w:sz w:val="18"/>
          <w:lang w:val="en-AU"/>
        </w:rPr>
      </w:pPr>
      <w:bookmarkStart w:id="90" w:name="_Ref7007185"/>
      <w:r w:rsidRPr="00A96337">
        <w:rPr>
          <w:color w:val="808080" w:themeColor="background1" w:themeShade="80"/>
          <w:sz w:val="18"/>
          <w:lang w:val="en-AU"/>
        </w:rPr>
        <w:t xml:space="preserve">Figure </w:t>
      </w:r>
      <w:r w:rsidR="007103AD">
        <w:rPr>
          <w:color w:val="808080" w:themeColor="background1" w:themeShade="80"/>
          <w:sz w:val="18"/>
          <w:lang w:val="en-AU"/>
        </w:rPr>
        <w:fldChar w:fldCharType="begin"/>
      </w:r>
      <w:r w:rsidR="007103AD">
        <w:rPr>
          <w:color w:val="808080" w:themeColor="background1" w:themeShade="80"/>
          <w:sz w:val="18"/>
          <w:lang w:val="en-AU"/>
        </w:rPr>
        <w:instrText xml:space="preserve"> SEQ Figure \* ARABIC </w:instrText>
      </w:r>
      <w:r w:rsidR="007103AD">
        <w:rPr>
          <w:color w:val="808080" w:themeColor="background1" w:themeShade="80"/>
          <w:sz w:val="18"/>
          <w:lang w:val="en-AU"/>
        </w:rPr>
        <w:fldChar w:fldCharType="separate"/>
      </w:r>
      <w:r w:rsidR="00E06D4A">
        <w:rPr>
          <w:noProof/>
          <w:color w:val="808080" w:themeColor="background1" w:themeShade="80"/>
          <w:sz w:val="18"/>
          <w:lang w:val="en-AU"/>
        </w:rPr>
        <w:t>2</w:t>
      </w:r>
      <w:r w:rsidR="007103AD">
        <w:rPr>
          <w:color w:val="808080" w:themeColor="background1" w:themeShade="80"/>
          <w:sz w:val="18"/>
          <w:lang w:val="en-AU"/>
        </w:rPr>
        <w:fldChar w:fldCharType="end"/>
      </w:r>
      <w:bookmarkEnd w:id="90"/>
      <w:r w:rsidRPr="00A96337">
        <w:rPr>
          <w:color w:val="808080" w:themeColor="background1" w:themeShade="80"/>
          <w:sz w:val="18"/>
          <w:lang w:val="en-AU"/>
        </w:rPr>
        <w:t>: Souqona interventions in the West Bank</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3920"/>
      </w:tblGrid>
      <w:tr w:rsidR="002C300A" w:rsidRPr="00A96337" w14:paraId="435A42B9" w14:textId="77777777" w:rsidTr="002C300A">
        <w:tc>
          <w:tcPr>
            <w:tcW w:w="4508" w:type="dxa"/>
          </w:tcPr>
          <w:p w14:paraId="01D3AB8D" w14:textId="6060A084" w:rsidR="002C300A" w:rsidRPr="00A96337" w:rsidRDefault="002C300A" w:rsidP="002C300A">
            <w:pPr>
              <w:pStyle w:val="BodyText"/>
              <w:spacing w:after="360"/>
              <w:rPr>
                <w:lang w:val="en-AU"/>
              </w:rPr>
            </w:pPr>
            <w:r w:rsidRPr="00A96337">
              <w:rPr>
                <w:noProof/>
                <w:lang w:val="en-AU" w:eastAsia="en-AU"/>
              </w:rPr>
              <w:drawing>
                <wp:inline distT="0" distB="0" distL="0" distR="0" wp14:anchorId="1CB0402D" wp14:editId="5B4C397B">
                  <wp:extent cx="3105150" cy="362331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150" cy="3623310"/>
                          </a:xfrm>
                          <a:prstGeom prst="rect">
                            <a:avLst/>
                          </a:prstGeom>
                          <a:noFill/>
                        </pic:spPr>
                      </pic:pic>
                    </a:graphicData>
                  </a:graphic>
                </wp:inline>
              </w:drawing>
            </w:r>
          </w:p>
        </w:tc>
        <w:tc>
          <w:tcPr>
            <w:tcW w:w="4508" w:type="dxa"/>
          </w:tcPr>
          <w:tbl>
            <w:tblPr>
              <w:tblStyle w:val="GridTable6Colorful-Accent4"/>
              <w:tblpPr w:leftFromText="180" w:rightFromText="180" w:vertAnchor="text" w:horzAnchor="margin" w:tblpY="237"/>
              <w:tblW w:w="0" w:type="auto"/>
              <w:tblBorders>
                <w:top w:val="single" w:sz="4" w:space="0" w:color="B3995D"/>
                <w:left w:val="none" w:sz="0" w:space="0" w:color="auto"/>
                <w:bottom w:val="single" w:sz="4" w:space="0" w:color="B3995D"/>
                <w:right w:val="none" w:sz="0" w:space="0" w:color="auto"/>
                <w:insideH w:val="single" w:sz="4" w:space="0" w:color="B3995D"/>
                <w:insideV w:val="none" w:sz="0" w:space="0" w:color="auto"/>
              </w:tblBorders>
              <w:tblLook w:val="0420" w:firstRow="1" w:lastRow="0" w:firstColumn="0" w:lastColumn="0" w:noHBand="0" w:noVBand="1"/>
            </w:tblPr>
            <w:tblGrid>
              <w:gridCol w:w="1417"/>
              <w:gridCol w:w="1985"/>
            </w:tblGrid>
            <w:tr w:rsidR="002C300A" w:rsidRPr="00A96337" w14:paraId="14BFF30B" w14:textId="77777777" w:rsidTr="002C300A">
              <w:trPr>
                <w:cnfStyle w:val="100000000000" w:firstRow="1" w:lastRow="0" w:firstColumn="0" w:lastColumn="0" w:oddVBand="0" w:evenVBand="0" w:oddHBand="0" w:evenHBand="0" w:firstRowFirstColumn="0" w:firstRowLastColumn="0" w:lastRowFirstColumn="0" w:lastRowLastColumn="0"/>
                <w:trHeight w:val="218"/>
              </w:trPr>
              <w:tc>
                <w:tcPr>
                  <w:tcW w:w="1417" w:type="dxa"/>
                  <w:tcBorders>
                    <w:bottom w:val="none" w:sz="0" w:space="0" w:color="auto"/>
                  </w:tcBorders>
                  <w:shd w:val="clear" w:color="auto" w:fill="B3995D"/>
                  <w:hideMark/>
                </w:tcPr>
                <w:p w14:paraId="350ABC12" w14:textId="77777777" w:rsidR="002C300A" w:rsidRPr="00A96337" w:rsidRDefault="002C300A" w:rsidP="002C300A">
                  <w:pPr>
                    <w:spacing w:before="40" w:after="40"/>
                    <w:rPr>
                      <w:rFonts w:ascii="Arial" w:eastAsiaTheme="minorEastAsia" w:hAnsi="Arial" w:cs="Arial"/>
                      <w:color w:val="FFFFFF" w:themeColor="background1"/>
                      <w:sz w:val="16"/>
                      <w:szCs w:val="16"/>
                    </w:rPr>
                  </w:pPr>
                  <w:r w:rsidRPr="00A96337">
                    <w:rPr>
                      <w:rFonts w:ascii="Arial" w:eastAsiaTheme="minorEastAsia" w:hAnsi="Arial" w:cs="Arial"/>
                      <w:color w:val="FFFFFF" w:themeColor="background1"/>
                      <w:sz w:val="16"/>
                      <w:szCs w:val="16"/>
                    </w:rPr>
                    <w:t>Governate</w:t>
                  </w:r>
                </w:p>
              </w:tc>
              <w:tc>
                <w:tcPr>
                  <w:tcW w:w="1985" w:type="dxa"/>
                  <w:tcBorders>
                    <w:bottom w:val="none" w:sz="0" w:space="0" w:color="auto"/>
                  </w:tcBorders>
                  <w:shd w:val="clear" w:color="auto" w:fill="B3995D"/>
                  <w:hideMark/>
                </w:tcPr>
                <w:p w14:paraId="77DDD84D" w14:textId="77777777" w:rsidR="002C300A" w:rsidRPr="00A96337" w:rsidRDefault="002C300A" w:rsidP="002C300A">
                  <w:pPr>
                    <w:spacing w:before="40" w:after="40"/>
                    <w:ind w:left="37"/>
                    <w:rPr>
                      <w:rFonts w:ascii="Arial" w:eastAsiaTheme="minorEastAsia" w:hAnsi="Arial" w:cs="Arial"/>
                      <w:color w:val="FFFFFF" w:themeColor="background1"/>
                      <w:sz w:val="16"/>
                      <w:szCs w:val="16"/>
                    </w:rPr>
                  </w:pPr>
                  <w:r w:rsidRPr="00A96337">
                    <w:rPr>
                      <w:rFonts w:ascii="Arial" w:eastAsiaTheme="minorEastAsia" w:hAnsi="Arial" w:cs="Arial"/>
                      <w:color w:val="FFFFFF" w:themeColor="background1"/>
                      <w:sz w:val="16"/>
                      <w:szCs w:val="16"/>
                    </w:rPr>
                    <w:t>Location</w:t>
                  </w:r>
                </w:p>
              </w:tc>
            </w:tr>
            <w:tr w:rsidR="002C300A" w:rsidRPr="00A96337" w14:paraId="5F37CD29" w14:textId="77777777" w:rsidTr="002C300A">
              <w:trPr>
                <w:cnfStyle w:val="000000100000" w:firstRow="0" w:lastRow="0" w:firstColumn="0" w:lastColumn="0" w:oddVBand="0" w:evenVBand="0" w:oddHBand="1" w:evenHBand="0" w:firstRowFirstColumn="0" w:firstRowLastColumn="0" w:lastRowFirstColumn="0" w:lastRowLastColumn="0"/>
                <w:trHeight w:val="218"/>
              </w:trPr>
              <w:tc>
                <w:tcPr>
                  <w:tcW w:w="3402" w:type="dxa"/>
                  <w:gridSpan w:val="2"/>
                  <w:shd w:val="clear" w:color="auto" w:fill="F2F2F2" w:themeFill="background1" w:themeFillShade="F2"/>
                </w:tcPr>
                <w:p w14:paraId="22DBA438" w14:textId="77777777" w:rsidR="002C300A" w:rsidRPr="00A96337" w:rsidRDefault="002C300A" w:rsidP="002C300A">
                  <w:pPr>
                    <w:spacing w:before="40" w:after="40"/>
                    <w:ind w:left="37"/>
                    <w:rPr>
                      <w:rFonts w:ascii="Arial" w:eastAsiaTheme="minorEastAsia" w:hAnsi="Arial" w:cs="Arial"/>
                      <w:b/>
                      <w:color w:val="auto"/>
                      <w:sz w:val="16"/>
                      <w:szCs w:val="16"/>
                    </w:rPr>
                  </w:pPr>
                  <w:r w:rsidRPr="00A96337">
                    <w:rPr>
                      <w:rFonts w:ascii="Arial" w:eastAsiaTheme="minorEastAsia" w:hAnsi="Arial" w:cs="Arial"/>
                      <w:b/>
                      <w:color w:val="auto"/>
                      <w:sz w:val="16"/>
                      <w:szCs w:val="16"/>
                    </w:rPr>
                    <w:t>West Bank</w:t>
                  </w:r>
                </w:p>
              </w:tc>
            </w:tr>
            <w:tr w:rsidR="002C300A" w:rsidRPr="00A96337" w14:paraId="0713DA16" w14:textId="77777777" w:rsidTr="002C300A">
              <w:trPr>
                <w:trHeight w:val="218"/>
              </w:trPr>
              <w:tc>
                <w:tcPr>
                  <w:tcW w:w="1417" w:type="dxa"/>
                  <w:hideMark/>
                </w:tcPr>
                <w:p w14:paraId="7AC68F68" w14:textId="77777777" w:rsidR="002C300A" w:rsidRPr="00A96337" w:rsidRDefault="002C300A" w:rsidP="002C300A">
                  <w:pPr>
                    <w:spacing w:before="40" w:after="40"/>
                    <w:ind w:left="33"/>
                    <w:rPr>
                      <w:rFonts w:ascii="Arial" w:eastAsiaTheme="minorEastAsia" w:hAnsi="Arial" w:cs="Arial"/>
                      <w:color w:val="auto"/>
                      <w:sz w:val="16"/>
                      <w:szCs w:val="16"/>
                    </w:rPr>
                  </w:pPr>
                  <w:r w:rsidRPr="00A96337">
                    <w:rPr>
                      <w:rFonts w:ascii="Arial" w:eastAsiaTheme="minorEastAsia" w:hAnsi="Arial" w:cs="Arial"/>
                      <w:color w:val="auto"/>
                      <w:sz w:val="16"/>
                      <w:szCs w:val="16"/>
                    </w:rPr>
                    <w:t>Nablus</w:t>
                  </w:r>
                </w:p>
              </w:tc>
              <w:tc>
                <w:tcPr>
                  <w:tcW w:w="1985" w:type="dxa"/>
                  <w:hideMark/>
                </w:tcPr>
                <w:p w14:paraId="2E78901A"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Aqrabaneyyeh</w:t>
                  </w:r>
                </w:p>
                <w:p w14:paraId="623D1115"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Beit Fourik</w:t>
                  </w:r>
                </w:p>
                <w:p w14:paraId="5BC53216"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Beit Hasan</w:t>
                  </w:r>
                </w:p>
                <w:p w14:paraId="371F5F91"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Dajan</w:t>
                  </w:r>
                </w:p>
                <w:p w14:paraId="49A214E4"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Ein Shibli</w:t>
                  </w:r>
                </w:p>
                <w:p w14:paraId="6A085926"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Froush Beit</w:t>
                  </w:r>
                </w:p>
                <w:p w14:paraId="5D50FD57"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Nassareyieh</w:t>
                  </w:r>
                </w:p>
              </w:tc>
            </w:tr>
            <w:tr w:rsidR="002C300A" w:rsidRPr="00A96337" w14:paraId="7A14B7E0" w14:textId="77777777" w:rsidTr="002C300A">
              <w:trPr>
                <w:cnfStyle w:val="000000100000" w:firstRow="0" w:lastRow="0" w:firstColumn="0" w:lastColumn="0" w:oddVBand="0" w:evenVBand="0" w:oddHBand="1" w:evenHBand="0" w:firstRowFirstColumn="0" w:firstRowLastColumn="0" w:lastRowFirstColumn="0" w:lastRowLastColumn="0"/>
                <w:trHeight w:val="218"/>
              </w:trPr>
              <w:tc>
                <w:tcPr>
                  <w:tcW w:w="1417" w:type="dxa"/>
                  <w:shd w:val="clear" w:color="auto" w:fill="FFFFFF" w:themeFill="background1"/>
                  <w:hideMark/>
                </w:tcPr>
                <w:p w14:paraId="1FA22B8D" w14:textId="77777777" w:rsidR="002C300A" w:rsidRPr="00A96337" w:rsidRDefault="002C300A" w:rsidP="002C300A">
                  <w:pPr>
                    <w:spacing w:before="40" w:after="40"/>
                    <w:ind w:left="33"/>
                    <w:rPr>
                      <w:rFonts w:ascii="Arial" w:eastAsiaTheme="minorEastAsia" w:hAnsi="Arial" w:cs="Arial"/>
                      <w:color w:val="auto"/>
                      <w:sz w:val="16"/>
                      <w:szCs w:val="16"/>
                    </w:rPr>
                  </w:pPr>
                  <w:r w:rsidRPr="00A96337">
                    <w:rPr>
                      <w:rFonts w:ascii="Arial" w:eastAsiaTheme="minorEastAsia" w:hAnsi="Arial" w:cs="Arial"/>
                      <w:color w:val="auto"/>
                      <w:sz w:val="16"/>
                      <w:szCs w:val="16"/>
                    </w:rPr>
                    <w:t>Tubas</w:t>
                  </w:r>
                </w:p>
              </w:tc>
              <w:tc>
                <w:tcPr>
                  <w:tcW w:w="1985" w:type="dxa"/>
                  <w:shd w:val="clear" w:color="auto" w:fill="FFFFFF" w:themeFill="background1"/>
                  <w:hideMark/>
                </w:tcPr>
                <w:p w14:paraId="2B6D847C"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Aqaba</w:t>
                  </w:r>
                </w:p>
                <w:p w14:paraId="23804EBB"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Aqqaba</w:t>
                  </w:r>
                </w:p>
                <w:p w14:paraId="0C5932EE"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Atouf</w:t>
                  </w:r>
                </w:p>
                <w:p w14:paraId="55038384"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Bardala</w:t>
                  </w:r>
                </w:p>
                <w:p w14:paraId="02D93B7E"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Ein al Beida</w:t>
                  </w:r>
                </w:p>
                <w:p w14:paraId="62CC10C3"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Faraa</w:t>
                  </w:r>
                </w:p>
                <w:p w14:paraId="49ABE754"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Kardala</w:t>
                  </w:r>
                </w:p>
                <w:p w14:paraId="62D64DDE"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Tammoun</w:t>
                  </w:r>
                </w:p>
                <w:p w14:paraId="52761B02"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Tayaseer</w:t>
                  </w:r>
                </w:p>
                <w:p w14:paraId="17F70202"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Tubas</w:t>
                  </w:r>
                </w:p>
              </w:tc>
            </w:tr>
            <w:tr w:rsidR="002C300A" w:rsidRPr="00A96337" w14:paraId="784E67AD" w14:textId="77777777" w:rsidTr="002C300A">
              <w:trPr>
                <w:trHeight w:val="218"/>
              </w:trPr>
              <w:tc>
                <w:tcPr>
                  <w:tcW w:w="1417" w:type="dxa"/>
                  <w:hideMark/>
                </w:tcPr>
                <w:p w14:paraId="07DF1293" w14:textId="77777777" w:rsidR="002C300A" w:rsidRPr="00A96337" w:rsidRDefault="002C300A" w:rsidP="002C300A">
                  <w:pPr>
                    <w:spacing w:before="40" w:after="40"/>
                    <w:ind w:left="33"/>
                    <w:rPr>
                      <w:rFonts w:ascii="Arial" w:eastAsiaTheme="minorEastAsia" w:hAnsi="Arial" w:cs="Arial"/>
                      <w:color w:val="auto"/>
                      <w:sz w:val="16"/>
                      <w:szCs w:val="16"/>
                    </w:rPr>
                  </w:pPr>
                  <w:r w:rsidRPr="00A96337">
                    <w:rPr>
                      <w:rFonts w:ascii="Arial" w:eastAsiaTheme="minorEastAsia" w:hAnsi="Arial" w:cs="Arial"/>
                      <w:color w:val="auto"/>
                      <w:sz w:val="16"/>
                      <w:szCs w:val="16"/>
                    </w:rPr>
                    <w:t>Jenin</w:t>
                  </w:r>
                </w:p>
              </w:tc>
              <w:tc>
                <w:tcPr>
                  <w:tcW w:w="1985" w:type="dxa"/>
                  <w:hideMark/>
                </w:tcPr>
                <w:p w14:paraId="13D8512B"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Aba</w:t>
                  </w:r>
                </w:p>
                <w:p w14:paraId="6CAEA833"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Almaneyieh</w:t>
                  </w:r>
                </w:p>
                <w:p w14:paraId="0377949B"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Arraneh</w:t>
                  </w:r>
                </w:p>
                <w:p w14:paraId="1D8CBD53"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Deir Abu Daef</w:t>
                  </w:r>
                </w:p>
                <w:p w14:paraId="3B47E9C7"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Deir Ghazaleh</w:t>
                  </w:r>
                </w:p>
                <w:p w14:paraId="50E03BDA"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Faqquaa</w:t>
                  </w:r>
                </w:p>
                <w:p w14:paraId="4564FBC0"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Jalameh</w:t>
                  </w:r>
                </w:p>
                <w:p w14:paraId="4E1AE19F"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Jdaideh</w:t>
                  </w:r>
                </w:p>
              </w:tc>
            </w:tr>
          </w:tbl>
          <w:p w14:paraId="3068E65D" w14:textId="77777777" w:rsidR="002C300A" w:rsidRPr="00A96337" w:rsidRDefault="002C300A" w:rsidP="002C300A">
            <w:pPr>
              <w:pStyle w:val="BodyText"/>
              <w:spacing w:after="360"/>
              <w:rPr>
                <w:lang w:val="en-AU"/>
              </w:rPr>
            </w:pPr>
          </w:p>
        </w:tc>
      </w:tr>
    </w:tbl>
    <w:p w14:paraId="352FA0D0" w14:textId="6CB8F176" w:rsidR="002F4F42" w:rsidRPr="00A96337" w:rsidRDefault="002F4F42" w:rsidP="00F05621">
      <w:pPr>
        <w:pStyle w:val="Heading3"/>
        <w:rPr>
          <w:lang w:val="en-AU"/>
        </w:rPr>
      </w:pPr>
      <w:bookmarkStart w:id="91" w:name="_Toc8978027"/>
      <w:bookmarkStart w:id="92" w:name="_Toc12364799"/>
      <w:r w:rsidRPr="00A96337">
        <w:rPr>
          <w:lang w:val="en-AU"/>
        </w:rPr>
        <w:t>Key Souqona activities:</w:t>
      </w:r>
      <w:bookmarkEnd w:id="91"/>
      <w:bookmarkEnd w:id="92"/>
    </w:p>
    <w:p w14:paraId="7F3923B6" w14:textId="77777777" w:rsidR="002F4F42" w:rsidRPr="00A96337" w:rsidRDefault="002F4F42" w:rsidP="00E42BC8">
      <w:pPr>
        <w:pStyle w:val="BodyText"/>
        <w:rPr>
          <w:lang w:val="en-AU"/>
        </w:rPr>
      </w:pPr>
      <w:r w:rsidRPr="00A96337">
        <w:rPr>
          <w:lang w:val="en-AU"/>
        </w:rPr>
        <w:t>The primary implementation activities being undertaken by Souqona are:</w:t>
      </w:r>
    </w:p>
    <w:p w14:paraId="4E1C0500" w14:textId="50D8F64A" w:rsidR="002F4F42" w:rsidRPr="00A96337" w:rsidRDefault="002F4F42" w:rsidP="00F8335C">
      <w:pPr>
        <w:pStyle w:val="ListParagraph"/>
        <w:numPr>
          <w:ilvl w:val="0"/>
          <w:numId w:val="31"/>
        </w:numPr>
        <w:ind w:left="397" w:hanging="397"/>
      </w:pPr>
      <w:r w:rsidRPr="00A96337">
        <w:rPr>
          <w:b/>
        </w:rPr>
        <w:t xml:space="preserve">Safer products: </w:t>
      </w:r>
      <w:r w:rsidR="00FF7BD1" w:rsidRPr="00A96337">
        <w:t>T</w:t>
      </w:r>
      <w:r w:rsidRPr="00A96337">
        <w:t>his activity focuses on safer pesticide application and reduced pesticide use.</w:t>
      </w:r>
      <w:r w:rsidR="00E42BC8" w:rsidRPr="00A96337">
        <w:t xml:space="preserve"> </w:t>
      </w:r>
      <w:r w:rsidRPr="00A96337">
        <w:t>The primary aim is to ensure that partner firms can certify all produce as adhering to the allowable minimum residue limits (MRL).</w:t>
      </w:r>
      <w:r w:rsidR="00E42BC8" w:rsidRPr="00A96337">
        <w:t xml:space="preserve"> </w:t>
      </w:r>
      <w:r w:rsidRPr="00A96337">
        <w:t>This is a response to significant concerns that bad practice, and the use of unregistered or uncontrolled pesticides, has not only led to levels of residue that have exceeded the MRLs, but has</w:t>
      </w:r>
      <w:r w:rsidRPr="00A96337" w:rsidDel="00D17AE5">
        <w:t xml:space="preserve"> </w:t>
      </w:r>
      <w:r w:rsidRPr="00A96337">
        <w:t>resulted in acute and chronic impacts on the health of the farmers themselves.</w:t>
      </w:r>
      <w:r w:rsidR="00E42BC8" w:rsidRPr="00A96337">
        <w:t xml:space="preserve"> </w:t>
      </w:r>
      <w:r w:rsidRPr="00A96337">
        <w:t xml:space="preserve">Certification should therefore not only improve access to domestic and international markets, and </w:t>
      </w:r>
      <w:bookmarkStart w:id="93" w:name="_Hlk8275880"/>
      <w:r w:rsidRPr="00A96337">
        <w:t xml:space="preserve">deliver </w:t>
      </w:r>
      <w:bookmarkEnd w:id="93"/>
      <w:r w:rsidRPr="00A96337">
        <w:t>a price/demand premium, but convey a significant health benefit.</w:t>
      </w:r>
    </w:p>
    <w:p w14:paraId="23F8A73F" w14:textId="0B06C8A9" w:rsidR="002F4F42" w:rsidRPr="00A96337" w:rsidRDefault="002F4F42" w:rsidP="00F8335C">
      <w:pPr>
        <w:pStyle w:val="ListParagraph"/>
        <w:numPr>
          <w:ilvl w:val="0"/>
          <w:numId w:val="31"/>
        </w:numPr>
        <w:ind w:left="397" w:hanging="397"/>
      </w:pPr>
      <w:r w:rsidRPr="00A96337">
        <w:rPr>
          <w:b/>
        </w:rPr>
        <w:t>Dairy model</w:t>
      </w:r>
      <w:r w:rsidRPr="00A96337">
        <w:t>:</w:t>
      </w:r>
      <w:r w:rsidR="00E42BC8" w:rsidRPr="00A96337">
        <w:t xml:space="preserve"> </w:t>
      </w:r>
      <w:r w:rsidRPr="00A96337">
        <w:t>Souqona works with women</w:t>
      </w:r>
      <w:r w:rsidR="00060A26" w:rsidRPr="00A96337">
        <w:t xml:space="preserve"> and men</w:t>
      </w:r>
      <w:r w:rsidRPr="00A96337">
        <w:t xml:space="preserve"> farmer cooperatives to buy, chill, and market fresh goat and sheep milk to larger buyers.</w:t>
      </w:r>
      <w:r w:rsidR="00E42BC8" w:rsidRPr="00A96337">
        <w:t xml:space="preserve"> </w:t>
      </w:r>
      <w:r w:rsidRPr="00A96337">
        <w:t>Currently, small holder farmers cannot store milk, and are therefore obligated to process and sell soft white cheeses on a daily basis, in consequence of which they are price takers with little transactional power.</w:t>
      </w:r>
      <w:r w:rsidR="00E42BC8" w:rsidRPr="00A96337">
        <w:t xml:space="preserve"> </w:t>
      </w:r>
      <w:r w:rsidRPr="00A96337">
        <w:t>Collecting bulk quantities of milk, and chilling and ensuring its quality, is therefore delivering a significant price premium.</w:t>
      </w:r>
    </w:p>
    <w:p w14:paraId="1534D1FD" w14:textId="77777777" w:rsidR="002F4F42" w:rsidRPr="00A96337" w:rsidRDefault="002F4F42" w:rsidP="00F8335C">
      <w:pPr>
        <w:pStyle w:val="ListParagraph"/>
        <w:numPr>
          <w:ilvl w:val="0"/>
          <w:numId w:val="31"/>
        </w:numPr>
        <w:ind w:left="397" w:hanging="397"/>
      </w:pPr>
      <w:r w:rsidRPr="00A96337">
        <w:rPr>
          <w:b/>
        </w:rPr>
        <w:t>Animal feed:</w:t>
      </w:r>
      <w:r w:rsidR="00E42BC8" w:rsidRPr="00A96337">
        <w:t xml:space="preserve"> </w:t>
      </w:r>
      <w:r w:rsidRPr="00A96337">
        <w:t>Small ruminant livestock in the Palestinian Territories are generally poorly fed, have low fecundity, and are prone to disease, low birth weights, and high mortality of both mothers and offspring.</w:t>
      </w:r>
      <w:r w:rsidR="00E42BC8" w:rsidRPr="00A96337">
        <w:t xml:space="preserve"> </w:t>
      </w:r>
      <w:r w:rsidRPr="00A96337">
        <w:t>By significantly improving nutrition through the use of comparatively cheap feed supplements, milk supplements, and silage, productivity and survival rates have been much improved.</w:t>
      </w:r>
    </w:p>
    <w:p w14:paraId="26688FEF" w14:textId="77777777" w:rsidR="002F4F42" w:rsidRPr="00A96337" w:rsidRDefault="002F4F42" w:rsidP="00F8335C">
      <w:pPr>
        <w:pStyle w:val="ListParagraph"/>
        <w:numPr>
          <w:ilvl w:val="0"/>
          <w:numId w:val="31"/>
        </w:numPr>
        <w:ind w:left="397" w:hanging="397"/>
      </w:pPr>
      <w:r w:rsidRPr="00A96337">
        <w:rPr>
          <w:b/>
        </w:rPr>
        <w:t>Small Infrastructure (Farm Roads and Irrigation)</w:t>
      </w:r>
      <w:r w:rsidRPr="00A96337">
        <w:t xml:space="preserve">: Souqona works to identify opportunities where local farm road construction and rehabilitation </w:t>
      </w:r>
      <w:bookmarkStart w:id="94" w:name="_Hlk8221535"/>
      <w:r w:rsidRPr="00A96337">
        <w:t>can improve the access of Palestinian farmers to their land, and thereby bolster their investment in their land</w:t>
      </w:r>
      <w:bookmarkEnd w:id="94"/>
      <w:r w:rsidRPr="00A96337">
        <w:t>.</w:t>
      </w:r>
      <w:r w:rsidR="00E42BC8" w:rsidRPr="00A96337">
        <w:t xml:space="preserve"> </w:t>
      </w:r>
      <w:bookmarkStart w:id="95" w:name="_Hlk8221570"/>
      <w:r w:rsidRPr="00A96337">
        <w:t>The project also works to improve access to reliable water through support to infrastructure such as wells, farm tanks and irrigation.</w:t>
      </w:r>
    </w:p>
    <w:bookmarkEnd w:id="95"/>
    <w:p w14:paraId="14668012" w14:textId="475F2FC4" w:rsidR="002F4F42" w:rsidRPr="00A96337" w:rsidRDefault="002F4F42" w:rsidP="00F8335C">
      <w:pPr>
        <w:pStyle w:val="ListParagraph"/>
        <w:numPr>
          <w:ilvl w:val="0"/>
          <w:numId w:val="31"/>
        </w:numPr>
        <w:spacing w:after="240"/>
        <w:ind w:left="397" w:hanging="397"/>
      </w:pPr>
      <w:r w:rsidRPr="00A96337">
        <w:rPr>
          <w:b/>
        </w:rPr>
        <w:t xml:space="preserve">Social Inclusion: </w:t>
      </w:r>
      <w:r w:rsidRPr="00A96337">
        <w:t>Souqona has worked to improve the economic inclusion of youth and women through support to entrepreneurship, ‘community initiatives’, training and demonstrations.</w:t>
      </w:r>
      <w:r w:rsidR="00E42BC8" w:rsidRPr="00A96337">
        <w:t xml:space="preserve"> </w:t>
      </w:r>
      <w:r w:rsidRPr="00A96337">
        <w:t>Young women leaders were chosen as ‘animators’ to promote the economic opportunities being supported by Souqona, and to act as advocates for women’s needs.</w:t>
      </w:r>
    </w:p>
    <w:p w14:paraId="5EDAF95E" w14:textId="7DB79C76" w:rsidR="00030569" w:rsidRPr="00030569" w:rsidRDefault="00030569" w:rsidP="00030569">
      <w:pPr>
        <w:keepNext/>
        <w:spacing w:before="60" w:after="240" w:line="259" w:lineRule="auto"/>
        <w:ind w:left="714"/>
        <w:rPr>
          <w:rFonts w:ascii="Arial" w:hAnsi="Arial" w:cs="Arial"/>
          <w:b/>
          <w:bCs/>
          <w:color w:val="808080" w:themeColor="background1" w:themeShade="80"/>
          <w:sz w:val="18"/>
          <w:szCs w:val="18"/>
        </w:rPr>
      </w:pPr>
      <w:r w:rsidRPr="00030569">
        <w:rPr>
          <w:rFonts w:ascii="Arial" w:hAnsi="Arial" w:cs="Arial"/>
          <w:b/>
          <w:bCs/>
          <w:color w:val="808080" w:themeColor="background1" w:themeShade="80"/>
          <w:sz w:val="18"/>
          <w:szCs w:val="18"/>
        </w:rPr>
        <w:t xml:space="preserve">Figure </w:t>
      </w:r>
      <w:r w:rsidRPr="00030569">
        <w:rPr>
          <w:rFonts w:ascii="Arial" w:hAnsi="Arial" w:cs="Arial"/>
          <w:b/>
          <w:bCs/>
          <w:color w:val="808080" w:themeColor="background1" w:themeShade="80"/>
          <w:sz w:val="18"/>
          <w:szCs w:val="18"/>
        </w:rPr>
        <w:fldChar w:fldCharType="begin"/>
      </w:r>
      <w:r w:rsidRPr="00030569">
        <w:rPr>
          <w:rFonts w:ascii="Arial" w:hAnsi="Arial" w:cs="Arial"/>
          <w:b/>
          <w:bCs/>
          <w:color w:val="808080" w:themeColor="background1" w:themeShade="80"/>
          <w:sz w:val="18"/>
          <w:szCs w:val="18"/>
        </w:rPr>
        <w:instrText xml:space="preserve"> SEQ Figure \* ARABIC </w:instrText>
      </w:r>
      <w:r w:rsidRPr="00030569">
        <w:rPr>
          <w:rFonts w:ascii="Arial" w:hAnsi="Arial" w:cs="Arial"/>
          <w:b/>
          <w:bCs/>
          <w:color w:val="808080" w:themeColor="background1" w:themeShade="80"/>
          <w:sz w:val="18"/>
          <w:szCs w:val="18"/>
        </w:rPr>
        <w:fldChar w:fldCharType="separate"/>
      </w:r>
      <w:r w:rsidR="00E06D4A">
        <w:rPr>
          <w:rFonts w:ascii="Arial" w:hAnsi="Arial" w:cs="Arial"/>
          <w:b/>
          <w:bCs/>
          <w:noProof/>
          <w:color w:val="808080" w:themeColor="background1" w:themeShade="80"/>
          <w:sz w:val="18"/>
          <w:szCs w:val="18"/>
        </w:rPr>
        <w:t>3</w:t>
      </w:r>
      <w:r w:rsidRPr="00030569">
        <w:rPr>
          <w:rFonts w:ascii="Arial" w:hAnsi="Arial" w:cs="Arial"/>
          <w:b/>
          <w:bCs/>
          <w:color w:val="808080" w:themeColor="background1" w:themeShade="80"/>
          <w:sz w:val="18"/>
          <w:szCs w:val="18"/>
        </w:rPr>
        <w:fldChar w:fldCharType="end"/>
      </w:r>
      <w:r>
        <w:rPr>
          <w:rFonts w:ascii="Arial" w:hAnsi="Arial" w:cs="Arial"/>
          <w:b/>
          <w:bCs/>
          <w:color w:val="808080" w:themeColor="background1" w:themeShade="80"/>
          <w:sz w:val="18"/>
          <w:szCs w:val="18"/>
        </w:rPr>
        <w:t>:</w:t>
      </w:r>
      <w:r w:rsidRPr="00030569">
        <w:rPr>
          <w:rFonts w:ascii="Arial" w:hAnsi="Arial" w:cs="Arial"/>
          <w:b/>
          <w:bCs/>
          <w:color w:val="808080" w:themeColor="background1" w:themeShade="80"/>
          <w:sz w:val="18"/>
          <w:szCs w:val="18"/>
        </w:rPr>
        <w:t xml:space="preserve"> </w:t>
      </w:r>
      <w:r w:rsidRPr="00A96337">
        <w:rPr>
          <w:rFonts w:ascii="Arial" w:hAnsi="Arial" w:cs="Arial"/>
          <w:b/>
          <w:bCs/>
          <w:color w:val="808080" w:themeColor="background1" w:themeShade="80"/>
          <w:sz w:val="18"/>
          <w:szCs w:val="18"/>
        </w:rPr>
        <w:t>Marketing Safer Vegetables</w:t>
      </w:r>
    </w:p>
    <w:p w14:paraId="3B4BE784" w14:textId="384B6F91" w:rsidR="000E1846" w:rsidRPr="00A96337" w:rsidRDefault="002F4F42" w:rsidP="00FF7BD1">
      <w:pPr>
        <w:ind w:left="714"/>
        <w:rPr>
          <w:rFonts w:eastAsiaTheme="minorEastAsia"/>
          <w:bCs/>
        </w:rPr>
      </w:pPr>
      <w:r w:rsidRPr="00A96337">
        <w:rPr>
          <w:rFonts w:eastAsiaTheme="minorEastAsia"/>
          <w:bCs/>
          <w:noProof/>
          <w:lang w:eastAsia="en-AU"/>
        </w:rPr>
        <w:drawing>
          <wp:inline distT="0" distB="0" distL="0" distR="0" wp14:anchorId="0FA669BD" wp14:editId="55283848">
            <wp:extent cx="4562475" cy="304770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fer veggies.JPG"/>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4603405" cy="3075041"/>
                    </a:xfrm>
                    <a:prstGeom prst="rect">
                      <a:avLst/>
                    </a:prstGeom>
                    <a:ln>
                      <a:noFill/>
                    </a:ln>
                    <a:extLst>
                      <a:ext uri="{53640926-AAD7-44D8-BBD7-CCE9431645EC}">
                        <a14:shadowObscured xmlns:a14="http://schemas.microsoft.com/office/drawing/2010/main"/>
                      </a:ext>
                    </a:extLst>
                  </pic:spPr>
                </pic:pic>
              </a:graphicData>
            </a:graphic>
          </wp:inline>
        </w:drawing>
      </w:r>
    </w:p>
    <w:p w14:paraId="69FD7689" w14:textId="77777777" w:rsidR="002F4F42" w:rsidRPr="00A96337" w:rsidRDefault="002F4F42" w:rsidP="00F8335C">
      <w:pPr>
        <w:pStyle w:val="Heading2"/>
        <w:ind w:left="851" w:hanging="851"/>
      </w:pPr>
      <w:bookmarkStart w:id="96" w:name="_Toc7238626"/>
      <w:bookmarkStart w:id="97" w:name="_Toc7238739"/>
      <w:bookmarkStart w:id="98" w:name="_Toc7959455"/>
      <w:bookmarkStart w:id="99" w:name="_Toc7959588"/>
      <w:bookmarkStart w:id="100" w:name="_Toc8130797"/>
      <w:bookmarkStart w:id="101" w:name="_Toc7238627"/>
      <w:bookmarkStart w:id="102" w:name="_Toc7238740"/>
      <w:bookmarkStart w:id="103" w:name="_Toc7959456"/>
      <w:bookmarkStart w:id="104" w:name="_Toc7959589"/>
      <w:bookmarkStart w:id="105" w:name="_Toc8130798"/>
      <w:bookmarkStart w:id="106" w:name="_Toc6202919"/>
      <w:bookmarkStart w:id="107" w:name="_Toc7007234"/>
      <w:bookmarkStart w:id="108" w:name="_Toc7238628"/>
      <w:bookmarkStart w:id="109" w:name="_Toc7238741"/>
      <w:bookmarkStart w:id="110" w:name="_Toc7959457"/>
      <w:bookmarkStart w:id="111" w:name="_Toc7959590"/>
      <w:bookmarkStart w:id="112" w:name="_Toc8130799"/>
      <w:bookmarkStart w:id="113" w:name="_Toc6202920"/>
      <w:bookmarkStart w:id="114" w:name="_Toc7007235"/>
      <w:bookmarkStart w:id="115" w:name="_Toc7238629"/>
      <w:bookmarkStart w:id="116" w:name="_Toc7238742"/>
      <w:bookmarkStart w:id="117" w:name="_Toc7959458"/>
      <w:bookmarkStart w:id="118" w:name="_Toc7959591"/>
      <w:bookmarkStart w:id="119" w:name="_Toc8130800"/>
      <w:bookmarkStart w:id="120" w:name="_Toc8978028"/>
      <w:bookmarkStart w:id="121" w:name="_Toc12364800"/>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A96337">
        <w:t>Oxfam Takamol</w:t>
      </w:r>
      <w:bookmarkEnd w:id="120"/>
      <w:bookmarkEnd w:id="121"/>
    </w:p>
    <w:p w14:paraId="3BB95FD4" w14:textId="3A6D82FC" w:rsidR="002F4F42" w:rsidRPr="00A96337" w:rsidRDefault="002F4F42" w:rsidP="00E42BC8">
      <w:pPr>
        <w:pStyle w:val="BodyText"/>
        <w:rPr>
          <w:spacing w:val="-2"/>
          <w:lang w:val="en-AU"/>
        </w:rPr>
      </w:pPr>
      <w:r w:rsidRPr="00A96337">
        <w:rPr>
          <w:spacing w:val="-2"/>
          <w:lang w:val="en-AU"/>
        </w:rPr>
        <w:t>Oxfam’s Takamol project is aimed at improving smallholder access to, and empowerment in, olive, high value fruit, and small ruminant value chains.</w:t>
      </w:r>
      <w:r w:rsidR="00E42BC8" w:rsidRPr="00A96337">
        <w:rPr>
          <w:spacing w:val="-2"/>
          <w:lang w:val="en-AU"/>
        </w:rPr>
        <w:t xml:space="preserve"> </w:t>
      </w:r>
      <w:r w:rsidRPr="00A96337">
        <w:rPr>
          <w:spacing w:val="-2"/>
          <w:lang w:val="en-AU"/>
        </w:rPr>
        <w:t xml:space="preserve">Takamol is the most extensive of the three </w:t>
      </w:r>
      <w:r w:rsidR="009B58A0" w:rsidRPr="00A96337">
        <w:rPr>
          <w:spacing w:val="-2"/>
          <w:lang w:val="en-AU"/>
        </w:rPr>
        <w:t>AMENCA 3</w:t>
      </w:r>
      <w:r w:rsidRPr="00A96337">
        <w:rPr>
          <w:spacing w:val="-2"/>
          <w:lang w:val="en-AU"/>
        </w:rPr>
        <w:t xml:space="preserve"> investments, and covers twelve Governates across both the West Bank and Gaza (</w:t>
      </w:r>
      <w:r w:rsidR="007A3F33">
        <w:rPr>
          <w:spacing w:val="-2"/>
          <w:lang w:val="en-AU"/>
        </w:rPr>
        <w:fldChar w:fldCharType="begin"/>
      </w:r>
      <w:r w:rsidR="007A3F33">
        <w:rPr>
          <w:spacing w:val="-2"/>
          <w:lang w:val="en-AU"/>
        </w:rPr>
        <w:instrText xml:space="preserve"> REF _Ref12255487 \h  \* MERGEFORMAT </w:instrText>
      </w:r>
      <w:r w:rsidR="007A3F33">
        <w:rPr>
          <w:spacing w:val="-2"/>
          <w:lang w:val="en-AU"/>
        </w:rPr>
      </w:r>
      <w:r w:rsidR="007A3F33">
        <w:rPr>
          <w:spacing w:val="-2"/>
          <w:lang w:val="en-AU"/>
        </w:rPr>
        <w:fldChar w:fldCharType="separate"/>
      </w:r>
      <w:r w:rsidR="00E06D4A" w:rsidRPr="00E06D4A">
        <w:rPr>
          <w:spacing w:val="-2"/>
          <w:lang w:val="en-AU"/>
        </w:rPr>
        <w:t>Figure 5</w:t>
      </w:r>
      <w:r w:rsidR="007A3F33">
        <w:rPr>
          <w:spacing w:val="-2"/>
          <w:lang w:val="en-AU"/>
        </w:rPr>
        <w:fldChar w:fldCharType="end"/>
      </w:r>
      <w:r w:rsidRPr="00A96337">
        <w:rPr>
          <w:spacing w:val="-2"/>
          <w:lang w:val="en-AU"/>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3697"/>
      </w:tblGrid>
      <w:tr w:rsidR="002C300A" w:rsidRPr="00A96337" w14:paraId="5E3AA0A7" w14:textId="77777777" w:rsidTr="00F248D7">
        <w:tc>
          <w:tcPr>
            <w:tcW w:w="5329" w:type="dxa"/>
          </w:tcPr>
          <w:p w14:paraId="15D6A78A" w14:textId="570AB1D3" w:rsidR="00F248D7" w:rsidRPr="00A96337" w:rsidRDefault="00F248D7" w:rsidP="00F248D7">
            <w:pPr>
              <w:pStyle w:val="Caption"/>
              <w:spacing w:after="200"/>
              <w:rPr>
                <w:color w:val="808080" w:themeColor="background1" w:themeShade="80"/>
                <w:sz w:val="18"/>
                <w:lang w:val="en-AU"/>
              </w:rPr>
            </w:pPr>
            <w:r w:rsidRPr="00F248D7">
              <w:rPr>
                <w:color w:val="808080" w:themeColor="background1" w:themeShade="80"/>
                <w:sz w:val="18"/>
                <w:lang w:val="en-AU"/>
              </w:rPr>
              <w:t xml:space="preserve">Figure </w:t>
            </w:r>
            <w:r w:rsidRPr="00F248D7">
              <w:rPr>
                <w:color w:val="808080" w:themeColor="background1" w:themeShade="80"/>
                <w:sz w:val="18"/>
                <w:lang w:val="en-AU"/>
              </w:rPr>
              <w:fldChar w:fldCharType="begin"/>
            </w:r>
            <w:r w:rsidRPr="00F248D7">
              <w:rPr>
                <w:color w:val="808080" w:themeColor="background1" w:themeShade="80"/>
                <w:sz w:val="18"/>
                <w:lang w:val="en-AU"/>
              </w:rPr>
              <w:instrText xml:space="preserve"> SEQ Figure \* ARABIC </w:instrText>
            </w:r>
            <w:r w:rsidRPr="00F248D7">
              <w:rPr>
                <w:color w:val="808080" w:themeColor="background1" w:themeShade="80"/>
                <w:sz w:val="18"/>
                <w:lang w:val="en-AU"/>
              </w:rPr>
              <w:fldChar w:fldCharType="separate"/>
            </w:r>
            <w:r w:rsidR="00E06D4A">
              <w:rPr>
                <w:noProof/>
                <w:color w:val="808080" w:themeColor="background1" w:themeShade="80"/>
                <w:sz w:val="18"/>
                <w:lang w:val="en-AU"/>
              </w:rPr>
              <w:t>4</w:t>
            </w:r>
            <w:r w:rsidRPr="00F248D7">
              <w:rPr>
                <w:color w:val="808080" w:themeColor="background1" w:themeShade="80"/>
                <w:sz w:val="18"/>
                <w:lang w:val="en-AU"/>
              </w:rPr>
              <w:fldChar w:fldCharType="end"/>
            </w:r>
            <w:r w:rsidRPr="00A96337">
              <w:rPr>
                <w:color w:val="808080" w:themeColor="background1" w:themeShade="80"/>
                <w:sz w:val="18"/>
                <w:lang w:val="en-AU"/>
              </w:rPr>
              <w:t>: Takamol locations in the West Bank and Gaza Strip</w:t>
            </w:r>
          </w:p>
          <w:p w14:paraId="4C798637" w14:textId="22A54417" w:rsidR="00F248D7" w:rsidRDefault="00F248D7" w:rsidP="00F248D7">
            <w:pPr>
              <w:pStyle w:val="Caption"/>
            </w:pPr>
          </w:p>
          <w:p w14:paraId="4D6914BD" w14:textId="352F31EC" w:rsidR="002C300A" w:rsidRPr="00A96337" w:rsidRDefault="002C300A" w:rsidP="002C300A">
            <w:r w:rsidRPr="00A96337">
              <w:rPr>
                <w:noProof/>
                <w:lang w:eastAsia="en-AU"/>
              </w:rPr>
              <w:drawing>
                <wp:inline distT="0" distB="0" distL="0" distR="0" wp14:anchorId="5343B111" wp14:editId="42E0B30F">
                  <wp:extent cx="3246755" cy="3579495"/>
                  <wp:effectExtent l="0" t="0" r="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6755" cy="3579495"/>
                          </a:xfrm>
                          <a:prstGeom prst="rect">
                            <a:avLst/>
                          </a:prstGeom>
                          <a:noFill/>
                        </pic:spPr>
                      </pic:pic>
                    </a:graphicData>
                  </a:graphic>
                </wp:inline>
              </w:drawing>
            </w:r>
          </w:p>
        </w:tc>
        <w:tc>
          <w:tcPr>
            <w:tcW w:w="3697" w:type="dxa"/>
          </w:tcPr>
          <w:tbl>
            <w:tblPr>
              <w:tblStyle w:val="GridTable6Colorful-Accent6"/>
              <w:tblpPr w:leftFromText="180" w:rightFromText="180" w:vertAnchor="text" w:horzAnchor="margin" w:tblpY="121"/>
              <w:tblW w:w="0" w:type="auto"/>
              <w:tblBorders>
                <w:top w:val="single" w:sz="4" w:space="0" w:color="69923A"/>
                <w:left w:val="none" w:sz="0" w:space="0" w:color="auto"/>
                <w:bottom w:val="single" w:sz="4" w:space="0" w:color="69923A"/>
                <w:right w:val="none" w:sz="0" w:space="0" w:color="auto"/>
                <w:insideH w:val="single" w:sz="4" w:space="0" w:color="69923A"/>
                <w:insideV w:val="none" w:sz="0" w:space="0" w:color="auto"/>
              </w:tblBorders>
              <w:tblLook w:val="0420" w:firstRow="1" w:lastRow="0" w:firstColumn="0" w:lastColumn="0" w:noHBand="0" w:noVBand="1"/>
            </w:tblPr>
            <w:tblGrid>
              <w:gridCol w:w="1669"/>
              <w:gridCol w:w="1802"/>
            </w:tblGrid>
            <w:tr w:rsidR="002C300A" w:rsidRPr="00A96337" w14:paraId="774FFCEA" w14:textId="77777777" w:rsidTr="002C300A">
              <w:trPr>
                <w:cnfStyle w:val="100000000000" w:firstRow="1" w:lastRow="0" w:firstColumn="0" w:lastColumn="0" w:oddVBand="0" w:evenVBand="0" w:oddHBand="0" w:evenHBand="0" w:firstRowFirstColumn="0" w:firstRowLastColumn="0" w:lastRowFirstColumn="0" w:lastRowLastColumn="0"/>
                <w:trHeight w:val="218"/>
              </w:trPr>
              <w:tc>
                <w:tcPr>
                  <w:tcW w:w="1669" w:type="dxa"/>
                  <w:tcBorders>
                    <w:bottom w:val="none" w:sz="0" w:space="0" w:color="auto"/>
                  </w:tcBorders>
                  <w:shd w:val="clear" w:color="auto" w:fill="69923A"/>
                  <w:hideMark/>
                </w:tcPr>
                <w:p w14:paraId="43EAA636" w14:textId="77777777" w:rsidR="002C300A" w:rsidRPr="00A96337" w:rsidRDefault="002C300A" w:rsidP="002C300A">
                  <w:pPr>
                    <w:spacing w:before="20" w:after="20"/>
                    <w:ind w:left="30"/>
                    <w:rPr>
                      <w:rFonts w:ascii="Arial" w:eastAsiaTheme="minorEastAsia" w:hAnsi="Arial" w:cs="Arial"/>
                      <w:color w:val="FFFFFF" w:themeColor="background1"/>
                      <w:sz w:val="16"/>
                      <w:szCs w:val="16"/>
                    </w:rPr>
                  </w:pPr>
                  <w:r w:rsidRPr="00A96337">
                    <w:rPr>
                      <w:rFonts w:ascii="Arial" w:eastAsiaTheme="minorEastAsia" w:hAnsi="Arial" w:cs="Arial"/>
                      <w:color w:val="FFFFFF" w:themeColor="background1"/>
                      <w:sz w:val="16"/>
                      <w:szCs w:val="16"/>
                    </w:rPr>
                    <w:t>Governate</w:t>
                  </w:r>
                </w:p>
              </w:tc>
              <w:tc>
                <w:tcPr>
                  <w:tcW w:w="1802" w:type="dxa"/>
                  <w:tcBorders>
                    <w:bottom w:val="none" w:sz="0" w:space="0" w:color="auto"/>
                  </w:tcBorders>
                  <w:shd w:val="clear" w:color="auto" w:fill="69923A"/>
                  <w:hideMark/>
                </w:tcPr>
                <w:p w14:paraId="1BF73F9C" w14:textId="77777777" w:rsidR="002C300A" w:rsidRPr="00A96337" w:rsidRDefault="002C300A" w:rsidP="002C300A">
                  <w:pPr>
                    <w:spacing w:before="20" w:after="20"/>
                    <w:rPr>
                      <w:rFonts w:ascii="Arial" w:eastAsiaTheme="minorEastAsia" w:hAnsi="Arial" w:cs="Arial"/>
                      <w:color w:val="FFFFFF" w:themeColor="background1"/>
                      <w:sz w:val="16"/>
                      <w:szCs w:val="16"/>
                    </w:rPr>
                  </w:pPr>
                  <w:r w:rsidRPr="00A96337">
                    <w:rPr>
                      <w:rFonts w:ascii="Arial" w:eastAsiaTheme="minorEastAsia" w:hAnsi="Arial" w:cs="Arial"/>
                      <w:color w:val="FFFFFF" w:themeColor="background1"/>
                      <w:sz w:val="16"/>
                      <w:szCs w:val="16"/>
                    </w:rPr>
                    <w:t>Location</w:t>
                  </w:r>
                </w:p>
              </w:tc>
            </w:tr>
            <w:tr w:rsidR="002C300A" w:rsidRPr="00A96337" w14:paraId="5B9C815D" w14:textId="77777777" w:rsidTr="002C300A">
              <w:trPr>
                <w:cnfStyle w:val="000000100000" w:firstRow="0" w:lastRow="0" w:firstColumn="0" w:lastColumn="0" w:oddVBand="0" w:evenVBand="0" w:oddHBand="1" w:evenHBand="0" w:firstRowFirstColumn="0" w:firstRowLastColumn="0" w:lastRowFirstColumn="0" w:lastRowLastColumn="0"/>
                <w:trHeight w:val="223"/>
              </w:trPr>
              <w:tc>
                <w:tcPr>
                  <w:tcW w:w="3471" w:type="dxa"/>
                  <w:gridSpan w:val="2"/>
                  <w:shd w:val="clear" w:color="auto" w:fill="F2F2F2" w:themeFill="background1" w:themeFillShade="F2"/>
                  <w:hideMark/>
                </w:tcPr>
                <w:p w14:paraId="52A69485"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b/>
                      <w:color w:val="auto"/>
                      <w:sz w:val="16"/>
                      <w:szCs w:val="16"/>
                    </w:rPr>
                    <w:t xml:space="preserve">West Bank </w:t>
                  </w:r>
                </w:p>
              </w:tc>
            </w:tr>
            <w:tr w:rsidR="002C300A" w:rsidRPr="00A96337" w14:paraId="437C571E" w14:textId="77777777" w:rsidTr="002C300A">
              <w:trPr>
                <w:trHeight w:val="223"/>
              </w:trPr>
              <w:tc>
                <w:tcPr>
                  <w:tcW w:w="1669" w:type="dxa"/>
                  <w:shd w:val="clear" w:color="auto" w:fill="auto"/>
                  <w:hideMark/>
                </w:tcPr>
                <w:p w14:paraId="1E1BBED4"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Hebron</w:t>
                  </w:r>
                </w:p>
              </w:tc>
              <w:tc>
                <w:tcPr>
                  <w:tcW w:w="1802" w:type="dxa"/>
                  <w:shd w:val="clear" w:color="auto" w:fill="auto"/>
                  <w:hideMark/>
                </w:tcPr>
                <w:p w14:paraId="29749007"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Halhul</w:t>
                  </w:r>
                </w:p>
                <w:p w14:paraId="77C61B2E"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Bet Omar</w:t>
                  </w:r>
                </w:p>
                <w:p w14:paraId="060DAE39"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Kharas</w:t>
                  </w:r>
                </w:p>
                <w:p w14:paraId="55E17395"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Surif</w:t>
                  </w:r>
                </w:p>
                <w:p w14:paraId="451C01C8"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Doura</w:t>
                  </w:r>
                </w:p>
                <w:p w14:paraId="5E7D29A6"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Hebron</w:t>
                  </w:r>
                </w:p>
                <w:p w14:paraId="02B3B6E6"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Yatta</w:t>
                  </w:r>
                </w:p>
              </w:tc>
            </w:tr>
            <w:tr w:rsidR="002C300A" w:rsidRPr="00A96337" w14:paraId="65940D58" w14:textId="77777777" w:rsidTr="002C300A">
              <w:trPr>
                <w:cnfStyle w:val="000000100000" w:firstRow="0" w:lastRow="0" w:firstColumn="0" w:lastColumn="0" w:oddVBand="0" w:evenVBand="0" w:oddHBand="1" w:evenHBand="0" w:firstRowFirstColumn="0" w:firstRowLastColumn="0" w:lastRowFirstColumn="0" w:lastRowLastColumn="0"/>
                <w:trHeight w:val="223"/>
              </w:trPr>
              <w:tc>
                <w:tcPr>
                  <w:tcW w:w="1669" w:type="dxa"/>
                  <w:shd w:val="clear" w:color="auto" w:fill="auto"/>
                  <w:hideMark/>
                </w:tcPr>
                <w:p w14:paraId="1426F145"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Bethlehem</w:t>
                  </w:r>
                </w:p>
              </w:tc>
              <w:tc>
                <w:tcPr>
                  <w:tcW w:w="1802" w:type="dxa"/>
                  <w:shd w:val="clear" w:color="auto" w:fill="auto"/>
                  <w:hideMark/>
                </w:tcPr>
                <w:p w14:paraId="3502A69B"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Tuqu’</w:t>
                  </w:r>
                </w:p>
                <w:p w14:paraId="41BE472C"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Nahalien</w:t>
                  </w:r>
                </w:p>
                <w:p w14:paraId="3BBD4C09"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Batteir</w:t>
                  </w:r>
                </w:p>
                <w:p w14:paraId="681AC212"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Husan</w:t>
                  </w:r>
                </w:p>
              </w:tc>
            </w:tr>
            <w:tr w:rsidR="002C300A" w:rsidRPr="00A96337" w14:paraId="77B94680" w14:textId="77777777" w:rsidTr="002C300A">
              <w:trPr>
                <w:trHeight w:val="218"/>
              </w:trPr>
              <w:tc>
                <w:tcPr>
                  <w:tcW w:w="1669" w:type="dxa"/>
                  <w:shd w:val="clear" w:color="auto" w:fill="auto"/>
                  <w:hideMark/>
                </w:tcPr>
                <w:p w14:paraId="7BD0DCE1"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Jordan Valley</w:t>
                  </w:r>
                </w:p>
              </w:tc>
              <w:tc>
                <w:tcPr>
                  <w:tcW w:w="1802" w:type="dxa"/>
                  <w:shd w:val="clear" w:color="auto" w:fill="auto"/>
                  <w:hideMark/>
                </w:tcPr>
                <w:p w14:paraId="16B6A3DE"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hAnsi="Arial" w:cs="Arial"/>
                      <w:iCs/>
                      <w:color w:val="auto"/>
                      <w:sz w:val="16"/>
                      <w:szCs w:val="16"/>
                    </w:rPr>
                    <w:t>Northern and middle parts</w:t>
                  </w:r>
                </w:p>
              </w:tc>
            </w:tr>
            <w:tr w:rsidR="002C300A" w:rsidRPr="00A96337" w14:paraId="1D6240D9" w14:textId="77777777" w:rsidTr="002C300A">
              <w:trPr>
                <w:cnfStyle w:val="000000100000" w:firstRow="0" w:lastRow="0" w:firstColumn="0" w:lastColumn="0" w:oddVBand="0" w:evenVBand="0" w:oddHBand="1" w:evenHBand="0" w:firstRowFirstColumn="0" w:firstRowLastColumn="0" w:lastRowFirstColumn="0" w:lastRowLastColumn="0"/>
                <w:trHeight w:val="218"/>
              </w:trPr>
              <w:tc>
                <w:tcPr>
                  <w:tcW w:w="1669" w:type="dxa"/>
                  <w:shd w:val="clear" w:color="auto" w:fill="auto"/>
                  <w:hideMark/>
                </w:tcPr>
                <w:p w14:paraId="19D287F3"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Tubas</w:t>
                  </w:r>
                </w:p>
              </w:tc>
              <w:tc>
                <w:tcPr>
                  <w:tcW w:w="1802" w:type="dxa"/>
                  <w:shd w:val="clear" w:color="auto" w:fill="auto"/>
                  <w:hideMark/>
                </w:tcPr>
                <w:p w14:paraId="3CB63B09"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Tubas</w:t>
                  </w:r>
                </w:p>
                <w:p w14:paraId="3603A63B"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Tammon</w:t>
                  </w:r>
                </w:p>
                <w:p w14:paraId="450CF6BB"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Ibziq</w:t>
                  </w:r>
                </w:p>
              </w:tc>
            </w:tr>
            <w:tr w:rsidR="002C300A" w:rsidRPr="00A96337" w14:paraId="5FE5E579" w14:textId="77777777" w:rsidTr="002C300A">
              <w:trPr>
                <w:trHeight w:val="218"/>
              </w:trPr>
              <w:tc>
                <w:tcPr>
                  <w:tcW w:w="1669" w:type="dxa"/>
                  <w:shd w:val="clear" w:color="auto" w:fill="auto"/>
                  <w:hideMark/>
                </w:tcPr>
                <w:p w14:paraId="5D5E814C"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Qalqilya</w:t>
                  </w:r>
                </w:p>
              </w:tc>
              <w:tc>
                <w:tcPr>
                  <w:tcW w:w="1802" w:type="dxa"/>
                  <w:shd w:val="clear" w:color="auto" w:fill="auto"/>
                  <w:hideMark/>
                </w:tcPr>
                <w:p w14:paraId="0D9330DB"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Azon Itma</w:t>
                  </w:r>
                </w:p>
                <w:p w14:paraId="62C5F8C7"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Kofor Soor</w:t>
                  </w:r>
                </w:p>
              </w:tc>
            </w:tr>
            <w:tr w:rsidR="002C300A" w:rsidRPr="00A96337" w14:paraId="2BFCADB8" w14:textId="77777777" w:rsidTr="002C300A">
              <w:trPr>
                <w:cnfStyle w:val="000000100000" w:firstRow="0" w:lastRow="0" w:firstColumn="0" w:lastColumn="0" w:oddVBand="0" w:evenVBand="0" w:oddHBand="1" w:evenHBand="0" w:firstRowFirstColumn="0" w:firstRowLastColumn="0" w:lastRowFirstColumn="0" w:lastRowLastColumn="0"/>
                <w:trHeight w:val="218"/>
              </w:trPr>
              <w:tc>
                <w:tcPr>
                  <w:tcW w:w="1669" w:type="dxa"/>
                  <w:shd w:val="clear" w:color="auto" w:fill="auto"/>
                  <w:hideMark/>
                </w:tcPr>
                <w:p w14:paraId="11A1447A"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Tulkarem</w:t>
                  </w:r>
                </w:p>
              </w:tc>
              <w:tc>
                <w:tcPr>
                  <w:tcW w:w="1802" w:type="dxa"/>
                  <w:shd w:val="clear" w:color="auto" w:fill="auto"/>
                  <w:hideMark/>
                </w:tcPr>
                <w:p w14:paraId="72CCB6E9"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Talkarem</w:t>
                  </w:r>
                </w:p>
                <w:p w14:paraId="32920A7F"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Dair Alqusoon</w:t>
                  </w:r>
                </w:p>
                <w:p w14:paraId="27A97BBC"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Shwaikeh</w:t>
                  </w:r>
                </w:p>
              </w:tc>
            </w:tr>
            <w:tr w:rsidR="002C300A" w:rsidRPr="00A96337" w14:paraId="1FDBA92E" w14:textId="77777777" w:rsidTr="002C300A">
              <w:trPr>
                <w:trHeight w:val="218"/>
              </w:trPr>
              <w:tc>
                <w:tcPr>
                  <w:tcW w:w="3471" w:type="dxa"/>
                  <w:gridSpan w:val="2"/>
                  <w:shd w:val="clear" w:color="auto" w:fill="auto"/>
                  <w:hideMark/>
                </w:tcPr>
                <w:p w14:paraId="17A13E31" w14:textId="77777777" w:rsidR="002C300A" w:rsidRPr="00A96337" w:rsidRDefault="002C300A" w:rsidP="002C300A">
                  <w:pPr>
                    <w:spacing w:before="20" w:after="20"/>
                    <w:ind w:left="30"/>
                    <w:rPr>
                      <w:rFonts w:ascii="Arial" w:eastAsiaTheme="minorEastAsia" w:hAnsi="Arial" w:cs="Arial"/>
                      <w:color w:val="auto"/>
                      <w:sz w:val="16"/>
                      <w:szCs w:val="16"/>
                    </w:rPr>
                  </w:pPr>
                  <w:r w:rsidRPr="00A96337">
                    <w:rPr>
                      <w:rFonts w:ascii="Arial" w:eastAsiaTheme="minorEastAsia" w:hAnsi="Arial" w:cs="Arial"/>
                      <w:b/>
                      <w:color w:val="auto"/>
                      <w:sz w:val="16"/>
                      <w:szCs w:val="16"/>
                    </w:rPr>
                    <w:t>Gaza</w:t>
                  </w:r>
                </w:p>
              </w:tc>
            </w:tr>
            <w:tr w:rsidR="002C300A" w:rsidRPr="00A96337" w14:paraId="2C937AAC" w14:textId="77777777" w:rsidTr="002C300A">
              <w:trPr>
                <w:cnfStyle w:val="000000100000" w:firstRow="0" w:lastRow="0" w:firstColumn="0" w:lastColumn="0" w:oddVBand="0" w:evenVBand="0" w:oddHBand="1" w:evenHBand="0" w:firstRowFirstColumn="0" w:firstRowLastColumn="0" w:lastRowFirstColumn="0" w:lastRowLastColumn="0"/>
                <w:trHeight w:val="218"/>
              </w:trPr>
              <w:tc>
                <w:tcPr>
                  <w:tcW w:w="1669" w:type="dxa"/>
                  <w:shd w:val="clear" w:color="auto" w:fill="auto"/>
                  <w:hideMark/>
                </w:tcPr>
                <w:p w14:paraId="48F61936" w14:textId="77777777" w:rsidR="002C300A" w:rsidRPr="00A96337" w:rsidRDefault="002C300A" w:rsidP="002C300A">
                  <w:pPr>
                    <w:spacing w:before="20" w:after="20"/>
                    <w:ind w:left="30"/>
                    <w:rPr>
                      <w:rFonts w:ascii="Arial" w:eastAsiaTheme="minorEastAsia" w:hAnsi="Arial" w:cs="Arial"/>
                      <w:color w:val="auto"/>
                      <w:sz w:val="16"/>
                      <w:szCs w:val="16"/>
                    </w:rPr>
                  </w:pPr>
                  <w:r w:rsidRPr="00A96337">
                    <w:rPr>
                      <w:rFonts w:ascii="Arial" w:eastAsiaTheme="minorEastAsia" w:hAnsi="Arial" w:cs="Arial"/>
                      <w:color w:val="auto"/>
                      <w:sz w:val="16"/>
                      <w:szCs w:val="16"/>
                    </w:rPr>
                    <w:t>North Gaza</w:t>
                  </w:r>
                </w:p>
              </w:tc>
              <w:tc>
                <w:tcPr>
                  <w:tcW w:w="1802" w:type="dxa"/>
                  <w:shd w:val="clear" w:color="auto" w:fill="auto"/>
                  <w:hideMark/>
                </w:tcPr>
                <w:p w14:paraId="2431FBBE"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 xml:space="preserve">Beit Lahia </w:t>
                  </w:r>
                </w:p>
              </w:tc>
            </w:tr>
            <w:tr w:rsidR="002C300A" w:rsidRPr="00A96337" w14:paraId="43D07BB3" w14:textId="77777777" w:rsidTr="002C300A">
              <w:trPr>
                <w:trHeight w:val="218"/>
              </w:trPr>
              <w:tc>
                <w:tcPr>
                  <w:tcW w:w="1669" w:type="dxa"/>
                  <w:shd w:val="clear" w:color="auto" w:fill="auto"/>
                  <w:hideMark/>
                </w:tcPr>
                <w:p w14:paraId="30D5D960" w14:textId="77777777" w:rsidR="002C300A" w:rsidRPr="00A96337" w:rsidRDefault="002C300A" w:rsidP="002C300A">
                  <w:pPr>
                    <w:spacing w:before="20" w:after="20"/>
                    <w:ind w:left="30"/>
                    <w:rPr>
                      <w:rFonts w:ascii="Arial" w:eastAsiaTheme="minorEastAsia" w:hAnsi="Arial" w:cs="Arial"/>
                      <w:color w:val="auto"/>
                      <w:sz w:val="16"/>
                      <w:szCs w:val="16"/>
                    </w:rPr>
                  </w:pPr>
                  <w:r w:rsidRPr="00A96337">
                    <w:rPr>
                      <w:rFonts w:ascii="Arial" w:eastAsiaTheme="minorEastAsia" w:hAnsi="Arial" w:cs="Arial"/>
                      <w:color w:val="auto"/>
                      <w:sz w:val="16"/>
                      <w:szCs w:val="16"/>
                    </w:rPr>
                    <w:t>Gaza</w:t>
                  </w:r>
                </w:p>
              </w:tc>
              <w:tc>
                <w:tcPr>
                  <w:tcW w:w="1802" w:type="dxa"/>
                  <w:shd w:val="clear" w:color="auto" w:fill="auto"/>
                  <w:hideMark/>
                </w:tcPr>
                <w:p w14:paraId="1700F6E4"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El Sheikh Ejleen</w:t>
                  </w:r>
                </w:p>
                <w:p w14:paraId="1B0C5974"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Gaza</w:t>
                  </w:r>
                </w:p>
              </w:tc>
            </w:tr>
            <w:tr w:rsidR="002C300A" w:rsidRPr="00A96337" w14:paraId="3260BBD2" w14:textId="77777777" w:rsidTr="002C300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669" w:type="dxa"/>
                  <w:shd w:val="clear" w:color="auto" w:fill="auto"/>
                  <w:hideMark/>
                </w:tcPr>
                <w:p w14:paraId="30266396" w14:textId="77777777" w:rsidR="002C300A" w:rsidRPr="00A96337" w:rsidRDefault="002C300A" w:rsidP="002C300A">
                  <w:pPr>
                    <w:spacing w:before="20" w:after="20"/>
                    <w:ind w:left="30"/>
                    <w:rPr>
                      <w:rFonts w:ascii="Arial" w:hAnsi="Arial" w:cs="Arial"/>
                      <w:b w:val="0"/>
                      <w:iCs/>
                      <w:color w:val="auto"/>
                      <w:sz w:val="16"/>
                      <w:szCs w:val="16"/>
                    </w:rPr>
                  </w:pPr>
                  <w:r w:rsidRPr="00A96337">
                    <w:rPr>
                      <w:rFonts w:ascii="Arial" w:hAnsi="Arial" w:cs="Arial"/>
                      <w:b w:val="0"/>
                      <w:iCs/>
                      <w:color w:val="auto"/>
                      <w:sz w:val="16"/>
                      <w:szCs w:val="16"/>
                    </w:rPr>
                    <w:t>Deir El Balah</w:t>
                  </w:r>
                </w:p>
              </w:tc>
              <w:tc>
                <w:tcPr>
                  <w:tcW w:w="1802" w:type="dxa"/>
                  <w:shd w:val="clear" w:color="auto" w:fill="auto"/>
                  <w:hideMark/>
                </w:tcPr>
                <w:p w14:paraId="4BC73800" w14:textId="77777777" w:rsidR="002C300A" w:rsidRPr="00A96337" w:rsidRDefault="002C300A" w:rsidP="002C300A">
                  <w:pPr>
                    <w:spacing w:before="20" w:after="2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6"/>
                      <w:szCs w:val="16"/>
                    </w:rPr>
                  </w:pPr>
                  <w:r w:rsidRPr="00A96337">
                    <w:rPr>
                      <w:rFonts w:ascii="Arial" w:eastAsiaTheme="minorEastAsia" w:hAnsi="Arial" w:cs="Arial"/>
                      <w:color w:val="auto"/>
                      <w:sz w:val="16"/>
                      <w:szCs w:val="16"/>
                    </w:rPr>
                    <w:t>Deir El Balah</w:t>
                  </w:r>
                </w:p>
                <w:p w14:paraId="34BC2EEB" w14:textId="77777777" w:rsidR="002C300A" w:rsidRPr="00A96337" w:rsidRDefault="002C300A" w:rsidP="002C300A">
                  <w:pPr>
                    <w:spacing w:before="20" w:after="2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6"/>
                      <w:szCs w:val="16"/>
                    </w:rPr>
                  </w:pPr>
                  <w:r w:rsidRPr="00A96337">
                    <w:rPr>
                      <w:rFonts w:ascii="Arial" w:eastAsiaTheme="minorEastAsia" w:hAnsi="Arial" w:cs="Arial"/>
                      <w:color w:val="auto"/>
                      <w:sz w:val="16"/>
                      <w:szCs w:val="16"/>
                    </w:rPr>
                    <w:t>Alsawayda</w:t>
                  </w:r>
                </w:p>
              </w:tc>
            </w:tr>
            <w:tr w:rsidR="002C300A" w:rsidRPr="00A96337" w14:paraId="31E5B0D6" w14:textId="77777777" w:rsidTr="002C300A">
              <w:trPr>
                <w:trHeight w:val="218"/>
              </w:trPr>
              <w:tc>
                <w:tcPr>
                  <w:tcW w:w="1669" w:type="dxa"/>
                  <w:shd w:val="clear" w:color="auto" w:fill="auto"/>
                  <w:hideMark/>
                </w:tcPr>
                <w:p w14:paraId="441247F2" w14:textId="77777777" w:rsidR="002C300A" w:rsidRPr="00A96337" w:rsidRDefault="002C300A" w:rsidP="002C300A">
                  <w:pPr>
                    <w:spacing w:before="20" w:after="20"/>
                    <w:ind w:left="30"/>
                    <w:rPr>
                      <w:rFonts w:ascii="Arial" w:eastAsiaTheme="minorEastAsia" w:hAnsi="Arial" w:cs="Arial"/>
                      <w:color w:val="auto"/>
                      <w:sz w:val="16"/>
                      <w:szCs w:val="16"/>
                    </w:rPr>
                  </w:pPr>
                  <w:r w:rsidRPr="00A96337">
                    <w:rPr>
                      <w:rFonts w:ascii="Arial" w:eastAsiaTheme="minorEastAsia" w:hAnsi="Arial" w:cs="Arial"/>
                      <w:color w:val="auto"/>
                      <w:sz w:val="16"/>
                      <w:szCs w:val="16"/>
                    </w:rPr>
                    <w:t>Khan Younis</w:t>
                  </w:r>
                </w:p>
              </w:tc>
              <w:tc>
                <w:tcPr>
                  <w:tcW w:w="1802" w:type="dxa"/>
                  <w:shd w:val="clear" w:color="auto" w:fill="auto"/>
                  <w:hideMark/>
                </w:tcPr>
                <w:p w14:paraId="0C5EF4E5"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El Mawasi</w:t>
                  </w:r>
                </w:p>
              </w:tc>
            </w:tr>
            <w:tr w:rsidR="002C300A" w:rsidRPr="00A96337" w14:paraId="090B8287" w14:textId="77777777" w:rsidTr="002C300A">
              <w:trPr>
                <w:cnfStyle w:val="000000100000" w:firstRow="0" w:lastRow="0" w:firstColumn="0" w:lastColumn="0" w:oddVBand="0" w:evenVBand="0" w:oddHBand="1" w:evenHBand="0" w:firstRowFirstColumn="0" w:firstRowLastColumn="0" w:lastRowFirstColumn="0" w:lastRowLastColumn="0"/>
                <w:trHeight w:val="218"/>
              </w:trPr>
              <w:tc>
                <w:tcPr>
                  <w:tcW w:w="1669" w:type="dxa"/>
                  <w:shd w:val="clear" w:color="auto" w:fill="auto"/>
                  <w:hideMark/>
                </w:tcPr>
                <w:p w14:paraId="53BDCBB2" w14:textId="77777777" w:rsidR="002C300A" w:rsidRPr="00A96337" w:rsidRDefault="002C300A" w:rsidP="002C300A">
                  <w:pPr>
                    <w:spacing w:before="20" w:after="20"/>
                    <w:ind w:left="30"/>
                    <w:rPr>
                      <w:rFonts w:ascii="Arial" w:eastAsiaTheme="minorEastAsia" w:hAnsi="Arial" w:cs="Arial"/>
                      <w:color w:val="auto"/>
                      <w:sz w:val="16"/>
                      <w:szCs w:val="16"/>
                    </w:rPr>
                  </w:pPr>
                  <w:r w:rsidRPr="00A96337">
                    <w:rPr>
                      <w:rFonts w:ascii="Arial" w:eastAsiaTheme="minorEastAsia" w:hAnsi="Arial" w:cs="Arial"/>
                      <w:color w:val="auto"/>
                      <w:sz w:val="16"/>
                      <w:szCs w:val="16"/>
                    </w:rPr>
                    <w:t>Rafah</w:t>
                  </w:r>
                </w:p>
              </w:tc>
              <w:tc>
                <w:tcPr>
                  <w:tcW w:w="1802" w:type="dxa"/>
                  <w:shd w:val="clear" w:color="auto" w:fill="auto"/>
                  <w:hideMark/>
                </w:tcPr>
                <w:p w14:paraId="333C5038"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Oraiba</w:t>
                  </w:r>
                </w:p>
                <w:p w14:paraId="2BDE450B" w14:textId="77777777" w:rsidR="002C300A" w:rsidRPr="00A96337" w:rsidRDefault="002C300A" w:rsidP="002C300A">
                  <w:pPr>
                    <w:spacing w:before="20" w:after="20"/>
                    <w:rPr>
                      <w:rFonts w:ascii="Arial" w:eastAsiaTheme="minorEastAsia" w:hAnsi="Arial" w:cs="Arial"/>
                      <w:color w:val="auto"/>
                      <w:sz w:val="16"/>
                      <w:szCs w:val="16"/>
                    </w:rPr>
                  </w:pPr>
                  <w:r w:rsidRPr="00A96337">
                    <w:rPr>
                      <w:rFonts w:ascii="Arial" w:eastAsiaTheme="minorEastAsia" w:hAnsi="Arial" w:cs="Arial"/>
                      <w:color w:val="auto"/>
                      <w:sz w:val="16"/>
                      <w:szCs w:val="16"/>
                    </w:rPr>
                    <w:t xml:space="preserve">Al Shokah </w:t>
                  </w:r>
                </w:p>
              </w:tc>
            </w:tr>
          </w:tbl>
          <w:p w14:paraId="534D797D" w14:textId="77777777" w:rsidR="002C300A" w:rsidRPr="00A96337" w:rsidRDefault="002C300A" w:rsidP="002C300A"/>
        </w:tc>
      </w:tr>
    </w:tbl>
    <w:p w14:paraId="6CD91E6F" w14:textId="77777777" w:rsidR="002F4F42" w:rsidRPr="00A96337" w:rsidRDefault="002F4F42" w:rsidP="00F05621">
      <w:pPr>
        <w:pStyle w:val="Heading3"/>
        <w:rPr>
          <w:lang w:val="en-AU"/>
        </w:rPr>
      </w:pPr>
      <w:bookmarkStart w:id="122" w:name="_Toc8978029"/>
      <w:bookmarkStart w:id="123" w:name="_Toc12364801"/>
      <w:r w:rsidRPr="00A96337">
        <w:rPr>
          <w:lang w:val="en-AU"/>
        </w:rPr>
        <w:t>Key Takamol activities:</w:t>
      </w:r>
      <w:bookmarkEnd w:id="122"/>
      <w:bookmarkEnd w:id="123"/>
    </w:p>
    <w:p w14:paraId="60717AD0" w14:textId="3166328B" w:rsidR="002F4F42" w:rsidRPr="00A96337" w:rsidRDefault="002F4F42" w:rsidP="00E42BC8">
      <w:pPr>
        <w:pStyle w:val="BodyText"/>
        <w:rPr>
          <w:lang w:val="en-AU"/>
        </w:rPr>
      </w:pPr>
      <w:r w:rsidRPr="00A96337">
        <w:rPr>
          <w:lang w:val="en-AU"/>
        </w:rPr>
        <w:t xml:space="preserve">All of the Takamol activities being funded through </w:t>
      </w:r>
      <w:r w:rsidR="009B58A0" w:rsidRPr="00A96337">
        <w:rPr>
          <w:lang w:val="en-AU"/>
        </w:rPr>
        <w:t>AMENCA 3</w:t>
      </w:r>
      <w:r w:rsidRPr="00A96337">
        <w:rPr>
          <w:lang w:val="en-AU"/>
        </w:rPr>
        <w:t xml:space="preserve"> sit within </w:t>
      </w:r>
      <w:bookmarkStart w:id="124" w:name="_Hlk8221910"/>
      <w:r w:rsidRPr="00A96337">
        <w:rPr>
          <w:lang w:val="en-AU"/>
        </w:rPr>
        <w:t>Oxfam’s broader Economic Justice Programme</w:t>
      </w:r>
      <w:bookmarkEnd w:id="124"/>
      <w:r w:rsidRPr="00A96337">
        <w:rPr>
          <w:rStyle w:val="FootnoteReference"/>
          <w:lang w:val="en-AU"/>
        </w:rPr>
        <w:footnoteReference w:id="6"/>
      </w:r>
      <w:r w:rsidRPr="00A96337">
        <w:rPr>
          <w:lang w:val="en-AU"/>
        </w:rPr>
        <w:t xml:space="preserve"> and include:</w:t>
      </w:r>
    </w:p>
    <w:p w14:paraId="7C816C61" w14:textId="77777777" w:rsidR="002F4F42" w:rsidRPr="00A96337" w:rsidRDefault="002F4F42" w:rsidP="00F8335C">
      <w:pPr>
        <w:pStyle w:val="ListParagraph"/>
        <w:numPr>
          <w:ilvl w:val="0"/>
          <w:numId w:val="32"/>
        </w:numPr>
        <w:ind w:left="397" w:hanging="397"/>
      </w:pPr>
      <w:r w:rsidRPr="00A96337">
        <w:rPr>
          <w:b/>
        </w:rPr>
        <w:t xml:space="preserve">High value fruits: </w:t>
      </w:r>
      <w:r w:rsidRPr="00A96337">
        <w:t>Takamol works in the grape and guava value chains to improve varieties, inputs, processing and marketing (e.g. the establishment of a packhouse with Shahed Grapes Company).</w:t>
      </w:r>
      <w:r w:rsidR="00E42BC8" w:rsidRPr="00A96337">
        <w:t xml:space="preserve"> </w:t>
      </w:r>
      <w:r w:rsidRPr="00A96337">
        <w:t>This work is primarily with key private sector and farmer cooperatives, and occurs in both Gaza and the West Bank.</w:t>
      </w:r>
      <w:r w:rsidR="00E42BC8" w:rsidRPr="00A96337">
        <w:t xml:space="preserve"> </w:t>
      </w:r>
      <w:r w:rsidRPr="00A96337">
        <w:t>Supplementary work is also occurring with avocado and mango, although at this stage this work has more of a focus on improved productivity and production, and less on marketing.</w:t>
      </w:r>
    </w:p>
    <w:p w14:paraId="0C27B7E2" w14:textId="77777777" w:rsidR="002F4F42" w:rsidRPr="00A96337" w:rsidRDefault="002F4F42" w:rsidP="00F8335C">
      <w:pPr>
        <w:pStyle w:val="ListParagraph"/>
        <w:numPr>
          <w:ilvl w:val="0"/>
          <w:numId w:val="32"/>
        </w:numPr>
        <w:ind w:left="397" w:hanging="397"/>
      </w:pPr>
      <w:r w:rsidRPr="00A96337">
        <w:rPr>
          <w:b/>
        </w:rPr>
        <w:t>Sheep and Goat Dairy:</w:t>
      </w:r>
      <w:r w:rsidR="00E42BC8" w:rsidRPr="00A96337">
        <w:rPr>
          <w:b/>
        </w:rPr>
        <w:t xml:space="preserve"> </w:t>
      </w:r>
      <w:r w:rsidRPr="00A96337">
        <w:t>Takamol works in the West Bank with livestock farmers to improve milk and cheese production (e.g. with Golden Sheep Enterprise Ltd), and promote private veterinary services (e.g. with Afaq Enterprise Veterinary Services Ltd).</w:t>
      </w:r>
    </w:p>
    <w:p w14:paraId="6AC60947" w14:textId="77777777" w:rsidR="002F4F42" w:rsidRPr="00A96337" w:rsidRDefault="002F4F42" w:rsidP="00F8335C">
      <w:pPr>
        <w:pStyle w:val="ListParagraph"/>
        <w:numPr>
          <w:ilvl w:val="0"/>
          <w:numId w:val="32"/>
        </w:numPr>
        <w:ind w:left="397" w:hanging="397"/>
      </w:pPr>
      <w:r w:rsidRPr="00A96337">
        <w:rPr>
          <w:b/>
        </w:rPr>
        <w:t>Olive:</w:t>
      </w:r>
      <w:r w:rsidR="00E42BC8" w:rsidRPr="00A96337">
        <w:rPr>
          <w:b/>
        </w:rPr>
        <w:t xml:space="preserve"> </w:t>
      </w:r>
      <w:r w:rsidRPr="00A96337">
        <w:t>Olive is a newer target for Takamol in both the West Bank and Gaza, the focus being on the promotion of good agricultural practices, mill efficiency, and marketing.</w:t>
      </w:r>
      <w:r w:rsidR="00E42BC8" w:rsidRPr="00A96337">
        <w:t xml:space="preserve"> </w:t>
      </w:r>
      <w:r w:rsidRPr="00A96337">
        <w:t>Partners include the likes of the Green Mount of Olives Company.</w:t>
      </w:r>
    </w:p>
    <w:p w14:paraId="4A5EE121" w14:textId="77777777" w:rsidR="002F4F42" w:rsidRPr="00A96337" w:rsidRDefault="002F4F42" w:rsidP="00F8335C">
      <w:pPr>
        <w:pStyle w:val="ListParagraph"/>
        <w:numPr>
          <w:ilvl w:val="0"/>
          <w:numId w:val="32"/>
        </w:numPr>
        <w:ind w:left="397" w:hanging="397"/>
      </w:pPr>
      <w:r w:rsidRPr="00A96337">
        <w:rPr>
          <w:b/>
        </w:rPr>
        <w:t xml:space="preserve">Small Infrastructure (Farm Roads and Irrigation): </w:t>
      </w:r>
      <w:r w:rsidRPr="00A96337">
        <w:t xml:space="preserve">Takamol works to identify opportunities where local farm road construction and rehabilitation can </w:t>
      </w:r>
      <w:bookmarkStart w:id="125" w:name="_Hlk8224072"/>
      <w:r w:rsidRPr="00A96337">
        <w:t>improve the access of Palestinian farmers to their land, and thereby bolster their investment in their land.</w:t>
      </w:r>
      <w:r w:rsidR="00E42BC8" w:rsidRPr="00A96337">
        <w:t xml:space="preserve"> </w:t>
      </w:r>
      <w:r w:rsidRPr="00A96337">
        <w:t>The project also works to improve access to reliable water through support to infrastructure such as wells, farm tanks and irrigation.</w:t>
      </w:r>
    </w:p>
    <w:bookmarkEnd w:id="125"/>
    <w:p w14:paraId="34EF7E0A" w14:textId="77777777" w:rsidR="002F4F42" w:rsidRPr="00A96337" w:rsidRDefault="002F4F42" w:rsidP="00F8335C">
      <w:pPr>
        <w:pStyle w:val="ListParagraph"/>
        <w:numPr>
          <w:ilvl w:val="0"/>
          <w:numId w:val="32"/>
        </w:numPr>
        <w:ind w:left="397" w:hanging="397"/>
      </w:pPr>
      <w:r w:rsidRPr="00A96337">
        <w:rPr>
          <w:b/>
        </w:rPr>
        <w:t>Women Food Processing Businesses and Cooperatives:</w:t>
      </w:r>
      <w:r w:rsidR="00E42BC8" w:rsidRPr="00A96337">
        <w:rPr>
          <w:b/>
        </w:rPr>
        <w:t xml:space="preserve"> </w:t>
      </w:r>
      <w:r w:rsidRPr="00A96337">
        <w:t>Takamol is working to develop women’s food enterprises in the West Bank and Gaza by focusing on product quantity, quality, diversity and markets.</w:t>
      </w:r>
      <w:r w:rsidR="00E42BC8" w:rsidRPr="00A96337">
        <w:t xml:space="preserve"> </w:t>
      </w:r>
      <w:r w:rsidRPr="00A96337">
        <w:t>One example is support to the Happy Homes Association.</w:t>
      </w:r>
    </w:p>
    <w:p w14:paraId="62C3114F" w14:textId="27FD7BC2" w:rsidR="002F4F42" w:rsidRPr="00A96337" w:rsidRDefault="002F4F42" w:rsidP="00F8335C">
      <w:pPr>
        <w:pStyle w:val="Heading2"/>
        <w:ind w:left="851" w:hanging="851"/>
      </w:pPr>
      <w:bookmarkStart w:id="126" w:name="_Toc8978030"/>
      <w:bookmarkStart w:id="127" w:name="_Toc12364802"/>
      <w:r w:rsidRPr="00A96337">
        <w:t>APHEDA Ghalleh</w:t>
      </w:r>
      <w:bookmarkEnd w:id="126"/>
      <w:bookmarkEnd w:id="127"/>
    </w:p>
    <w:p w14:paraId="707BEF12" w14:textId="29E8E209" w:rsidR="002F4F42" w:rsidRPr="00A96337" w:rsidRDefault="002F4F42" w:rsidP="00E42BC8">
      <w:pPr>
        <w:pStyle w:val="BodyText"/>
        <w:rPr>
          <w:lang w:val="en-AU"/>
        </w:rPr>
      </w:pPr>
      <w:r w:rsidRPr="00A96337">
        <w:rPr>
          <w:lang w:val="en-AU"/>
        </w:rPr>
        <w:t>APHEDA was implementing the activities associated with its Ghalleh project up until its suspension in June 2018.</w:t>
      </w:r>
      <w:r w:rsidR="00E42BC8" w:rsidRPr="00A96337">
        <w:rPr>
          <w:lang w:val="en-AU"/>
        </w:rPr>
        <w:t xml:space="preserve"> </w:t>
      </w:r>
      <w:r w:rsidRPr="00A96337">
        <w:rPr>
          <w:lang w:val="en-AU"/>
        </w:rPr>
        <w:t>Ghalleh aimed to enhance the long-term profitability of small-scale farmers and producers in five Governates across both the West Bank and Gaza (</w:t>
      </w:r>
      <w:r w:rsidR="007955DF" w:rsidRPr="00A96337">
        <w:rPr>
          <w:lang w:val="en-AU"/>
        </w:rPr>
        <w:t>Figure 5</w:t>
      </w:r>
      <w:r w:rsidRPr="00A96337">
        <w:rPr>
          <w:lang w:val="en-AU"/>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7"/>
        <w:gridCol w:w="3349"/>
      </w:tblGrid>
      <w:tr w:rsidR="002C300A" w:rsidRPr="00A96337" w14:paraId="39C58573" w14:textId="77777777" w:rsidTr="00030569">
        <w:tc>
          <w:tcPr>
            <w:tcW w:w="5677" w:type="dxa"/>
          </w:tcPr>
          <w:p w14:paraId="6402C3C3" w14:textId="183F6FDE" w:rsidR="00030569" w:rsidRPr="00030569" w:rsidRDefault="00030569" w:rsidP="00030569">
            <w:pPr>
              <w:pStyle w:val="Caption"/>
              <w:spacing w:after="200"/>
              <w:rPr>
                <w:color w:val="808080" w:themeColor="background1" w:themeShade="80"/>
                <w:sz w:val="18"/>
                <w:lang w:val="en-AU"/>
              </w:rPr>
            </w:pPr>
            <w:bookmarkStart w:id="128" w:name="_Ref12255487"/>
            <w:r w:rsidRPr="00030569">
              <w:rPr>
                <w:color w:val="808080" w:themeColor="background1" w:themeShade="80"/>
                <w:sz w:val="18"/>
                <w:lang w:val="en-AU"/>
              </w:rPr>
              <w:t xml:space="preserve">Figure </w:t>
            </w:r>
            <w:r w:rsidRPr="00030569">
              <w:rPr>
                <w:color w:val="808080" w:themeColor="background1" w:themeShade="80"/>
                <w:sz w:val="18"/>
                <w:lang w:val="en-AU"/>
              </w:rPr>
              <w:fldChar w:fldCharType="begin"/>
            </w:r>
            <w:r w:rsidRPr="00030569">
              <w:rPr>
                <w:color w:val="808080" w:themeColor="background1" w:themeShade="80"/>
                <w:sz w:val="18"/>
                <w:lang w:val="en-AU"/>
              </w:rPr>
              <w:instrText xml:space="preserve"> SEQ Figure \* ARABIC </w:instrText>
            </w:r>
            <w:r w:rsidRPr="00030569">
              <w:rPr>
                <w:color w:val="808080" w:themeColor="background1" w:themeShade="80"/>
                <w:sz w:val="18"/>
                <w:lang w:val="en-AU"/>
              </w:rPr>
              <w:fldChar w:fldCharType="separate"/>
            </w:r>
            <w:r w:rsidR="00E06D4A">
              <w:rPr>
                <w:noProof/>
                <w:color w:val="808080" w:themeColor="background1" w:themeShade="80"/>
                <w:sz w:val="18"/>
                <w:lang w:val="en-AU"/>
              </w:rPr>
              <w:t>5</w:t>
            </w:r>
            <w:r w:rsidRPr="00030569">
              <w:rPr>
                <w:color w:val="808080" w:themeColor="background1" w:themeShade="80"/>
                <w:sz w:val="18"/>
                <w:lang w:val="en-AU"/>
              </w:rPr>
              <w:fldChar w:fldCharType="end"/>
            </w:r>
            <w:bookmarkEnd w:id="128"/>
            <w:r>
              <w:rPr>
                <w:color w:val="808080" w:themeColor="background1" w:themeShade="80"/>
                <w:sz w:val="18"/>
                <w:lang w:val="en-AU"/>
              </w:rPr>
              <w:t>:</w:t>
            </w:r>
            <w:r w:rsidRPr="00A96337">
              <w:rPr>
                <w:color w:val="808080" w:themeColor="background1" w:themeShade="80"/>
                <w:sz w:val="18"/>
                <w:lang w:val="en-AU"/>
              </w:rPr>
              <w:t xml:space="preserve"> Ghalleh interventions in the West Bank</w:t>
            </w:r>
          </w:p>
          <w:p w14:paraId="1BA61E34" w14:textId="1DB1C623" w:rsidR="002C300A" w:rsidRPr="00A96337" w:rsidRDefault="002C300A" w:rsidP="002C300A">
            <w:r w:rsidRPr="00A96337">
              <w:rPr>
                <w:noProof/>
                <w:lang w:eastAsia="en-AU"/>
              </w:rPr>
              <w:drawing>
                <wp:inline distT="0" distB="0" distL="0" distR="0" wp14:anchorId="1977D471" wp14:editId="573A49E0">
                  <wp:extent cx="3467819" cy="3736758"/>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8128" cy="3747866"/>
                          </a:xfrm>
                          <a:prstGeom prst="rect">
                            <a:avLst/>
                          </a:prstGeom>
                          <a:noFill/>
                        </pic:spPr>
                      </pic:pic>
                    </a:graphicData>
                  </a:graphic>
                </wp:inline>
              </w:drawing>
            </w:r>
          </w:p>
        </w:tc>
        <w:tc>
          <w:tcPr>
            <w:tcW w:w="3349" w:type="dxa"/>
          </w:tcPr>
          <w:tbl>
            <w:tblPr>
              <w:tblStyle w:val="GridTable6Colorful-Accent5"/>
              <w:tblpPr w:leftFromText="180" w:rightFromText="180" w:vertAnchor="text" w:horzAnchor="margin" w:tblpY="1458"/>
              <w:tblOverlap w:val="never"/>
              <w:tblW w:w="0" w:type="auto"/>
              <w:tblBorders>
                <w:top w:val="single" w:sz="4" w:space="0" w:color="5482AB"/>
                <w:left w:val="none" w:sz="0" w:space="0" w:color="auto"/>
                <w:bottom w:val="single" w:sz="4" w:space="0" w:color="5482AB"/>
                <w:right w:val="none" w:sz="0" w:space="0" w:color="auto"/>
                <w:insideH w:val="single" w:sz="4" w:space="0" w:color="5482AB"/>
                <w:insideV w:val="none" w:sz="0" w:space="0" w:color="auto"/>
              </w:tblBorders>
              <w:tblLook w:val="0420" w:firstRow="1" w:lastRow="0" w:firstColumn="0" w:lastColumn="0" w:noHBand="0" w:noVBand="1"/>
            </w:tblPr>
            <w:tblGrid>
              <w:gridCol w:w="1497"/>
              <w:gridCol w:w="1626"/>
            </w:tblGrid>
            <w:tr w:rsidR="002C300A" w:rsidRPr="00A96337" w14:paraId="3F1C2B48" w14:textId="77777777" w:rsidTr="005123B8">
              <w:trPr>
                <w:cnfStyle w:val="100000000000" w:firstRow="1" w:lastRow="0" w:firstColumn="0" w:lastColumn="0" w:oddVBand="0" w:evenVBand="0" w:oddHBand="0" w:evenHBand="0" w:firstRowFirstColumn="0" w:firstRowLastColumn="0" w:lastRowFirstColumn="0" w:lastRowLastColumn="0"/>
                <w:trHeight w:val="218"/>
              </w:trPr>
              <w:tc>
                <w:tcPr>
                  <w:tcW w:w="1497" w:type="dxa"/>
                  <w:tcBorders>
                    <w:bottom w:val="none" w:sz="0" w:space="0" w:color="auto"/>
                  </w:tcBorders>
                  <w:shd w:val="clear" w:color="auto" w:fill="5482AB"/>
                  <w:hideMark/>
                </w:tcPr>
                <w:p w14:paraId="379C59DB" w14:textId="77777777" w:rsidR="002C300A" w:rsidRPr="00A96337" w:rsidRDefault="002C300A" w:rsidP="002C300A">
                  <w:pPr>
                    <w:spacing w:before="40" w:after="40"/>
                    <w:rPr>
                      <w:rFonts w:ascii="Arial" w:eastAsiaTheme="minorEastAsia" w:hAnsi="Arial" w:cs="Arial"/>
                      <w:color w:val="FFFFFF" w:themeColor="background1"/>
                      <w:sz w:val="16"/>
                      <w:szCs w:val="16"/>
                    </w:rPr>
                  </w:pPr>
                  <w:r w:rsidRPr="00A96337">
                    <w:rPr>
                      <w:rFonts w:ascii="Arial" w:eastAsiaTheme="minorEastAsia" w:hAnsi="Arial" w:cs="Arial"/>
                      <w:color w:val="FFFFFF" w:themeColor="background1"/>
                      <w:sz w:val="16"/>
                      <w:szCs w:val="16"/>
                    </w:rPr>
                    <w:t>Governate</w:t>
                  </w:r>
                </w:p>
              </w:tc>
              <w:tc>
                <w:tcPr>
                  <w:tcW w:w="1626" w:type="dxa"/>
                  <w:tcBorders>
                    <w:bottom w:val="none" w:sz="0" w:space="0" w:color="auto"/>
                  </w:tcBorders>
                  <w:shd w:val="clear" w:color="auto" w:fill="5482AB"/>
                  <w:hideMark/>
                </w:tcPr>
                <w:p w14:paraId="042FF6D0" w14:textId="77777777" w:rsidR="002C300A" w:rsidRPr="00A96337" w:rsidRDefault="002C300A" w:rsidP="002C300A">
                  <w:pPr>
                    <w:spacing w:before="40" w:after="40"/>
                    <w:ind w:left="37"/>
                    <w:rPr>
                      <w:rFonts w:ascii="Arial" w:eastAsiaTheme="minorEastAsia" w:hAnsi="Arial" w:cs="Arial"/>
                      <w:color w:val="FFFFFF" w:themeColor="background1"/>
                      <w:sz w:val="16"/>
                      <w:szCs w:val="16"/>
                    </w:rPr>
                  </w:pPr>
                  <w:r w:rsidRPr="00A96337">
                    <w:rPr>
                      <w:rFonts w:ascii="Arial" w:eastAsiaTheme="minorEastAsia" w:hAnsi="Arial" w:cs="Arial"/>
                      <w:color w:val="FFFFFF" w:themeColor="background1"/>
                      <w:sz w:val="16"/>
                      <w:szCs w:val="16"/>
                    </w:rPr>
                    <w:t>Location</w:t>
                  </w:r>
                </w:p>
              </w:tc>
            </w:tr>
            <w:tr w:rsidR="002C300A" w:rsidRPr="00A96337" w14:paraId="6156D3A3" w14:textId="77777777" w:rsidTr="005123B8">
              <w:trPr>
                <w:cnfStyle w:val="000000100000" w:firstRow="0" w:lastRow="0" w:firstColumn="0" w:lastColumn="0" w:oddVBand="0" w:evenVBand="0" w:oddHBand="1" w:evenHBand="0" w:firstRowFirstColumn="0" w:firstRowLastColumn="0" w:lastRowFirstColumn="0" w:lastRowLastColumn="0"/>
                <w:trHeight w:val="218"/>
              </w:trPr>
              <w:tc>
                <w:tcPr>
                  <w:tcW w:w="3123" w:type="dxa"/>
                  <w:gridSpan w:val="2"/>
                  <w:shd w:val="clear" w:color="auto" w:fill="F2F2F2" w:themeFill="background1" w:themeFillShade="F2"/>
                </w:tcPr>
                <w:p w14:paraId="36B538F5" w14:textId="77777777" w:rsidR="002C300A" w:rsidRPr="00A96337" w:rsidRDefault="002C300A" w:rsidP="002C300A">
                  <w:pPr>
                    <w:spacing w:before="40" w:after="40"/>
                    <w:ind w:left="37"/>
                    <w:rPr>
                      <w:rFonts w:ascii="Arial" w:eastAsiaTheme="minorEastAsia" w:hAnsi="Arial" w:cs="Arial"/>
                      <w:b/>
                      <w:color w:val="auto"/>
                      <w:sz w:val="16"/>
                      <w:szCs w:val="16"/>
                    </w:rPr>
                  </w:pPr>
                  <w:r w:rsidRPr="00A96337">
                    <w:rPr>
                      <w:rFonts w:ascii="Arial" w:eastAsiaTheme="minorEastAsia" w:hAnsi="Arial" w:cs="Arial"/>
                      <w:b/>
                      <w:color w:val="auto"/>
                      <w:sz w:val="16"/>
                      <w:szCs w:val="16"/>
                    </w:rPr>
                    <w:t>West Bank</w:t>
                  </w:r>
                </w:p>
              </w:tc>
            </w:tr>
            <w:tr w:rsidR="002C300A" w:rsidRPr="00A96337" w14:paraId="0773DE71" w14:textId="77777777" w:rsidTr="005123B8">
              <w:trPr>
                <w:trHeight w:val="218"/>
              </w:trPr>
              <w:tc>
                <w:tcPr>
                  <w:tcW w:w="1497" w:type="dxa"/>
                  <w:shd w:val="clear" w:color="auto" w:fill="auto"/>
                  <w:hideMark/>
                </w:tcPr>
                <w:p w14:paraId="5B01FCBD" w14:textId="77777777" w:rsidR="002C300A" w:rsidRPr="00A96337" w:rsidRDefault="002C300A" w:rsidP="002C300A">
                  <w:pPr>
                    <w:spacing w:before="40" w:after="40"/>
                    <w:ind w:left="30"/>
                    <w:rPr>
                      <w:rFonts w:ascii="Arial" w:eastAsiaTheme="minorEastAsia" w:hAnsi="Arial" w:cs="Arial"/>
                      <w:color w:val="auto"/>
                      <w:sz w:val="16"/>
                      <w:szCs w:val="16"/>
                    </w:rPr>
                  </w:pPr>
                  <w:r w:rsidRPr="00A96337">
                    <w:rPr>
                      <w:rFonts w:ascii="Arial" w:eastAsiaTheme="minorEastAsia" w:hAnsi="Arial" w:cs="Arial"/>
                      <w:color w:val="auto"/>
                      <w:sz w:val="16"/>
                      <w:szCs w:val="16"/>
                    </w:rPr>
                    <w:t>Tubas</w:t>
                  </w:r>
                </w:p>
              </w:tc>
              <w:tc>
                <w:tcPr>
                  <w:tcW w:w="1626" w:type="dxa"/>
                  <w:shd w:val="clear" w:color="auto" w:fill="auto"/>
                  <w:hideMark/>
                </w:tcPr>
                <w:p w14:paraId="7649C768"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Tammoun</w:t>
                  </w:r>
                </w:p>
              </w:tc>
            </w:tr>
            <w:tr w:rsidR="002C300A" w:rsidRPr="00A96337" w14:paraId="0A635D19" w14:textId="77777777" w:rsidTr="005123B8">
              <w:trPr>
                <w:cnfStyle w:val="000000100000" w:firstRow="0" w:lastRow="0" w:firstColumn="0" w:lastColumn="0" w:oddVBand="0" w:evenVBand="0" w:oddHBand="1" w:evenHBand="0" w:firstRowFirstColumn="0" w:firstRowLastColumn="0" w:lastRowFirstColumn="0" w:lastRowLastColumn="0"/>
                <w:trHeight w:val="218"/>
              </w:trPr>
              <w:tc>
                <w:tcPr>
                  <w:tcW w:w="1497" w:type="dxa"/>
                  <w:shd w:val="clear" w:color="auto" w:fill="auto"/>
                  <w:hideMark/>
                </w:tcPr>
                <w:p w14:paraId="032939B2" w14:textId="77777777" w:rsidR="002C300A" w:rsidRPr="00A96337" w:rsidRDefault="002C300A" w:rsidP="002C300A">
                  <w:pPr>
                    <w:spacing w:before="40" w:after="40"/>
                    <w:ind w:left="30"/>
                    <w:rPr>
                      <w:rFonts w:ascii="Arial" w:eastAsiaTheme="minorEastAsia" w:hAnsi="Arial" w:cs="Arial"/>
                      <w:color w:val="auto"/>
                      <w:sz w:val="16"/>
                      <w:szCs w:val="16"/>
                    </w:rPr>
                  </w:pPr>
                  <w:r w:rsidRPr="00A96337">
                    <w:rPr>
                      <w:rFonts w:ascii="Arial" w:eastAsiaTheme="minorEastAsia" w:hAnsi="Arial" w:cs="Arial"/>
                      <w:color w:val="auto"/>
                      <w:sz w:val="16"/>
                      <w:szCs w:val="16"/>
                    </w:rPr>
                    <w:t>Jenin</w:t>
                  </w:r>
                </w:p>
              </w:tc>
              <w:tc>
                <w:tcPr>
                  <w:tcW w:w="1626" w:type="dxa"/>
                  <w:shd w:val="clear" w:color="auto" w:fill="auto"/>
                  <w:hideMark/>
                </w:tcPr>
                <w:p w14:paraId="5F970E52"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Burqin</w:t>
                  </w:r>
                </w:p>
                <w:p w14:paraId="410D4385"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Kufr</w:t>
                  </w:r>
                </w:p>
                <w:p w14:paraId="34E42D18"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Qabatiyah</w:t>
                  </w:r>
                </w:p>
                <w:p w14:paraId="30A2BB26"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Marj Ben Amer</w:t>
                  </w:r>
                </w:p>
                <w:p w14:paraId="6DF27AF1"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Al Yamoun</w:t>
                  </w:r>
                </w:p>
              </w:tc>
            </w:tr>
            <w:tr w:rsidR="002C300A" w:rsidRPr="00A96337" w14:paraId="4AF08960" w14:textId="77777777" w:rsidTr="005123B8">
              <w:trPr>
                <w:trHeight w:val="218"/>
              </w:trPr>
              <w:tc>
                <w:tcPr>
                  <w:tcW w:w="3123" w:type="dxa"/>
                  <w:gridSpan w:val="2"/>
                  <w:shd w:val="clear" w:color="auto" w:fill="auto"/>
                </w:tcPr>
                <w:p w14:paraId="20F75124" w14:textId="77777777" w:rsidR="002C300A" w:rsidRPr="00A96337" w:rsidRDefault="002C300A" w:rsidP="002C300A">
                  <w:pPr>
                    <w:spacing w:before="40" w:after="40"/>
                    <w:ind w:left="37"/>
                    <w:rPr>
                      <w:rFonts w:ascii="Arial" w:eastAsiaTheme="minorEastAsia" w:hAnsi="Arial" w:cs="Arial"/>
                      <w:b/>
                      <w:color w:val="auto"/>
                      <w:sz w:val="16"/>
                      <w:szCs w:val="16"/>
                    </w:rPr>
                  </w:pPr>
                  <w:r w:rsidRPr="00A96337">
                    <w:rPr>
                      <w:rFonts w:ascii="Arial" w:eastAsiaTheme="minorEastAsia" w:hAnsi="Arial" w:cs="Arial"/>
                      <w:b/>
                      <w:color w:val="auto"/>
                      <w:sz w:val="16"/>
                      <w:szCs w:val="16"/>
                    </w:rPr>
                    <w:t>Gaza</w:t>
                  </w:r>
                </w:p>
              </w:tc>
            </w:tr>
            <w:tr w:rsidR="002C300A" w:rsidRPr="00A96337" w14:paraId="1974C1B8" w14:textId="77777777" w:rsidTr="005123B8">
              <w:trPr>
                <w:cnfStyle w:val="000000100000" w:firstRow="0" w:lastRow="0" w:firstColumn="0" w:lastColumn="0" w:oddVBand="0" w:evenVBand="0" w:oddHBand="1" w:evenHBand="0" w:firstRowFirstColumn="0" w:firstRowLastColumn="0" w:lastRowFirstColumn="0" w:lastRowLastColumn="0"/>
                <w:trHeight w:val="218"/>
              </w:trPr>
              <w:tc>
                <w:tcPr>
                  <w:tcW w:w="1497" w:type="dxa"/>
                  <w:shd w:val="clear" w:color="auto" w:fill="auto"/>
                </w:tcPr>
                <w:p w14:paraId="08D303AA" w14:textId="77777777" w:rsidR="002C300A" w:rsidRPr="00A96337" w:rsidRDefault="002C300A" w:rsidP="002C300A">
                  <w:pPr>
                    <w:spacing w:before="40" w:after="40"/>
                    <w:ind w:left="30"/>
                    <w:rPr>
                      <w:rFonts w:ascii="Arial" w:eastAsiaTheme="minorEastAsia" w:hAnsi="Arial" w:cs="Arial"/>
                      <w:color w:val="auto"/>
                      <w:sz w:val="16"/>
                      <w:szCs w:val="16"/>
                    </w:rPr>
                  </w:pPr>
                  <w:r w:rsidRPr="00A96337">
                    <w:rPr>
                      <w:rFonts w:ascii="Arial" w:eastAsiaTheme="minorEastAsia" w:hAnsi="Arial" w:cs="Arial"/>
                      <w:color w:val="auto"/>
                      <w:sz w:val="16"/>
                      <w:szCs w:val="16"/>
                    </w:rPr>
                    <w:t>Deir El Balah</w:t>
                  </w:r>
                </w:p>
              </w:tc>
              <w:tc>
                <w:tcPr>
                  <w:tcW w:w="1626" w:type="dxa"/>
                  <w:shd w:val="clear" w:color="auto" w:fill="auto"/>
                </w:tcPr>
                <w:p w14:paraId="224057CB"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All</w:t>
                  </w:r>
                </w:p>
              </w:tc>
            </w:tr>
            <w:tr w:rsidR="002C300A" w:rsidRPr="00A96337" w14:paraId="79BBBAFD" w14:textId="77777777" w:rsidTr="005123B8">
              <w:trPr>
                <w:trHeight w:val="218"/>
              </w:trPr>
              <w:tc>
                <w:tcPr>
                  <w:tcW w:w="1497" w:type="dxa"/>
                  <w:shd w:val="clear" w:color="auto" w:fill="auto"/>
                </w:tcPr>
                <w:p w14:paraId="2F386173" w14:textId="77777777" w:rsidR="002C300A" w:rsidRPr="00A96337" w:rsidRDefault="002C300A" w:rsidP="002C300A">
                  <w:pPr>
                    <w:spacing w:before="40" w:after="40"/>
                    <w:ind w:left="30"/>
                    <w:rPr>
                      <w:rFonts w:ascii="Arial" w:eastAsiaTheme="minorEastAsia" w:hAnsi="Arial" w:cs="Arial"/>
                      <w:color w:val="auto"/>
                      <w:sz w:val="16"/>
                      <w:szCs w:val="16"/>
                    </w:rPr>
                  </w:pPr>
                  <w:r w:rsidRPr="00A96337">
                    <w:rPr>
                      <w:rFonts w:ascii="Arial" w:eastAsiaTheme="minorEastAsia" w:hAnsi="Arial" w:cs="Arial"/>
                      <w:color w:val="auto"/>
                      <w:sz w:val="16"/>
                      <w:szCs w:val="16"/>
                    </w:rPr>
                    <w:t>Gaza</w:t>
                  </w:r>
                </w:p>
              </w:tc>
              <w:tc>
                <w:tcPr>
                  <w:tcW w:w="1626" w:type="dxa"/>
                  <w:shd w:val="clear" w:color="auto" w:fill="auto"/>
                </w:tcPr>
                <w:p w14:paraId="20FF35B2"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Al Zaitoun</w:t>
                  </w:r>
                </w:p>
              </w:tc>
            </w:tr>
            <w:tr w:rsidR="002C300A" w:rsidRPr="00A96337" w14:paraId="73E1016E" w14:textId="77777777" w:rsidTr="005123B8">
              <w:trPr>
                <w:cnfStyle w:val="000000100000" w:firstRow="0" w:lastRow="0" w:firstColumn="0" w:lastColumn="0" w:oddVBand="0" w:evenVBand="0" w:oddHBand="1" w:evenHBand="0" w:firstRowFirstColumn="0" w:firstRowLastColumn="0" w:lastRowFirstColumn="0" w:lastRowLastColumn="0"/>
                <w:trHeight w:val="218"/>
              </w:trPr>
              <w:tc>
                <w:tcPr>
                  <w:tcW w:w="1497" w:type="dxa"/>
                  <w:shd w:val="clear" w:color="auto" w:fill="auto"/>
                </w:tcPr>
                <w:p w14:paraId="32016722" w14:textId="77777777" w:rsidR="002C300A" w:rsidRPr="00A96337" w:rsidRDefault="002C300A" w:rsidP="002C300A">
                  <w:pPr>
                    <w:spacing w:before="40" w:after="40"/>
                    <w:ind w:left="30"/>
                    <w:rPr>
                      <w:rFonts w:ascii="Arial" w:eastAsiaTheme="minorEastAsia" w:hAnsi="Arial" w:cs="Arial"/>
                      <w:color w:val="auto"/>
                      <w:sz w:val="16"/>
                      <w:szCs w:val="16"/>
                    </w:rPr>
                  </w:pPr>
                  <w:r w:rsidRPr="00A96337">
                    <w:rPr>
                      <w:rFonts w:ascii="Arial" w:eastAsiaTheme="minorEastAsia" w:hAnsi="Arial" w:cs="Arial"/>
                      <w:color w:val="auto"/>
                      <w:sz w:val="16"/>
                      <w:szCs w:val="16"/>
                    </w:rPr>
                    <w:t>Khan Younis</w:t>
                  </w:r>
                </w:p>
              </w:tc>
              <w:tc>
                <w:tcPr>
                  <w:tcW w:w="1626" w:type="dxa"/>
                  <w:shd w:val="clear" w:color="auto" w:fill="auto"/>
                </w:tcPr>
                <w:p w14:paraId="7ADE5A7D"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 xml:space="preserve">Khuza’a </w:t>
                  </w:r>
                </w:p>
                <w:p w14:paraId="3F427721"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Al Mawasi</w:t>
                  </w:r>
                </w:p>
              </w:tc>
            </w:tr>
            <w:tr w:rsidR="002C300A" w:rsidRPr="00A96337" w14:paraId="0A332EE3" w14:textId="77777777" w:rsidTr="005123B8">
              <w:trPr>
                <w:trHeight w:val="218"/>
              </w:trPr>
              <w:tc>
                <w:tcPr>
                  <w:tcW w:w="1497" w:type="dxa"/>
                  <w:shd w:val="clear" w:color="auto" w:fill="auto"/>
                </w:tcPr>
                <w:p w14:paraId="1A00CE00" w14:textId="77777777" w:rsidR="002C300A" w:rsidRPr="00A96337" w:rsidRDefault="002C300A" w:rsidP="002C300A">
                  <w:pPr>
                    <w:spacing w:before="40" w:after="40"/>
                    <w:ind w:left="30"/>
                    <w:rPr>
                      <w:rFonts w:ascii="Arial" w:eastAsiaTheme="minorEastAsia" w:hAnsi="Arial" w:cs="Arial"/>
                      <w:color w:val="auto"/>
                      <w:sz w:val="16"/>
                      <w:szCs w:val="16"/>
                    </w:rPr>
                  </w:pPr>
                  <w:r w:rsidRPr="00A96337">
                    <w:rPr>
                      <w:rFonts w:ascii="Arial" w:eastAsiaTheme="minorEastAsia" w:hAnsi="Arial" w:cs="Arial"/>
                      <w:color w:val="auto"/>
                      <w:sz w:val="16"/>
                      <w:szCs w:val="16"/>
                    </w:rPr>
                    <w:t>Rafah</w:t>
                  </w:r>
                </w:p>
              </w:tc>
              <w:tc>
                <w:tcPr>
                  <w:tcW w:w="1626" w:type="dxa"/>
                  <w:shd w:val="clear" w:color="auto" w:fill="auto"/>
                </w:tcPr>
                <w:p w14:paraId="2BEBA55A" w14:textId="77777777" w:rsidR="002C300A" w:rsidRPr="00A96337" w:rsidRDefault="002C300A" w:rsidP="002C300A">
                  <w:pPr>
                    <w:spacing w:before="40" w:after="40"/>
                    <w:ind w:left="37"/>
                    <w:rPr>
                      <w:rFonts w:ascii="Arial" w:eastAsiaTheme="minorEastAsia" w:hAnsi="Arial" w:cs="Arial"/>
                      <w:color w:val="auto"/>
                      <w:sz w:val="16"/>
                      <w:szCs w:val="16"/>
                    </w:rPr>
                  </w:pPr>
                  <w:r w:rsidRPr="00A96337">
                    <w:rPr>
                      <w:rFonts w:ascii="Arial" w:eastAsiaTheme="minorEastAsia" w:hAnsi="Arial" w:cs="Arial"/>
                      <w:color w:val="auto"/>
                      <w:sz w:val="16"/>
                      <w:szCs w:val="16"/>
                    </w:rPr>
                    <w:t>Al Mawasi</w:t>
                  </w:r>
                </w:p>
              </w:tc>
            </w:tr>
          </w:tbl>
          <w:p w14:paraId="4EE17154" w14:textId="77777777" w:rsidR="002C300A" w:rsidRPr="00A96337" w:rsidRDefault="002C300A" w:rsidP="002C300A"/>
        </w:tc>
      </w:tr>
    </w:tbl>
    <w:p w14:paraId="12D42945" w14:textId="187BB96A" w:rsidR="002F4F42" w:rsidRPr="00A96337" w:rsidRDefault="002F4F42" w:rsidP="00F05621">
      <w:pPr>
        <w:pStyle w:val="Heading3"/>
        <w:rPr>
          <w:lang w:val="en-AU"/>
        </w:rPr>
      </w:pPr>
      <w:bookmarkStart w:id="129" w:name="_Toc7238633"/>
      <w:bookmarkStart w:id="130" w:name="_Toc7238746"/>
      <w:bookmarkStart w:id="131" w:name="_Toc7959462"/>
      <w:bookmarkStart w:id="132" w:name="_Toc7959595"/>
      <w:bookmarkStart w:id="133" w:name="_Toc8130804"/>
      <w:bookmarkStart w:id="134" w:name="_Toc6202924"/>
      <w:bookmarkStart w:id="135" w:name="_Toc7007240"/>
      <w:bookmarkStart w:id="136" w:name="_Toc7238634"/>
      <w:bookmarkStart w:id="137" w:name="_Toc7238747"/>
      <w:bookmarkStart w:id="138" w:name="_Toc7959463"/>
      <w:bookmarkStart w:id="139" w:name="_Toc7959596"/>
      <w:bookmarkStart w:id="140" w:name="_Toc8130805"/>
      <w:bookmarkStart w:id="141" w:name="_Toc6202925"/>
      <w:bookmarkStart w:id="142" w:name="_Toc7007241"/>
      <w:bookmarkStart w:id="143" w:name="_Toc7238635"/>
      <w:bookmarkStart w:id="144" w:name="_Toc7238748"/>
      <w:bookmarkStart w:id="145" w:name="_Toc7959464"/>
      <w:bookmarkStart w:id="146" w:name="_Toc7959597"/>
      <w:bookmarkStart w:id="147" w:name="_Toc8130806"/>
      <w:bookmarkStart w:id="148" w:name="_Toc8978031"/>
      <w:bookmarkStart w:id="149" w:name="_Toc1236480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A96337">
        <w:rPr>
          <w:lang w:val="en-AU"/>
        </w:rPr>
        <w:t xml:space="preserve">Key Ghalleh </w:t>
      </w:r>
      <w:r w:rsidR="00F05621" w:rsidRPr="00A96337">
        <w:rPr>
          <w:lang w:val="en-AU"/>
        </w:rPr>
        <w:t>a</w:t>
      </w:r>
      <w:r w:rsidRPr="00A96337">
        <w:rPr>
          <w:lang w:val="en-AU"/>
        </w:rPr>
        <w:t>ctivities</w:t>
      </w:r>
      <w:bookmarkEnd w:id="148"/>
      <w:bookmarkEnd w:id="149"/>
    </w:p>
    <w:p w14:paraId="703FE5B9" w14:textId="77777777" w:rsidR="002F4F42" w:rsidRPr="00A96337" w:rsidRDefault="002F4F42" w:rsidP="00E42BC8">
      <w:pPr>
        <w:pStyle w:val="BodyText"/>
        <w:rPr>
          <w:lang w:val="en-AU"/>
        </w:rPr>
      </w:pPr>
      <w:r w:rsidRPr="00A96337">
        <w:rPr>
          <w:lang w:val="en-AU"/>
        </w:rPr>
        <w:t>The primary implementation activities being undertaken by Ghalleh were:</w:t>
      </w:r>
    </w:p>
    <w:p w14:paraId="5E5CEA1C" w14:textId="221C2B0A" w:rsidR="002F4F42" w:rsidRPr="00A96337" w:rsidRDefault="002F4F42" w:rsidP="00F8335C">
      <w:pPr>
        <w:pStyle w:val="ListParagraph"/>
        <w:numPr>
          <w:ilvl w:val="0"/>
          <w:numId w:val="33"/>
        </w:numPr>
        <w:ind w:left="397" w:hanging="397"/>
      </w:pPr>
      <w:r w:rsidRPr="00A96337">
        <w:rPr>
          <w:b/>
        </w:rPr>
        <w:t>Vegetables</w:t>
      </w:r>
      <w:r w:rsidRPr="00A96337">
        <w:t>:</w:t>
      </w:r>
      <w:r w:rsidR="00E42BC8" w:rsidRPr="00A96337">
        <w:t xml:space="preserve"> </w:t>
      </w:r>
      <w:r w:rsidRPr="00A96337">
        <w:t xml:space="preserve">Ghalleh worked with private sector actors in both the West Bank (Jenin Investment Company) and the Gaza Strip (Zeitouna pickling factory and Al Basheer </w:t>
      </w:r>
      <w:r w:rsidR="00AE1954" w:rsidRPr="00A96337">
        <w:t>Export Company</w:t>
      </w:r>
      <w:r w:rsidRPr="00A96337">
        <w:t>) to increase the scale, quality and variety of the produce they were processing or selling in the vegetable value chains.</w:t>
      </w:r>
      <w:r w:rsidR="00E42BC8" w:rsidRPr="00A96337">
        <w:t xml:space="preserve"> </w:t>
      </w:r>
      <w:r w:rsidRPr="00A96337">
        <w:t>Emphasis was given to strategies that: reduced input costs related to water access; allowed for the collective purchase of inputs; improved farming practices in general; and improved access to export markets in Israel and the Gulf region.</w:t>
      </w:r>
      <w:r w:rsidR="00E42BC8" w:rsidRPr="00A96337">
        <w:t xml:space="preserve"> </w:t>
      </w:r>
      <w:r w:rsidRPr="00A96337">
        <w:t>Ghalleh also worked with the private sector to improve access to business loans for agricultural inputs and infrastructure (e.g. greenhouses).</w:t>
      </w:r>
    </w:p>
    <w:p w14:paraId="2D8E1069" w14:textId="77777777" w:rsidR="002F4F42" w:rsidRPr="00A96337" w:rsidRDefault="002F4F42" w:rsidP="00F8335C">
      <w:pPr>
        <w:pStyle w:val="ListParagraph"/>
        <w:numPr>
          <w:ilvl w:val="0"/>
          <w:numId w:val="33"/>
        </w:numPr>
        <w:ind w:left="397" w:hanging="397"/>
      </w:pPr>
      <w:r w:rsidRPr="00A96337">
        <w:rPr>
          <w:b/>
        </w:rPr>
        <w:t>Almonds</w:t>
      </w:r>
      <w:r w:rsidRPr="00A96337">
        <w:t>:</w:t>
      </w:r>
      <w:r w:rsidR="00E42BC8" w:rsidRPr="00A96337">
        <w:t xml:space="preserve"> </w:t>
      </w:r>
      <w:r w:rsidRPr="00A96337">
        <w:t>Ghalleh worked with the almond value chain to introduce new varieties, and to promote the uptake of treated wastewater for irrigation.</w:t>
      </w:r>
      <w:r w:rsidR="00E42BC8" w:rsidRPr="00A96337">
        <w:t xml:space="preserve"> </w:t>
      </w:r>
      <w:r w:rsidRPr="00A96337">
        <w:t>In partnership with the Ministry of Agriculture, the consortium developed an Arabic manual for almond farmers.</w:t>
      </w:r>
      <w:r w:rsidR="00E42BC8" w:rsidRPr="00A96337">
        <w:t xml:space="preserve"> </w:t>
      </w:r>
      <w:r w:rsidRPr="00A96337">
        <w:t>The aim is to increase production, and help to guarantee the domestic supply.</w:t>
      </w:r>
    </w:p>
    <w:p w14:paraId="3E1856A0" w14:textId="77777777" w:rsidR="002F4F42" w:rsidRPr="00A96337" w:rsidRDefault="002F4F42" w:rsidP="00F8335C">
      <w:pPr>
        <w:pStyle w:val="ListParagraph"/>
        <w:numPr>
          <w:ilvl w:val="0"/>
          <w:numId w:val="33"/>
        </w:numPr>
        <w:ind w:left="397" w:hanging="397"/>
      </w:pPr>
      <w:r w:rsidRPr="00A96337">
        <w:rPr>
          <w:b/>
        </w:rPr>
        <w:t>Dates</w:t>
      </w:r>
      <w:r w:rsidRPr="00A96337">
        <w:t>:</w:t>
      </w:r>
      <w:r w:rsidR="00E42BC8" w:rsidRPr="00A96337">
        <w:t xml:space="preserve"> </w:t>
      </w:r>
      <w:r w:rsidRPr="00A96337">
        <w:t>Ghalleh worked with the date palm value chain to promote more economic and efficient options for date peeling, pitting and drying.</w:t>
      </w:r>
      <w:r w:rsidR="00E42BC8" w:rsidRPr="00A96337">
        <w:t xml:space="preserve"> </w:t>
      </w:r>
      <w:r w:rsidRPr="00A96337">
        <w:t>It also worked to extend the date season by supporting processors to produce date paste (Al Sham company); reducing the impact of harvest gluts in Gaza; and working on pest control.</w:t>
      </w:r>
    </w:p>
    <w:p w14:paraId="46C000BB" w14:textId="77777777" w:rsidR="002F4F42" w:rsidRPr="00A96337" w:rsidRDefault="002F4F42" w:rsidP="00F8335C">
      <w:pPr>
        <w:pStyle w:val="ListParagraph"/>
        <w:numPr>
          <w:ilvl w:val="0"/>
          <w:numId w:val="32"/>
        </w:numPr>
        <w:ind w:left="397" w:hanging="397"/>
      </w:pPr>
      <w:bookmarkStart w:id="150" w:name="_Hlk8032654"/>
      <w:r w:rsidRPr="00A96337">
        <w:rPr>
          <w:b/>
        </w:rPr>
        <w:t>Small Infrastructure (Farm Roads and Irrigation)</w:t>
      </w:r>
      <w:r w:rsidRPr="00A96337">
        <w:t>: In line with Souqona and Takamol, Ghalleh was also working to identify opportunities where local farm road construction and rehabilitation could improve the access of Palestinian farmers to their land, and thereby bolster their investment.</w:t>
      </w:r>
      <w:r w:rsidR="00E42BC8" w:rsidRPr="00A96337">
        <w:t xml:space="preserve"> </w:t>
      </w:r>
      <w:r w:rsidRPr="00A96337">
        <w:t>Likewise, it was also working to improve access to reliable water through support to infrastructure such as wells, farm tanks and irrigation.</w:t>
      </w:r>
    </w:p>
    <w:p w14:paraId="4EE8E026" w14:textId="7E3A84F7" w:rsidR="002F4F42" w:rsidRPr="00A96337" w:rsidRDefault="009B58A0" w:rsidP="007F6FE5">
      <w:pPr>
        <w:pStyle w:val="Heading1"/>
      </w:pPr>
      <w:bookmarkStart w:id="151" w:name="_Toc8130808"/>
      <w:bookmarkStart w:id="152" w:name="_Toc8130809"/>
      <w:bookmarkStart w:id="153" w:name="_Toc8130810"/>
      <w:bookmarkStart w:id="154" w:name="_Toc8130811"/>
      <w:bookmarkStart w:id="155" w:name="_Toc8130812"/>
      <w:bookmarkStart w:id="156" w:name="_Toc8130819"/>
      <w:bookmarkStart w:id="157" w:name="_Toc8130825"/>
      <w:bookmarkStart w:id="158" w:name="_Toc8130831"/>
      <w:bookmarkStart w:id="159" w:name="_Toc8130837"/>
      <w:bookmarkStart w:id="160" w:name="_Toc8130843"/>
      <w:bookmarkStart w:id="161" w:name="_Toc8130849"/>
      <w:bookmarkStart w:id="162" w:name="_Toc8130855"/>
      <w:bookmarkStart w:id="163" w:name="_Toc8978032"/>
      <w:bookmarkStart w:id="164" w:name="_Toc12364804"/>
      <w:bookmarkEnd w:id="150"/>
      <w:bookmarkEnd w:id="151"/>
      <w:bookmarkEnd w:id="152"/>
      <w:bookmarkEnd w:id="153"/>
      <w:bookmarkEnd w:id="154"/>
      <w:bookmarkEnd w:id="155"/>
      <w:bookmarkEnd w:id="156"/>
      <w:bookmarkEnd w:id="157"/>
      <w:bookmarkEnd w:id="158"/>
      <w:bookmarkEnd w:id="159"/>
      <w:bookmarkEnd w:id="160"/>
      <w:bookmarkEnd w:id="161"/>
      <w:bookmarkEnd w:id="162"/>
      <w:r w:rsidRPr="00A96337">
        <w:t>AMENCA 3</w:t>
      </w:r>
      <w:r w:rsidR="002F4F42" w:rsidRPr="00A96337">
        <w:t xml:space="preserve"> </w:t>
      </w:r>
      <w:r w:rsidR="00F05621" w:rsidRPr="00A96337">
        <w:t>t</w:t>
      </w:r>
      <w:r w:rsidR="002F4F42" w:rsidRPr="00A96337">
        <w:t xml:space="preserve">echnical </w:t>
      </w:r>
      <w:r w:rsidR="00F05621" w:rsidRPr="00A96337">
        <w:t>a</w:t>
      </w:r>
      <w:r w:rsidR="002F4F42" w:rsidRPr="00A96337">
        <w:t xml:space="preserve">dvisory </w:t>
      </w:r>
      <w:r w:rsidR="00F05621" w:rsidRPr="00A96337">
        <w:t>s</w:t>
      </w:r>
      <w:r w:rsidR="002F4F42" w:rsidRPr="00A96337">
        <w:t>ervices</w:t>
      </w:r>
      <w:bookmarkEnd w:id="163"/>
      <w:bookmarkEnd w:id="164"/>
    </w:p>
    <w:p w14:paraId="56EBDFF4" w14:textId="5C8285E4" w:rsidR="002F4F42" w:rsidRPr="00A96337" w:rsidRDefault="002F4F42" w:rsidP="00E42BC8">
      <w:pPr>
        <w:pStyle w:val="BodyText"/>
        <w:rPr>
          <w:lang w:val="en-AU"/>
        </w:rPr>
      </w:pPr>
      <w:r w:rsidRPr="00A96337">
        <w:rPr>
          <w:lang w:val="en-AU"/>
        </w:rPr>
        <w:t>DFAT funds technical advisors (sourced through Cardno Emerging Markets) to provide expertise to the INGOs and their consortiums.</w:t>
      </w:r>
      <w:r w:rsidR="00E42BC8" w:rsidRPr="00A96337">
        <w:rPr>
          <w:lang w:val="en-AU"/>
        </w:rPr>
        <w:t xml:space="preserve"> </w:t>
      </w:r>
      <w:r w:rsidRPr="00A96337">
        <w:rPr>
          <w:lang w:val="en-AU"/>
        </w:rPr>
        <w:t xml:space="preserve">The suite of advisers and the areas of specialisation have changed and evolved during </w:t>
      </w:r>
      <w:r w:rsidR="009B58A0" w:rsidRPr="00A96337">
        <w:rPr>
          <w:lang w:val="en-AU"/>
        </w:rPr>
        <w:t>AMENCA 3</w:t>
      </w:r>
      <w:r w:rsidRPr="00A96337">
        <w:rPr>
          <w:lang w:val="en-AU"/>
        </w:rPr>
        <w:t>.</w:t>
      </w:r>
      <w:r w:rsidR="00E42BC8" w:rsidRPr="00A96337">
        <w:rPr>
          <w:lang w:val="en-AU"/>
        </w:rPr>
        <w:t xml:space="preserve"> </w:t>
      </w:r>
      <w:r w:rsidRPr="00A96337">
        <w:rPr>
          <w:lang w:val="en-AU"/>
        </w:rPr>
        <w:t>While 11 advisers have been engaged over the three years, they have largely filled four key roles:</w:t>
      </w:r>
    </w:p>
    <w:p w14:paraId="31FB7ECA" w14:textId="77777777" w:rsidR="002F4F42" w:rsidRPr="00A96337" w:rsidRDefault="002F4F42" w:rsidP="00927FBA">
      <w:pPr>
        <w:pStyle w:val="ListParagraph"/>
        <w:ind w:left="397" w:hanging="397"/>
      </w:pPr>
      <w:r w:rsidRPr="00A96337">
        <w:t>Program Coordination/Agriculture.</w:t>
      </w:r>
    </w:p>
    <w:p w14:paraId="183BDB7C" w14:textId="77777777" w:rsidR="002F4F42" w:rsidRPr="00A96337" w:rsidRDefault="002F4F42" w:rsidP="00927FBA">
      <w:pPr>
        <w:pStyle w:val="ListParagraph"/>
        <w:ind w:left="397" w:hanging="397"/>
      </w:pPr>
      <w:r w:rsidRPr="00A96337">
        <w:t>Monitoring &amp; Evaluation.</w:t>
      </w:r>
    </w:p>
    <w:p w14:paraId="4B5FDE31" w14:textId="77777777" w:rsidR="002F4F42" w:rsidRPr="00A96337" w:rsidRDefault="002F4F42" w:rsidP="00927FBA">
      <w:pPr>
        <w:pStyle w:val="ListParagraph"/>
        <w:ind w:left="397" w:hanging="397"/>
      </w:pPr>
      <w:r w:rsidRPr="00A96337">
        <w:t>Social Inclusion (women and youth).</w:t>
      </w:r>
    </w:p>
    <w:p w14:paraId="37DBD5D8" w14:textId="77777777" w:rsidR="002F4F42" w:rsidRPr="00A96337" w:rsidRDefault="002F4F42" w:rsidP="00927FBA">
      <w:pPr>
        <w:pStyle w:val="ListParagraph"/>
        <w:ind w:left="397" w:hanging="397"/>
      </w:pPr>
      <w:r w:rsidRPr="00A96337">
        <w:t>Private Sector/Market Systems Development.</w:t>
      </w:r>
    </w:p>
    <w:p w14:paraId="07A7835C" w14:textId="3BDEE7A6" w:rsidR="002F4F42" w:rsidRPr="00A96337" w:rsidRDefault="002F4F42" w:rsidP="00E42BC8">
      <w:pPr>
        <w:pStyle w:val="BodyText"/>
        <w:rPr>
          <w:lang w:val="en-AU"/>
        </w:rPr>
      </w:pPr>
      <w:r w:rsidRPr="00A96337">
        <w:rPr>
          <w:lang w:val="en-AU"/>
        </w:rPr>
        <w:t xml:space="preserve">The current four advisers filling these positions are shown in green </w:t>
      </w:r>
      <w:r w:rsidRPr="00A96337">
        <w:rPr>
          <w:szCs w:val="20"/>
          <w:lang w:val="en-AU"/>
        </w:rPr>
        <w:t>in the table below (</w:t>
      </w:r>
      <w:r w:rsidRPr="00A96337">
        <w:rPr>
          <w:szCs w:val="20"/>
          <w:lang w:val="en-AU"/>
        </w:rPr>
        <w:fldChar w:fldCharType="begin"/>
      </w:r>
      <w:r w:rsidRPr="00A96337">
        <w:rPr>
          <w:szCs w:val="20"/>
          <w:lang w:val="en-AU"/>
        </w:rPr>
        <w:instrText xml:space="preserve"> REF _Ref8464424 \h </w:instrText>
      </w:r>
      <w:r w:rsidR="003F6C47" w:rsidRPr="00A96337">
        <w:rPr>
          <w:szCs w:val="20"/>
          <w:lang w:val="en-AU"/>
        </w:rPr>
        <w:instrText xml:space="preserve"> \* MERGEFORMAT </w:instrText>
      </w:r>
      <w:r w:rsidRPr="00A96337">
        <w:rPr>
          <w:szCs w:val="20"/>
          <w:lang w:val="en-AU"/>
        </w:rPr>
      </w:r>
      <w:r w:rsidRPr="00A96337">
        <w:rPr>
          <w:szCs w:val="20"/>
          <w:lang w:val="en-AU"/>
        </w:rPr>
        <w:fldChar w:fldCharType="separate"/>
      </w:r>
      <w:r w:rsidR="00E06D4A" w:rsidRPr="00E06D4A">
        <w:rPr>
          <w:szCs w:val="20"/>
          <w:lang w:val="en-AU"/>
        </w:rPr>
        <w:t xml:space="preserve">Table </w:t>
      </w:r>
      <w:r w:rsidR="00E06D4A" w:rsidRPr="00E06D4A">
        <w:rPr>
          <w:noProof/>
          <w:szCs w:val="20"/>
          <w:lang w:val="en-AU"/>
        </w:rPr>
        <w:t>3</w:t>
      </w:r>
      <w:r w:rsidRPr="00A96337">
        <w:rPr>
          <w:szCs w:val="20"/>
          <w:lang w:val="en-AU"/>
        </w:rPr>
        <w:fldChar w:fldCharType="end"/>
      </w:r>
      <w:r w:rsidRPr="00A96337">
        <w:rPr>
          <w:szCs w:val="20"/>
          <w:lang w:val="en-AU"/>
        </w:rPr>
        <w:t>).</w:t>
      </w:r>
      <w:r w:rsidR="00E42BC8" w:rsidRPr="00A96337">
        <w:rPr>
          <w:szCs w:val="20"/>
          <w:lang w:val="en-AU"/>
        </w:rPr>
        <w:t xml:space="preserve"> </w:t>
      </w:r>
      <w:r w:rsidRPr="00A96337">
        <w:rPr>
          <w:szCs w:val="20"/>
          <w:lang w:val="en-AU"/>
        </w:rPr>
        <w:t>All</w:t>
      </w:r>
      <w:r w:rsidRPr="00A96337">
        <w:rPr>
          <w:lang w:val="en-AU"/>
        </w:rPr>
        <w:t xml:space="preserve"> advisers operate on a short-term basis except for the in-country Program Coordinator (Tariq Shaieh) who is engaged full-time in Ramallah.</w:t>
      </w:r>
    </w:p>
    <w:p w14:paraId="40670344" w14:textId="1D33D7B4" w:rsidR="002F4F42" w:rsidRPr="00A96337" w:rsidRDefault="002F4F42" w:rsidP="002F4F42">
      <w:pPr>
        <w:pStyle w:val="Caption"/>
        <w:rPr>
          <w:color w:val="808080" w:themeColor="background1" w:themeShade="80"/>
          <w:sz w:val="18"/>
          <w:lang w:val="en-AU"/>
        </w:rPr>
      </w:pPr>
      <w:bookmarkStart w:id="165" w:name="_Ref8464424"/>
      <w:r w:rsidRPr="00A96337">
        <w:rPr>
          <w:color w:val="808080" w:themeColor="background1" w:themeShade="80"/>
          <w:sz w:val="18"/>
          <w:lang w:val="en-AU"/>
        </w:rPr>
        <w:t xml:space="preserve">Table </w:t>
      </w:r>
      <w:r w:rsidRPr="00A96337">
        <w:rPr>
          <w:noProof/>
          <w:color w:val="808080" w:themeColor="background1" w:themeShade="80"/>
          <w:sz w:val="18"/>
          <w:lang w:val="en-AU"/>
        </w:rPr>
        <w:fldChar w:fldCharType="begin"/>
      </w:r>
      <w:r w:rsidRPr="00A96337">
        <w:rPr>
          <w:noProof/>
          <w:color w:val="808080" w:themeColor="background1" w:themeShade="80"/>
          <w:sz w:val="18"/>
          <w:lang w:val="en-AU"/>
        </w:rPr>
        <w:instrText xml:space="preserve"> SEQ Table \* ARABIC </w:instrText>
      </w:r>
      <w:r w:rsidRPr="00A96337">
        <w:rPr>
          <w:noProof/>
          <w:color w:val="808080" w:themeColor="background1" w:themeShade="80"/>
          <w:sz w:val="18"/>
          <w:lang w:val="en-AU"/>
        </w:rPr>
        <w:fldChar w:fldCharType="separate"/>
      </w:r>
      <w:r w:rsidR="00E06D4A">
        <w:rPr>
          <w:noProof/>
          <w:color w:val="808080" w:themeColor="background1" w:themeShade="80"/>
          <w:sz w:val="18"/>
          <w:lang w:val="en-AU"/>
        </w:rPr>
        <w:t>3</w:t>
      </w:r>
      <w:r w:rsidRPr="00A96337">
        <w:rPr>
          <w:noProof/>
          <w:color w:val="808080" w:themeColor="background1" w:themeShade="80"/>
          <w:sz w:val="18"/>
          <w:lang w:val="en-AU"/>
        </w:rPr>
        <w:fldChar w:fldCharType="end"/>
      </w:r>
      <w:bookmarkEnd w:id="165"/>
      <w:r w:rsidRPr="00A96337">
        <w:rPr>
          <w:color w:val="808080" w:themeColor="background1" w:themeShade="80"/>
          <w:sz w:val="18"/>
          <w:lang w:val="en-AU"/>
        </w:rPr>
        <w:t xml:space="preserve">: </w:t>
      </w:r>
      <w:r w:rsidR="009B58A0" w:rsidRPr="00A96337">
        <w:rPr>
          <w:color w:val="808080" w:themeColor="background1" w:themeShade="80"/>
          <w:sz w:val="18"/>
          <w:lang w:val="en-AU"/>
        </w:rPr>
        <w:t>AMENCA 3</w:t>
      </w:r>
      <w:r w:rsidRPr="00A96337">
        <w:rPr>
          <w:color w:val="808080" w:themeColor="background1" w:themeShade="80"/>
          <w:sz w:val="18"/>
          <w:lang w:val="en-AU"/>
        </w:rPr>
        <w:t xml:space="preserve"> advisory services contracted through Cardno (2015-2019).</w:t>
      </w:r>
    </w:p>
    <w:tbl>
      <w:tblPr>
        <w:tblStyle w:val="GridTable4-Accent5"/>
        <w:tblW w:w="4953" w:type="pct"/>
        <w:tblInd w:w="-5" w:type="dxa"/>
        <w:tblBorders>
          <w:top w:val="single" w:sz="4" w:space="0" w:color="5482AB"/>
          <w:left w:val="none" w:sz="0" w:space="0" w:color="auto"/>
          <w:bottom w:val="single" w:sz="4" w:space="0" w:color="5482AB"/>
          <w:right w:val="none" w:sz="0" w:space="0" w:color="auto"/>
          <w:insideH w:val="single" w:sz="4" w:space="0" w:color="5482AB"/>
          <w:insideV w:val="none" w:sz="0" w:space="0" w:color="auto"/>
        </w:tblBorders>
        <w:tblLayout w:type="fixed"/>
        <w:tblLook w:val="04A0" w:firstRow="1" w:lastRow="0" w:firstColumn="1" w:lastColumn="0" w:noHBand="0" w:noVBand="1"/>
      </w:tblPr>
      <w:tblGrid>
        <w:gridCol w:w="5676"/>
        <w:gridCol w:w="1845"/>
        <w:gridCol w:w="1420"/>
      </w:tblGrid>
      <w:tr w:rsidR="0010327D" w:rsidRPr="00A96337" w14:paraId="530C43C7" w14:textId="77777777" w:rsidTr="00103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4" w:type="pct"/>
            <w:shd w:val="clear" w:color="auto" w:fill="5482AB"/>
            <w:noWrap/>
            <w:hideMark/>
          </w:tcPr>
          <w:p w14:paraId="35FE26BC" w14:textId="77777777" w:rsidR="0010327D" w:rsidRPr="00A96337" w:rsidRDefault="0010327D" w:rsidP="003C2AEB">
            <w:pPr>
              <w:spacing w:before="60" w:after="60"/>
              <w:rPr>
                <w:rFonts w:ascii="Arial" w:hAnsi="Arial" w:cs="Arial"/>
              </w:rPr>
            </w:pPr>
            <w:r w:rsidRPr="00A96337">
              <w:rPr>
                <w:rFonts w:ascii="Arial" w:hAnsi="Arial" w:cs="Arial"/>
              </w:rPr>
              <w:t>Title</w:t>
            </w:r>
          </w:p>
        </w:tc>
        <w:tc>
          <w:tcPr>
            <w:tcW w:w="1032" w:type="pct"/>
            <w:shd w:val="clear" w:color="auto" w:fill="5482AB"/>
            <w:noWrap/>
            <w:hideMark/>
          </w:tcPr>
          <w:p w14:paraId="7220C213" w14:textId="77777777" w:rsidR="0010327D" w:rsidRPr="00A96337" w:rsidRDefault="0010327D" w:rsidP="003C2AEB">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Start Date</w:t>
            </w:r>
          </w:p>
        </w:tc>
        <w:tc>
          <w:tcPr>
            <w:tcW w:w="794" w:type="pct"/>
            <w:shd w:val="clear" w:color="auto" w:fill="5482AB"/>
            <w:noWrap/>
            <w:hideMark/>
          </w:tcPr>
          <w:p w14:paraId="6DC2538D" w14:textId="77777777" w:rsidR="0010327D" w:rsidRPr="00A96337" w:rsidRDefault="0010327D" w:rsidP="003C2AEB">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End Date</w:t>
            </w:r>
          </w:p>
        </w:tc>
      </w:tr>
      <w:tr w:rsidR="0010327D" w:rsidRPr="00A96337" w14:paraId="29DDB13C" w14:textId="77777777" w:rsidTr="00103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4" w:type="pct"/>
            <w:shd w:val="clear" w:color="auto" w:fill="auto"/>
            <w:noWrap/>
            <w:hideMark/>
          </w:tcPr>
          <w:p w14:paraId="113A1E1C" w14:textId="77777777" w:rsidR="0010327D" w:rsidRPr="00A96337" w:rsidRDefault="0010327D" w:rsidP="003C2AEB">
            <w:pPr>
              <w:spacing w:before="60" w:after="60"/>
              <w:rPr>
                <w:rFonts w:ascii="Arial" w:hAnsi="Arial" w:cs="Arial"/>
              </w:rPr>
            </w:pPr>
            <w:r w:rsidRPr="00A96337">
              <w:rPr>
                <w:rFonts w:ascii="Arial" w:hAnsi="Arial" w:cs="Arial"/>
              </w:rPr>
              <w:t>Agriculture Sector Adviser</w:t>
            </w:r>
          </w:p>
        </w:tc>
        <w:tc>
          <w:tcPr>
            <w:tcW w:w="1032" w:type="pct"/>
            <w:shd w:val="clear" w:color="auto" w:fill="auto"/>
            <w:noWrap/>
            <w:hideMark/>
          </w:tcPr>
          <w:p w14:paraId="7DA1CB0B" w14:textId="77777777" w:rsidR="0010327D" w:rsidRPr="00A96337" w:rsidRDefault="0010327D" w:rsidP="003C2AE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16-Nov-15</w:t>
            </w:r>
          </w:p>
        </w:tc>
        <w:tc>
          <w:tcPr>
            <w:tcW w:w="794" w:type="pct"/>
            <w:shd w:val="clear" w:color="auto" w:fill="auto"/>
            <w:noWrap/>
            <w:hideMark/>
          </w:tcPr>
          <w:p w14:paraId="42F77203" w14:textId="77777777" w:rsidR="0010327D" w:rsidRPr="00A96337" w:rsidRDefault="0010327D" w:rsidP="003C2AE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31-Dec-15</w:t>
            </w:r>
          </w:p>
        </w:tc>
      </w:tr>
      <w:tr w:rsidR="0010327D" w:rsidRPr="00A96337" w14:paraId="375D3A74" w14:textId="77777777" w:rsidTr="0010327D">
        <w:tc>
          <w:tcPr>
            <w:cnfStyle w:val="001000000000" w:firstRow="0" w:lastRow="0" w:firstColumn="1" w:lastColumn="0" w:oddVBand="0" w:evenVBand="0" w:oddHBand="0" w:evenHBand="0" w:firstRowFirstColumn="0" w:firstRowLastColumn="0" w:lastRowFirstColumn="0" w:lastRowLastColumn="0"/>
            <w:tcW w:w="3174" w:type="pct"/>
            <w:shd w:val="clear" w:color="auto" w:fill="auto"/>
            <w:noWrap/>
            <w:hideMark/>
          </w:tcPr>
          <w:p w14:paraId="49A1740D" w14:textId="77777777" w:rsidR="0010327D" w:rsidRPr="00A96337" w:rsidRDefault="0010327D" w:rsidP="003C2AEB">
            <w:pPr>
              <w:spacing w:before="60" w:after="60"/>
              <w:rPr>
                <w:rFonts w:ascii="Arial" w:hAnsi="Arial" w:cs="Arial"/>
              </w:rPr>
            </w:pPr>
            <w:r w:rsidRPr="00A96337">
              <w:rPr>
                <w:rFonts w:ascii="Arial" w:hAnsi="Arial" w:cs="Arial"/>
              </w:rPr>
              <w:t>Technical Team Leader &amp; M&amp;E Advisor</w:t>
            </w:r>
          </w:p>
        </w:tc>
        <w:tc>
          <w:tcPr>
            <w:tcW w:w="1032" w:type="pct"/>
            <w:shd w:val="clear" w:color="auto" w:fill="auto"/>
            <w:noWrap/>
            <w:hideMark/>
          </w:tcPr>
          <w:p w14:paraId="51EDEED6" w14:textId="77777777" w:rsidR="0010327D" w:rsidRPr="00A96337" w:rsidRDefault="0010327D" w:rsidP="003C2AE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16-Nov-15</w:t>
            </w:r>
          </w:p>
        </w:tc>
        <w:tc>
          <w:tcPr>
            <w:tcW w:w="794" w:type="pct"/>
            <w:shd w:val="clear" w:color="auto" w:fill="auto"/>
            <w:noWrap/>
            <w:hideMark/>
          </w:tcPr>
          <w:p w14:paraId="2FF078F6" w14:textId="77777777" w:rsidR="0010327D" w:rsidRPr="00A96337" w:rsidRDefault="0010327D" w:rsidP="003C2AE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26-Jun-16</w:t>
            </w:r>
          </w:p>
        </w:tc>
      </w:tr>
      <w:tr w:rsidR="0010327D" w:rsidRPr="00A96337" w14:paraId="1948DB7D" w14:textId="77777777" w:rsidTr="00103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4" w:type="pct"/>
            <w:shd w:val="clear" w:color="auto" w:fill="auto"/>
            <w:noWrap/>
            <w:hideMark/>
          </w:tcPr>
          <w:p w14:paraId="00EC4AC7" w14:textId="77777777" w:rsidR="0010327D" w:rsidRPr="00A96337" w:rsidRDefault="0010327D" w:rsidP="003C2AEB">
            <w:pPr>
              <w:spacing w:before="60" w:after="60"/>
              <w:rPr>
                <w:rFonts w:ascii="Arial" w:hAnsi="Arial" w:cs="Arial"/>
              </w:rPr>
            </w:pPr>
            <w:r w:rsidRPr="00A96337">
              <w:rPr>
                <w:rFonts w:ascii="Arial" w:hAnsi="Arial" w:cs="Arial"/>
              </w:rPr>
              <w:t>Gender &amp; Youth Advisor</w:t>
            </w:r>
          </w:p>
        </w:tc>
        <w:tc>
          <w:tcPr>
            <w:tcW w:w="1032" w:type="pct"/>
            <w:shd w:val="clear" w:color="auto" w:fill="auto"/>
            <w:noWrap/>
            <w:hideMark/>
          </w:tcPr>
          <w:p w14:paraId="03FD6779" w14:textId="77777777" w:rsidR="0010327D" w:rsidRPr="00A96337" w:rsidRDefault="0010327D" w:rsidP="003C2AE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16-Nov-15</w:t>
            </w:r>
          </w:p>
        </w:tc>
        <w:tc>
          <w:tcPr>
            <w:tcW w:w="794" w:type="pct"/>
            <w:shd w:val="clear" w:color="auto" w:fill="auto"/>
            <w:noWrap/>
            <w:hideMark/>
          </w:tcPr>
          <w:p w14:paraId="2B7742C2" w14:textId="77777777" w:rsidR="0010327D" w:rsidRPr="00A96337" w:rsidRDefault="0010327D" w:rsidP="003C2AE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02-Jul-16</w:t>
            </w:r>
          </w:p>
        </w:tc>
      </w:tr>
      <w:tr w:rsidR="0010327D" w:rsidRPr="00A96337" w14:paraId="278D597D" w14:textId="77777777" w:rsidTr="0010327D">
        <w:tc>
          <w:tcPr>
            <w:cnfStyle w:val="001000000000" w:firstRow="0" w:lastRow="0" w:firstColumn="1" w:lastColumn="0" w:oddVBand="0" w:evenVBand="0" w:oddHBand="0" w:evenHBand="0" w:firstRowFirstColumn="0" w:firstRowLastColumn="0" w:lastRowFirstColumn="0" w:lastRowLastColumn="0"/>
            <w:tcW w:w="3174" w:type="pct"/>
            <w:shd w:val="clear" w:color="auto" w:fill="auto"/>
            <w:noWrap/>
            <w:hideMark/>
          </w:tcPr>
          <w:p w14:paraId="27E679AE" w14:textId="77777777" w:rsidR="0010327D" w:rsidRPr="00A96337" w:rsidRDefault="0010327D" w:rsidP="003C2AEB">
            <w:pPr>
              <w:spacing w:before="60" w:after="60"/>
              <w:rPr>
                <w:rFonts w:ascii="Arial" w:hAnsi="Arial" w:cs="Arial"/>
              </w:rPr>
            </w:pPr>
            <w:r w:rsidRPr="00A96337">
              <w:rPr>
                <w:rFonts w:ascii="Arial" w:hAnsi="Arial" w:cs="Arial"/>
              </w:rPr>
              <w:t>Private Sector Advisor</w:t>
            </w:r>
          </w:p>
        </w:tc>
        <w:tc>
          <w:tcPr>
            <w:tcW w:w="1032" w:type="pct"/>
            <w:shd w:val="clear" w:color="auto" w:fill="auto"/>
            <w:noWrap/>
            <w:hideMark/>
          </w:tcPr>
          <w:p w14:paraId="4FD6C504" w14:textId="77777777" w:rsidR="0010327D" w:rsidRPr="00A96337" w:rsidRDefault="0010327D" w:rsidP="003C2AE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16-Nov-15</w:t>
            </w:r>
          </w:p>
        </w:tc>
        <w:tc>
          <w:tcPr>
            <w:tcW w:w="794" w:type="pct"/>
            <w:shd w:val="clear" w:color="auto" w:fill="auto"/>
            <w:noWrap/>
            <w:hideMark/>
          </w:tcPr>
          <w:p w14:paraId="7D510081" w14:textId="77777777" w:rsidR="0010327D" w:rsidRPr="00A96337" w:rsidRDefault="0010327D" w:rsidP="003C2AE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31-Aug-16</w:t>
            </w:r>
          </w:p>
        </w:tc>
      </w:tr>
      <w:tr w:rsidR="0010327D" w:rsidRPr="00A96337" w14:paraId="019CFF9E" w14:textId="77777777" w:rsidTr="0010327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74" w:type="pct"/>
            <w:shd w:val="clear" w:color="auto" w:fill="auto"/>
            <w:noWrap/>
            <w:hideMark/>
          </w:tcPr>
          <w:p w14:paraId="72890B82" w14:textId="77777777" w:rsidR="0010327D" w:rsidRPr="00A96337" w:rsidRDefault="0010327D" w:rsidP="003C2AEB">
            <w:pPr>
              <w:spacing w:before="60" w:after="60"/>
              <w:rPr>
                <w:rFonts w:ascii="Arial" w:hAnsi="Arial" w:cs="Arial"/>
              </w:rPr>
            </w:pPr>
            <w:r w:rsidRPr="00A96337">
              <w:rPr>
                <w:rFonts w:ascii="Arial" w:hAnsi="Arial" w:cs="Arial"/>
              </w:rPr>
              <w:t>Agriculture Advisor / Agriculture &amp; SI Advisor</w:t>
            </w:r>
          </w:p>
        </w:tc>
        <w:tc>
          <w:tcPr>
            <w:tcW w:w="1032" w:type="pct"/>
            <w:shd w:val="clear" w:color="auto" w:fill="auto"/>
            <w:noWrap/>
            <w:hideMark/>
          </w:tcPr>
          <w:p w14:paraId="0E8B7CD4" w14:textId="77777777" w:rsidR="0010327D" w:rsidRPr="00A96337" w:rsidRDefault="0010327D" w:rsidP="003C2AE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01-Apr-16</w:t>
            </w:r>
          </w:p>
        </w:tc>
        <w:tc>
          <w:tcPr>
            <w:tcW w:w="794" w:type="pct"/>
            <w:shd w:val="clear" w:color="auto" w:fill="auto"/>
            <w:noWrap/>
            <w:hideMark/>
          </w:tcPr>
          <w:p w14:paraId="18409B92" w14:textId="77777777" w:rsidR="0010327D" w:rsidRPr="00A96337" w:rsidRDefault="0010327D" w:rsidP="003C2AE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28-Feb-17</w:t>
            </w:r>
          </w:p>
        </w:tc>
      </w:tr>
      <w:tr w:rsidR="0010327D" w:rsidRPr="00A96337" w14:paraId="1E8F3B4A" w14:textId="77777777" w:rsidTr="0010327D">
        <w:tc>
          <w:tcPr>
            <w:cnfStyle w:val="001000000000" w:firstRow="0" w:lastRow="0" w:firstColumn="1" w:lastColumn="0" w:oddVBand="0" w:evenVBand="0" w:oddHBand="0" w:evenHBand="0" w:firstRowFirstColumn="0" w:firstRowLastColumn="0" w:lastRowFirstColumn="0" w:lastRowLastColumn="0"/>
            <w:tcW w:w="3174" w:type="pct"/>
            <w:shd w:val="clear" w:color="auto" w:fill="auto"/>
            <w:noWrap/>
            <w:hideMark/>
          </w:tcPr>
          <w:p w14:paraId="4A9CC084" w14:textId="77777777" w:rsidR="0010327D" w:rsidRPr="00A96337" w:rsidRDefault="0010327D" w:rsidP="003C2AEB">
            <w:pPr>
              <w:spacing w:before="60" w:after="60"/>
              <w:rPr>
                <w:rFonts w:ascii="Arial" w:hAnsi="Arial" w:cs="Arial"/>
              </w:rPr>
            </w:pPr>
            <w:r w:rsidRPr="00A96337">
              <w:rPr>
                <w:rFonts w:ascii="Arial" w:hAnsi="Arial" w:cs="Arial"/>
              </w:rPr>
              <w:t>Monitoring &amp; Evaluation Advisor</w:t>
            </w:r>
          </w:p>
        </w:tc>
        <w:tc>
          <w:tcPr>
            <w:tcW w:w="1032" w:type="pct"/>
            <w:shd w:val="clear" w:color="auto" w:fill="auto"/>
            <w:noWrap/>
            <w:hideMark/>
          </w:tcPr>
          <w:p w14:paraId="7A9254C0" w14:textId="77777777" w:rsidR="0010327D" w:rsidRPr="00A96337" w:rsidRDefault="0010327D" w:rsidP="003C2AE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20-Jul-16</w:t>
            </w:r>
          </w:p>
        </w:tc>
        <w:tc>
          <w:tcPr>
            <w:tcW w:w="794" w:type="pct"/>
            <w:shd w:val="clear" w:color="auto" w:fill="auto"/>
            <w:noWrap/>
            <w:hideMark/>
          </w:tcPr>
          <w:p w14:paraId="5ACA50EB" w14:textId="77777777" w:rsidR="0010327D" w:rsidRPr="00A96337" w:rsidRDefault="0010327D" w:rsidP="003C2AE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31-Oct-16</w:t>
            </w:r>
          </w:p>
        </w:tc>
      </w:tr>
      <w:tr w:rsidR="0010327D" w:rsidRPr="00A96337" w14:paraId="663EB954" w14:textId="77777777" w:rsidTr="00103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4" w:type="pct"/>
            <w:shd w:val="clear" w:color="auto" w:fill="auto"/>
            <w:noWrap/>
            <w:hideMark/>
          </w:tcPr>
          <w:p w14:paraId="3CBC7039" w14:textId="77777777" w:rsidR="0010327D" w:rsidRPr="00A96337" w:rsidRDefault="0010327D" w:rsidP="003C2AEB">
            <w:pPr>
              <w:spacing w:before="60" w:after="60"/>
              <w:rPr>
                <w:rFonts w:ascii="Arial" w:hAnsi="Arial" w:cs="Arial"/>
              </w:rPr>
            </w:pPr>
            <w:r w:rsidRPr="00A96337">
              <w:rPr>
                <w:rFonts w:ascii="Arial" w:hAnsi="Arial" w:cs="Arial"/>
              </w:rPr>
              <w:t>TST Team Leader &amp; PSD Advisor</w:t>
            </w:r>
          </w:p>
        </w:tc>
        <w:tc>
          <w:tcPr>
            <w:tcW w:w="1032" w:type="pct"/>
            <w:shd w:val="clear" w:color="auto" w:fill="auto"/>
            <w:noWrap/>
            <w:hideMark/>
          </w:tcPr>
          <w:p w14:paraId="242A184B" w14:textId="77777777" w:rsidR="0010327D" w:rsidRPr="00A96337" w:rsidRDefault="0010327D" w:rsidP="003C2AE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20-Jul-16</w:t>
            </w:r>
          </w:p>
        </w:tc>
        <w:tc>
          <w:tcPr>
            <w:tcW w:w="794" w:type="pct"/>
            <w:shd w:val="clear" w:color="auto" w:fill="auto"/>
            <w:noWrap/>
            <w:hideMark/>
          </w:tcPr>
          <w:p w14:paraId="7DF2CA10" w14:textId="77777777" w:rsidR="0010327D" w:rsidRPr="00A96337" w:rsidRDefault="0010327D" w:rsidP="003C2AE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22-Jan-18</w:t>
            </w:r>
          </w:p>
        </w:tc>
      </w:tr>
      <w:tr w:rsidR="0010327D" w:rsidRPr="00A96337" w14:paraId="2F6BAE6A" w14:textId="77777777" w:rsidTr="0010327D">
        <w:tc>
          <w:tcPr>
            <w:cnfStyle w:val="001000000000" w:firstRow="0" w:lastRow="0" w:firstColumn="1" w:lastColumn="0" w:oddVBand="0" w:evenVBand="0" w:oddHBand="0" w:evenHBand="0" w:firstRowFirstColumn="0" w:firstRowLastColumn="0" w:lastRowFirstColumn="0" w:lastRowLastColumn="0"/>
            <w:tcW w:w="3174" w:type="pct"/>
            <w:shd w:val="clear" w:color="auto" w:fill="auto"/>
            <w:noWrap/>
            <w:hideMark/>
          </w:tcPr>
          <w:p w14:paraId="57E05950" w14:textId="77777777" w:rsidR="0010327D" w:rsidRPr="00A96337" w:rsidRDefault="0010327D" w:rsidP="003C2AEB">
            <w:pPr>
              <w:spacing w:before="60" w:after="60"/>
              <w:rPr>
                <w:rFonts w:ascii="Arial" w:hAnsi="Arial" w:cs="Arial"/>
              </w:rPr>
            </w:pPr>
            <w:bookmarkStart w:id="166" w:name="_Hlk8464142"/>
            <w:r w:rsidRPr="00A96337">
              <w:rPr>
                <w:rFonts w:ascii="Arial" w:hAnsi="Arial" w:cs="Arial"/>
              </w:rPr>
              <w:t>TST Coordinator (STA) / Program Adviser (LTA)</w:t>
            </w:r>
          </w:p>
        </w:tc>
        <w:tc>
          <w:tcPr>
            <w:tcW w:w="1032" w:type="pct"/>
            <w:shd w:val="clear" w:color="auto" w:fill="E1EDD3"/>
            <w:noWrap/>
            <w:hideMark/>
          </w:tcPr>
          <w:p w14:paraId="54CF45D3" w14:textId="77777777" w:rsidR="0010327D" w:rsidRPr="00A96337" w:rsidRDefault="0010327D" w:rsidP="003C2AE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20-Jul-16</w:t>
            </w:r>
          </w:p>
        </w:tc>
        <w:tc>
          <w:tcPr>
            <w:tcW w:w="794" w:type="pct"/>
            <w:shd w:val="clear" w:color="auto" w:fill="E1EDD3"/>
            <w:noWrap/>
            <w:hideMark/>
          </w:tcPr>
          <w:p w14:paraId="2EB6A1D8" w14:textId="77777777" w:rsidR="0010327D" w:rsidRPr="00A96337" w:rsidRDefault="0010327D" w:rsidP="003C2AE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30-Jun-19</w:t>
            </w:r>
          </w:p>
        </w:tc>
      </w:tr>
      <w:tr w:rsidR="0010327D" w:rsidRPr="00A96337" w14:paraId="232AC7C0" w14:textId="77777777" w:rsidTr="00103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4" w:type="pct"/>
            <w:shd w:val="clear" w:color="auto" w:fill="auto"/>
            <w:noWrap/>
            <w:hideMark/>
          </w:tcPr>
          <w:p w14:paraId="45E42CF6" w14:textId="77777777" w:rsidR="0010327D" w:rsidRPr="00A96337" w:rsidRDefault="0010327D" w:rsidP="003C2AEB">
            <w:pPr>
              <w:spacing w:before="60" w:after="60"/>
              <w:rPr>
                <w:rFonts w:ascii="Arial" w:hAnsi="Arial" w:cs="Arial"/>
              </w:rPr>
            </w:pPr>
            <w:r w:rsidRPr="00A96337">
              <w:rPr>
                <w:rFonts w:ascii="Arial" w:hAnsi="Arial" w:cs="Arial"/>
              </w:rPr>
              <w:t>Monitoring &amp; Evaluation Advisor</w:t>
            </w:r>
          </w:p>
        </w:tc>
        <w:tc>
          <w:tcPr>
            <w:tcW w:w="1032" w:type="pct"/>
            <w:shd w:val="clear" w:color="auto" w:fill="E1EDD3"/>
            <w:noWrap/>
            <w:hideMark/>
          </w:tcPr>
          <w:p w14:paraId="5D9DAB7D" w14:textId="77777777" w:rsidR="0010327D" w:rsidRPr="00A96337" w:rsidRDefault="0010327D" w:rsidP="003C2AE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14-Nov-16</w:t>
            </w:r>
          </w:p>
        </w:tc>
        <w:tc>
          <w:tcPr>
            <w:tcW w:w="794" w:type="pct"/>
            <w:shd w:val="clear" w:color="auto" w:fill="E1EDD3"/>
            <w:noWrap/>
            <w:hideMark/>
          </w:tcPr>
          <w:p w14:paraId="04C8B740" w14:textId="77777777" w:rsidR="0010327D" w:rsidRPr="00A96337" w:rsidRDefault="0010327D" w:rsidP="003C2AE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30-Jun-19</w:t>
            </w:r>
          </w:p>
        </w:tc>
      </w:tr>
      <w:tr w:rsidR="0010327D" w:rsidRPr="00A96337" w14:paraId="165EA8D4" w14:textId="77777777" w:rsidTr="0010327D">
        <w:tc>
          <w:tcPr>
            <w:cnfStyle w:val="001000000000" w:firstRow="0" w:lastRow="0" w:firstColumn="1" w:lastColumn="0" w:oddVBand="0" w:evenVBand="0" w:oddHBand="0" w:evenHBand="0" w:firstRowFirstColumn="0" w:firstRowLastColumn="0" w:lastRowFirstColumn="0" w:lastRowLastColumn="0"/>
            <w:tcW w:w="3174" w:type="pct"/>
            <w:shd w:val="clear" w:color="auto" w:fill="auto"/>
            <w:noWrap/>
            <w:hideMark/>
          </w:tcPr>
          <w:p w14:paraId="4F9748F6" w14:textId="77777777" w:rsidR="0010327D" w:rsidRPr="00A96337" w:rsidRDefault="0010327D" w:rsidP="003C2AEB">
            <w:pPr>
              <w:spacing w:before="60" w:after="60"/>
              <w:rPr>
                <w:rFonts w:ascii="Arial" w:hAnsi="Arial" w:cs="Arial"/>
              </w:rPr>
            </w:pPr>
            <w:r w:rsidRPr="00A96337">
              <w:rPr>
                <w:rFonts w:ascii="Arial" w:hAnsi="Arial" w:cs="Arial"/>
              </w:rPr>
              <w:t>Social Inclusion Advisor</w:t>
            </w:r>
          </w:p>
        </w:tc>
        <w:tc>
          <w:tcPr>
            <w:tcW w:w="1032" w:type="pct"/>
            <w:shd w:val="clear" w:color="auto" w:fill="E1EDD3"/>
            <w:noWrap/>
            <w:hideMark/>
          </w:tcPr>
          <w:p w14:paraId="79D6DDB4" w14:textId="77777777" w:rsidR="0010327D" w:rsidRPr="00A96337" w:rsidRDefault="0010327D" w:rsidP="003C2AE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01-May-17</w:t>
            </w:r>
          </w:p>
        </w:tc>
        <w:tc>
          <w:tcPr>
            <w:tcW w:w="794" w:type="pct"/>
            <w:shd w:val="clear" w:color="auto" w:fill="E1EDD3"/>
            <w:noWrap/>
            <w:hideMark/>
          </w:tcPr>
          <w:p w14:paraId="43044883" w14:textId="77777777" w:rsidR="0010327D" w:rsidRPr="00A96337" w:rsidRDefault="0010327D" w:rsidP="003C2AE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30-Jun-19</w:t>
            </w:r>
          </w:p>
        </w:tc>
      </w:tr>
      <w:tr w:rsidR="0010327D" w:rsidRPr="00A96337" w14:paraId="7284DB2D" w14:textId="77777777" w:rsidTr="00103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4" w:type="pct"/>
            <w:shd w:val="clear" w:color="auto" w:fill="auto"/>
            <w:noWrap/>
            <w:hideMark/>
          </w:tcPr>
          <w:p w14:paraId="5DAADC5E" w14:textId="77777777" w:rsidR="0010327D" w:rsidRPr="00A96337" w:rsidRDefault="0010327D" w:rsidP="003C2AEB">
            <w:pPr>
              <w:spacing w:before="60" w:after="60"/>
              <w:rPr>
                <w:rFonts w:ascii="Arial" w:hAnsi="Arial" w:cs="Arial"/>
              </w:rPr>
            </w:pPr>
            <w:r w:rsidRPr="00A96337">
              <w:rPr>
                <w:rFonts w:ascii="Arial" w:hAnsi="Arial" w:cs="Arial"/>
              </w:rPr>
              <w:t>Private Sector Development Advisor</w:t>
            </w:r>
          </w:p>
        </w:tc>
        <w:tc>
          <w:tcPr>
            <w:tcW w:w="1032" w:type="pct"/>
            <w:shd w:val="clear" w:color="auto" w:fill="E1EDD3"/>
            <w:noWrap/>
            <w:hideMark/>
          </w:tcPr>
          <w:p w14:paraId="7ED4EB58" w14:textId="77777777" w:rsidR="0010327D" w:rsidRPr="00A96337" w:rsidRDefault="0010327D" w:rsidP="003C2AE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16-Feb-18</w:t>
            </w:r>
          </w:p>
        </w:tc>
        <w:tc>
          <w:tcPr>
            <w:tcW w:w="794" w:type="pct"/>
            <w:shd w:val="clear" w:color="auto" w:fill="E1EDD3"/>
            <w:noWrap/>
            <w:hideMark/>
          </w:tcPr>
          <w:p w14:paraId="49559012" w14:textId="77777777" w:rsidR="0010327D" w:rsidRPr="00A96337" w:rsidRDefault="0010327D" w:rsidP="003C2AE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30-Jun-19</w:t>
            </w:r>
          </w:p>
        </w:tc>
      </w:tr>
      <w:bookmarkEnd w:id="166"/>
    </w:tbl>
    <w:p w14:paraId="43D193EF" w14:textId="77777777" w:rsidR="002F4F42" w:rsidRPr="00A96337" w:rsidRDefault="002F4F42" w:rsidP="002F4F42">
      <w:pPr>
        <w:sectPr w:rsidR="002F4F42" w:rsidRPr="00A96337" w:rsidSect="00E42BC8">
          <w:footerReference w:type="default" r:id="rId26"/>
          <w:footerReference w:type="first" r:id="rId27"/>
          <w:pgSz w:w="11906" w:h="16838"/>
          <w:pgMar w:top="1440" w:right="1440" w:bottom="1440" w:left="1440" w:header="708" w:footer="708" w:gutter="0"/>
          <w:pgNumType w:start="1"/>
          <w:cols w:space="708"/>
          <w:titlePg/>
          <w:docGrid w:linePitch="360"/>
        </w:sectPr>
      </w:pPr>
    </w:p>
    <w:p w14:paraId="5A250E11" w14:textId="59E1A7BE" w:rsidR="002F4F42" w:rsidRPr="00A96337" w:rsidRDefault="002F4F42" w:rsidP="00F05621">
      <w:pPr>
        <w:pStyle w:val="Heading1"/>
        <w:numPr>
          <w:ilvl w:val="0"/>
          <w:numId w:val="0"/>
        </w:numPr>
      </w:pPr>
      <w:bookmarkStart w:id="167" w:name="_Toc12364805"/>
      <w:r w:rsidRPr="00A96337">
        <w:t>Section C: MTR Findings</w:t>
      </w:r>
      <w:bookmarkEnd w:id="167"/>
    </w:p>
    <w:bookmarkStart w:id="168" w:name="_Toc8978033"/>
    <w:bookmarkStart w:id="169" w:name="_Toc12364806"/>
    <w:p w14:paraId="5A997EA3" w14:textId="40ED0F8C" w:rsidR="002F4F42" w:rsidRPr="00A96337" w:rsidRDefault="00F05621" w:rsidP="007F6FE5">
      <w:pPr>
        <w:pStyle w:val="Heading1"/>
      </w:pPr>
      <w:r w:rsidRPr="00A96337">
        <w:rPr>
          <w:noProof/>
          <w:color w:val="auto"/>
        </w:rPr>
        <mc:AlternateContent>
          <mc:Choice Requires="wps">
            <w:drawing>
              <wp:anchor distT="228600" distB="228600" distL="228600" distR="228600" simplePos="0" relativeHeight="251668480" behindDoc="1" locked="0" layoutInCell="1" allowOverlap="1" wp14:anchorId="5C950E75" wp14:editId="2920A697">
                <wp:simplePos x="0" y="0"/>
                <wp:positionH relativeFrom="margin">
                  <wp:posOffset>-19050</wp:posOffset>
                </wp:positionH>
                <wp:positionV relativeFrom="margin">
                  <wp:posOffset>1247775</wp:posOffset>
                </wp:positionV>
                <wp:extent cx="5800725" cy="1752600"/>
                <wp:effectExtent l="0" t="0" r="9525" b="0"/>
                <wp:wrapSquare wrapText="bothSides"/>
                <wp:docPr id="19" name="Text Box 19"/>
                <wp:cNvGraphicFramePr/>
                <a:graphic xmlns:a="http://schemas.openxmlformats.org/drawingml/2006/main">
                  <a:graphicData uri="http://schemas.microsoft.com/office/word/2010/wordprocessingShape">
                    <wps:wsp>
                      <wps:cNvSpPr txBox="1"/>
                      <wps:spPr>
                        <a:xfrm>
                          <a:off x="0" y="0"/>
                          <a:ext cx="5800725" cy="1752600"/>
                        </a:xfrm>
                        <a:prstGeom prst="rect">
                          <a:avLst/>
                        </a:prstGeom>
                        <a:solidFill>
                          <a:schemeClr val="bg1">
                            <a:lumMod val="95000"/>
                          </a:schemeClr>
                        </a:solidFill>
                        <a:ln w="6350">
                          <a:noFill/>
                        </a:ln>
                        <a:effectLst/>
                      </wps:spPr>
                      <wps:txbx>
                        <w:txbxContent>
                          <w:p w14:paraId="29A53213" w14:textId="55881175" w:rsidR="00AE1954" w:rsidRPr="003F6C47" w:rsidRDefault="00AE1954" w:rsidP="002F4F42">
                            <w:pPr>
                              <w:rPr>
                                <w:rFonts w:ascii="Arial" w:hAnsi="Arial" w:cs="Arial"/>
                                <w:color w:val="003478"/>
                              </w:rPr>
                            </w:pPr>
                            <w:r>
                              <w:rPr>
                                <w:rFonts w:ascii="Arial" w:hAnsi="Arial" w:cs="Arial"/>
                                <w:color w:val="003478"/>
                              </w:rPr>
                              <w:t>AMENCA 3</w:t>
                            </w:r>
                            <w:r w:rsidRPr="003F6C47">
                              <w:rPr>
                                <w:rFonts w:ascii="Arial" w:hAnsi="Arial" w:cs="Arial"/>
                                <w:color w:val="003478"/>
                              </w:rPr>
                              <w:t xml:space="preserve"> works to build inclusive economic opportunity and growth in the Palestinian Territories’ agriculture sector. These are core concerns of the Palestinian Authority and Australia. The program has a growing reputation for the relevance of its approach and impact with both farming communities and the private sector. The relevance of </w:t>
                            </w:r>
                            <w:r>
                              <w:rPr>
                                <w:rFonts w:ascii="Arial" w:hAnsi="Arial" w:cs="Arial"/>
                                <w:color w:val="003478"/>
                              </w:rPr>
                              <w:t>AMENCA 3</w:t>
                            </w:r>
                            <w:r w:rsidRPr="003F6C47">
                              <w:rPr>
                                <w:rFonts w:ascii="Arial" w:hAnsi="Arial" w:cs="Arial"/>
                                <w:color w:val="003478"/>
                              </w:rPr>
                              <w:t>’s market-based approach is increasingly recognised for its potential to generate some level of economic stability within the Palestinian Territories. Most interventions draw heavily on domestic demand to reduce risk to export and Israeli market restrictions. The hybrid MSD approach has proved crucial to stimulating new market segments in which small scale producers can participate profitably.</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50E75" id="Text Box 19" o:spid="_x0000_s1027" type="#_x0000_t202" style="position:absolute;left:0;text-align:left;margin-left:-1.5pt;margin-top:98.25pt;width:456.75pt;height:138pt;z-index:-25164800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" fillcolor="#f2f2f2 [3052]" stroked="f" strokeweight=".5pt">
                <v:textbox inset="14.4pt,14.4pt,14.4pt,14.4pt">
                  <w:txbxContent>
                    <w:p w14:paraId="29A53213" w14:textId="55881175" w:rsidR="00AE1954" w:rsidRPr="003F6C47" w:rsidRDefault="00AE1954" w:rsidP="002F4F42">
                      <w:pPr>
                        <w:rPr>
                          <w:rFonts w:ascii="Arial" w:hAnsi="Arial" w:cs="Arial"/>
                          <w:color w:val="003478"/>
                        </w:rPr>
                      </w:pPr>
                      <w:r>
                        <w:rPr>
                          <w:rFonts w:ascii="Arial" w:hAnsi="Arial" w:cs="Arial"/>
                          <w:color w:val="003478"/>
                        </w:rPr>
                        <w:t>AMENCA 3</w:t>
                      </w:r>
                      <w:r w:rsidRPr="003F6C47">
                        <w:rPr>
                          <w:rFonts w:ascii="Arial" w:hAnsi="Arial" w:cs="Arial"/>
                          <w:color w:val="003478"/>
                        </w:rPr>
                        <w:t xml:space="preserve"> works to build inclusive economic opportunity and growth in the Palestinian Territories’ agriculture sector. These are core concerns of the Palestinian Authority and Australia. The program has a growing reputation for the relevance of its approach and impact with both farming communities and the private sector. The relevance of </w:t>
                      </w:r>
                      <w:r>
                        <w:rPr>
                          <w:rFonts w:ascii="Arial" w:hAnsi="Arial" w:cs="Arial"/>
                          <w:color w:val="003478"/>
                        </w:rPr>
                        <w:t>AMENCA 3</w:t>
                      </w:r>
                      <w:r w:rsidRPr="003F6C47">
                        <w:rPr>
                          <w:rFonts w:ascii="Arial" w:hAnsi="Arial" w:cs="Arial"/>
                          <w:color w:val="003478"/>
                        </w:rPr>
                        <w:t>’s market-based approach is increasingly recognised for its potential to generate some level of economic stability within the Palestinian Territories. Most interventions draw heavily on domestic demand to reduce risk to export and Israeli market restrictions. The hybrid MSD approach has proved crucial to stimulating new market segments in which small scale producers can participate profitably.</w:t>
                      </w:r>
                    </w:p>
                  </w:txbxContent>
                </v:textbox>
                <w10:wrap type="square" anchorx="margin" anchory="margin"/>
              </v:shape>
            </w:pict>
          </mc:Fallback>
        </mc:AlternateContent>
      </w:r>
      <w:r w:rsidR="002F4F42" w:rsidRPr="00A96337">
        <w:t>Relevance</w:t>
      </w:r>
      <w:bookmarkEnd w:id="168"/>
      <w:bookmarkEnd w:id="169"/>
    </w:p>
    <w:p w14:paraId="4D9C1299" w14:textId="6FBCC8B2" w:rsidR="002F4F42" w:rsidRPr="00A96337" w:rsidRDefault="002F4F42" w:rsidP="00F05621">
      <w:pPr>
        <w:pStyle w:val="Heading2"/>
      </w:pPr>
      <w:bookmarkStart w:id="170" w:name="_Toc8978034"/>
      <w:bookmarkStart w:id="171" w:name="_Toc12364807"/>
      <w:r w:rsidRPr="00A96337">
        <w:t xml:space="preserve">Agricultural </w:t>
      </w:r>
      <w:r w:rsidR="00F05621" w:rsidRPr="00A96337">
        <w:t>c</w:t>
      </w:r>
      <w:r w:rsidRPr="00A96337">
        <w:t>ontext</w:t>
      </w:r>
      <w:bookmarkEnd w:id="170"/>
      <w:bookmarkEnd w:id="171"/>
    </w:p>
    <w:p w14:paraId="77825A2F" w14:textId="70B7F16B" w:rsidR="002F4F42" w:rsidRPr="00A96337" w:rsidRDefault="002F4F42" w:rsidP="00E42BC8">
      <w:pPr>
        <w:pStyle w:val="BodyText"/>
        <w:rPr>
          <w:lang w:val="en-AU"/>
        </w:rPr>
      </w:pPr>
      <w:r w:rsidRPr="00A96337">
        <w:rPr>
          <w:lang w:val="en-AU"/>
        </w:rPr>
        <w:t>Political constraints play a more significant role in determining the development agenda in the Palestinian Territories than in most development contexts.</w:t>
      </w:r>
      <w:r w:rsidR="00E42BC8" w:rsidRPr="00A96337">
        <w:rPr>
          <w:lang w:val="en-AU"/>
        </w:rPr>
        <w:t xml:space="preserve"> </w:t>
      </w:r>
      <w:r w:rsidRPr="00A96337">
        <w:rPr>
          <w:lang w:val="en-AU"/>
        </w:rPr>
        <w:t xml:space="preserve">Market forces are unable to operate unimpeded due to </w:t>
      </w:r>
      <w:r w:rsidR="00941184" w:rsidRPr="00A96337">
        <w:rPr>
          <w:lang w:val="en-AU"/>
        </w:rPr>
        <w:t xml:space="preserve">the political and security situation </w:t>
      </w:r>
      <w:r w:rsidRPr="00A96337">
        <w:rPr>
          <w:lang w:val="en-AU"/>
        </w:rPr>
        <w:t>which effectively reduces the ability of market actors to supply and expand their markets in a predictable manner.</w:t>
      </w:r>
    </w:p>
    <w:p w14:paraId="5ECABEC6" w14:textId="6CD0E42F" w:rsidR="002F4F42" w:rsidRPr="00A96337" w:rsidRDefault="009B58A0" w:rsidP="00E42BC8">
      <w:pPr>
        <w:pStyle w:val="BodyText"/>
        <w:rPr>
          <w:lang w:val="en-AU"/>
        </w:rPr>
      </w:pPr>
      <w:r w:rsidRPr="00A96337">
        <w:rPr>
          <w:lang w:val="en-AU"/>
        </w:rPr>
        <w:t>AMENCA 3</w:t>
      </w:r>
      <w:r w:rsidR="002F4F42" w:rsidRPr="00A96337">
        <w:rPr>
          <w:lang w:val="en-AU"/>
        </w:rPr>
        <w:t xml:space="preserve"> is the leading investment amongst a small number of other donor interventions that aim to improve agricultural productivity and market function in the Palestinian Territories.</w:t>
      </w:r>
      <w:r w:rsidR="00E42BC8" w:rsidRPr="00A96337">
        <w:rPr>
          <w:lang w:val="en-AU"/>
        </w:rPr>
        <w:t xml:space="preserve"> </w:t>
      </w:r>
      <w:r w:rsidR="002F4F42" w:rsidRPr="00A96337">
        <w:rPr>
          <w:lang w:val="en-AU"/>
        </w:rPr>
        <w:t>Any investment that is currently focused on the Palestinian productive sector is considered important, given that the Palestinian economy is currently contracting, and is expected to continue to contract in the coming years, accompanied by further rises in poverty and unemployment.</w:t>
      </w:r>
      <w:r w:rsidR="00E42BC8" w:rsidRPr="00A96337">
        <w:rPr>
          <w:lang w:val="en-AU"/>
        </w:rPr>
        <w:t xml:space="preserve"> </w:t>
      </w:r>
      <w:r w:rsidR="00941184" w:rsidRPr="00A96337">
        <w:rPr>
          <w:lang w:val="en-AU"/>
        </w:rPr>
        <w:t>I</w:t>
      </w:r>
      <w:r w:rsidR="002F4F42" w:rsidRPr="00A96337">
        <w:rPr>
          <w:lang w:val="en-AU"/>
        </w:rPr>
        <w:t xml:space="preserve">ndependent analysis confirms that this contraction is primarily due to the constraints being imposed by the Government of Israel </w:t>
      </w:r>
      <w:sdt>
        <w:sdtPr>
          <w:rPr>
            <w:lang w:val="en-AU"/>
          </w:rPr>
          <w:id w:val="696668045"/>
          <w:citation/>
        </w:sdtPr>
        <w:sdtEndPr/>
        <w:sdtContent>
          <w:r w:rsidR="002F4F42" w:rsidRPr="00A96337">
            <w:rPr>
              <w:lang w:val="en-AU"/>
            </w:rPr>
            <w:fldChar w:fldCharType="begin"/>
          </w:r>
          <w:r w:rsidR="002F4F42" w:rsidRPr="00A96337">
            <w:rPr>
              <w:lang w:val="en-AU"/>
            </w:rPr>
            <w:instrText xml:space="preserve"> CITATION Wor19 \l 5129 </w:instrText>
          </w:r>
          <w:r w:rsidR="002F4F42" w:rsidRPr="00A96337">
            <w:rPr>
              <w:lang w:val="en-AU"/>
            </w:rPr>
            <w:fldChar w:fldCharType="separate"/>
          </w:r>
          <w:r w:rsidR="00593D9F" w:rsidRPr="00593D9F">
            <w:rPr>
              <w:noProof/>
              <w:lang w:val="en-AU"/>
            </w:rPr>
            <w:t>(World Bank, April 2019)</w:t>
          </w:r>
          <w:r w:rsidR="002F4F42" w:rsidRPr="00A96337">
            <w:rPr>
              <w:lang w:val="en-AU"/>
            </w:rPr>
            <w:fldChar w:fldCharType="end"/>
          </w:r>
        </w:sdtContent>
      </w:sdt>
      <w:r w:rsidR="002F4F42" w:rsidRPr="00A96337">
        <w:rPr>
          <w:lang w:val="en-AU"/>
        </w:rPr>
        <w:t>.</w:t>
      </w:r>
      <w:r w:rsidR="00E42BC8" w:rsidRPr="00A96337">
        <w:rPr>
          <w:lang w:val="en-AU"/>
        </w:rPr>
        <w:t xml:space="preserve"> </w:t>
      </w:r>
      <w:r w:rsidR="002F4F42" w:rsidRPr="00A96337">
        <w:rPr>
          <w:lang w:val="en-AU"/>
        </w:rPr>
        <w:t>Although the ever-worsening economic situation is being particularly felt in Gaza, given its already ten-year blockade, the whole of the Palestinian productive sector is being eroded.</w:t>
      </w:r>
    </w:p>
    <w:p w14:paraId="23059BF5" w14:textId="3FEE6A4A" w:rsidR="002F4F42" w:rsidRPr="00A96337" w:rsidRDefault="002F4F42" w:rsidP="00E42BC8">
      <w:pPr>
        <w:pStyle w:val="BodyText"/>
        <w:rPr>
          <w:lang w:val="en-AU"/>
        </w:rPr>
      </w:pPr>
      <w:r w:rsidRPr="00A96337">
        <w:rPr>
          <w:lang w:val="en-AU"/>
        </w:rPr>
        <w:t xml:space="preserve">The many constraints on the Palestinian productive sector </w:t>
      </w:r>
      <w:r w:rsidR="00120CFE" w:rsidRPr="00A96337">
        <w:rPr>
          <w:lang w:val="en-AU"/>
        </w:rPr>
        <w:t>include</w:t>
      </w:r>
      <w:r w:rsidRPr="00A96337">
        <w:rPr>
          <w:lang w:val="en-AU"/>
        </w:rPr>
        <w:t xml:space="preserve"> security actions, road closures, and ad hoc changes to checkpoint activity which restrict movement of goods and services, as well as partners’ access to beneficiary communities.</w:t>
      </w:r>
      <w:r w:rsidR="00E42BC8" w:rsidRPr="00A96337">
        <w:rPr>
          <w:lang w:val="en-AU"/>
        </w:rPr>
        <w:t xml:space="preserve"> </w:t>
      </w:r>
      <w:r w:rsidRPr="00A96337">
        <w:rPr>
          <w:lang w:val="en-AU"/>
        </w:rPr>
        <w:t xml:space="preserve">In the case of agriculture (including most of the </w:t>
      </w:r>
      <w:r w:rsidR="009B58A0" w:rsidRPr="00A96337">
        <w:rPr>
          <w:lang w:val="en-AU"/>
        </w:rPr>
        <w:t>AMENCA 3</w:t>
      </w:r>
      <w:r w:rsidRPr="00A96337">
        <w:rPr>
          <w:lang w:val="en-AU"/>
        </w:rPr>
        <w:t xml:space="preserve"> interventions) these are compounded by other major constraints including:</w:t>
      </w:r>
    </w:p>
    <w:p w14:paraId="293CBA4E" w14:textId="6446465F" w:rsidR="002F4F42" w:rsidRPr="00A96337" w:rsidRDefault="002F4F42" w:rsidP="00F8335C">
      <w:pPr>
        <w:pStyle w:val="ListParagraph"/>
        <w:numPr>
          <w:ilvl w:val="0"/>
          <w:numId w:val="44"/>
        </w:numPr>
        <w:ind w:left="397" w:hanging="397"/>
      </w:pPr>
      <w:r w:rsidRPr="00A96337">
        <w:rPr>
          <w:b/>
          <w:bCs/>
        </w:rPr>
        <w:t>Restrictions on access to water and agricultural land in Area C.</w:t>
      </w:r>
      <w:r w:rsidRPr="00A96337">
        <w:t xml:space="preserve"> The ongoing </w:t>
      </w:r>
      <w:r w:rsidR="00941184" w:rsidRPr="00A96337">
        <w:t>situation in</w:t>
      </w:r>
      <w:r w:rsidRPr="00A96337">
        <w:t xml:space="preserve"> Area C severely restricts Palestinian access to 63 per cent of the agricultural resources of the West Bank, including its most fertile land and its best grazing land.</w:t>
      </w:r>
      <w:r w:rsidR="00E42BC8" w:rsidRPr="00A96337">
        <w:t xml:space="preserve"> </w:t>
      </w:r>
      <w:r w:rsidRPr="00A96337">
        <w:t>The construction of the separation barrier, and the expansion of Israeli settlements, have been the particular drivers that have diminished both access to land and the land available for agriculture</w:t>
      </w:r>
      <w:sdt>
        <w:sdtPr>
          <w:id w:val="1050722930"/>
          <w:citation/>
        </w:sdtPr>
        <w:sdtEndPr/>
        <w:sdtContent>
          <w:r w:rsidRPr="00A96337">
            <w:fldChar w:fldCharType="begin"/>
          </w:r>
          <w:r w:rsidRPr="00A96337">
            <w:instrText xml:space="preserve"> CITATION UNC15 \l 5129 </w:instrText>
          </w:r>
          <w:r w:rsidRPr="00A96337">
            <w:fldChar w:fldCharType="separate"/>
          </w:r>
          <w:r w:rsidR="00593D9F">
            <w:rPr>
              <w:noProof/>
            </w:rPr>
            <w:t xml:space="preserve"> (UNCTAD, 2015)</w:t>
          </w:r>
          <w:r w:rsidRPr="00A96337">
            <w:fldChar w:fldCharType="end"/>
          </w:r>
        </w:sdtContent>
      </w:sdt>
      <w:r w:rsidRPr="00A96337">
        <w:t>.</w:t>
      </w:r>
      <w:r w:rsidR="00E42BC8" w:rsidRPr="00A96337">
        <w:t xml:space="preserve"> </w:t>
      </w:r>
      <w:r w:rsidRPr="00A96337">
        <w:t>Furthermore, any agricultural infrastructure in Area C must be approved by the Israeli authorities.</w:t>
      </w:r>
      <w:r w:rsidR="00E42BC8" w:rsidRPr="00A96337">
        <w:t xml:space="preserve"> </w:t>
      </w:r>
      <w:r w:rsidRPr="00A96337">
        <w:t>Yet because permits are very difficult to obtain, significant irrigation, water and access infrastructure (often provided by donors) has been demolished because the permits have not been in place</w:t>
      </w:r>
      <w:sdt>
        <w:sdtPr>
          <w:id w:val="-196855566"/>
          <w:citation/>
        </w:sdtPr>
        <w:sdtEndPr/>
        <w:sdtContent>
          <w:r w:rsidRPr="00A96337">
            <w:fldChar w:fldCharType="begin"/>
          </w:r>
          <w:r w:rsidRPr="00A96337">
            <w:instrText xml:space="preserve"> CITATION OCH19 \l 5129 </w:instrText>
          </w:r>
          <w:r w:rsidRPr="00A96337">
            <w:fldChar w:fldCharType="separate"/>
          </w:r>
          <w:r w:rsidR="00593D9F">
            <w:rPr>
              <w:noProof/>
            </w:rPr>
            <w:t xml:space="preserve"> (OCHA, 2019)</w:t>
          </w:r>
          <w:r w:rsidRPr="00A96337">
            <w:fldChar w:fldCharType="end"/>
          </w:r>
        </w:sdtContent>
      </w:sdt>
      <w:r w:rsidRPr="00A96337">
        <w:t>.</w:t>
      </w:r>
    </w:p>
    <w:p w14:paraId="19C413EF" w14:textId="4C09CB92" w:rsidR="002F4F42" w:rsidRPr="00A96337" w:rsidRDefault="002F4F42" w:rsidP="00F8335C">
      <w:pPr>
        <w:pStyle w:val="ListParagraph"/>
        <w:numPr>
          <w:ilvl w:val="0"/>
          <w:numId w:val="44"/>
        </w:numPr>
        <w:ind w:left="397" w:hanging="397"/>
      </w:pPr>
      <w:r w:rsidRPr="00A96337">
        <w:rPr>
          <w:b/>
          <w:bCs/>
        </w:rPr>
        <w:t>The ban on the import of a wide range of items considered ‘dual use’.</w:t>
      </w:r>
      <w:r w:rsidR="00E42BC8" w:rsidRPr="00A96337">
        <w:t xml:space="preserve"> </w:t>
      </w:r>
      <w:r w:rsidRPr="00A96337">
        <w:t>These items are generally civilian products and technologies that the Israeli authorities consider might have alternative military applications.</w:t>
      </w:r>
      <w:r w:rsidR="00E42BC8" w:rsidRPr="00A96337">
        <w:t xml:space="preserve"> </w:t>
      </w:r>
      <w:r w:rsidRPr="00A96337">
        <w:t>The list is extensive - 56 items in the West Bank, and 118 items in Gaza - and includes most common fertilisers and fertiliser blends, sterilants used in the dairy sector, and, for Gaza, aggregates, cement and steel, as well as many items of food processing equipment.</w:t>
      </w:r>
      <w:r w:rsidR="00E42BC8" w:rsidRPr="00A96337">
        <w:t xml:space="preserve"> </w:t>
      </w:r>
      <w:r w:rsidRPr="00A96337">
        <w:t xml:space="preserve">A few categories are broadly defined, and all are administered without any right of appeal </w:t>
      </w:r>
      <w:sdt>
        <w:sdtPr>
          <w:id w:val="1825237406"/>
          <w:citation/>
        </w:sdtPr>
        <w:sdtEndPr/>
        <w:sdtContent>
          <w:r w:rsidRPr="00A96337">
            <w:fldChar w:fldCharType="begin"/>
          </w:r>
          <w:r w:rsidRPr="00A96337">
            <w:instrText xml:space="preserve"> CITATION Wor19 \l 5129 </w:instrText>
          </w:r>
          <w:r w:rsidRPr="00A96337">
            <w:fldChar w:fldCharType="separate"/>
          </w:r>
          <w:r w:rsidR="00593D9F">
            <w:rPr>
              <w:noProof/>
            </w:rPr>
            <w:t>(World Bank, April 2019)</w:t>
          </w:r>
          <w:r w:rsidRPr="00A96337">
            <w:fldChar w:fldCharType="end"/>
          </w:r>
        </w:sdtContent>
      </w:sdt>
      <w:r w:rsidRPr="00A96337">
        <w:t>.</w:t>
      </w:r>
    </w:p>
    <w:p w14:paraId="123D8A40" w14:textId="70C66839" w:rsidR="002F4F42" w:rsidRPr="00A96337" w:rsidRDefault="00060A26" w:rsidP="00F8335C">
      <w:pPr>
        <w:pStyle w:val="ListParagraph"/>
        <w:numPr>
          <w:ilvl w:val="0"/>
          <w:numId w:val="44"/>
        </w:numPr>
        <w:ind w:left="397" w:hanging="397"/>
      </w:pPr>
      <w:r w:rsidRPr="00A96337">
        <w:rPr>
          <w:b/>
          <w:bCs/>
        </w:rPr>
        <w:t>Arbitrarily</w:t>
      </w:r>
      <w:r w:rsidR="002F4F42" w:rsidRPr="00A96337">
        <w:rPr>
          <w:b/>
          <w:bCs/>
        </w:rPr>
        <w:t xml:space="preserve"> </w:t>
      </w:r>
      <w:r w:rsidR="007C2C2B" w:rsidRPr="00A96337">
        <w:rPr>
          <w:b/>
          <w:bCs/>
        </w:rPr>
        <w:t>unfavo</w:t>
      </w:r>
      <w:r w:rsidR="00530182" w:rsidRPr="00A96337">
        <w:rPr>
          <w:b/>
          <w:bCs/>
        </w:rPr>
        <w:t>u</w:t>
      </w:r>
      <w:r w:rsidR="007C2C2B" w:rsidRPr="00A96337">
        <w:rPr>
          <w:b/>
          <w:bCs/>
        </w:rPr>
        <w:t>rable</w:t>
      </w:r>
      <w:r w:rsidR="002F4F42" w:rsidRPr="00A96337">
        <w:rPr>
          <w:b/>
          <w:bCs/>
        </w:rPr>
        <w:t xml:space="preserve"> decisions regarding the movement of goods</w:t>
      </w:r>
      <w:r w:rsidR="00F37BBC" w:rsidRPr="00A96337">
        <w:rPr>
          <w:b/>
          <w:bCs/>
        </w:rPr>
        <w:t>.</w:t>
      </w:r>
      <w:r w:rsidR="002F4F42" w:rsidRPr="00A96337">
        <w:t xml:space="preserve"> </w:t>
      </w:r>
      <w:r w:rsidR="00F37BBC" w:rsidRPr="00A96337">
        <w:t>C</w:t>
      </w:r>
      <w:r w:rsidR="002F4F42" w:rsidRPr="00A96337">
        <w:t>heck points and borders limit the consortiums’ ability to introduce more efficient farm technologies into the Palestinian Territories, as well as to send saleable produce from the Palestinian Territories into Israel in a timely manner.</w:t>
      </w:r>
      <w:r w:rsidR="00E42BC8" w:rsidRPr="00A96337">
        <w:t xml:space="preserve"> </w:t>
      </w:r>
      <w:r w:rsidR="002F4F42" w:rsidRPr="00A96337">
        <w:t>As such, the check points distort trade across the wall - Israeli produce can easily access the Palestinian markets at times of oversupply, while the movement of Palestinian produce into Israel (or elsewhere) is strictly controlled.</w:t>
      </w:r>
      <w:r w:rsidR="00E42BC8" w:rsidRPr="00A96337">
        <w:t xml:space="preserve"> </w:t>
      </w:r>
      <w:r w:rsidR="002F4F42" w:rsidRPr="00A96337">
        <w:t xml:space="preserve">In consequence, although export opportunities can be created for farmers and processors from the West Bank and Gaza (into Israel, the Gulf States and Europe in particular), these are subject to arbitrary closure by Israel, as has already been seen in a number of </w:t>
      </w:r>
      <w:r w:rsidR="009B58A0" w:rsidRPr="00A96337">
        <w:t>AMENCA 3</w:t>
      </w:r>
      <w:r w:rsidR="002F4F42" w:rsidRPr="00A96337">
        <w:t>-established pathways.</w:t>
      </w:r>
    </w:p>
    <w:p w14:paraId="5DED653B" w14:textId="5447C74E" w:rsidR="002F4F42" w:rsidRPr="00A96337" w:rsidRDefault="002F4F42" w:rsidP="00E42BC8">
      <w:pPr>
        <w:pStyle w:val="BodyText"/>
        <w:rPr>
          <w:lang w:val="en-AU"/>
        </w:rPr>
      </w:pPr>
      <w:r w:rsidRPr="00A96337">
        <w:rPr>
          <w:lang w:val="en-AU"/>
        </w:rPr>
        <w:t>These constraints not only limit market access but increase the cost of production and put downward pressure on commodity prices.</w:t>
      </w:r>
      <w:r w:rsidR="00E42BC8" w:rsidRPr="00A96337">
        <w:rPr>
          <w:lang w:val="en-AU"/>
        </w:rPr>
        <w:t xml:space="preserve"> </w:t>
      </w:r>
      <w:r w:rsidRPr="00A96337">
        <w:rPr>
          <w:lang w:val="en-AU"/>
        </w:rPr>
        <w:t>As such, Palestinian commodities become uncompetitive, thereby seriously impacting on the productivity of the Palestinian agriculture sector.</w:t>
      </w:r>
      <w:r w:rsidR="00E42BC8" w:rsidRPr="00A96337">
        <w:rPr>
          <w:lang w:val="en-AU"/>
        </w:rPr>
        <w:t xml:space="preserve"> </w:t>
      </w:r>
      <w:r w:rsidRPr="00A96337">
        <w:rPr>
          <w:lang w:val="en-AU"/>
        </w:rPr>
        <w:t>Yields in the Palestinian Territories are in fact often half that of equivalent environments in Israel or Jordan</w:t>
      </w:r>
      <w:r w:rsidRPr="00A96337">
        <w:rPr>
          <w:lang w:val="en-AU"/>
        </w:rPr>
        <w:fldChar w:fldCharType="begin"/>
      </w:r>
      <w:r w:rsidRPr="00A96337">
        <w:rPr>
          <w:lang w:val="en-AU"/>
        </w:rPr>
        <w:instrText xml:space="preserve"> CITATION UNC15 \l 5129 </w:instrText>
      </w:r>
      <w:r w:rsidRPr="00A96337">
        <w:rPr>
          <w:lang w:val="en-AU"/>
        </w:rPr>
        <w:fldChar w:fldCharType="separate"/>
      </w:r>
      <w:r w:rsidR="00593D9F">
        <w:rPr>
          <w:noProof/>
          <w:lang w:val="en-AU"/>
        </w:rPr>
        <w:t xml:space="preserve"> </w:t>
      </w:r>
      <w:r w:rsidR="00593D9F" w:rsidRPr="00593D9F">
        <w:rPr>
          <w:noProof/>
          <w:lang w:val="en-AU"/>
        </w:rPr>
        <w:t>(UNCTAD, 2015)</w:t>
      </w:r>
      <w:r w:rsidRPr="00A96337">
        <w:rPr>
          <w:lang w:val="en-AU"/>
        </w:rPr>
        <w:fldChar w:fldCharType="end"/>
      </w:r>
      <w:r w:rsidRPr="00A96337">
        <w:rPr>
          <w:lang w:val="en-AU"/>
        </w:rPr>
        <w:t>.</w:t>
      </w:r>
    </w:p>
    <w:p w14:paraId="77517A2C" w14:textId="40A1A253" w:rsidR="002F4F42" w:rsidRPr="00A96337" w:rsidRDefault="002F4F42" w:rsidP="00F8335C">
      <w:pPr>
        <w:pStyle w:val="Heading2"/>
        <w:ind w:left="851" w:hanging="851"/>
      </w:pPr>
      <w:bookmarkStart w:id="172" w:name="_Toc8978035"/>
      <w:bookmarkStart w:id="173" w:name="_Toc12364808"/>
      <w:r w:rsidRPr="00A96337">
        <w:t xml:space="preserve">Is </w:t>
      </w:r>
      <w:r w:rsidR="009B58A0" w:rsidRPr="00A96337">
        <w:t>AMENCA 3</w:t>
      </w:r>
      <w:r w:rsidRPr="00A96337">
        <w:t xml:space="preserve"> still valid given the political, social and economic context in the Palestinian Territories?</w:t>
      </w:r>
      <w:bookmarkEnd w:id="172"/>
      <w:bookmarkEnd w:id="173"/>
    </w:p>
    <w:p w14:paraId="0BC8DFDA" w14:textId="27E37543" w:rsidR="002F4F42" w:rsidRPr="00A96337" w:rsidRDefault="002F4F42" w:rsidP="00E42BC8">
      <w:pPr>
        <w:pStyle w:val="BodyText"/>
        <w:rPr>
          <w:lang w:val="en-AU"/>
        </w:rPr>
      </w:pPr>
      <w:bookmarkStart w:id="174" w:name="_Hlk7185209"/>
      <w:r w:rsidRPr="00A96337">
        <w:rPr>
          <w:lang w:val="en-AU"/>
        </w:rPr>
        <w:t xml:space="preserve">Investment in agricultural productivity </w:t>
      </w:r>
      <w:bookmarkEnd w:id="174"/>
      <w:r w:rsidRPr="00A96337">
        <w:rPr>
          <w:lang w:val="en-AU"/>
        </w:rPr>
        <w:t>is especially critical for the Palestinian Territories,</w:t>
      </w:r>
      <w:r w:rsidRPr="00A96337" w:rsidDel="00900DA2">
        <w:rPr>
          <w:lang w:val="en-AU"/>
        </w:rPr>
        <w:t xml:space="preserve"> </w:t>
      </w:r>
      <w:r w:rsidRPr="00A96337">
        <w:rPr>
          <w:lang w:val="en-AU"/>
        </w:rPr>
        <w:t xml:space="preserve">given the agriculture sector’s potential to rapidly and significantly improve incomes, exports, food security and job creation in the region </w:t>
      </w:r>
      <w:sdt>
        <w:sdtPr>
          <w:rPr>
            <w:lang w:val="en-AU"/>
          </w:rPr>
          <w:id w:val="50434795"/>
          <w:citation/>
        </w:sdtPr>
        <w:sdtEndPr/>
        <w:sdtContent>
          <w:r w:rsidRPr="00A96337">
            <w:rPr>
              <w:lang w:val="en-AU"/>
            </w:rPr>
            <w:fldChar w:fldCharType="begin"/>
          </w:r>
          <w:r w:rsidRPr="00A96337">
            <w:rPr>
              <w:lang w:val="en-AU"/>
            </w:rPr>
            <w:instrText xml:space="preserve"> CITATION UNC15 \l 5129 </w:instrText>
          </w:r>
          <w:r w:rsidRPr="00A96337">
            <w:rPr>
              <w:lang w:val="en-AU"/>
            </w:rPr>
            <w:fldChar w:fldCharType="separate"/>
          </w:r>
          <w:r w:rsidR="00593D9F" w:rsidRPr="00593D9F">
            <w:rPr>
              <w:noProof/>
              <w:lang w:val="en-AU"/>
            </w:rPr>
            <w:t>(UNCTAD, 2015)</w:t>
          </w:r>
          <w:r w:rsidRPr="00A96337">
            <w:rPr>
              <w:lang w:val="en-AU"/>
            </w:rPr>
            <w:fldChar w:fldCharType="end"/>
          </w:r>
        </w:sdtContent>
      </w:sdt>
      <w:r w:rsidRPr="00A96337">
        <w:rPr>
          <w:lang w:val="en-AU"/>
        </w:rPr>
        <w:t>.</w:t>
      </w:r>
      <w:r w:rsidR="00E42BC8" w:rsidRPr="00A96337">
        <w:rPr>
          <w:lang w:val="en-AU"/>
        </w:rPr>
        <w:t xml:space="preserve"> </w:t>
      </w:r>
      <w:r w:rsidRPr="00A96337">
        <w:rPr>
          <w:lang w:val="en-AU"/>
        </w:rPr>
        <w:t>Unlike other sectors that require a significant lead time before impacts can be achieved, agriculture in the Palestinian Territories has unrealised potential that could be rapidly mobilised were the current restrictions to be relaxed or removed.</w:t>
      </w:r>
    </w:p>
    <w:p w14:paraId="34405708" w14:textId="03694C49" w:rsidR="002F4F42" w:rsidRPr="00A96337" w:rsidRDefault="002F4F42" w:rsidP="00E42BC8">
      <w:pPr>
        <w:pStyle w:val="BodyText"/>
        <w:rPr>
          <w:lang w:val="en-AU"/>
        </w:rPr>
      </w:pPr>
      <w:r w:rsidRPr="00A96337">
        <w:rPr>
          <w:lang w:val="en-AU"/>
        </w:rPr>
        <w:t>As the economy has contracted in recent years, and unemployment has concurrently increased, people have fallen back on agriculture and livestock options for their livelihoods.</w:t>
      </w:r>
      <w:r w:rsidR="00E42BC8" w:rsidRPr="00A96337">
        <w:rPr>
          <w:lang w:val="en-AU"/>
        </w:rPr>
        <w:t xml:space="preserve"> </w:t>
      </w:r>
      <w:r w:rsidRPr="00A96337">
        <w:rPr>
          <w:lang w:val="en-AU"/>
        </w:rPr>
        <w:t>Yet despite the significant increase in agricultural employment in the past two decades, over the same time period</w:t>
      </w:r>
      <w:r w:rsidRPr="00A96337" w:rsidDel="003B1D2A">
        <w:rPr>
          <w:lang w:val="en-AU"/>
        </w:rPr>
        <w:t xml:space="preserve"> </w:t>
      </w:r>
      <w:r w:rsidRPr="00A96337">
        <w:rPr>
          <w:lang w:val="en-AU"/>
        </w:rPr>
        <w:t>the sector’s relative contribution to GDP has dropped by more than two thirds.</w:t>
      </w:r>
      <w:r w:rsidR="00E42BC8" w:rsidRPr="00A96337">
        <w:rPr>
          <w:lang w:val="en-AU"/>
        </w:rPr>
        <w:t xml:space="preserve"> </w:t>
      </w:r>
      <w:r w:rsidRPr="00A96337">
        <w:rPr>
          <w:lang w:val="en-AU"/>
        </w:rPr>
        <w:t>While available labour has increased, production has remained static</w:t>
      </w:r>
      <w:r w:rsidRPr="00A96337" w:rsidDel="00575702">
        <w:rPr>
          <w:lang w:val="en-AU"/>
        </w:rPr>
        <w:t xml:space="preserve"> </w:t>
      </w:r>
      <w:r w:rsidRPr="00A96337">
        <w:rPr>
          <w:lang w:val="en-AU"/>
        </w:rPr>
        <w:t>due to the external constraints being imposed on the sector.</w:t>
      </w:r>
      <w:r w:rsidR="00E42BC8" w:rsidRPr="00A96337">
        <w:rPr>
          <w:lang w:val="en-AU"/>
        </w:rPr>
        <w:t xml:space="preserve"> </w:t>
      </w:r>
      <w:r w:rsidRPr="00A96337">
        <w:rPr>
          <w:lang w:val="en-AU"/>
        </w:rPr>
        <w:t xml:space="preserve">While the eventual solution to this can only be political, investment in agricultural productivity in the meantime is providing both stability and a safety net for Palestinian families that is helping to buffer many from dire poverty </w:t>
      </w:r>
      <w:sdt>
        <w:sdtPr>
          <w:rPr>
            <w:lang w:val="en-AU"/>
          </w:rPr>
          <w:id w:val="1791704539"/>
          <w:citation/>
        </w:sdtPr>
        <w:sdtEndPr/>
        <w:sdtContent>
          <w:r w:rsidRPr="00A96337">
            <w:rPr>
              <w:lang w:val="en-AU"/>
            </w:rPr>
            <w:fldChar w:fldCharType="begin"/>
          </w:r>
          <w:r w:rsidRPr="00A96337">
            <w:rPr>
              <w:lang w:val="en-AU"/>
            </w:rPr>
            <w:instrText xml:space="preserve"> CITATION UNC15 \l 5129 </w:instrText>
          </w:r>
          <w:r w:rsidRPr="00A96337">
            <w:rPr>
              <w:lang w:val="en-AU"/>
            </w:rPr>
            <w:fldChar w:fldCharType="separate"/>
          </w:r>
          <w:r w:rsidR="00593D9F" w:rsidRPr="00593D9F">
            <w:rPr>
              <w:noProof/>
              <w:lang w:val="en-AU"/>
            </w:rPr>
            <w:t>(UNCTAD, 2015)</w:t>
          </w:r>
          <w:r w:rsidRPr="00A96337">
            <w:rPr>
              <w:lang w:val="en-AU"/>
            </w:rPr>
            <w:fldChar w:fldCharType="end"/>
          </w:r>
        </w:sdtContent>
      </w:sdt>
      <w:r w:rsidRPr="00A96337">
        <w:rPr>
          <w:lang w:val="en-AU"/>
        </w:rPr>
        <w:t>.</w:t>
      </w:r>
    </w:p>
    <w:p w14:paraId="2357A786" w14:textId="168538C0" w:rsidR="002F4F42" w:rsidRPr="00A96337" w:rsidRDefault="002F4F42" w:rsidP="00E42BC8">
      <w:pPr>
        <w:pStyle w:val="BodyText"/>
        <w:rPr>
          <w:lang w:val="en-AU"/>
        </w:rPr>
      </w:pPr>
      <w:r w:rsidRPr="00A96337">
        <w:rPr>
          <w:lang w:val="en-AU"/>
        </w:rPr>
        <w:t xml:space="preserve">Australia’s support to </w:t>
      </w:r>
      <w:r w:rsidR="009B58A0" w:rsidRPr="00A96337">
        <w:rPr>
          <w:lang w:val="en-AU"/>
        </w:rPr>
        <w:t>AMENCA 3</w:t>
      </w:r>
      <w:r w:rsidRPr="00A96337">
        <w:rPr>
          <w:lang w:val="en-AU"/>
        </w:rPr>
        <w:t xml:space="preserve"> is a strategic use of limited donor resources that is:</w:t>
      </w:r>
    </w:p>
    <w:p w14:paraId="74C27C72" w14:textId="77777777" w:rsidR="002F4F42" w:rsidRPr="00A96337" w:rsidRDefault="002F4F42" w:rsidP="00E50F49">
      <w:pPr>
        <w:pStyle w:val="Dotpoint"/>
      </w:pPr>
      <w:r w:rsidRPr="00A96337">
        <w:t>demonstrating a long-term commitment (14 years up till now) to the economic viability and stability of the Palestinian Territories;</w:t>
      </w:r>
    </w:p>
    <w:p w14:paraId="642D072A" w14:textId="77777777" w:rsidR="002F4F42" w:rsidRPr="00A96337" w:rsidRDefault="002F4F42" w:rsidP="00E50F49">
      <w:pPr>
        <w:pStyle w:val="Dotpoint"/>
      </w:pPr>
      <w:r w:rsidRPr="00A96337">
        <w:t>investing in the Palestinian Authority’s priority productive growth sector;</w:t>
      </w:r>
    </w:p>
    <w:p w14:paraId="2E78C9E0" w14:textId="77777777" w:rsidR="002F4F42" w:rsidRPr="00A96337" w:rsidRDefault="002F4F42" w:rsidP="00E50F49">
      <w:pPr>
        <w:pStyle w:val="Dotpoint"/>
      </w:pPr>
      <w:r w:rsidRPr="00A96337">
        <w:t>improving incomes, and providing sustainable job opportunities to smallholder farmers, women and youth;</w:t>
      </w:r>
    </w:p>
    <w:p w14:paraId="6AE55443" w14:textId="77777777" w:rsidR="002F4F42" w:rsidRPr="00A96337" w:rsidRDefault="002F4F42" w:rsidP="00E50F49">
      <w:pPr>
        <w:pStyle w:val="Dotpoint"/>
      </w:pPr>
      <w:r w:rsidRPr="00A96337">
        <w:t>helping to shift the development landscape from one of long-term humanitarian relief to one of sustainable economic development;</w:t>
      </w:r>
    </w:p>
    <w:p w14:paraId="7ADE8FE3" w14:textId="77777777" w:rsidR="002F4F42" w:rsidRPr="00A96337" w:rsidRDefault="002F4F42" w:rsidP="00E50F49">
      <w:pPr>
        <w:pStyle w:val="Dotpoint"/>
      </w:pPr>
      <w:r w:rsidRPr="00A96337">
        <w:t>leveraging significant additional investment from the agri-business sector;</w:t>
      </w:r>
    </w:p>
    <w:p w14:paraId="4742F9EA" w14:textId="77777777" w:rsidR="002F4F42" w:rsidRPr="00A96337" w:rsidRDefault="002F4F42" w:rsidP="00E50F49">
      <w:pPr>
        <w:pStyle w:val="Dotpoint"/>
      </w:pPr>
      <w:r w:rsidRPr="00A96337">
        <w:t>strengthening and equipping civil society organisations to address the region’s economic stagnation, especially by creating lasting livelihood opportunities for Palestinians; and</w:t>
      </w:r>
    </w:p>
    <w:p w14:paraId="6F7A68FC" w14:textId="77777777" w:rsidR="002F4F42" w:rsidRPr="00A96337" w:rsidRDefault="002F4F42" w:rsidP="00E50F49">
      <w:pPr>
        <w:pStyle w:val="Dotpoint"/>
      </w:pPr>
      <w:r w:rsidRPr="00A96337">
        <w:t>testing a hybrid MSD model that has not only proved to be viable, but is a valuable addition to DFAT’s agriculture sector programming approaches.</w:t>
      </w:r>
    </w:p>
    <w:p w14:paraId="461A89BA" w14:textId="724F8CC4" w:rsidR="002F4F42" w:rsidRPr="00A96337" w:rsidRDefault="002F4F42" w:rsidP="00F8335C">
      <w:pPr>
        <w:pStyle w:val="Heading2"/>
        <w:ind w:left="851" w:hanging="851"/>
      </w:pPr>
      <w:bookmarkStart w:id="175" w:name="_Toc7238641"/>
      <w:bookmarkStart w:id="176" w:name="_Toc7238754"/>
      <w:bookmarkStart w:id="177" w:name="_Toc7959470"/>
      <w:bookmarkStart w:id="178" w:name="_Toc7959603"/>
      <w:bookmarkStart w:id="179" w:name="_Toc8130860"/>
      <w:bookmarkStart w:id="180" w:name="_Toc7238642"/>
      <w:bookmarkStart w:id="181" w:name="_Toc7238755"/>
      <w:bookmarkStart w:id="182" w:name="_Toc7959471"/>
      <w:bookmarkStart w:id="183" w:name="_Toc7959604"/>
      <w:bookmarkStart w:id="184" w:name="_Toc8130861"/>
      <w:bookmarkStart w:id="185" w:name="_Toc7238643"/>
      <w:bookmarkStart w:id="186" w:name="_Toc7238756"/>
      <w:bookmarkStart w:id="187" w:name="_Toc7959472"/>
      <w:bookmarkStart w:id="188" w:name="_Toc7959605"/>
      <w:bookmarkStart w:id="189" w:name="_Toc8130862"/>
      <w:bookmarkStart w:id="190" w:name="_Toc7238644"/>
      <w:bookmarkStart w:id="191" w:name="_Toc7238757"/>
      <w:bookmarkStart w:id="192" w:name="_Toc7959473"/>
      <w:bookmarkStart w:id="193" w:name="_Toc7959606"/>
      <w:bookmarkStart w:id="194" w:name="_Toc8130863"/>
      <w:bookmarkStart w:id="195" w:name="_Toc7238645"/>
      <w:bookmarkStart w:id="196" w:name="_Toc7238758"/>
      <w:bookmarkStart w:id="197" w:name="_Toc7959474"/>
      <w:bookmarkStart w:id="198" w:name="_Toc7959607"/>
      <w:bookmarkStart w:id="199" w:name="_Toc8130864"/>
      <w:bookmarkStart w:id="200" w:name="_Toc7238646"/>
      <w:bookmarkStart w:id="201" w:name="_Toc7238759"/>
      <w:bookmarkStart w:id="202" w:name="_Toc7959475"/>
      <w:bookmarkStart w:id="203" w:name="_Toc7959608"/>
      <w:bookmarkStart w:id="204" w:name="_Toc8130865"/>
      <w:bookmarkStart w:id="205" w:name="_Toc7238647"/>
      <w:bookmarkStart w:id="206" w:name="_Toc7238760"/>
      <w:bookmarkStart w:id="207" w:name="_Toc7959476"/>
      <w:bookmarkStart w:id="208" w:name="_Toc7959609"/>
      <w:bookmarkStart w:id="209" w:name="_Toc8130866"/>
      <w:bookmarkStart w:id="210" w:name="_Toc7238648"/>
      <w:bookmarkStart w:id="211" w:name="_Toc7238761"/>
      <w:bookmarkStart w:id="212" w:name="_Toc7959477"/>
      <w:bookmarkStart w:id="213" w:name="_Toc7959610"/>
      <w:bookmarkStart w:id="214" w:name="_Toc8130867"/>
      <w:bookmarkStart w:id="215" w:name="_Toc8978036"/>
      <w:bookmarkStart w:id="216" w:name="_Toc12364809"/>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A96337">
        <w:t xml:space="preserve">How does </w:t>
      </w:r>
      <w:r w:rsidR="009B58A0" w:rsidRPr="00A96337">
        <w:t>AMENCA 3</w:t>
      </w:r>
      <w:r w:rsidRPr="00A96337">
        <w:t xml:space="preserve"> align with the priorities of Australia and the Palestin</w:t>
      </w:r>
      <w:r w:rsidR="00060A26" w:rsidRPr="00A96337">
        <w:t>ian Authority</w:t>
      </w:r>
      <w:r w:rsidRPr="00A96337">
        <w:t>?</w:t>
      </w:r>
      <w:bookmarkEnd w:id="215"/>
      <w:bookmarkEnd w:id="216"/>
    </w:p>
    <w:p w14:paraId="032279EB" w14:textId="61E9F622" w:rsidR="002F4F42" w:rsidRPr="00A96337" w:rsidRDefault="002F4F42" w:rsidP="00E42BC8">
      <w:pPr>
        <w:pStyle w:val="BodyText"/>
        <w:rPr>
          <w:lang w:val="en-AU"/>
        </w:rPr>
      </w:pPr>
      <w:r w:rsidRPr="00A96337">
        <w:rPr>
          <w:lang w:val="en-AU"/>
        </w:rPr>
        <w:t xml:space="preserve">Economic integration, inclusive growth, and open trade and investment are basic principles of the </w:t>
      </w:r>
      <w:r w:rsidRPr="00A96337">
        <w:rPr>
          <w:i/>
          <w:lang w:val="en-AU"/>
        </w:rPr>
        <w:t>2017 Foreign Policy White Paper</w:t>
      </w:r>
      <w:r w:rsidRPr="00A96337">
        <w:rPr>
          <w:lang w:val="en-AU"/>
        </w:rPr>
        <w:t xml:space="preserve"> (DFAT, 2019).</w:t>
      </w:r>
      <w:r w:rsidR="00E42BC8" w:rsidRPr="00A96337">
        <w:rPr>
          <w:lang w:val="en-AU"/>
        </w:rPr>
        <w:t xml:space="preserve"> </w:t>
      </w:r>
      <w:r w:rsidR="009B58A0" w:rsidRPr="00A96337">
        <w:rPr>
          <w:lang w:val="en-AU"/>
        </w:rPr>
        <w:t>AMENCA 3</w:t>
      </w:r>
      <w:r w:rsidRPr="00A96337">
        <w:rPr>
          <w:lang w:val="en-AU"/>
        </w:rPr>
        <w:t xml:space="preserve"> reflects these ambitions, by fostering stronger partnerships for economic growth.</w:t>
      </w:r>
      <w:r w:rsidR="00E42BC8" w:rsidRPr="00A96337">
        <w:rPr>
          <w:lang w:val="en-AU"/>
        </w:rPr>
        <w:t xml:space="preserve"> </w:t>
      </w:r>
      <w:r w:rsidRPr="00A96337">
        <w:rPr>
          <w:lang w:val="en-AU"/>
        </w:rPr>
        <w:t>It thereby contributes directly and substantially to the economic stability and prosperity of the Palestinian people, as well as to the stability and security of the region more generally.</w:t>
      </w:r>
    </w:p>
    <w:p w14:paraId="5CABDB93" w14:textId="01FEEBBE" w:rsidR="002F4F42" w:rsidRPr="00A96337" w:rsidRDefault="009B58A0" w:rsidP="00E42BC8">
      <w:pPr>
        <w:pStyle w:val="BodyText"/>
        <w:rPr>
          <w:lang w:val="en-AU"/>
        </w:rPr>
      </w:pPr>
      <w:r w:rsidRPr="00A96337">
        <w:rPr>
          <w:lang w:val="en-AU"/>
        </w:rPr>
        <w:t>AMENCA 3</w:t>
      </w:r>
      <w:r w:rsidR="002F4F42" w:rsidRPr="00A96337">
        <w:rPr>
          <w:lang w:val="en-AU"/>
        </w:rPr>
        <w:t xml:space="preserve"> is Australia’s major development investment for the Palestinian people, and its core bilateral investment in the Palestinian Territories under </w:t>
      </w:r>
      <w:r w:rsidR="002F4F42" w:rsidRPr="00A96337">
        <w:rPr>
          <w:i/>
          <w:lang w:val="en-AU"/>
        </w:rPr>
        <w:t>Australia’s Palestinian Territories Aid Investment Plan</w:t>
      </w:r>
      <w:r w:rsidR="002F4F42" w:rsidRPr="00A96337">
        <w:rPr>
          <w:lang w:val="en-AU"/>
        </w:rPr>
        <w:t xml:space="preserve"> (AIP) 2015-2019</w:t>
      </w:r>
      <w:sdt>
        <w:sdtPr>
          <w:rPr>
            <w:lang w:val="en-AU"/>
          </w:rPr>
          <w:id w:val="-2142868943"/>
          <w:citation/>
        </w:sdtPr>
        <w:sdtEndPr/>
        <w:sdtContent>
          <w:r w:rsidR="002F4F42" w:rsidRPr="00A96337">
            <w:rPr>
              <w:lang w:val="en-AU"/>
            </w:rPr>
            <w:fldChar w:fldCharType="begin"/>
          </w:r>
          <w:r w:rsidR="002F4F42" w:rsidRPr="00A96337">
            <w:rPr>
              <w:lang w:val="en-AU"/>
            </w:rPr>
            <w:instrText xml:space="preserve"> CITATION DFA151 \l 5129 </w:instrText>
          </w:r>
          <w:r w:rsidR="002F4F42" w:rsidRPr="00A96337">
            <w:rPr>
              <w:lang w:val="en-AU"/>
            </w:rPr>
            <w:fldChar w:fldCharType="separate"/>
          </w:r>
          <w:r w:rsidR="00593D9F">
            <w:rPr>
              <w:noProof/>
              <w:lang w:val="en-AU"/>
            </w:rPr>
            <w:t xml:space="preserve"> </w:t>
          </w:r>
          <w:r w:rsidR="00593D9F" w:rsidRPr="00593D9F">
            <w:rPr>
              <w:noProof/>
              <w:lang w:val="en-AU"/>
            </w:rPr>
            <w:t>(DFAT, 2015)</w:t>
          </w:r>
          <w:r w:rsidR="002F4F42" w:rsidRPr="00A96337">
            <w:rPr>
              <w:lang w:val="en-AU"/>
            </w:rPr>
            <w:fldChar w:fldCharType="end"/>
          </w:r>
        </w:sdtContent>
      </w:sdt>
      <w:r w:rsidR="002F4F42" w:rsidRPr="00A96337">
        <w:rPr>
          <w:lang w:val="en-AU"/>
        </w:rPr>
        <w:t>, the first outcome of which is to “</w:t>
      </w:r>
      <w:r w:rsidR="002F4F42" w:rsidRPr="00A96337">
        <w:rPr>
          <w:i/>
          <w:lang w:val="en-AU"/>
        </w:rPr>
        <w:t xml:space="preserve">Improve public financial management and a more competitive agricultural economy in the Palestinian Territories </w:t>
      </w:r>
      <w:r w:rsidR="002F4F42" w:rsidRPr="00A96337">
        <w:rPr>
          <w:lang w:val="en-AU"/>
        </w:rPr>
        <w:t>”.</w:t>
      </w:r>
      <w:r w:rsidR="00E42BC8" w:rsidRPr="00A96337">
        <w:rPr>
          <w:lang w:val="en-AU"/>
        </w:rPr>
        <w:t xml:space="preserve"> </w:t>
      </w:r>
      <w:r w:rsidR="002F4F42" w:rsidRPr="00A96337">
        <w:rPr>
          <w:lang w:val="en-AU"/>
        </w:rPr>
        <w:t xml:space="preserve">Over the three financial years 2015/16 to 2017/18, </w:t>
      </w:r>
      <w:r w:rsidRPr="00A96337">
        <w:rPr>
          <w:lang w:val="en-AU"/>
        </w:rPr>
        <w:t>AMENCA 3</w:t>
      </w:r>
      <w:r w:rsidR="002F4F42" w:rsidRPr="00A96337">
        <w:rPr>
          <w:lang w:val="en-AU"/>
        </w:rPr>
        <w:t xml:space="preserve"> constituted about one third of Australia’s spending on this outcome, and 10 per cent of Australia’s overall ODA to the Palestinian Territories</w:t>
      </w:r>
      <w:sdt>
        <w:sdtPr>
          <w:rPr>
            <w:lang w:val="en-AU"/>
          </w:rPr>
          <w:id w:val="951064029"/>
          <w:citation/>
        </w:sdtPr>
        <w:sdtEndPr/>
        <w:sdtContent>
          <w:r w:rsidR="002F4F42" w:rsidRPr="00A96337">
            <w:rPr>
              <w:lang w:val="en-AU"/>
            </w:rPr>
            <w:fldChar w:fldCharType="begin"/>
          </w:r>
          <w:r w:rsidR="00BA3123" w:rsidRPr="00A96337">
            <w:rPr>
              <w:lang w:val="en-AU"/>
            </w:rPr>
            <w:instrText xml:space="preserve">CITATION DFA181 \l 5129 </w:instrText>
          </w:r>
          <w:r w:rsidR="002F4F42" w:rsidRPr="00A96337">
            <w:rPr>
              <w:lang w:val="en-AU"/>
            </w:rPr>
            <w:fldChar w:fldCharType="separate"/>
          </w:r>
          <w:r w:rsidR="00593D9F">
            <w:rPr>
              <w:noProof/>
              <w:lang w:val="en-AU"/>
            </w:rPr>
            <w:t xml:space="preserve"> </w:t>
          </w:r>
          <w:r w:rsidR="00593D9F" w:rsidRPr="00593D9F">
            <w:rPr>
              <w:noProof/>
              <w:lang w:val="en-AU"/>
            </w:rPr>
            <w:t>(DFAT, 2016, 2017, 2018)</w:t>
          </w:r>
          <w:r w:rsidR="002F4F42" w:rsidRPr="00A96337">
            <w:rPr>
              <w:lang w:val="en-AU"/>
            </w:rPr>
            <w:fldChar w:fldCharType="end"/>
          </w:r>
        </w:sdtContent>
      </w:sdt>
      <w:r w:rsidR="002F4F42" w:rsidRPr="00A96337">
        <w:rPr>
          <w:lang w:val="en-AU"/>
        </w:rPr>
        <w:t>.</w:t>
      </w:r>
      <w:r w:rsidR="00E42BC8" w:rsidRPr="00A96337">
        <w:rPr>
          <w:lang w:val="en-AU"/>
        </w:rPr>
        <w:t xml:space="preserve"> </w:t>
      </w:r>
      <w:r w:rsidR="002F4F42" w:rsidRPr="00A96337">
        <w:rPr>
          <w:lang w:val="en-AU"/>
        </w:rPr>
        <w:t xml:space="preserve">In 2017/18 </w:t>
      </w:r>
      <w:r w:rsidRPr="00A96337">
        <w:rPr>
          <w:lang w:val="en-AU"/>
        </w:rPr>
        <w:t>AMENCA 3</w:t>
      </w:r>
      <w:r w:rsidR="002F4F42" w:rsidRPr="00A96337">
        <w:rPr>
          <w:lang w:val="en-AU"/>
        </w:rPr>
        <w:t xml:space="preserve"> constituted over half the spending on Outcome 1, and 5 per cent of Australia’s overall ODA.</w:t>
      </w:r>
      <w:r w:rsidR="00E42BC8" w:rsidRPr="00A96337">
        <w:rPr>
          <w:lang w:val="en-AU"/>
        </w:rPr>
        <w:t xml:space="preserve"> </w:t>
      </w:r>
      <w:r w:rsidR="002F4F42" w:rsidRPr="00A96337">
        <w:rPr>
          <w:lang w:val="en-AU"/>
        </w:rPr>
        <w:t>While modest, this funding is in line with the absorptive capacity of both Australia’s partners, and the Palestinian markets.</w:t>
      </w:r>
      <w:r w:rsidR="00E42BC8" w:rsidRPr="00A96337">
        <w:rPr>
          <w:lang w:val="en-AU"/>
        </w:rPr>
        <w:t xml:space="preserve"> </w:t>
      </w:r>
      <w:r w:rsidR="002F4F42" w:rsidRPr="00A96337">
        <w:rPr>
          <w:lang w:val="en-AU"/>
        </w:rPr>
        <w:t>It is also in line with similar MSD programs elsewhere.</w:t>
      </w:r>
    </w:p>
    <w:p w14:paraId="481380E1" w14:textId="69AB7721" w:rsidR="002F4F42" w:rsidRPr="00A96337" w:rsidRDefault="009B58A0" w:rsidP="00E42BC8">
      <w:pPr>
        <w:pStyle w:val="BodyText"/>
        <w:rPr>
          <w:lang w:val="en-AU"/>
        </w:rPr>
      </w:pPr>
      <w:r w:rsidRPr="00A96337">
        <w:rPr>
          <w:lang w:val="en-AU"/>
        </w:rPr>
        <w:t>AMENCA 3</w:t>
      </w:r>
      <w:r w:rsidR="002F4F42" w:rsidRPr="00A96337">
        <w:rPr>
          <w:lang w:val="en-AU"/>
        </w:rPr>
        <w:t xml:space="preserve"> also supports the Palestinian Authority’s efforts to make agriculture a driver of the economy, and a tool for strengthening the fabric of communities.</w:t>
      </w:r>
      <w:r w:rsidR="00E42BC8" w:rsidRPr="00A96337">
        <w:rPr>
          <w:lang w:val="en-AU"/>
        </w:rPr>
        <w:t xml:space="preserve"> </w:t>
      </w:r>
      <w:r w:rsidRPr="00A96337">
        <w:rPr>
          <w:lang w:val="en-AU"/>
        </w:rPr>
        <w:t>AMENCA 3</w:t>
      </w:r>
      <w:r w:rsidR="002F4F42" w:rsidRPr="00A96337">
        <w:rPr>
          <w:lang w:val="en-AU"/>
        </w:rPr>
        <w:t xml:space="preserve"> directly contributes to two of the five priorities outlined in the Palestinian Authority’s </w:t>
      </w:r>
      <w:r w:rsidR="002F4F42" w:rsidRPr="00A96337">
        <w:rPr>
          <w:i/>
          <w:lang w:val="en-AU"/>
        </w:rPr>
        <w:t>National Agricultural Sector Strategy 2017-2022</w:t>
      </w:r>
      <w:r w:rsidR="002F4F42" w:rsidRPr="00A96337">
        <w:rPr>
          <w:lang w:val="en-AU"/>
        </w:rPr>
        <w:t xml:space="preserve"> </w:t>
      </w:r>
      <w:sdt>
        <w:sdtPr>
          <w:rPr>
            <w:lang w:val="en-AU"/>
          </w:rPr>
          <w:id w:val="-840396129"/>
          <w:citation/>
        </w:sdtPr>
        <w:sdtEndPr/>
        <w:sdtContent>
          <w:r w:rsidR="002F4F42" w:rsidRPr="00A96337">
            <w:rPr>
              <w:lang w:val="en-AU"/>
            </w:rPr>
            <w:fldChar w:fldCharType="begin"/>
          </w:r>
          <w:r w:rsidR="002F4F42" w:rsidRPr="00A96337">
            <w:rPr>
              <w:lang w:val="en-AU"/>
            </w:rPr>
            <w:instrText xml:space="preserve">CITATION MOA16 \l 5129 </w:instrText>
          </w:r>
          <w:r w:rsidR="002F4F42" w:rsidRPr="00A96337">
            <w:rPr>
              <w:lang w:val="en-AU"/>
            </w:rPr>
            <w:fldChar w:fldCharType="separate"/>
          </w:r>
          <w:r w:rsidR="00593D9F" w:rsidRPr="00593D9F">
            <w:rPr>
              <w:noProof/>
              <w:lang w:val="en-AU"/>
            </w:rPr>
            <w:t>(MoA, November 2016)</w:t>
          </w:r>
          <w:r w:rsidR="002F4F42" w:rsidRPr="00A96337">
            <w:rPr>
              <w:lang w:val="en-AU"/>
            </w:rPr>
            <w:fldChar w:fldCharType="end"/>
          </w:r>
        </w:sdtContent>
      </w:sdt>
      <w:r w:rsidR="002F4F42" w:rsidRPr="00A96337">
        <w:rPr>
          <w:lang w:val="en-AU"/>
        </w:rPr>
        <w:t>:</w:t>
      </w:r>
    </w:p>
    <w:p w14:paraId="2F44067D" w14:textId="77777777" w:rsidR="002F4F42" w:rsidRPr="00A96337" w:rsidRDefault="002F4F42" w:rsidP="00F8335C">
      <w:pPr>
        <w:pStyle w:val="ListParagraph"/>
        <w:numPr>
          <w:ilvl w:val="0"/>
          <w:numId w:val="45"/>
        </w:numPr>
        <w:ind w:left="397" w:hanging="397"/>
      </w:pPr>
      <w:r w:rsidRPr="00A96337">
        <w:t>Increased agricultural production, productivity, and competitiveness in local and international markets contributes to the betterment of the gross domestic product and food security; and</w:t>
      </w:r>
    </w:p>
    <w:p w14:paraId="5FB9BF93" w14:textId="77777777" w:rsidR="002F4F42" w:rsidRPr="00A96337" w:rsidRDefault="002F4F42" w:rsidP="00F8335C">
      <w:pPr>
        <w:pStyle w:val="ListParagraph"/>
        <w:numPr>
          <w:ilvl w:val="0"/>
          <w:numId w:val="45"/>
        </w:numPr>
        <w:ind w:left="397" w:hanging="397"/>
      </w:pPr>
      <w:r w:rsidRPr="00A96337">
        <w:t>Improved agricultural value chains allow female and male farmers and entrepreneurs to access better quality agricultural services.</w:t>
      </w:r>
    </w:p>
    <w:p w14:paraId="73F76642" w14:textId="33C01B4B" w:rsidR="002F4F42" w:rsidRPr="00A96337" w:rsidRDefault="002F4F42" w:rsidP="00E42BC8">
      <w:pPr>
        <w:pStyle w:val="BodyText"/>
        <w:rPr>
          <w:lang w:val="en-AU"/>
        </w:rPr>
      </w:pPr>
      <w:r w:rsidRPr="00A96337">
        <w:rPr>
          <w:lang w:val="en-AU"/>
        </w:rPr>
        <w:t xml:space="preserve">The Palestinian Ministry of Agriculture was heavily and enthusiastically involved in the design of </w:t>
      </w:r>
      <w:r w:rsidR="009B58A0" w:rsidRPr="00A96337">
        <w:rPr>
          <w:lang w:val="en-AU"/>
        </w:rPr>
        <w:t>AMENCA 3</w:t>
      </w:r>
      <w:r w:rsidRPr="00A96337">
        <w:rPr>
          <w:lang w:val="en-AU"/>
        </w:rPr>
        <w:t>, as well as in its early implementation.</w:t>
      </w:r>
      <w:r w:rsidR="00E42BC8" w:rsidRPr="00A96337">
        <w:rPr>
          <w:lang w:val="en-AU"/>
        </w:rPr>
        <w:t xml:space="preserve"> </w:t>
      </w:r>
      <w:r w:rsidRPr="00A96337">
        <w:rPr>
          <w:lang w:val="en-AU"/>
        </w:rPr>
        <w:t xml:space="preserve">However, recent bilateral tensions and conflicting expectations regarding the level of control the Ministry should be wielding over the program, have resulted in it </w:t>
      </w:r>
      <w:r w:rsidR="00DF6DC1" w:rsidRPr="00A96337">
        <w:rPr>
          <w:lang w:val="en-AU"/>
        </w:rPr>
        <w:t>suspending its engagement with the program</w:t>
      </w:r>
      <w:r w:rsidRPr="00A96337">
        <w:rPr>
          <w:lang w:val="en-AU"/>
        </w:rPr>
        <w:t>.</w:t>
      </w:r>
      <w:r w:rsidR="00E42BC8" w:rsidRPr="00A96337">
        <w:rPr>
          <w:lang w:val="en-AU"/>
        </w:rPr>
        <w:t xml:space="preserve"> </w:t>
      </w:r>
      <w:r w:rsidRPr="00A96337">
        <w:rPr>
          <w:lang w:val="en-AU"/>
        </w:rPr>
        <w:t xml:space="preserve">This breakdown in the relationship represents an important (but hopefully not critical) risk to the </w:t>
      </w:r>
      <w:r w:rsidR="007C2C2B" w:rsidRPr="00A96337">
        <w:rPr>
          <w:lang w:val="en-AU"/>
        </w:rPr>
        <w:t>program that</w:t>
      </w:r>
      <w:r w:rsidRPr="00A96337">
        <w:rPr>
          <w:lang w:val="en-AU"/>
        </w:rPr>
        <w:t xml:space="preserve"> will be discussed in greater detail in Section </w:t>
      </w:r>
      <w:r w:rsidR="00821E92" w:rsidRPr="00A96337">
        <w:rPr>
          <w:lang w:val="en-AU"/>
        </w:rPr>
        <w:fldChar w:fldCharType="begin"/>
      </w:r>
      <w:r w:rsidR="00821E92" w:rsidRPr="00A96337">
        <w:rPr>
          <w:lang w:val="en-AU"/>
        </w:rPr>
        <w:instrText xml:space="preserve"> REF _Ref11941091 \r \h </w:instrText>
      </w:r>
      <w:r w:rsidR="00821E92" w:rsidRPr="00A96337">
        <w:rPr>
          <w:lang w:val="en-AU"/>
        </w:rPr>
      </w:r>
      <w:r w:rsidR="00821E92" w:rsidRPr="00A96337">
        <w:rPr>
          <w:lang w:val="en-AU"/>
        </w:rPr>
        <w:fldChar w:fldCharType="separate"/>
      </w:r>
      <w:r w:rsidR="00E06D4A">
        <w:rPr>
          <w:lang w:val="en-AU"/>
        </w:rPr>
        <w:t>9.4</w:t>
      </w:r>
      <w:r w:rsidR="00821E92" w:rsidRPr="00A96337">
        <w:rPr>
          <w:lang w:val="en-AU"/>
        </w:rPr>
        <w:fldChar w:fldCharType="end"/>
      </w:r>
      <w:r w:rsidRPr="00A96337">
        <w:rPr>
          <w:lang w:val="en-AU"/>
        </w:rPr>
        <w:t>.</w:t>
      </w:r>
    </w:p>
    <w:p w14:paraId="751AD57A" w14:textId="17B0DE11" w:rsidR="002F4F42" w:rsidRPr="00A96337" w:rsidRDefault="002F4F42" w:rsidP="00F8335C">
      <w:pPr>
        <w:pStyle w:val="Heading2"/>
        <w:ind w:left="851" w:hanging="851"/>
      </w:pPr>
      <w:bookmarkStart w:id="217" w:name="_Toc8978037"/>
      <w:bookmarkStart w:id="218" w:name="_Toc12364810"/>
      <w:r w:rsidRPr="00A96337">
        <w:t xml:space="preserve">Does </w:t>
      </w:r>
      <w:r w:rsidR="009B58A0" w:rsidRPr="00A96337">
        <w:t>AMENCA 3</w:t>
      </w:r>
      <w:r w:rsidRPr="00A96337">
        <w:t>’s program logic and approach remain valid or require changes?</w:t>
      </w:r>
      <w:bookmarkEnd w:id="217"/>
      <w:bookmarkEnd w:id="218"/>
    </w:p>
    <w:p w14:paraId="217CB1EB" w14:textId="77069A3A" w:rsidR="002F4F42" w:rsidRPr="00A96337" w:rsidRDefault="002F4F42" w:rsidP="00E42BC8">
      <w:pPr>
        <w:pStyle w:val="BodyText"/>
        <w:rPr>
          <w:lang w:val="en-AU"/>
        </w:rPr>
      </w:pPr>
      <w:r w:rsidRPr="00A96337">
        <w:rPr>
          <w:lang w:val="en-AU"/>
        </w:rPr>
        <w:t>The Palestinian Territories has proven to be a receptive and responsive environment for market-based interventions.</w:t>
      </w:r>
      <w:r w:rsidR="00E42BC8" w:rsidRPr="00A96337">
        <w:rPr>
          <w:lang w:val="en-AU"/>
        </w:rPr>
        <w:t xml:space="preserve"> </w:t>
      </w:r>
      <w:r w:rsidRPr="00A96337">
        <w:rPr>
          <w:lang w:val="en-AU"/>
        </w:rPr>
        <w:t>It has taken some time for local NGOs to adopt and become adept in the MSD approach, but now that they have a greater depth of experience, including with its success, they are</w:t>
      </w:r>
      <w:r w:rsidR="00941184" w:rsidRPr="00A96337">
        <w:rPr>
          <w:lang w:val="en-AU"/>
        </w:rPr>
        <w:t xml:space="preserve"> </w:t>
      </w:r>
      <w:r w:rsidRPr="00A96337">
        <w:rPr>
          <w:lang w:val="en-AU"/>
        </w:rPr>
        <w:t>convinced that this is an appropriate development methodology for economic growth in the Palestinian Territories.</w:t>
      </w:r>
      <w:r w:rsidR="00E42BC8" w:rsidRPr="00A96337">
        <w:rPr>
          <w:lang w:val="en-AU"/>
        </w:rPr>
        <w:t xml:space="preserve"> </w:t>
      </w:r>
      <w:r w:rsidRPr="00A96337">
        <w:rPr>
          <w:lang w:val="en-AU"/>
        </w:rPr>
        <w:t xml:space="preserve">What </w:t>
      </w:r>
      <w:r w:rsidR="009B58A0" w:rsidRPr="00A96337">
        <w:rPr>
          <w:lang w:val="en-AU"/>
        </w:rPr>
        <w:t>AMENCA 3</w:t>
      </w:r>
      <w:r w:rsidRPr="00A96337">
        <w:rPr>
          <w:lang w:val="en-AU"/>
        </w:rPr>
        <w:t xml:space="preserve"> has found is that many markets have significant latent potential - if it works with partners to find ways around the current </w:t>
      </w:r>
      <w:r w:rsidR="00941184" w:rsidRPr="00A96337">
        <w:rPr>
          <w:lang w:val="en-AU"/>
        </w:rPr>
        <w:t>e</w:t>
      </w:r>
      <w:r w:rsidRPr="00A96337">
        <w:rPr>
          <w:lang w:val="en-AU"/>
        </w:rPr>
        <w:t>nvironment’ then markets quickly and quite excitingly expand to fill the space.</w:t>
      </w:r>
      <w:r w:rsidR="00E42BC8" w:rsidRPr="00A96337">
        <w:rPr>
          <w:lang w:val="en-AU"/>
        </w:rPr>
        <w:t xml:space="preserve"> </w:t>
      </w:r>
      <w:r w:rsidRPr="00A96337">
        <w:rPr>
          <w:lang w:val="en-AU"/>
        </w:rPr>
        <w:t>Part of the reason for this quick response is that, while market investments remain risky, stakeholders are very willing to mobilise their often-scarce resources to co-invest.</w:t>
      </w:r>
      <w:r w:rsidR="00E42BC8" w:rsidRPr="00A96337">
        <w:rPr>
          <w:lang w:val="en-AU"/>
        </w:rPr>
        <w:t xml:space="preserve"> </w:t>
      </w:r>
      <w:r w:rsidRPr="00A96337">
        <w:rPr>
          <w:lang w:val="en-AU"/>
        </w:rPr>
        <w:t>Palestinian farmers and private sector actors clearly remain passionate about their heritage.</w:t>
      </w:r>
    </w:p>
    <w:p w14:paraId="47C23CF1" w14:textId="2E59E27C" w:rsidR="002F4F42" w:rsidRPr="00A96337" w:rsidRDefault="002F4F42" w:rsidP="00E42BC8">
      <w:pPr>
        <w:pStyle w:val="BodyText"/>
        <w:rPr>
          <w:lang w:val="en-AU"/>
        </w:rPr>
      </w:pPr>
      <w:r w:rsidRPr="00A96337">
        <w:rPr>
          <w:lang w:val="en-AU"/>
        </w:rPr>
        <w:t xml:space="preserve">While many of these actors are rightly suspicious of poorly thought through and imposed donor interventions, the facilitatory market focused approach used by </w:t>
      </w:r>
      <w:r w:rsidR="009B58A0" w:rsidRPr="00A96337">
        <w:rPr>
          <w:lang w:val="en-AU"/>
        </w:rPr>
        <w:t>AMENCA 3</w:t>
      </w:r>
      <w:r w:rsidRPr="00A96337">
        <w:rPr>
          <w:lang w:val="en-AU"/>
        </w:rPr>
        <w:t xml:space="preserve"> is seen as a relevant and welcome alternative.</w:t>
      </w:r>
      <w:r w:rsidR="00E42BC8" w:rsidRPr="00A96337">
        <w:rPr>
          <w:lang w:val="en-AU"/>
        </w:rPr>
        <w:t xml:space="preserve"> </w:t>
      </w:r>
      <w:r w:rsidRPr="00A96337">
        <w:rPr>
          <w:lang w:val="en-AU"/>
        </w:rPr>
        <w:t xml:space="preserve">Individuals, communities and private sector stakeholders find </w:t>
      </w:r>
      <w:r w:rsidR="009B58A0" w:rsidRPr="00A96337">
        <w:rPr>
          <w:lang w:val="en-AU"/>
        </w:rPr>
        <w:t>AMENCA 3</w:t>
      </w:r>
      <w:r w:rsidRPr="00A96337">
        <w:rPr>
          <w:lang w:val="en-AU"/>
        </w:rPr>
        <w:t>’s MSD approach to be refreshing.</w:t>
      </w:r>
      <w:r w:rsidR="00E42BC8" w:rsidRPr="00A96337">
        <w:rPr>
          <w:lang w:val="en-AU"/>
        </w:rPr>
        <w:t xml:space="preserve"> </w:t>
      </w:r>
      <w:r w:rsidRPr="00A96337">
        <w:rPr>
          <w:lang w:val="en-AU"/>
        </w:rPr>
        <w:t>This stands in rather stark contrast to other humanitarian and ‘direct delivery’ approaches even though they often provide goods and services for free.</w:t>
      </w:r>
      <w:r w:rsidR="00E42BC8" w:rsidRPr="00A96337">
        <w:rPr>
          <w:lang w:val="en-AU"/>
        </w:rPr>
        <w:t xml:space="preserve"> </w:t>
      </w:r>
      <w:r w:rsidRPr="00A96337">
        <w:rPr>
          <w:lang w:val="en-AU"/>
        </w:rPr>
        <w:t xml:space="preserve">A study of all donor market interventions in the Palestinian Territories in early 2018, considered that </w:t>
      </w:r>
      <w:r w:rsidR="009B58A0" w:rsidRPr="00A96337">
        <w:rPr>
          <w:lang w:val="en-AU"/>
        </w:rPr>
        <w:t>AMENCA 3</w:t>
      </w:r>
      <w:r w:rsidRPr="00A96337">
        <w:rPr>
          <w:lang w:val="en-AU"/>
        </w:rPr>
        <w:t xml:space="preserve"> was a pioneer of the ‘markets’ approach </w:t>
      </w:r>
      <w:sdt>
        <w:sdtPr>
          <w:rPr>
            <w:lang w:val="en-AU"/>
          </w:rPr>
          <w:id w:val="-28195167"/>
          <w:citation/>
        </w:sdtPr>
        <w:sdtEndPr/>
        <w:sdtContent>
          <w:r w:rsidRPr="00A96337">
            <w:rPr>
              <w:lang w:val="en-AU"/>
            </w:rPr>
            <w:fldChar w:fldCharType="begin"/>
          </w:r>
          <w:r w:rsidRPr="00A96337">
            <w:rPr>
              <w:lang w:val="en-AU"/>
            </w:rPr>
            <w:instrText xml:space="preserve">CITATION Sha181 \l 5129 </w:instrText>
          </w:r>
          <w:r w:rsidRPr="00A96337">
            <w:rPr>
              <w:lang w:val="en-AU"/>
            </w:rPr>
            <w:fldChar w:fldCharType="separate"/>
          </w:r>
          <w:r w:rsidR="00593D9F" w:rsidRPr="00593D9F">
            <w:rPr>
              <w:noProof/>
              <w:lang w:val="en-AU"/>
            </w:rPr>
            <w:t>(Shamieh, February 2018)</w:t>
          </w:r>
          <w:r w:rsidRPr="00A96337">
            <w:rPr>
              <w:lang w:val="en-AU"/>
            </w:rPr>
            <w:fldChar w:fldCharType="end"/>
          </w:r>
        </w:sdtContent>
      </w:sdt>
      <w:r w:rsidRPr="00A96337">
        <w:rPr>
          <w:lang w:val="en-AU"/>
        </w:rPr>
        <w:t xml:space="preserve">. </w:t>
      </w:r>
    </w:p>
    <w:p w14:paraId="0993E3DD" w14:textId="5D3975DD" w:rsidR="00656906" w:rsidRPr="00F248D7" w:rsidRDefault="00656906" w:rsidP="00F248D7">
      <w:pPr>
        <w:pStyle w:val="Caption"/>
        <w:ind w:left="993" w:right="946"/>
        <w:rPr>
          <w:color w:val="808080" w:themeColor="background1" w:themeShade="80"/>
          <w:sz w:val="18"/>
          <w:lang w:val="en-AU"/>
        </w:rPr>
      </w:pPr>
      <w:r w:rsidRPr="00F248D7">
        <w:rPr>
          <w:color w:val="808080" w:themeColor="background1" w:themeShade="80"/>
          <w:sz w:val="18"/>
          <w:lang w:val="en-AU"/>
        </w:rPr>
        <w:t xml:space="preserve">Figure </w:t>
      </w:r>
      <w:r w:rsidRPr="00F248D7">
        <w:rPr>
          <w:color w:val="808080" w:themeColor="background1" w:themeShade="80"/>
          <w:sz w:val="18"/>
          <w:lang w:val="en-AU"/>
        </w:rPr>
        <w:fldChar w:fldCharType="begin"/>
      </w:r>
      <w:r w:rsidRPr="00F248D7">
        <w:rPr>
          <w:color w:val="808080" w:themeColor="background1" w:themeShade="80"/>
          <w:sz w:val="18"/>
          <w:lang w:val="en-AU"/>
        </w:rPr>
        <w:instrText xml:space="preserve"> SEQ Figure \* ARABIC </w:instrText>
      </w:r>
      <w:r w:rsidRPr="00F248D7">
        <w:rPr>
          <w:color w:val="808080" w:themeColor="background1" w:themeShade="80"/>
          <w:sz w:val="18"/>
          <w:lang w:val="en-AU"/>
        </w:rPr>
        <w:fldChar w:fldCharType="separate"/>
      </w:r>
      <w:r w:rsidR="00E06D4A">
        <w:rPr>
          <w:noProof/>
          <w:color w:val="808080" w:themeColor="background1" w:themeShade="80"/>
          <w:sz w:val="18"/>
          <w:lang w:val="en-AU"/>
        </w:rPr>
        <w:t>6</w:t>
      </w:r>
      <w:r w:rsidRPr="00F248D7">
        <w:rPr>
          <w:color w:val="808080" w:themeColor="background1" w:themeShade="80"/>
          <w:sz w:val="18"/>
          <w:lang w:val="en-AU"/>
        </w:rPr>
        <w:fldChar w:fldCharType="end"/>
      </w:r>
      <w:r w:rsidRPr="00A96337">
        <w:rPr>
          <w:color w:val="808080" w:themeColor="background1" w:themeShade="80"/>
          <w:sz w:val="18"/>
          <w:lang w:val="en-AU"/>
        </w:rPr>
        <w:t>: AMENCA 3’s focus on women farmers as organisers and consolidators for the dairy sector is an exciting innovation</w:t>
      </w:r>
    </w:p>
    <w:p w14:paraId="4328BBD1" w14:textId="77777777" w:rsidR="002F4F42" w:rsidRPr="00A96337" w:rsidRDefault="002F4F42" w:rsidP="00F248D7">
      <w:pPr>
        <w:jc w:val="center"/>
      </w:pPr>
      <w:r w:rsidRPr="00A96337">
        <w:rPr>
          <w:noProof/>
          <w:lang w:eastAsia="en-AU"/>
        </w:rPr>
        <w:drawing>
          <wp:inline distT="0" distB="0" distL="0" distR="0" wp14:anchorId="269D532D" wp14:editId="2A8A14A5">
            <wp:extent cx="4587561" cy="305752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7561" cy="3057525"/>
                    </a:xfrm>
                    <a:prstGeom prst="rect">
                      <a:avLst/>
                    </a:prstGeom>
                    <a:noFill/>
                  </pic:spPr>
                </pic:pic>
              </a:graphicData>
            </a:graphic>
          </wp:inline>
        </w:drawing>
      </w:r>
    </w:p>
    <w:p w14:paraId="5CB5766A" w14:textId="489F880B" w:rsidR="002F4F42" w:rsidRPr="00A96337" w:rsidRDefault="002F4F42" w:rsidP="007F6FE5">
      <w:pPr>
        <w:pStyle w:val="Heading1"/>
      </w:pPr>
      <w:bookmarkStart w:id="219" w:name="_Ref8706548"/>
      <w:bookmarkStart w:id="220" w:name="_Toc8978038"/>
      <w:bookmarkStart w:id="221" w:name="_Toc12364811"/>
      <w:r w:rsidRPr="00A96337">
        <w:t>Effectiveness</w:t>
      </w:r>
      <w:bookmarkEnd w:id="219"/>
      <w:bookmarkEnd w:id="220"/>
      <w:bookmarkEnd w:id="221"/>
    </w:p>
    <w:p w14:paraId="0C9793E9" w14:textId="188DE553" w:rsidR="000E1846" w:rsidRPr="00A96337" w:rsidRDefault="000E1846" w:rsidP="000E1846">
      <w:pPr>
        <w:pStyle w:val="BodyText"/>
        <w:rPr>
          <w:lang w:val="en-AU" w:eastAsia="en-AU"/>
        </w:rPr>
      </w:pPr>
      <w:r w:rsidRPr="00A96337">
        <w:rPr>
          <w:noProof/>
          <w:lang w:val="en-AU" w:eastAsia="en-AU"/>
        </w:rPr>
        <mc:AlternateContent>
          <mc:Choice Requires="wps">
            <w:drawing>
              <wp:inline distT="0" distB="0" distL="0" distR="0" wp14:anchorId="16A3566E" wp14:editId="220F281A">
                <wp:extent cx="5731510" cy="1863306"/>
                <wp:effectExtent l="0" t="0" r="2540" b="3810"/>
                <wp:docPr id="20" name="Text Box 20"/>
                <wp:cNvGraphicFramePr/>
                <a:graphic xmlns:a="http://schemas.openxmlformats.org/drawingml/2006/main">
                  <a:graphicData uri="http://schemas.microsoft.com/office/word/2010/wordprocessingShape">
                    <wps:wsp>
                      <wps:cNvSpPr txBox="1"/>
                      <wps:spPr>
                        <a:xfrm>
                          <a:off x="0" y="0"/>
                          <a:ext cx="5731510" cy="1863306"/>
                        </a:xfrm>
                        <a:prstGeom prst="rect">
                          <a:avLst/>
                        </a:prstGeom>
                        <a:solidFill>
                          <a:schemeClr val="bg1">
                            <a:lumMod val="95000"/>
                          </a:schemeClr>
                        </a:solidFill>
                        <a:ln w="6350">
                          <a:noFill/>
                        </a:ln>
                        <a:effectLst/>
                      </wps:spPr>
                      <wps:txbx>
                        <w:txbxContent>
                          <w:p w14:paraId="0E53CF8F" w14:textId="3741334E" w:rsidR="00AE1954" w:rsidRPr="00CF7F1C" w:rsidRDefault="00AE1954" w:rsidP="000E1846">
                            <w:pPr>
                              <w:rPr>
                                <w:rFonts w:ascii="Arial" w:hAnsi="Arial" w:cs="Arial"/>
                                <w:color w:val="003478"/>
                              </w:rPr>
                            </w:pPr>
                            <w:r>
                              <w:rPr>
                                <w:rFonts w:ascii="Arial" w:hAnsi="Arial" w:cs="Arial"/>
                                <w:color w:val="003478"/>
                              </w:rPr>
                              <w:t>AMENCA 3</w:t>
                            </w:r>
                            <w:r w:rsidRPr="00CF7F1C">
                              <w:rPr>
                                <w:rFonts w:ascii="Arial" w:hAnsi="Arial" w:cs="Arial"/>
                                <w:color w:val="003478"/>
                              </w:rPr>
                              <w:t xml:space="preserve"> demonstrates early evidence of impact that is beyond what would be expected for a market systems program at this stage of implementation. Despite various challenges, delays and suspensions – and in the absence of a results measurement system able to capture some of the qualitative dimensions of impact – </w:t>
                            </w:r>
                            <w:r>
                              <w:rPr>
                                <w:rFonts w:ascii="Arial" w:hAnsi="Arial" w:cs="Arial"/>
                                <w:color w:val="003478"/>
                              </w:rPr>
                              <w:t>AMENCA 3</w:t>
                            </w:r>
                            <w:r w:rsidRPr="00CF7F1C">
                              <w:rPr>
                                <w:rFonts w:ascii="Arial" w:hAnsi="Arial" w:cs="Arial"/>
                                <w:color w:val="003478"/>
                              </w:rPr>
                              <w:t xml:space="preserve"> is exceeding, or on track to achieve, almost all quantitative targets, with clear signs of early systemic change and women’s economic empowerment.</w:t>
                            </w:r>
                          </w:p>
                          <w:p w14:paraId="404E57DF" w14:textId="77777777" w:rsidR="00AE1954" w:rsidRPr="00CF7F1C" w:rsidRDefault="00AE1954" w:rsidP="000E1846">
                            <w:pPr>
                              <w:rPr>
                                <w:rFonts w:ascii="Arial" w:hAnsi="Arial" w:cs="Arial"/>
                                <w:color w:val="003478"/>
                              </w:rPr>
                            </w:pPr>
                            <w:r w:rsidRPr="00CF7F1C">
                              <w:rPr>
                                <w:rFonts w:ascii="Arial" w:hAnsi="Arial" w:cs="Arial"/>
                                <w:color w:val="003478"/>
                              </w:rPr>
                              <w:t>This emerging success is however still fragile, hence there is considerable merit in the interventions being supported over a longer time period, as many of the innovative market functions are not yet fully established in the economy.</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shape w14:anchorId="16A3566E" id="Text Box 20" o:spid="_x0000_s1028" type="#_x0000_t202" style="width:451.3pt;height:1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" fillcolor="#f2f2f2 [3052]" stroked="f" strokeweight=".5pt">
                <v:textbox inset="14.4pt,14.4pt,14.4pt,14.4pt">
                  <w:txbxContent>
                    <w:p w14:paraId="0E53CF8F" w14:textId="3741334E" w:rsidR="00AE1954" w:rsidRPr="00CF7F1C" w:rsidRDefault="00AE1954" w:rsidP="000E1846">
                      <w:pPr>
                        <w:rPr>
                          <w:rFonts w:ascii="Arial" w:hAnsi="Arial" w:cs="Arial"/>
                          <w:color w:val="003478"/>
                        </w:rPr>
                      </w:pPr>
                      <w:r>
                        <w:rPr>
                          <w:rFonts w:ascii="Arial" w:hAnsi="Arial" w:cs="Arial"/>
                          <w:color w:val="003478"/>
                        </w:rPr>
                        <w:t>AMENCA 3</w:t>
                      </w:r>
                      <w:r w:rsidRPr="00CF7F1C">
                        <w:rPr>
                          <w:rFonts w:ascii="Arial" w:hAnsi="Arial" w:cs="Arial"/>
                          <w:color w:val="003478"/>
                        </w:rPr>
                        <w:t xml:space="preserve"> demonstrates early evidence of impact that is beyond what would be expected for a market systems program at this stage of implementation. Despite various challenges, delays and suspensions – and in the absence of a results measurement system able to capture some of the qualitative dimensions of impact – </w:t>
                      </w:r>
                      <w:r>
                        <w:rPr>
                          <w:rFonts w:ascii="Arial" w:hAnsi="Arial" w:cs="Arial"/>
                          <w:color w:val="003478"/>
                        </w:rPr>
                        <w:t>AMENCA 3</w:t>
                      </w:r>
                      <w:r w:rsidRPr="00CF7F1C">
                        <w:rPr>
                          <w:rFonts w:ascii="Arial" w:hAnsi="Arial" w:cs="Arial"/>
                          <w:color w:val="003478"/>
                        </w:rPr>
                        <w:t xml:space="preserve"> is exceeding, or on track to achieve, almost all quantitative targets, with clear signs of early systemic change and women’s economic empowerment.</w:t>
                      </w:r>
                    </w:p>
                    <w:p w14:paraId="404E57DF" w14:textId="77777777" w:rsidR="00AE1954" w:rsidRPr="00CF7F1C" w:rsidRDefault="00AE1954" w:rsidP="000E1846">
                      <w:pPr>
                        <w:rPr>
                          <w:rFonts w:ascii="Arial" w:hAnsi="Arial" w:cs="Arial"/>
                          <w:color w:val="003478"/>
                        </w:rPr>
                      </w:pPr>
                      <w:r w:rsidRPr="00CF7F1C">
                        <w:rPr>
                          <w:rFonts w:ascii="Arial" w:hAnsi="Arial" w:cs="Arial"/>
                          <w:color w:val="003478"/>
                        </w:rPr>
                        <w:t>This emerging success is however still fragile, hence there is considerable merit in the interventions being supported over a longer time period, as many of the innovative market functions are not yet fully established in the economy.</w:t>
                      </w:r>
                    </w:p>
                  </w:txbxContent>
                </v:textbox>
                <w10:anchorlock/>
              </v:shape>
            </w:pict>
          </mc:Fallback>
        </mc:AlternateContent>
      </w:r>
    </w:p>
    <w:p w14:paraId="388C96C0" w14:textId="77777777" w:rsidR="002F4F42" w:rsidRPr="00A96337" w:rsidRDefault="002F4F42" w:rsidP="00F8335C">
      <w:pPr>
        <w:pStyle w:val="Heading2"/>
        <w:ind w:left="851" w:hanging="851"/>
      </w:pPr>
      <w:bookmarkStart w:id="222" w:name="_Toc8978039"/>
      <w:bookmarkStart w:id="223" w:name="_Toc12364812"/>
      <w:r w:rsidRPr="00A96337">
        <w:t>How effective has the hybrid MSD approach been?</w:t>
      </w:r>
      <w:bookmarkEnd w:id="222"/>
      <w:bookmarkEnd w:id="223"/>
    </w:p>
    <w:p w14:paraId="04802037" w14:textId="66BBA8A4" w:rsidR="002F4F42" w:rsidRPr="00A96337" w:rsidRDefault="002F4F42" w:rsidP="00E42BC8">
      <w:pPr>
        <w:pStyle w:val="BodyText"/>
        <w:rPr>
          <w:lang w:val="en-AU"/>
        </w:rPr>
      </w:pPr>
      <w:r w:rsidRPr="00A96337">
        <w:rPr>
          <w:lang w:val="en-AU"/>
        </w:rPr>
        <w:t xml:space="preserve">Central to </w:t>
      </w:r>
      <w:r w:rsidR="009B58A0" w:rsidRPr="00A96337">
        <w:rPr>
          <w:lang w:val="en-AU"/>
        </w:rPr>
        <w:t>AMENCA 3</w:t>
      </w:r>
      <w:r w:rsidR="00821E92" w:rsidRPr="00A96337">
        <w:rPr>
          <w:lang w:val="en-AU"/>
        </w:rPr>
        <w:t>’s</w:t>
      </w:r>
      <w:r w:rsidRPr="00A96337">
        <w:rPr>
          <w:lang w:val="en-AU"/>
        </w:rPr>
        <w:t xml:space="preserve"> success has been what was described in its beginnings as its ‘hybrid’ approach, which in essence aimed to integrate a traditional livelihood approach with the emerging opportunities presented by Market Systems Development.</w:t>
      </w:r>
      <w:r w:rsidR="00E42BC8" w:rsidRPr="00A96337">
        <w:rPr>
          <w:lang w:val="en-AU"/>
        </w:rPr>
        <w:t xml:space="preserve"> </w:t>
      </w:r>
      <w:r w:rsidRPr="00A96337">
        <w:rPr>
          <w:lang w:val="en-AU"/>
        </w:rPr>
        <w:t xml:space="preserve">While initial attempts by </w:t>
      </w:r>
      <w:r w:rsidR="009B58A0" w:rsidRPr="00A96337">
        <w:rPr>
          <w:lang w:val="en-AU"/>
        </w:rPr>
        <w:t>AMENCA 3</w:t>
      </w:r>
      <w:r w:rsidRPr="00A96337">
        <w:rPr>
          <w:lang w:val="en-AU"/>
        </w:rPr>
        <w:t xml:space="preserve"> to document this ‘hybrid’ model centred on the core principles of “systemic analysis” and “facilitation” </w:t>
      </w:r>
      <w:sdt>
        <w:sdtPr>
          <w:rPr>
            <w:lang w:val="en-AU"/>
          </w:rPr>
          <w:id w:val="-659999141"/>
          <w:citation/>
        </w:sdtPr>
        <w:sdtEndPr/>
        <w:sdtContent>
          <w:r w:rsidRPr="00A96337">
            <w:rPr>
              <w:lang w:val="en-AU"/>
            </w:rPr>
            <w:fldChar w:fldCharType="begin"/>
          </w:r>
          <w:r w:rsidRPr="00A96337">
            <w:rPr>
              <w:lang w:val="en-AU"/>
            </w:rPr>
            <w:instrText xml:space="preserve"> CITATION Pei17 \l 5129 </w:instrText>
          </w:r>
          <w:r w:rsidRPr="00A96337">
            <w:rPr>
              <w:lang w:val="en-AU"/>
            </w:rPr>
            <w:fldChar w:fldCharType="separate"/>
          </w:r>
          <w:r w:rsidR="00593D9F" w:rsidRPr="00593D9F">
            <w:rPr>
              <w:noProof/>
              <w:lang w:val="en-AU"/>
            </w:rPr>
            <w:t>(Peishi, 2017)</w:t>
          </w:r>
          <w:r w:rsidRPr="00A96337">
            <w:rPr>
              <w:lang w:val="en-AU"/>
            </w:rPr>
            <w:fldChar w:fldCharType="end"/>
          </w:r>
        </w:sdtContent>
      </w:sdt>
      <w:r w:rsidRPr="00A96337">
        <w:rPr>
          <w:lang w:val="en-AU"/>
        </w:rPr>
        <w:t>, the project left it to the NGOs to interpret what this meant, with the unfortunate result that although learning has evolved significantly since the early days, it has not necessarily been tracked.</w:t>
      </w:r>
      <w:r w:rsidR="00E42BC8" w:rsidRPr="00A96337">
        <w:rPr>
          <w:lang w:val="en-AU"/>
        </w:rPr>
        <w:t xml:space="preserve"> </w:t>
      </w:r>
      <w:r w:rsidRPr="00A96337">
        <w:rPr>
          <w:lang w:val="en-AU"/>
        </w:rPr>
        <w:t>Yet, the MTR Team considers that many of the lessons learnt are cutting edge.</w:t>
      </w:r>
    </w:p>
    <w:p w14:paraId="42609700" w14:textId="78B4B48E" w:rsidR="002F4F42" w:rsidRPr="00A96337" w:rsidRDefault="002F4F42" w:rsidP="00E42BC8">
      <w:pPr>
        <w:pStyle w:val="BodyText"/>
        <w:rPr>
          <w:lang w:val="en-AU"/>
        </w:rPr>
      </w:pPr>
      <w:bookmarkStart w:id="224" w:name="_Hlk7179457"/>
      <w:r w:rsidRPr="00A96337">
        <w:rPr>
          <w:lang w:val="en-AU"/>
        </w:rPr>
        <w:t>Integral to the program’s hybrid approach have been the NGOs, whose roles have not only been significant but innovative.</w:t>
      </w:r>
      <w:r w:rsidR="00E42BC8" w:rsidRPr="00A96337">
        <w:rPr>
          <w:lang w:val="en-AU"/>
        </w:rPr>
        <w:t xml:space="preserve"> </w:t>
      </w:r>
      <w:r w:rsidRPr="00A96337">
        <w:rPr>
          <w:lang w:val="en-AU"/>
        </w:rPr>
        <w:t xml:space="preserve">Certainly, one of the </w:t>
      </w:r>
      <w:r w:rsidR="009B58A0" w:rsidRPr="00A96337">
        <w:rPr>
          <w:lang w:val="en-AU"/>
        </w:rPr>
        <w:t>AMENCA 3</w:t>
      </w:r>
      <w:r w:rsidRPr="00A96337">
        <w:rPr>
          <w:lang w:val="en-AU"/>
        </w:rPr>
        <w:t xml:space="preserve"> NGOs (Oxfam) has had substantial experience and is a key partner in two other MSD efforts</w:t>
      </w:r>
      <w:r w:rsidRPr="00A96337">
        <w:rPr>
          <w:vertAlign w:val="superscript"/>
          <w:lang w:val="en-AU"/>
        </w:rPr>
        <w:footnoteReference w:id="7"/>
      </w:r>
      <w:r w:rsidRPr="00A96337">
        <w:rPr>
          <w:lang w:val="en-AU"/>
        </w:rPr>
        <w:t>.</w:t>
      </w:r>
    </w:p>
    <w:p w14:paraId="0E8DBD9C" w14:textId="3EEC2E8D" w:rsidR="002F4F42" w:rsidRPr="00A96337" w:rsidRDefault="002F4F42" w:rsidP="00E42BC8">
      <w:pPr>
        <w:pStyle w:val="BodyText"/>
        <w:rPr>
          <w:lang w:val="en-AU"/>
        </w:rPr>
      </w:pPr>
      <w:r w:rsidRPr="00A96337">
        <w:rPr>
          <w:lang w:val="en-AU"/>
        </w:rPr>
        <w:t xml:space="preserve">The NGOs have carefully co-invested with stakeholders to provide support in two broadly defined areas – </w:t>
      </w:r>
      <w:r w:rsidRPr="00A96337">
        <w:rPr>
          <w:i/>
          <w:iCs/>
          <w:lang w:val="en-AU"/>
        </w:rPr>
        <w:t>Uplift</w:t>
      </w:r>
      <w:r w:rsidRPr="00A96337">
        <w:rPr>
          <w:lang w:val="en-AU"/>
        </w:rPr>
        <w:t xml:space="preserve"> and </w:t>
      </w:r>
      <w:r w:rsidR="003C24E0" w:rsidRPr="00A96337">
        <w:rPr>
          <w:i/>
          <w:iCs/>
          <w:lang w:val="en-AU"/>
        </w:rPr>
        <w:t>Reach</w:t>
      </w:r>
      <w:r w:rsidRPr="00A96337">
        <w:rPr>
          <w:lang w:val="en-AU"/>
        </w:rPr>
        <w:t>.</w:t>
      </w:r>
    </w:p>
    <w:p w14:paraId="6EAFBEA5" w14:textId="6998F487" w:rsidR="002F4F42" w:rsidRPr="00A96337" w:rsidRDefault="002F4F42" w:rsidP="00F8335C">
      <w:pPr>
        <w:pStyle w:val="ListParagraph"/>
        <w:numPr>
          <w:ilvl w:val="0"/>
          <w:numId w:val="43"/>
        </w:numPr>
        <w:ind w:left="397" w:hanging="397"/>
      </w:pPr>
      <w:r w:rsidRPr="00A96337">
        <w:rPr>
          <w:b/>
          <w:bCs/>
        </w:rPr>
        <w:t>Uplift</w:t>
      </w:r>
      <w:r w:rsidRPr="00A96337">
        <w:t>:</w:t>
      </w:r>
    </w:p>
    <w:p w14:paraId="6731A9E3" w14:textId="38301A4A" w:rsidR="002F4F42" w:rsidRPr="00A96337" w:rsidRDefault="002F4F42" w:rsidP="00F8335C">
      <w:pPr>
        <w:pStyle w:val="ListParagraph"/>
        <w:numPr>
          <w:ilvl w:val="1"/>
          <w:numId w:val="43"/>
        </w:numPr>
        <w:ind w:left="794" w:hanging="397"/>
      </w:pPr>
      <w:r w:rsidRPr="00A96337">
        <w:rPr>
          <w:b/>
        </w:rPr>
        <w:t>Mobilise, organise, and empower communities</w:t>
      </w:r>
      <w:r w:rsidRPr="00A96337">
        <w:t>: The NGOs have worked to develop the capacity, confidence, rights, access, and agency of the target communities and groups.</w:t>
      </w:r>
      <w:r w:rsidR="00E42BC8" w:rsidRPr="00A96337">
        <w:t xml:space="preserve"> </w:t>
      </w:r>
      <w:r w:rsidRPr="00A96337">
        <w:t xml:space="preserve">These communities and groups have in consequence become more emancipated, more organised, and more capable of taking considered and informed control of their futures, particularly in the form of their </w:t>
      </w:r>
      <w:r w:rsidR="00C65852" w:rsidRPr="00A96337">
        <w:t>increasingly</w:t>
      </w:r>
      <w:r w:rsidRPr="00A96337">
        <w:t xml:space="preserve"> effective engagement with the Territories’ market systems.</w:t>
      </w:r>
      <w:r w:rsidR="00E42BC8" w:rsidRPr="00A96337">
        <w:t xml:space="preserve"> </w:t>
      </w:r>
      <w:r w:rsidRPr="00A96337">
        <w:t xml:space="preserve">Innovation and entrepreneurship have grown within the communities, allowing for the innovators and entrepreneurs to occupy niche </w:t>
      </w:r>
      <w:bookmarkStart w:id="225" w:name="_Hlk5349573"/>
      <w:r w:rsidRPr="00A96337">
        <w:t xml:space="preserve">private sector </w:t>
      </w:r>
      <w:bookmarkEnd w:id="225"/>
      <w:r w:rsidRPr="00A96337">
        <w:t>roles related to:</w:t>
      </w:r>
    </w:p>
    <w:p w14:paraId="774F63AB" w14:textId="77777777" w:rsidR="002F4F42" w:rsidRPr="00A96337" w:rsidRDefault="002F4F42" w:rsidP="00F8335C">
      <w:pPr>
        <w:pStyle w:val="ListParagraph"/>
        <w:numPr>
          <w:ilvl w:val="5"/>
          <w:numId w:val="43"/>
        </w:numPr>
        <w:ind w:left="1191" w:hanging="397"/>
      </w:pPr>
      <w:r w:rsidRPr="00A96337">
        <w:t>Production of goods that meet the quality, consistency and quantity requirements of consumers;</w:t>
      </w:r>
    </w:p>
    <w:p w14:paraId="3BAFA124" w14:textId="77777777" w:rsidR="002F4F42" w:rsidRPr="00A96337" w:rsidRDefault="002F4F42" w:rsidP="00F8335C">
      <w:pPr>
        <w:pStyle w:val="ListParagraph"/>
        <w:numPr>
          <w:ilvl w:val="5"/>
          <w:numId w:val="43"/>
        </w:numPr>
        <w:ind w:left="1191" w:hanging="397"/>
      </w:pPr>
      <w:r w:rsidRPr="00A96337">
        <w:t>The local provision of reliable, accessible, and affordable inputs and services; and</w:t>
      </w:r>
    </w:p>
    <w:p w14:paraId="5BC5AC08" w14:textId="77777777" w:rsidR="002F4F42" w:rsidRPr="00A96337" w:rsidRDefault="002F4F42" w:rsidP="00F8335C">
      <w:pPr>
        <w:pStyle w:val="ListParagraph"/>
        <w:numPr>
          <w:ilvl w:val="5"/>
          <w:numId w:val="43"/>
        </w:numPr>
        <w:ind w:left="1191" w:hanging="397"/>
      </w:pPr>
      <w:r w:rsidRPr="00A96337">
        <w:t>The establishment of local processing and value addition of product.</w:t>
      </w:r>
    </w:p>
    <w:p w14:paraId="49659376" w14:textId="77777777" w:rsidR="002F4F42" w:rsidRPr="00A96337" w:rsidRDefault="002F4F42" w:rsidP="00F8335C">
      <w:pPr>
        <w:pStyle w:val="ListParagraph"/>
        <w:numPr>
          <w:ilvl w:val="1"/>
          <w:numId w:val="43"/>
        </w:numPr>
        <w:ind w:left="794" w:hanging="397"/>
        <w:rPr>
          <w:bCs/>
        </w:rPr>
      </w:pPr>
      <w:r w:rsidRPr="00A96337">
        <w:rPr>
          <w:b/>
        </w:rPr>
        <w:t xml:space="preserve">Create market-ready actors: </w:t>
      </w:r>
      <w:r w:rsidRPr="00A96337">
        <w:rPr>
          <w:bCs/>
        </w:rPr>
        <w:t>The target beneficiaries have thus become more market ready, making them more attractive, equal, rational, organised and engaging partners for the formal private sector to work with.</w:t>
      </w:r>
      <w:r w:rsidR="00E42BC8" w:rsidRPr="00A96337">
        <w:rPr>
          <w:bCs/>
        </w:rPr>
        <w:t xml:space="preserve"> </w:t>
      </w:r>
      <w:r w:rsidRPr="00A96337">
        <w:rPr>
          <w:bCs/>
        </w:rPr>
        <w:t>The capacity for communities to produce and aggregate product that achieves consistent quality and supply are central achievements.</w:t>
      </w:r>
    </w:p>
    <w:p w14:paraId="58D6E690" w14:textId="77777777" w:rsidR="002F4F42" w:rsidRPr="00A96337" w:rsidRDefault="002F4F42" w:rsidP="00F8335C">
      <w:pPr>
        <w:pStyle w:val="ListParagraph"/>
        <w:numPr>
          <w:ilvl w:val="0"/>
          <w:numId w:val="43"/>
        </w:numPr>
        <w:ind w:left="397" w:hanging="397"/>
      </w:pPr>
      <w:r w:rsidRPr="00A96337">
        <w:rPr>
          <w:b/>
          <w:bCs/>
        </w:rPr>
        <w:t>Reach</w:t>
      </w:r>
      <w:r w:rsidRPr="00A96337">
        <w:t>:</w:t>
      </w:r>
    </w:p>
    <w:p w14:paraId="47581434" w14:textId="5AC6D9E7" w:rsidR="002F4F42" w:rsidRPr="00A96337" w:rsidRDefault="002F4F42" w:rsidP="00F8335C">
      <w:pPr>
        <w:pStyle w:val="ListParagraph"/>
        <w:numPr>
          <w:ilvl w:val="1"/>
          <w:numId w:val="43"/>
        </w:numPr>
        <w:ind w:left="794" w:hanging="397"/>
        <w:rPr>
          <w:bCs/>
        </w:rPr>
      </w:pPr>
      <w:r w:rsidRPr="00A96337">
        <w:rPr>
          <w:b/>
        </w:rPr>
        <w:t>Bridge fraught market relationships:</w:t>
      </w:r>
      <w:r w:rsidR="00E42BC8" w:rsidRPr="00A96337">
        <w:rPr>
          <w:b/>
        </w:rPr>
        <w:t xml:space="preserve"> </w:t>
      </w:r>
      <w:r w:rsidRPr="00A96337">
        <w:rPr>
          <w:bCs/>
        </w:rPr>
        <w:t xml:space="preserve">At the same time, </w:t>
      </w:r>
      <w:r w:rsidR="009B58A0" w:rsidRPr="00A96337">
        <w:rPr>
          <w:bCs/>
        </w:rPr>
        <w:t>AMENCA 3</w:t>
      </w:r>
      <w:r w:rsidRPr="00A96337">
        <w:rPr>
          <w:bCs/>
        </w:rPr>
        <w:t xml:space="preserve"> has worked with the private sector actors to develop their vision, capacity, and confidence to engage with the transformed communities through the supply of goods and services, and by enabling their access to broader, more lucrative markets through the aggregation/value addition of product.</w:t>
      </w:r>
      <w:r w:rsidR="00E42BC8" w:rsidRPr="00A96337">
        <w:rPr>
          <w:bCs/>
        </w:rPr>
        <w:t xml:space="preserve"> </w:t>
      </w:r>
      <w:r w:rsidRPr="00A96337">
        <w:rPr>
          <w:bCs/>
        </w:rPr>
        <w:t xml:space="preserve">This includes </w:t>
      </w:r>
      <w:r w:rsidR="00B36032" w:rsidRPr="00A96337">
        <w:rPr>
          <w:bCs/>
        </w:rPr>
        <w:t xml:space="preserve">catalytic </w:t>
      </w:r>
      <w:r w:rsidRPr="00A96337">
        <w:rPr>
          <w:bCs/>
        </w:rPr>
        <w:t xml:space="preserve">co-investment </w:t>
      </w:r>
      <w:r w:rsidR="00D529DC" w:rsidRPr="00A96337">
        <w:rPr>
          <w:bCs/>
        </w:rPr>
        <w:t xml:space="preserve">by </w:t>
      </w:r>
      <w:r w:rsidR="009B58A0" w:rsidRPr="00A96337">
        <w:rPr>
          <w:bCs/>
        </w:rPr>
        <w:t>AMENCA 3</w:t>
      </w:r>
      <w:r w:rsidR="00D529DC" w:rsidRPr="00A96337">
        <w:rPr>
          <w:bCs/>
        </w:rPr>
        <w:t xml:space="preserve"> </w:t>
      </w:r>
      <w:r w:rsidRPr="00A96337">
        <w:rPr>
          <w:bCs/>
        </w:rPr>
        <w:t>to reduce the cost and risk associated with expanding into new areas.</w:t>
      </w:r>
    </w:p>
    <w:p w14:paraId="190BEC54" w14:textId="77777777" w:rsidR="002F4F42" w:rsidRPr="00A96337" w:rsidRDefault="002F4F42" w:rsidP="00F8335C">
      <w:pPr>
        <w:pStyle w:val="ListParagraph"/>
        <w:numPr>
          <w:ilvl w:val="1"/>
          <w:numId w:val="43"/>
        </w:numPr>
        <w:ind w:left="794" w:hanging="397"/>
        <w:rPr>
          <w:bCs/>
        </w:rPr>
      </w:pPr>
      <w:r w:rsidRPr="00A96337">
        <w:rPr>
          <w:b/>
        </w:rPr>
        <w:t>Mentor and support:</w:t>
      </w:r>
      <w:r w:rsidR="00E42BC8" w:rsidRPr="00A96337">
        <w:rPr>
          <w:b/>
        </w:rPr>
        <w:t xml:space="preserve"> </w:t>
      </w:r>
      <w:r w:rsidRPr="00A96337">
        <w:rPr>
          <w:bCs/>
        </w:rPr>
        <w:t>Business advisers within the NGOs have been required to mentor and support the private sector in establishing sustainable market relationships with community groups, and in helping them persevere in the face of adversity.</w:t>
      </w:r>
    </w:p>
    <w:p w14:paraId="79761965" w14:textId="4E2F4C27" w:rsidR="002F4F42" w:rsidRPr="00A96337" w:rsidRDefault="000E1846" w:rsidP="00F8335C">
      <w:pPr>
        <w:pStyle w:val="ListParagraph"/>
        <w:numPr>
          <w:ilvl w:val="1"/>
          <w:numId w:val="43"/>
        </w:numPr>
        <w:ind w:left="794" w:hanging="397"/>
        <w:rPr>
          <w:bCs/>
        </w:rPr>
      </w:pPr>
      <w:r w:rsidRPr="00A96337">
        <w:rPr>
          <w:b/>
          <w:noProof/>
          <w:lang w:eastAsia="en-AU"/>
        </w:rPr>
        <mc:AlternateContent>
          <mc:Choice Requires="wps">
            <w:drawing>
              <wp:anchor distT="228600" distB="228600" distL="228600" distR="228600" simplePos="0" relativeHeight="251662336" behindDoc="1" locked="0" layoutInCell="1" allowOverlap="1" wp14:anchorId="7B221952" wp14:editId="316D5861">
                <wp:simplePos x="0" y="0"/>
                <wp:positionH relativeFrom="margin">
                  <wp:align>right</wp:align>
                </wp:positionH>
                <wp:positionV relativeFrom="margin">
                  <wp:posOffset>5692871</wp:posOffset>
                </wp:positionV>
                <wp:extent cx="3098165" cy="2484000"/>
                <wp:effectExtent l="0" t="0" r="6985" b="0"/>
                <wp:wrapSquare wrapText="bothSides"/>
                <wp:docPr id="36" name="Text Box 36"/>
                <wp:cNvGraphicFramePr/>
                <a:graphic xmlns:a="http://schemas.openxmlformats.org/drawingml/2006/main">
                  <a:graphicData uri="http://schemas.microsoft.com/office/word/2010/wordprocessingShape">
                    <wps:wsp>
                      <wps:cNvSpPr txBox="1"/>
                      <wps:spPr>
                        <a:xfrm>
                          <a:off x="0" y="0"/>
                          <a:ext cx="3098165" cy="2484000"/>
                        </a:xfrm>
                        <a:prstGeom prst="rect">
                          <a:avLst/>
                        </a:prstGeom>
                        <a:solidFill>
                          <a:schemeClr val="bg1">
                            <a:lumMod val="95000"/>
                          </a:schemeClr>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5A7FF689" w14:textId="77777777" w:rsidR="00AE1954" w:rsidRPr="00CF7F1C" w:rsidRDefault="00AE1954" w:rsidP="002F4F42">
                            <w:pPr>
                              <w:jc w:val="center"/>
                              <w:rPr>
                                <w:rFonts w:ascii="Arial" w:hAnsi="Arial" w:cs="Arial"/>
                                <w:b/>
                                <w:color w:val="B3995D"/>
                                <w:sz w:val="22"/>
                              </w:rPr>
                            </w:pPr>
                            <w:r w:rsidRPr="00CF7F1C">
                              <w:rPr>
                                <w:rFonts w:ascii="Arial" w:hAnsi="Arial" w:cs="Arial"/>
                                <w:b/>
                                <w:color w:val="B3995D"/>
                                <w:sz w:val="22"/>
                              </w:rPr>
                              <w:t xml:space="preserve">The Hybrid Approach: </w:t>
                            </w:r>
                            <w:r w:rsidRPr="00543543">
                              <w:rPr>
                                <w:rFonts w:ascii="Arial" w:hAnsi="Arial" w:cs="Arial"/>
                                <w:b/>
                                <w:i/>
                                <w:iCs/>
                                <w:color w:val="B3995D"/>
                                <w:sz w:val="22"/>
                              </w:rPr>
                              <w:t>Uplift</w:t>
                            </w:r>
                            <w:r w:rsidRPr="00CF7F1C">
                              <w:rPr>
                                <w:rFonts w:ascii="Arial" w:hAnsi="Arial" w:cs="Arial"/>
                                <w:b/>
                                <w:color w:val="B3995D"/>
                                <w:sz w:val="22"/>
                              </w:rPr>
                              <w:t xml:space="preserve"> and </w:t>
                            </w:r>
                            <w:r w:rsidRPr="00543543">
                              <w:rPr>
                                <w:rFonts w:ascii="Arial" w:hAnsi="Arial" w:cs="Arial"/>
                                <w:b/>
                                <w:i/>
                                <w:iCs/>
                                <w:color w:val="B3995D"/>
                                <w:sz w:val="22"/>
                              </w:rPr>
                              <w:t>Reach</w:t>
                            </w:r>
                          </w:p>
                          <w:p w14:paraId="7A21C1DA" w14:textId="2A4EB1A4" w:rsidR="00AE1954" w:rsidRPr="00CF7F1C" w:rsidRDefault="00AE1954" w:rsidP="002F4F42">
                            <w:pPr>
                              <w:rPr>
                                <w:rFonts w:ascii="Arial" w:hAnsi="Arial" w:cs="Arial"/>
                                <w:color w:val="B3995D"/>
                                <w:sz w:val="18"/>
                              </w:rPr>
                            </w:pPr>
                            <w:r w:rsidRPr="00CF7F1C">
                              <w:rPr>
                                <w:rFonts w:ascii="Arial" w:hAnsi="Arial" w:cs="Arial"/>
                                <w:color w:val="B3995D"/>
                                <w:sz w:val="18"/>
                              </w:rPr>
                              <w:t xml:space="preserve">The </w:t>
                            </w:r>
                            <w:r>
                              <w:rPr>
                                <w:rFonts w:ascii="Arial" w:hAnsi="Arial" w:cs="Arial"/>
                                <w:color w:val="B3995D"/>
                                <w:sz w:val="18"/>
                              </w:rPr>
                              <w:t>AMENCA 3</w:t>
                            </w:r>
                            <w:r w:rsidRPr="00CF7F1C">
                              <w:rPr>
                                <w:rFonts w:ascii="Arial" w:hAnsi="Arial" w:cs="Arial"/>
                                <w:color w:val="B3995D"/>
                                <w:sz w:val="18"/>
                              </w:rPr>
                              <w:t xml:space="preserve"> hybrid approach to Market Systems Development uses a smart combination of interventions that provides:</w:t>
                            </w:r>
                          </w:p>
                          <w:p w14:paraId="7C16D176" w14:textId="77777777" w:rsidR="00AE1954" w:rsidRPr="00CF7F1C" w:rsidRDefault="00AE1954" w:rsidP="002F4F42">
                            <w:pPr>
                              <w:rPr>
                                <w:rFonts w:ascii="Arial" w:hAnsi="Arial" w:cs="Arial"/>
                                <w:color w:val="B3995D"/>
                                <w:sz w:val="18"/>
                              </w:rPr>
                            </w:pPr>
                            <w:r w:rsidRPr="00CF7F1C">
                              <w:rPr>
                                <w:rFonts w:ascii="Arial" w:hAnsi="Arial" w:cs="Arial"/>
                                <w:color w:val="B3995D"/>
                                <w:sz w:val="18"/>
                              </w:rPr>
                              <w:t xml:space="preserve">a) </w:t>
                            </w:r>
                            <w:r w:rsidRPr="00543543">
                              <w:rPr>
                                <w:rFonts w:ascii="Arial" w:hAnsi="Arial" w:cs="Arial"/>
                                <w:i/>
                                <w:iCs/>
                                <w:color w:val="B3995D"/>
                                <w:sz w:val="18"/>
                              </w:rPr>
                              <w:t>Uplift</w:t>
                            </w:r>
                            <w:r w:rsidRPr="00CF7F1C">
                              <w:rPr>
                                <w:rFonts w:ascii="Arial" w:hAnsi="Arial" w:cs="Arial"/>
                                <w:color w:val="B3995D"/>
                                <w:sz w:val="18"/>
                              </w:rPr>
                              <w:t xml:space="preserve">: directly ‘empowers’ the poor (especially women and youth) so they are more capable and equipped to engage equally and profitably with value chain actors, and </w:t>
                            </w:r>
                          </w:p>
                          <w:p w14:paraId="126E9315" w14:textId="77777777" w:rsidR="00AE1954" w:rsidRPr="00CF7F1C" w:rsidRDefault="00AE1954" w:rsidP="002F4F42">
                            <w:pPr>
                              <w:rPr>
                                <w:rFonts w:ascii="Arial" w:hAnsi="Arial" w:cs="Arial"/>
                                <w:color w:val="B3995D"/>
                                <w:sz w:val="18"/>
                              </w:rPr>
                            </w:pPr>
                            <w:r w:rsidRPr="00CF7F1C">
                              <w:rPr>
                                <w:rFonts w:ascii="Arial" w:hAnsi="Arial" w:cs="Arial"/>
                                <w:color w:val="B3995D"/>
                                <w:sz w:val="18"/>
                              </w:rPr>
                              <w:t xml:space="preserve">b) </w:t>
                            </w:r>
                            <w:r w:rsidRPr="00B36032">
                              <w:rPr>
                                <w:rFonts w:ascii="Arial" w:hAnsi="Arial" w:cs="Arial"/>
                                <w:i/>
                                <w:iCs/>
                                <w:color w:val="B3995D"/>
                                <w:sz w:val="18"/>
                              </w:rPr>
                              <w:t>Reach</w:t>
                            </w:r>
                            <w:r w:rsidRPr="00CF7F1C">
                              <w:rPr>
                                <w:rFonts w:ascii="Arial" w:hAnsi="Arial" w:cs="Arial"/>
                                <w:color w:val="B3995D"/>
                                <w:sz w:val="18"/>
                              </w:rPr>
                              <w:t>: incentivises private sector market actors to expand their businesses and ‘engage’ with these more capable and organised smallholders in a balanced, equitable, profitable and risk sharing relationship.</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21952" id="Text Box 36" o:spid="_x0000_s1029" type="#_x0000_t202" style="position:absolute;left:0;text-align:left;margin-left:192.75pt;margin-top:448.25pt;width:243.95pt;height:195.6pt;z-index:-251654144;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" fillcolor="#f2f2f2 [3052]" stroked="f" strokeweight=".5pt">
                <v:textbox inset="14.4pt,14.4pt,14.4pt,14.4pt">
                  <w:txbxContent>
                    <w:p w14:paraId="5A7FF689" w14:textId="77777777" w:rsidR="00AE1954" w:rsidRPr="00CF7F1C" w:rsidRDefault="00AE1954" w:rsidP="002F4F42">
                      <w:pPr>
                        <w:jc w:val="center"/>
                        <w:rPr>
                          <w:rFonts w:ascii="Arial" w:hAnsi="Arial" w:cs="Arial"/>
                          <w:b/>
                          <w:color w:val="B3995D"/>
                          <w:sz w:val="22"/>
                        </w:rPr>
                      </w:pPr>
                      <w:r w:rsidRPr="00CF7F1C">
                        <w:rPr>
                          <w:rFonts w:ascii="Arial" w:hAnsi="Arial" w:cs="Arial"/>
                          <w:b/>
                          <w:color w:val="B3995D"/>
                          <w:sz w:val="22"/>
                        </w:rPr>
                        <w:t xml:space="preserve">The Hybrid Approach: </w:t>
                      </w:r>
                      <w:r w:rsidRPr="00543543">
                        <w:rPr>
                          <w:rFonts w:ascii="Arial" w:hAnsi="Arial" w:cs="Arial"/>
                          <w:b/>
                          <w:i/>
                          <w:iCs/>
                          <w:color w:val="B3995D"/>
                          <w:sz w:val="22"/>
                        </w:rPr>
                        <w:t>Uplift</w:t>
                      </w:r>
                      <w:r w:rsidRPr="00CF7F1C">
                        <w:rPr>
                          <w:rFonts w:ascii="Arial" w:hAnsi="Arial" w:cs="Arial"/>
                          <w:b/>
                          <w:color w:val="B3995D"/>
                          <w:sz w:val="22"/>
                        </w:rPr>
                        <w:t xml:space="preserve"> and </w:t>
                      </w:r>
                      <w:r w:rsidRPr="00543543">
                        <w:rPr>
                          <w:rFonts w:ascii="Arial" w:hAnsi="Arial" w:cs="Arial"/>
                          <w:b/>
                          <w:i/>
                          <w:iCs/>
                          <w:color w:val="B3995D"/>
                          <w:sz w:val="22"/>
                        </w:rPr>
                        <w:t>Reach</w:t>
                      </w:r>
                    </w:p>
                    <w:p w14:paraId="7A21C1DA" w14:textId="2A4EB1A4" w:rsidR="00AE1954" w:rsidRPr="00CF7F1C" w:rsidRDefault="00AE1954" w:rsidP="002F4F42">
                      <w:pPr>
                        <w:rPr>
                          <w:rFonts w:ascii="Arial" w:hAnsi="Arial" w:cs="Arial"/>
                          <w:color w:val="B3995D"/>
                          <w:sz w:val="18"/>
                        </w:rPr>
                      </w:pPr>
                      <w:r w:rsidRPr="00CF7F1C">
                        <w:rPr>
                          <w:rFonts w:ascii="Arial" w:hAnsi="Arial" w:cs="Arial"/>
                          <w:color w:val="B3995D"/>
                          <w:sz w:val="18"/>
                        </w:rPr>
                        <w:t xml:space="preserve">The </w:t>
                      </w:r>
                      <w:r>
                        <w:rPr>
                          <w:rFonts w:ascii="Arial" w:hAnsi="Arial" w:cs="Arial"/>
                          <w:color w:val="B3995D"/>
                          <w:sz w:val="18"/>
                        </w:rPr>
                        <w:t>AMENCA 3</w:t>
                      </w:r>
                      <w:r w:rsidRPr="00CF7F1C">
                        <w:rPr>
                          <w:rFonts w:ascii="Arial" w:hAnsi="Arial" w:cs="Arial"/>
                          <w:color w:val="B3995D"/>
                          <w:sz w:val="18"/>
                        </w:rPr>
                        <w:t xml:space="preserve"> hybrid approach to Market Systems Development uses a smart combination of interventions that provides:</w:t>
                      </w:r>
                    </w:p>
                    <w:p w14:paraId="7C16D176" w14:textId="77777777" w:rsidR="00AE1954" w:rsidRPr="00CF7F1C" w:rsidRDefault="00AE1954" w:rsidP="002F4F42">
                      <w:pPr>
                        <w:rPr>
                          <w:rFonts w:ascii="Arial" w:hAnsi="Arial" w:cs="Arial"/>
                          <w:color w:val="B3995D"/>
                          <w:sz w:val="18"/>
                        </w:rPr>
                      </w:pPr>
                      <w:r w:rsidRPr="00CF7F1C">
                        <w:rPr>
                          <w:rFonts w:ascii="Arial" w:hAnsi="Arial" w:cs="Arial"/>
                          <w:color w:val="B3995D"/>
                          <w:sz w:val="18"/>
                        </w:rPr>
                        <w:t xml:space="preserve">a) </w:t>
                      </w:r>
                      <w:r w:rsidRPr="00543543">
                        <w:rPr>
                          <w:rFonts w:ascii="Arial" w:hAnsi="Arial" w:cs="Arial"/>
                          <w:i/>
                          <w:iCs/>
                          <w:color w:val="B3995D"/>
                          <w:sz w:val="18"/>
                        </w:rPr>
                        <w:t>Uplift</w:t>
                      </w:r>
                      <w:r w:rsidRPr="00CF7F1C">
                        <w:rPr>
                          <w:rFonts w:ascii="Arial" w:hAnsi="Arial" w:cs="Arial"/>
                          <w:color w:val="B3995D"/>
                          <w:sz w:val="18"/>
                        </w:rPr>
                        <w:t xml:space="preserve">: directly ‘empowers’ the poor (especially women and youth) so they are more capable and equipped to engage equally and profitably with value chain actors, and </w:t>
                      </w:r>
                    </w:p>
                    <w:p w14:paraId="126E9315" w14:textId="77777777" w:rsidR="00AE1954" w:rsidRPr="00CF7F1C" w:rsidRDefault="00AE1954" w:rsidP="002F4F42">
                      <w:pPr>
                        <w:rPr>
                          <w:rFonts w:ascii="Arial" w:hAnsi="Arial" w:cs="Arial"/>
                          <w:color w:val="B3995D"/>
                          <w:sz w:val="18"/>
                        </w:rPr>
                      </w:pPr>
                      <w:r w:rsidRPr="00CF7F1C">
                        <w:rPr>
                          <w:rFonts w:ascii="Arial" w:hAnsi="Arial" w:cs="Arial"/>
                          <w:color w:val="B3995D"/>
                          <w:sz w:val="18"/>
                        </w:rPr>
                        <w:t xml:space="preserve">b) </w:t>
                      </w:r>
                      <w:r w:rsidRPr="00B36032">
                        <w:rPr>
                          <w:rFonts w:ascii="Arial" w:hAnsi="Arial" w:cs="Arial"/>
                          <w:i/>
                          <w:iCs/>
                          <w:color w:val="B3995D"/>
                          <w:sz w:val="18"/>
                        </w:rPr>
                        <w:t>Reach</w:t>
                      </w:r>
                      <w:r w:rsidRPr="00CF7F1C">
                        <w:rPr>
                          <w:rFonts w:ascii="Arial" w:hAnsi="Arial" w:cs="Arial"/>
                          <w:color w:val="B3995D"/>
                          <w:sz w:val="18"/>
                        </w:rPr>
                        <w:t>: incentivises private sector market actors to expand their businesses and ‘engage’ with these more capable and organised smallholders in a balanced, equitable, profitable and risk sharing relationship.</w:t>
                      </w:r>
                    </w:p>
                  </w:txbxContent>
                </v:textbox>
                <w10:wrap type="square" anchorx="margin" anchory="margin"/>
              </v:shape>
            </w:pict>
          </mc:Fallback>
        </mc:AlternateContent>
      </w:r>
      <w:r w:rsidR="002F4F42" w:rsidRPr="00A96337">
        <w:rPr>
          <w:b/>
        </w:rPr>
        <w:t>Sustain the confidence and trust of the communities:</w:t>
      </w:r>
      <w:r w:rsidR="00E42BC8" w:rsidRPr="00A96337">
        <w:rPr>
          <w:b/>
        </w:rPr>
        <w:t xml:space="preserve"> </w:t>
      </w:r>
      <w:r w:rsidR="002F4F42" w:rsidRPr="00A96337">
        <w:rPr>
          <w:bCs/>
        </w:rPr>
        <w:t>Private Sector partners emphasise that the communities’ confidence in the NGOs has been such that it has allowed the NGOs to sponsor changes that were resisted when previously presented to the communities by the private sector alone (e.g. silage, supplements).</w:t>
      </w:r>
    </w:p>
    <w:bookmarkEnd w:id="224"/>
    <w:p w14:paraId="42B93173" w14:textId="0F08E165" w:rsidR="002F4F42" w:rsidRPr="00A96337" w:rsidRDefault="001C36FA" w:rsidP="00791399">
      <w:pPr>
        <w:pStyle w:val="BodyText"/>
        <w:spacing w:after="240"/>
        <w:rPr>
          <w:lang w:val="en-AU"/>
        </w:rPr>
      </w:pPr>
      <w:r w:rsidRPr="00A96337">
        <w:rPr>
          <w:lang w:val="en-AU"/>
        </w:rPr>
        <w:t>Some of</w:t>
      </w:r>
      <w:r w:rsidR="002F4F42" w:rsidRPr="00A96337">
        <w:rPr>
          <w:lang w:val="en-AU"/>
        </w:rPr>
        <w:t xml:space="preserve"> these </w:t>
      </w:r>
      <w:r w:rsidR="001007D4" w:rsidRPr="00A96337">
        <w:rPr>
          <w:i/>
          <w:iCs/>
          <w:lang w:val="en-AU"/>
        </w:rPr>
        <w:t>uplift</w:t>
      </w:r>
      <w:r w:rsidR="001007D4" w:rsidRPr="00A96337">
        <w:rPr>
          <w:lang w:val="en-AU"/>
        </w:rPr>
        <w:t xml:space="preserve"> </w:t>
      </w:r>
      <w:r w:rsidR="002F4F42" w:rsidRPr="00A96337">
        <w:rPr>
          <w:lang w:val="en-AU"/>
        </w:rPr>
        <w:t xml:space="preserve">roles are not usual MSD functions, the hybrid aspect of the program’s approach having combined more usual NGO roles with the core </w:t>
      </w:r>
      <w:bookmarkStart w:id="226" w:name="_Hlk7186860"/>
      <w:r w:rsidR="002F4F42" w:rsidRPr="00A96337">
        <w:rPr>
          <w:lang w:val="en-AU"/>
        </w:rPr>
        <w:t xml:space="preserve">principles </w:t>
      </w:r>
      <w:bookmarkEnd w:id="226"/>
      <w:r w:rsidR="002F4F42" w:rsidRPr="00A96337">
        <w:rPr>
          <w:lang w:val="en-AU"/>
        </w:rPr>
        <w:t xml:space="preserve">of MSD (although most of these principles are in essence generic attributes reflecting the best practices common to good development). The core set of MSD principles foundational to the hybrid approach now needs to be documented by </w:t>
      </w:r>
      <w:r w:rsidR="0026500C" w:rsidRPr="00A96337">
        <w:rPr>
          <w:lang w:val="en-AU"/>
        </w:rPr>
        <w:t xml:space="preserve">DFAT and </w:t>
      </w:r>
      <w:r w:rsidR="002F4F42" w:rsidRPr="00A96337">
        <w:rPr>
          <w:lang w:val="en-AU"/>
        </w:rPr>
        <w:t>the</w:t>
      </w:r>
      <w:r w:rsidR="00E42BC8" w:rsidRPr="00A96337">
        <w:rPr>
          <w:lang w:val="en-AU"/>
        </w:rPr>
        <w:t xml:space="preserve"> </w:t>
      </w:r>
      <w:r w:rsidR="002F4F42" w:rsidRPr="00A96337">
        <w:rPr>
          <w:lang w:val="en-AU"/>
        </w:rPr>
        <w:t>NGO partners.</w:t>
      </w:r>
      <w:r w:rsidR="00E42BC8" w:rsidRPr="00A96337">
        <w:rPr>
          <w:lang w:val="en-AU"/>
        </w:rPr>
        <w:t xml:space="preserve"> </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477E17" w:rsidRPr="00A96337" w14:paraId="43C76B4A" w14:textId="77777777" w:rsidTr="00477E17">
        <w:trPr>
          <w:trHeight w:val="1207"/>
        </w:trPr>
        <w:tc>
          <w:tcPr>
            <w:tcW w:w="709" w:type="dxa"/>
          </w:tcPr>
          <w:p w14:paraId="3196A8D0" w14:textId="44CF4F32" w:rsidR="00477E17" w:rsidRPr="00A96337" w:rsidRDefault="00477E17" w:rsidP="00477E17">
            <w:pPr>
              <w:pStyle w:val="IntenseQuote"/>
              <w:pBdr>
                <w:bottom w:val="none" w:sz="0" w:space="0" w:color="auto"/>
              </w:pBdr>
              <w:spacing w:before="120" w:after="120" w:line="259" w:lineRule="auto"/>
              <w:ind w:left="0" w:right="124"/>
              <w:rPr>
                <w:rFonts w:ascii="Arial" w:hAnsi="Arial" w:cs="Arial"/>
                <w:i w:val="0"/>
              </w:rPr>
            </w:pPr>
            <w:bookmarkStart w:id="227" w:name="_Ref8461541"/>
            <w:r w:rsidRPr="00A96337">
              <w:rPr>
                <w:rFonts w:ascii="Arial" w:hAnsi="Arial" w:cs="Arial"/>
                <w:i w:val="0"/>
                <w:noProof/>
                <w:lang w:eastAsia="en-AU"/>
              </w:rPr>
              <w:drawing>
                <wp:inline distT="0" distB="0" distL="0" distR="0" wp14:anchorId="601E18CA" wp14:editId="60F00DE9">
                  <wp:extent cx="267419" cy="330844"/>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307" w:type="dxa"/>
          </w:tcPr>
          <w:p w14:paraId="12F45E04" w14:textId="269016B6" w:rsidR="00477E17" w:rsidRPr="00A96337" w:rsidRDefault="005E0C40" w:rsidP="00F8335C">
            <w:pPr>
              <w:pStyle w:val="IntenseQuote"/>
              <w:numPr>
                <w:ilvl w:val="0"/>
                <w:numId w:val="30"/>
              </w:numPr>
              <w:pBdr>
                <w:bottom w:val="none" w:sz="0" w:space="0" w:color="auto"/>
              </w:pBdr>
              <w:spacing w:before="120" w:after="120" w:line="259" w:lineRule="auto"/>
              <w:ind w:left="0" w:right="0" w:firstLine="0"/>
              <w:rPr>
                <w:rFonts w:ascii="Arial" w:hAnsi="Arial" w:cs="Arial"/>
                <w:b w:val="0"/>
                <w:bCs w:val="0"/>
                <w:i w:val="0"/>
              </w:rPr>
            </w:pPr>
            <w:bookmarkStart w:id="228" w:name="_Ref11932486"/>
            <w:bookmarkEnd w:id="227"/>
            <w:r w:rsidRPr="00A96337">
              <w:rPr>
                <w:rFonts w:ascii="Arial" w:hAnsi="Arial" w:cs="Arial"/>
                <w:i w:val="0"/>
                <w:color w:val="5482AB"/>
              </w:rPr>
              <w:t>Clearly articulate the hybrid model:</w:t>
            </w:r>
            <w:r w:rsidRPr="00A96337">
              <w:rPr>
                <w:rFonts w:ascii="Arial" w:hAnsi="Arial" w:cs="Arial"/>
                <w:b w:val="0"/>
                <w:bCs w:val="0"/>
                <w:i w:val="0"/>
                <w:color w:val="5482AB"/>
              </w:rPr>
              <w:t xml:space="preserve"> </w:t>
            </w:r>
            <w:r w:rsidR="009B58A0" w:rsidRPr="00A96337">
              <w:rPr>
                <w:rFonts w:ascii="Arial" w:hAnsi="Arial" w:cs="Arial"/>
                <w:b w:val="0"/>
                <w:bCs w:val="0"/>
                <w:i w:val="0"/>
                <w:color w:val="5482AB"/>
              </w:rPr>
              <w:t>AMENCA 3</w:t>
            </w:r>
            <w:r w:rsidRPr="00A96337">
              <w:rPr>
                <w:rFonts w:ascii="Arial" w:hAnsi="Arial" w:cs="Arial"/>
                <w:b w:val="0"/>
                <w:bCs w:val="0"/>
                <w:i w:val="0"/>
                <w:color w:val="5482AB"/>
              </w:rPr>
              <w:t xml:space="preserve"> partners have developed some common understandings of the hybrid MSD model but these remain undocumented and hence open to interpretation.  DFAT, the MSD adviser and </w:t>
            </w:r>
            <w:r w:rsidR="001007D4" w:rsidRPr="00A96337">
              <w:rPr>
                <w:rFonts w:ascii="Arial" w:hAnsi="Arial" w:cs="Arial"/>
                <w:b w:val="0"/>
                <w:bCs w:val="0"/>
                <w:i w:val="0"/>
                <w:color w:val="5482AB"/>
              </w:rPr>
              <w:t>I</w:t>
            </w:r>
            <w:r w:rsidRPr="00A96337">
              <w:rPr>
                <w:rFonts w:ascii="Arial" w:hAnsi="Arial" w:cs="Arial"/>
                <w:b w:val="0"/>
                <w:bCs w:val="0"/>
                <w:i w:val="0"/>
                <w:color w:val="5482AB"/>
              </w:rPr>
              <w:t xml:space="preserve">NGO partners should work together to agree on a description of the </w:t>
            </w:r>
            <w:r w:rsidR="009B58A0" w:rsidRPr="00A96337">
              <w:rPr>
                <w:rFonts w:ascii="Arial" w:hAnsi="Arial" w:cs="Arial"/>
                <w:b w:val="0"/>
                <w:bCs w:val="0"/>
                <w:i w:val="0"/>
                <w:color w:val="5482AB"/>
              </w:rPr>
              <w:t>AMENCA 3</w:t>
            </w:r>
            <w:r w:rsidRPr="00A96337">
              <w:rPr>
                <w:rFonts w:ascii="Arial" w:hAnsi="Arial" w:cs="Arial"/>
                <w:b w:val="0"/>
                <w:bCs w:val="0"/>
                <w:i w:val="0"/>
                <w:color w:val="5482AB"/>
              </w:rPr>
              <w:t xml:space="preserve"> hybrid approach and the principles behind it by </w:t>
            </w:r>
            <w:r w:rsidR="001007D4" w:rsidRPr="00A96337">
              <w:rPr>
                <w:rFonts w:ascii="Arial" w:hAnsi="Arial" w:cs="Arial"/>
                <w:b w:val="0"/>
                <w:bCs w:val="0"/>
                <w:i w:val="0"/>
                <w:color w:val="5482AB"/>
              </w:rPr>
              <w:t xml:space="preserve">the </w:t>
            </w:r>
            <w:r w:rsidRPr="00A96337">
              <w:rPr>
                <w:rFonts w:ascii="Arial" w:hAnsi="Arial" w:cs="Arial"/>
                <w:b w:val="0"/>
                <w:bCs w:val="0"/>
                <w:i w:val="0"/>
                <w:color w:val="5482AB"/>
              </w:rPr>
              <w:t xml:space="preserve">end </w:t>
            </w:r>
            <w:r w:rsidR="00C264C2" w:rsidRPr="00A96337">
              <w:rPr>
                <w:rFonts w:ascii="Arial" w:hAnsi="Arial" w:cs="Arial"/>
                <w:b w:val="0"/>
                <w:bCs w:val="0"/>
                <w:i w:val="0"/>
                <w:color w:val="5482AB"/>
              </w:rPr>
              <w:t xml:space="preserve">of </w:t>
            </w:r>
            <w:r w:rsidRPr="00A96337">
              <w:rPr>
                <w:rFonts w:ascii="Arial" w:hAnsi="Arial" w:cs="Arial"/>
                <w:b w:val="0"/>
                <w:bCs w:val="0"/>
                <w:i w:val="0"/>
                <w:color w:val="5482AB"/>
              </w:rPr>
              <w:t>2019 to inform future investments.</w:t>
            </w:r>
            <w:bookmarkEnd w:id="228"/>
          </w:p>
        </w:tc>
      </w:tr>
    </w:tbl>
    <w:p w14:paraId="706F715A" w14:textId="4AE4480C" w:rsidR="00FD7877" w:rsidRPr="00A96337" w:rsidRDefault="00FD7877" w:rsidP="0063506C">
      <w:pPr>
        <w:spacing w:after="240" w:line="276" w:lineRule="auto"/>
        <w:rPr>
          <w:rFonts w:ascii="Arial" w:eastAsia="Arial" w:hAnsi="Arial" w:cs="Arial"/>
          <w:szCs w:val="19"/>
        </w:rPr>
      </w:pPr>
    </w:p>
    <w:tbl>
      <w:tblPr>
        <w:tblStyle w:val="TableGrid"/>
        <w:tblW w:w="0" w:type="auto"/>
        <w:tblInd w:w="0" w:type="dxa"/>
        <w:tblBorders>
          <w:top w:val="single" w:sz="24" w:space="0" w:color="B3995D"/>
          <w:left w:val="none" w:sz="0" w:space="0" w:color="auto"/>
          <w:bottom w:val="single" w:sz="24" w:space="0" w:color="B3995D"/>
          <w:right w:val="none" w:sz="0" w:space="0" w:color="auto"/>
          <w:insideH w:val="none" w:sz="0" w:space="0" w:color="auto"/>
          <w:insideV w:val="none" w:sz="0" w:space="0" w:color="auto"/>
        </w:tblBorders>
        <w:tblLook w:val="04A0" w:firstRow="1" w:lastRow="0" w:firstColumn="1" w:lastColumn="0" w:noHBand="0" w:noVBand="1"/>
      </w:tblPr>
      <w:tblGrid>
        <w:gridCol w:w="4708"/>
        <w:gridCol w:w="4318"/>
      </w:tblGrid>
      <w:tr w:rsidR="007955DF" w:rsidRPr="00A96337" w14:paraId="5AFC37E9" w14:textId="77777777" w:rsidTr="003F53F7">
        <w:tc>
          <w:tcPr>
            <w:tcW w:w="9026" w:type="dxa"/>
            <w:gridSpan w:val="2"/>
          </w:tcPr>
          <w:p w14:paraId="08C362D2" w14:textId="77777777" w:rsidR="007955DF" w:rsidRPr="00A96337" w:rsidRDefault="007955DF" w:rsidP="007955DF">
            <w:pPr>
              <w:spacing w:before="0" w:after="240"/>
              <w:rPr>
                <w:rFonts w:ascii="Arial" w:eastAsiaTheme="majorEastAsia" w:hAnsi="Arial" w:cs="Arial"/>
                <w:b/>
                <w:color w:val="B3995D"/>
                <w:sz w:val="24"/>
                <w:szCs w:val="36"/>
              </w:rPr>
            </w:pPr>
            <w:r w:rsidRPr="00A96337">
              <w:rPr>
                <w:rFonts w:ascii="Arial" w:eastAsiaTheme="majorEastAsia" w:hAnsi="Arial" w:cs="Arial"/>
                <w:b/>
                <w:color w:val="B3995D"/>
                <w:sz w:val="24"/>
                <w:szCs w:val="36"/>
              </w:rPr>
              <w:t>Milking More Money from Less Labour</w:t>
            </w:r>
          </w:p>
          <w:p w14:paraId="4AB2D640" w14:textId="77777777" w:rsidR="007955DF" w:rsidRPr="00A96337" w:rsidRDefault="007955DF" w:rsidP="007955DF">
            <w:pPr>
              <w:rPr>
                <w:rFonts w:ascii="Arial" w:hAnsi="Arial" w:cs="Arial"/>
                <w:color w:val="808080" w:themeColor="background1" w:themeShade="80"/>
                <w:sz w:val="18"/>
              </w:rPr>
            </w:pPr>
            <w:r w:rsidRPr="00A96337">
              <w:rPr>
                <w:rFonts w:ascii="Arial" w:hAnsi="Arial" w:cs="Arial"/>
                <w:color w:val="808080" w:themeColor="background1" w:themeShade="80"/>
                <w:sz w:val="18"/>
              </w:rPr>
              <w:t>In Tubas in northern West Bank, CARE has brought together a series of parallel interventions that have opened up a new sector: fresh sheep milk sold into retail markets. For the first time, instead of having to spend 4-5 hours a day making cheese and selling it to visiting traders at the lowest possible price, women are able to bring their raw milk to a collection hub that fetches a good price from a commercial dairy company.</w:t>
            </w:r>
          </w:p>
          <w:p w14:paraId="49D2256C" w14:textId="623355A1" w:rsidR="007955DF" w:rsidRPr="00A96337" w:rsidRDefault="007955DF" w:rsidP="007955DF">
            <w:pPr>
              <w:rPr>
                <w:rFonts w:ascii="Arial" w:hAnsi="Arial" w:cs="Arial"/>
                <w:color w:val="808080" w:themeColor="background1" w:themeShade="80"/>
                <w:sz w:val="18"/>
              </w:rPr>
            </w:pPr>
            <w:r w:rsidRPr="00A96337">
              <w:rPr>
                <w:rFonts w:ascii="Arial" w:hAnsi="Arial" w:cs="Arial"/>
                <w:color w:val="808080" w:themeColor="background1" w:themeShade="80"/>
                <w:sz w:val="18"/>
              </w:rPr>
              <w:t xml:space="preserve">The hybrid MSD approach has been absolutely essential to the success of this model. No amount of support to the dairy company </w:t>
            </w:r>
            <w:r w:rsidR="00C264C2" w:rsidRPr="00A96337">
              <w:rPr>
                <w:rFonts w:ascii="Arial" w:hAnsi="Arial" w:cs="Arial"/>
                <w:color w:val="808080" w:themeColor="background1" w:themeShade="80"/>
                <w:sz w:val="18"/>
              </w:rPr>
              <w:t xml:space="preserve">alone </w:t>
            </w:r>
            <w:r w:rsidRPr="00A96337">
              <w:rPr>
                <w:rFonts w:ascii="Arial" w:hAnsi="Arial" w:cs="Arial"/>
                <w:color w:val="808080" w:themeColor="background1" w:themeShade="80"/>
                <w:sz w:val="18"/>
              </w:rPr>
              <w:t>would have made it worth their while purchasing milk from Tubas when yields were so low and seasonal, production fragmented amongst individual smallholders, quality and safety unknowable, and chilling unavailable. All of these issues needed to be addressed simultaneously, and the aggregation effect crystallised by the transformation of a relatively we</w:t>
            </w:r>
            <w:r w:rsidR="00DF6DC1" w:rsidRPr="00A96337">
              <w:rPr>
                <w:rFonts w:ascii="Arial" w:hAnsi="Arial" w:cs="Arial"/>
                <w:color w:val="808080" w:themeColor="background1" w:themeShade="80"/>
                <w:sz w:val="18"/>
              </w:rPr>
              <w:t>a</w:t>
            </w:r>
            <w:r w:rsidRPr="00A96337">
              <w:rPr>
                <w:rFonts w:ascii="Arial" w:hAnsi="Arial" w:cs="Arial"/>
                <w:color w:val="808080" w:themeColor="background1" w:themeShade="80"/>
                <w:sz w:val="18"/>
              </w:rPr>
              <w:t>k women’s CBO into a professional milk aggregator owned and run by small scale female sheep farmers themselves.</w:t>
            </w:r>
          </w:p>
          <w:p w14:paraId="1DF287B6" w14:textId="03DFDF77" w:rsidR="007955DF" w:rsidRPr="00A96337" w:rsidRDefault="007955DF" w:rsidP="007955DF">
            <w:pPr>
              <w:rPr>
                <w:rFonts w:ascii="Arial" w:hAnsi="Arial" w:cs="Arial"/>
                <w:color w:val="808080" w:themeColor="background1" w:themeShade="80"/>
                <w:sz w:val="18"/>
              </w:rPr>
            </w:pPr>
            <w:r w:rsidRPr="00A96337">
              <w:rPr>
                <w:rFonts w:ascii="Arial" w:hAnsi="Arial" w:cs="Arial"/>
                <w:color w:val="808080" w:themeColor="background1" w:themeShade="80"/>
                <w:sz w:val="18"/>
              </w:rPr>
              <w:t>Some of the gaps in the value chain could only be filled by direct provision of equipment such as chillers and testing equipment; other interventions such as the introduction of silage (high quality fodder) and milk powder for early weaning were on a ‘try before you buy’ basis accompanied by farmer training. Alongside these were traditional MSD interventions where the dairy company is incentivised by co-investment to test the feasibility of purchasing from smallholders.</w:t>
            </w:r>
          </w:p>
          <w:p w14:paraId="7C4D2509" w14:textId="63A9A989" w:rsidR="007955DF" w:rsidRPr="00A96337" w:rsidRDefault="007955DF" w:rsidP="007955DF">
            <w:pPr>
              <w:rPr>
                <w:rFonts w:ascii="Arial" w:hAnsi="Arial" w:cs="Arial"/>
                <w:color w:val="808080" w:themeColor="background1" w:themeShade="80"/>
                <w:sz w:val="18"/>
              </w:rPr>
            </w:pPr>
            <w:r w:rsidRPr="00A96337">
              <w:rPr>
                <w:rFonts w:ascii="Arial" w:hAnsi="Arial" w:cs="Arial"/>
                <w:color w:val="808080" w:themeColor="background1" w:themeShade="80"/>
                <w:sz w:val="18"/>
              </w:rPr>
              <w:t xml:space="preserve">Another critical factor that relied on the hybrid approach was the empowerment of women to break traditional restrictions on mobility and engagement in technical and financial matters; without this the intervention </w:t>
            </w:r>
            <w:r w:rsidR="00C264C2" w:rsidRPr="00A96337">
              <w:rPr>
                <w:rFonts w:ascii="Arial" w:hAnsi="Arial" w:cs="Arial"/>
                <w:color w:val="808080" w:themeColor="background1" w:themeShade="80"/>
                <w:sz w:val="18"/>
              </w:rPr>
              <w:t>c</w:t>
            </w:r>
            <w:r w:rsidRPr="00A96337">
              <w:rPr>
                <w:rFonts w:ascii="Arial" w:hAnsi="Arial" w:cs="Arial"/>
                <w:color w:val="808080" w:themeColor="background1" w:themeShade="80"/>
                <w:sz w:val="18"/>
              </w:rPr>
              <w:t>ould have resulted in elite capture by male herders with larger resources.</w:t>
            </w:r>
          </w:p>
          <w:p w14:paraId="01F62529" w14:textId="13C6149C" w:rsidR="007955DF" w:rsidRPr="00A96337" w:rsidRDefault="007955DF" w:rsidP="00847527">
            <w:pPr>
              <w:rPr>
                <w:b/>
                <w:noProof/>
              </w:rPr>
            </w:pPr>
            <w:r w:rsidRPr="00A96337">
              <w:rPr>
                <w:rFonts w:ascii="Arial" w:hAnsi="Arial" w:cs="Arial"/>
                <w:color w:val="808080" w:themeColor="background1" w:themeShade="80"/>
                <w:sz w:val="18"/>
              </w:rPr>
              <w:t>The success of the intervention was evident in the women running the collection hub and in the ‘crowding in’</w:t>
            </w:r>
            <w:r w:rsidR="005D3FAC" w:rsidRPr="00A96337">
              <w:rPr>
                <w:rStyle w:val="FootnoteReference"/>
                <w:rFonts w:ascii="Arial" w:hAnsi="Arial" w:cs="Arial"/>
                <w:color w:val="808080" w:themeColor="background1" w:themeShade="80"/>
                <w:sz w:val="18"/>
              </w:rPr>
              <w:footnoteReference w:id="8"/>
            </w:r>
            <w:r w:rsidRPr="00A96337">
              <w:rPr>
                <w:rFonts w:ascii="Arial" w:hAnsi="Arial" w:cs="Arial"/>
                <w:color w:val="808080" w:themeColor="background1" w:themeShade="80"/>
                <w:sz w:val="18"/>
              </w:rPr>
              <w:t xml:space="preserve"> of five other dairy companies eager to exploit emerging domestic markets in sheep milk, yoghurt and cheese products.</w:t>
            </w:r>
          </w:p>
        </w:tc>
      </w:tr>
      <w:tr w:rsidR="00FD7877" w:rsidRPr="00A96337" w14:paraId="66312964" w14:textId="77777777" w:rsidTr="00CB5CD1">
        <w:tc>
          <w:tcPr>
            <w:tcW w:w="4708" w:type="dxa"/>
          </w:tcPr>
          <w:p w14:paraId="65679C5B" w14:textId="7AB40103" w:rsidR="00FD7877" w:rsidRPr="00A96337" w:rsidRDefault="00FD7877" w:rsidP="00ED3AA1">
            <w:pPr>
              <w:spacing w:before="0" w:after="120"/>
              <w:rPr>
                <w:rFonts w:ascii="Arial" w:eastAsiaTheme="majorEastAsia" w:hAnsi="Arial" w:cs="Arial"/>
                <w:b/>
                <w:color w:val="7F7F7F" w:themeColor="text1" w:themeTint="80"/>
                <w:sz w:val="24"/>
                <w:szCs w:val="36"/>
              </w:rPr>
            </w:pPr>
            <w:r w:rsidRPr="00A96337">
              <w:rPr>
                <w:noProof/>
                <w:lang w:eastAsia="en-AU"/>
              </w:rPr>
              <w:drawing>
                <wp:inline distT="0" distB="0" distL="0" distR="0" wp14:anchorId="6205849B" wp14:editId="75F02790">
                  <wp:extent cx="2619375" cy="1781178"/>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223.JPG"/>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2619375" cy="1781178"/>
                          </a:xfrm>
                          <a:prstGeom prst="rect">
                            <a:avLst/>
                          </a:prstGeom>
                          <a:ln>
                            <a:noFill/>
                          </a:ln>
                          <a:extLst>
                            <a:ext uri="{53640926-AAD7-44D8-BBD7-CCE9431645EC}">
                              <a14:shadowObscured xmlns:a14="http://schemas.microsoft.com/office/drawing/2010/main"/>
                            </a:ext>
                          </a:extLst>
                        </pic:spPr>
                      </pic:pic>
                    </a:graphicData>
                  </a:graphic>
                </wp:inline>
              </w:drawing>
            </w:r>
          </w:p>
        </w:tc>
        <w:tc>
          <w:tcPr>
            <w:tcW w:w="4318" w:type="dxa"/>
          </w:tcPr>
          <w:p w14:paraId="52E63FFA" w14:textId="724BC4F1" w:rsidR="00FD7877" w:rsidRPr="00A96337" w:rsidRDefault="00FD7877" w:rsidP="00ED3AA1">
            <w:pPr>
              <w:spacing w:before="0" w:after="120"/>
              <w:jc w:val="right"/>
              <w:rPr>
                <w:noProof/>
              </w:rPr>
            </w:pPr>
            <w:r w:rsidRPr="00A96337">
              <w:rPr>
                <w:noProof/>
                <w:lang w:eastAsia="en-AU"/>
              </w:rPr>
              <w:drawing>
                <wp:inline distT="0" distB="0" distL="0" distR="0" wp14:anchorId="5FCF38E0" wp14:editId="1356DF12">
                  <wp:extent cx="2390775" cy="17921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2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90775" cy="1792163"/>
                          </a:xfrm>
                          <a:prstGeom prst="rect">
                            <a:avLst/>
                          </a:prstGeom>
                        </pic:spPr>
                      </pic:pic>
                    </a:graphicData>
                  </a:graphic>
                </wp:inline>
              </w:drawing>
            </w:r>
          </w:p>
        </w:tc>
      </w:tr>
    </w:tbl>
    <w:p w14:paraId="01AA4EEE" w14:textId="5A1DCBDC" w:rsidR="002F4F42" w:rsidRPr="00A96337" w:rsidRDefault="002F4F42" w:rsidP="0063506C">
      <w:pPr>
        <w:pStyle w:val="BodyText"/>
        <w:spacing w:before="240"/>
        <w:rPr>
          <w:lang w:val="en-AU"/>
        </w:rPr>
      </w:pPr>
      <w:r w:rsidRPr="00A96337">
        <w:rPr>
          <w:lang w:val="en-AU"/>
        </w:rPr>
        <w:t xml:space="preserve">If lessons are to be learned, and good practices promoted and emulated, the following are essential principles for all </w:t>
      </w:r>
      <w:r w:rsidR="009B58A0" w:rsidRPr="00A96337">
        <w:rPr>
          <w:lang w:val="en-AU"/>
        </w:rPr>
        <w:t>AMENCA 3</w:t>
      </w:r>
      <w:r w:rsidRPr="00A96337">
        <w:rPr>
          <w:lang w:val="en-AU"/>
        </w:rPr>
        <w:t xml:space="preserve"> interventions, whether they be </w:t>
      </w:r>
      <w:r w:rsidR="00A93D0E" w:rsidRPr="00A96337">
        <w:rPr>
          <w:i/>
          <w:iCs/>
          <w:lang w:val="en-AU"/>
        </w:rPr>
        <w:t>up</w:t>
      </w:r>
      <w:r w:rsidR="006E75A7" w:rsidRPr="00A96337">
        <w:rPr>
          <w:i/>
          <w:iCs/>
          <w:lang w:val="en-AU"/>
        </w:rPr>
        <w:t>lift,</w:t>
      </w:r>
      <w:r w:rsidR="00843831" w:rsidRPr="00A96337">
        <w:rPr>
          <w:i/>
          <w:iCs/>
          <w:lang w:val="en-AU"/>
        </w:rPr>
        <w:t xml:space="preserve"> </w:t>
      </w:r>
      <w:r w:rsidR="00EA1AB0" w:rsidRPr="00A96337">
        <w:rPr>
          <w:lang w:val="en-AU"/>
        </w:rPr>
        <w:t>or</w:t>
      </w:r>
      <w:r w:rsidR="006E75A7" w:rsidRPr="00A96337">
        <w:rPr>
          <w:i/>
          <w:iCs/>
          <w:lang w:val="en-AU"/>
        </w:rPr>
        <w:t xml:space="preserve"> </w:t>
      </w:r>
      <w:r w:rsidR="00EA1AB0" w:rsidRPr="00A96337">
        <w:rPr>
          <w:i/>
          <w:iCs/>
          <w:lang w:val="en-AU"/>
        </w:rPr>
        <w:t>reach</w:t>
      </w:r>
      <w:r w:rsidRPr="00A96337">
        <w:rPr>
          <w:lang w:val="en-AU"/>
        </w:rPr>
        <w:t xml:space="preserve"> </w:t>
      </w:r>
      <w:r w:rsidR="00EA1AB0" w:rsidRPr="00A96337">
        <w:rPr>
          <w:lang w:val="en-AU"/>
        </w:rPr>
        <w:t>interventions</w:t>
      </w:r>
      <w:r w:rsidRPr="00A96337">
        <w:rPr>
          <w:lang w:val="en-AU"/>
        </w:rPr>
        <w:t>:</w:t>
      </w:r>
    </w:p>
    <w:p w14:paraId="7DA2A300" w14:textId="77777777" w:rsidR="002F4F42" w:rsidRPr="00A96337" w:rsidRDefault="002F4F42" w:rsidP="00E50F49">
      <w:pPr>
        <w:pStyle w:val="Dotpoint"/>
      </w:pPr>
      <w:r w:rsidRPr="00A96337">
        <w:t>A systems-based analysis to identify the evidence and market entry points.</w:t>
      </w:r>
    </w:p>
    <w:p w14:paraId="63542D16" w14:textId="77777777" w:rsidR="002F4F42" w:rsidRPr="00A96337" w:rsidRDefault="002F4F42" w:rsidP="00E50F49">
      <w:pPr>
        <w:pStyle w:val="Dotpoint"/>
      </w:pPr>
      <w:r w:rsidRPr="00A96337">
        <w:t>A carefully crafted and regularly reviewed results chain for all interventions developed.</w:t>
      </w:r>
    </w:p>
    <w:p w14:paraId="2F529490" w14:textId="77777777" w:rsidR="002F4F42" w:rsidRPr="00A96337" w:rsidRDefault="002F4F42" w:rsidP="00E50F49">
      <w:pPr>
        <w:pStyle w:val="Dotpoint"/>
      </w:pPr>
      <w:r w:rsidRPr="00A96337">
        <w:t xml:space="preserve">The undertaking of all work </w:t>
      </w:r>
      <w:r w:rsidRPr="00A96337" w:rsidDel="00A40EF0">
        <w:t>through system partners</w:t>
      </w:r>
      <w:r w:rsidRPr="00A96337">
        <w:t xml:space="preserve"> – the NGOs should generally refrain from becoming actors in their own right but can provide direct support if no other mechanisms exist</w:t>
      </w:r>
      <w:r w:rsidRPr="00A96337">
        <w:rPr>
          <w:rStyle w:val="FootnoteReference"/>
        </w:rPr>
        <w:footnoteReference w:id="9"/>
      </w:r>
      <w:r w:rsidRPr="00A96337">
        <w:t>.</w:t>
      </w:r>
    </w:p>
    <w:p w14:paraId="0E1A1D8D" w14:textId="77777777" w:rsidR="002F4F42" w:rsidRPr="00A96337" w:rsidRDefault="002F4F42" w:rsidP="00E50F49">
      <w:pPr>
        <w:pStyle w:val="Dotpoint"/>
      </w:pPr>
      <w:r w:rsidRPr="00A96337">
        <w:t xml:space="preserve">Catalytic co-investment, as all partners should be expected to co-invest and have “skin-in-the-game” be it for </w:t>
      </w:r>
      <w:r w:rsidRPr="00A96337">
        <w:rPr>
          <w:i/>
          <w:iCs/>
        </w:rPr>
        <w:t>uplift</w:t>
      </w:r>
      <w:r w:rsidRPr="00A96337">
        <w:t xml:space="preserve"> or </w:t>
      </w:r>
      <w:r w:rsidRPr="00A96337">
        <w:rPr>
          <w:i/>
          <w:iCs/>
        </w:rPr>
        <w:t>reach</w:t>
      </w:r>
      <w:r w:rsidRPr="00A96337">
        <w:t xml:space="preserve"> outcomes.</w:t>
      </w:r>
    </w:p>
    <w:p w14:paraId="1AEC5768" w14:textId="77777777" w:rsidR="002F4F42" w:rsidRPr="00A96337" w:rsidRDefault="002F4F42" w:rsidP="00E50F49">
      <w:pPr>
        <w:pStyle w:val="Dotpoint"/>
      </w:pPr>
      <w:r w:rsidRPr="00A96337">
        <w:t>Facilitation (as opposed to direct delivery) wherever feasible.</w:t>
      </w:r>
    </w:p>
    <w:p w14:paraId="77E1F88F" w14:textId="5C85EB36" w:rsidR="002F4F42" w:rsidRPr="00A96337" w:rsidRDefault="002F4F42" w:rsidP="00F8335C">
      <w:pPr>
        <w:pStyle w:val="Heading2"/>
        <w:ind w:left="851" w:hanging="851"/>
      </w:pPr>
      <w:bookmarkStart w:id="229" w:name="_Toc7238680"/>
      <w:bookmarkStart w:id="230" w:name="_Toc7238793"/>
      <w:bookmarkStart w:id="231" w:name="_Toc7959511"/>
      <w:bookmarkStart w:id="232" w:name="_Toc7959644"/>
      <w:bookmarkStart w:id="233" w:name="_Toc8130902"/>
      <w:bookmarkStart w:id="234" w:name="_Toc8978040"/>
      <w:bookmarkStart w:id="235" w:name="_Toc12364813"/>
      <w:bookmarkEnd w:id="229"/>
      <w:bookmarkEnd w:id="230"/>
      <w:bookmarkEnd w:id="231"/>
      <w:bookmarkEnd w:id="232"/>
      <w:bookmarkEnd w:id="233"/>
      <w:r w:rsidRPr="00A96337">
        <w:t xml:space="preserve">What results has </w:t>
      </w:r>
      <w:r w:rsidR="009B58A0" w:rsidRPr="00A96337">
        <w:t>AMENCA</w:t>
      </w:r>
      <w:r w:rsidR="00C12B00">
        <w:t xml:space="preserve"> </w:t>
      </w:r>
      <w:r w:rsidR="009B58A0" w:rsidRPr="00A96337">
        <w:t>3</w:t>
      </w:r>
      <w:r w:rsidRPr="00A96337">
        <w:t xml:space="preserve"> achieved to date? Do these achievements indicate the Program is on track to realise its objectives?</w:t>
      </w:r>
      <w:bookmarkEnd w:id="234"/>
      <w:bookmarkEnd w:id="235"/>
      <w:r w:rsidRPr="00A96337">
        <w:t xml:space="preserve"> </w:t>
      </w:r>
    </w:p>
    <w:p w14:paraId="3309869A" w14:textId="4BC1B4AF" w:rsidR="002F4F42" w:rsidRPr="00A96337" w:rsidRDefault="002F4F42" w:rsidP="00E42BC8">
      <w:pPr>
        <w:pStyle w:val="BodyText"/>
        <w:rPr>
          <w:lang w:val="en-AU"/>
        </w:rPr>
      </w:pPr>
      <w:bookmarkStart w:id="236" w:name="_Toc7959503"/>
      <w:bookmarkStart w:id="237" w:name="_Toc7959636"/>
      <w:bookmarkStart w:id="238" w:name="_Toc8130894"/>
      <w:bookmarkEnd w:id="236"/>
      <w:bookmarkEnd w:id="237"/>
      <w:bookmarkEnd w:id="238"/>
      <w:r w:rsidRPr="00A96337">
        <w:rPr>
          <w:lang w:val="en-AU"/>
        </w:rPr>
        <w:t xml:space="preserve">Despite early problems with understanding and accepting a new ‘market’ approach, challenges with advisory mechanisms, and </w:t>
      </w:r>
      <w:r w:rsidR="00DF6DC1" w:rsidRPr="00A96337">
        <w:rPr>
          <w:lang w:val="en-AU"/>
        </w:rPr>
        <w:t xml:space="preserve">low initial </w:t>
      </w:r>
      <w:r w:rsidRPr="00A96337">
        <w:rPr>
          <w:lang w:val="en-AU"/>
        </w:rPr>
        <w:t xml:space="preserve">expenditure, </w:t>
      </w:r>
      <w:r w:rsidR="009B58A0" w:rsidRPr="00A96337">
        <w:rPr>
          <w:lang w:val="en-AU"/>
        </w:rPr>
        <w:t>AMENCA 3</w:t>
      </w:r>
      <w:r w:rsidRPr="00A96337">
        <w:rPr>
          <w:lang w:val="en-AU"/>
        </w:rPr>
        <w:t xml:space="preserve"> is now operating well and is outperforming expectations – an especially good result given the difficult operating environment.</w:t>
      </w:r>
    </w:p>
    <w:p w14:paraId="0F7D9724" w14:textId="0999DF23" w:rsidR="002F4F42" w:rsidRPr="00A96337" w:rsidRDefault="002F4F42" w:rsidP="00E42BC8">
      <w:pPr>
        <w:pStyle w:val="BodyText"/>
        <w:rPr>
          <w:lang w:val="en-AU"/>
        </w:rPr>
      </w:pPr>
      <w:r w:rsidRPr="00A96337">
        <w:rPr>
          <w:lang w:val="en-AU"/>
        </w:rPr>
        <w:t xml:space="preserve">Comparison with DFAT’s experience with MSD programs in seven other countries, shows that </w:t>
      </w:r>
      <w:r w:rsidR="009B58A0" w:rsidRPr="00A96337">
        <w:rPr>
          <w:lang w:val="en-AU"/>
        </w:rPr>
        <w:t>AMENCA 3</w:t>
      </w:r>
      <w:r w:rsidRPr="00A96337">
        <w:rPr>
          <w:lang w:val="en-AU"/>
        </w:rPr>
        <w:t xml:space="preserve"> is achieving early traction and shifts in pro-poor market dynamics in ways that </w:t>
      </w:r>
      <w:r w:rsidR="00311C40" w:rsidRPr="00A96337">
        <w:rPr>
          <w:lang w:val="en-AU"/>
        </w:rPr>
        <w:t>equal or exceed those</w:t>
      </w:r>
      <w:r w:rsidRPr="00A96337">
        <w:rPr>
          <w:lang w:val="en-AU"/>
        </w:rPr>
        <w:t xml:space="preserve"> seen elsewhere at a similar point in the program cycle.</w:t>
      </w:r>
      <w:r w:rsidR="00E42BC8" w:rsidRPr="00A96337">
        <w:rPr>
          <w:lang w:val="en-AU"/>
        </w:rPr>
        <w:t xml:space="preserve"> </w:t>
      </w:r>
      <w:r w:rsidRPr="00A96337">
        <w:rPr>
          <w:lang w:val="en-AU"/>
        </w:rPr>
        <w:t>These early results are particularly impressive for an MSD program given that experience elsewhere shows that new MSD projects take time to establish trusting market relationships and business confidence.</w:t>
      </w:r>
      <w:r w:rsidR="00E42BC8" w:rsidRPr="00A96337">
        <w:rPr>
          <w:lang w:val="en-AU"/>
        </w:rPr>
        <w:t xml:space="preserve"> </w:t>
      </w:r>
      <w:r w:rsidRPr="00A96337">
        <w:rPr>
          <w:lang w:val="en-AU"/>
        </w:rPr>
        <w:t>The latest annual report</w:t>
      </w:r>
      <w:sdt>
        <w:sdtPr>
          <w:rPr>
            <w:lang w:val="en-AU"/>
          </w:rPr>
          <w:id w:val="-870384577"/>
          <w:citation/>
        </w:sdtPr>
        <w:sdtEndPr/>
        <w:sdtContent>
          <w:r w:rsidRPr="00A96337">
            <w:rPr>
              <w:lang w:val="en-AU"/>
            </w:rPr>
            <w:fldChar w:fldCharType="begin"/>
          </w:r>
          <w:r w:rsidRPr="00A96337">
            <w:rPr>
              <w:lang w:val="en-AU"/>
            </w:rPr>
            <w:instrText xml:space="preserve"> CITATION AME19 \l 5129 </w:instrText>
          </w:r>
          <w:r w:rsidRPr="00A96337">
            <w:rPr>
              <w:lang w:val="en-AU"/>
            </w:rPr>
            <w:fldChar w:fldCharType="separate"/>
          </w:r>
          <w:r w:rsidR="00593D9F">
            <w:rPr>
              <w:noProof/>
              <w:lang w:val="en-AU"/>
            </w:rPr>
            <w:t xml:space="preserve"> </w:t>
          </w:r>
          <w:r w:rsidR="00593D9F" w:rsidRPr="00593D9F">
            <w:rPr>
              <w:noProof/>
              <w:lang w:val="en-AU"/>
            </w:rPr>
            <w:t>(AMENCA 3, March 2019)</w:t>
          </w:r>
          <w:r w:rsidRPr="00A96337">
            <w:rPr>
              <w:lang w:val="en-AU"/>
            </w:rPr>
            <w:fldChar w:fldCharType="end"/>
          </w:r>
        </w:sdtContent>
      </w:sdt>
      <w:r w:rsidRPr="00A96337">
        <w:rPr>
          <w:lang w:val="en-AU"/>
        </w:rPr>
        <w:t xml:space="preserve"> outlines good outcome-level performance as evidenced by:</w:t>
      </w:r>
    </w:p>
    <w:p w14:paraId="601C07B5" w14:textId="51F35C4E" w:rsidR="002F4F42" w:rsidRPr="00A96337" w:rsidRDefault="002F4F42" w:rsidP="00E50F49">
      <w:pPr>
        <w:pStyle w:val="Dotpoint"/>
      </w:pPr>
      <w:r w:rsidRPr="00A96337">
        <w:t>Eight 2019/20 targets having already been exceeded ahead of time, including: private sector investment leveraged (A</w:t>
      </w:r>
      <w:r w:rsidR="00575100">
        <w:t>UD</w:t>
      </w:r>
      <w:r w:rsidRPr="00A96337">
        <w:t>15m</w:t>
      </w:r>
      <w:r w:rsidR="00311C40" w:rsidRPr="00A96337">
        <w:t>illion</w:t>
      </w:r>
      <w:r w:rsidRPr="00A96337">
        <w:t xml:space="preserve"> already); rural road access; value chain performance; adoption of innovation; and the role of women and youth in economic activities.</w:t>
      </w:r>
    </w:p>
    <w:p w14:paraId="2E609D78" w14:textId="77777777" w:rsidR="002F4F42" w:rsidRPr="00A96337" w:rsidRDefault="002F4F42" w:rsidP="00E50F49">
      <w:pPr>
        <w:pStyle w:val="Dotpoint"/>
      </w:pPr>
      <w:r w:rsidRPr="00A96337">
        <w:t>Achieving verified income increases well ahead of schedule for 23,000 farmers, including 7,000 women and 7,000 youth.</w:t>
      </w:r>
    </w:p>
    <w:p w14:paraId="4B85E1F4" w14:textId="6F7A92C6" w:rsidR="002F4F42" w:rsidRPr="00A96337" w:rsidRDefault="002F4F42" w:rsidP="00E50F49">
      <w:pPr>
        <w:pStyle w:val="Dotpoint"/>
      </w:pPr>
      <w:r w:rsidRPr="00A96337">
        <w:t xml:space="preserve">Delivering </w:t>
      </w:r>
      <w:r w:rsidR="00575100">
        <w:t>AUD</w:t>
      </w:r>
      <w:r w:rsidRPr="00A96337">
        <w:t>1</w:t>
      </w:r>
      <w:r w:rsidR="00575100">
        <w:t>6</w:t>
      </w:r>
      <w:r w:rsidRPr="00A96337">
        <w:t>.5</w:t>
      </w:r>
      <w:r w:rsidR="00C12B00">
        <w:t xml:space="preserve"> </w:t>
      </w:r>
      <w:r w:rsidRPr="00A96337">
        <w:t>m</w:t>
      </w:r>
      <w:r w:rsidR="00311C40" w:rsidRPr="00A96337">
        <w:t>illion</w:t>
      </w:r>
      <w:r w:rsidRPr="00A96337">
        <w:t xml:space="preserve"> in additional production (80% of the 2020 target), across a diverse agricultural portfolio including value addition in the vegetable, dairy and fruit sectors.</w:t>
      </w:r>
    </w:p>
    <w:p w14:paraId="6A3A33EA" w14:textId="77777777" w:rsidR="002F4F42" w:rsidRPr="00A96337" w:rsidRDefault="002F4F42" w:rsidP="00E42BC8">
      <w:pPr>
        <w:pStyle w:val="BodyText"/>
        <w:rPr>
          <w:lang w:val="en-AU"/>
        </w:rPr>
      </w:pPr>
      <w:r w:rsidRPr="00A96337">
        <w:rPr>
          <w:lang w:val="en-AU"/>
        </w:rPr>
        <w:t>These headline results are complemented by road investments that have allowed 5,500 farmers to now access 2,100ha of underutilised agricultural land, and water infrastructure investments that have secured irrigation for 500ha of land.</w:t>
      </w:r>
      <w:r w:rsidR="00E42BC8" w:rsidRPr="00A96337">
        <w:rPr>
          <w:lang w:val="en-AU"/>
        </w:rPr>
        <w:t xml:space="preserve"> </w:t>
      </w:r>
      <w:r w:rsidRPr="00A96337">
        <w:rPr>
          <w:lang w:val="en-AU"/>
        </w:rPr>
        <w:t>Poor road access and irrigation are significant barriers to farm productivity in the West Bank and Gaza.</w:t>
      </w:r>
    </w:p>
    <w:p w14:paraId="55E695E3" w14:textId="693180C9" w:rsidR="002F4F42" w:rsidRPr="00A96337" w:rsidRDefault="002F4F42" w:rsidP="00E42BC8">
      <w:pPr>
        <w:pStyle w:val="BodyText"/>
        <w:rPr>
          <w:lang w:val="en-AU"/>
        </w:rPr>
      </w:pPr>
      <w:r w:rsidRPr="00A96337">
        <w:rPr>
          <w:lang w:val="en-AU"/>
        </w:rPr>
        <w:t>The program is making an important contribution to modernising the farm sector in the Palestinian Territories, with 9,000 farmers adopting new technologies and practices.</w:t>
      </w:r>
      <w:r w:rsidR="00E42BC8" w:rsidRPr="00A96337">
        <w:rPr>
          <w:lang w:val="en-AU"/>
        </w:rPr>
        <w:t xml:space="preserve"> </w:t>
      </w:r>
      <w:r w:rsidRPr="00A96337">
        <w:rPr>
          <w:lang w:val="en-AU"/>
        </w:rPr>
        <w:t>Export markets are also opening, with A</w:t>
      </w:r>
      <w:r w:rsidR="00575100">
        <w:rPr>
          <w:lang w:val="en-AU"/>
        </w:rPr>
        <w:t>UD</w:t>
      </w:r>
      <w:r w:rsidRPr="00A96337">
        <w:rPr>
          <w:lang w:val="en-AU"/>
        </w:rPr>
        <w:t>8.4</w:t>
      </w:r>
      <w:r w:rsidR="00C12B00">
        <w:rPr>
          <w:lang w:val="en-AU"/>
        </w:rPr>
        <w:t xml:space="preserve"> </w:t>
      </w:r>
      <w:r w:rsidRPr="00A96337">
        <w:rPr>
          <w:lang w:val="en-AU"/>
        </w:rPr>
        <w:t>m</w:t>
      </w:r>
      <w:r w:rsidR="00311C40" w:rsidRPr="00A96337">
        <w:rPr>
          <w:lang w:val="en-AU"/>
        </w:rPr>
        <w:t>illion</w:t>
      </w:r>
      <w:r w:rsidRPr="00A96337">
        <w:rPr>
          <w:lang w:val="en-AU"/>
        </w:rPr>
        <w:t xml:space="preserve"> in export earnings achieved by the program so far.</w:t>
      </w:r>
      <w:r w:rsidR="00E42BC8" w:rsidRPr="00A96337">
        <w:rPr>
          <w:lang w:val="en-AU"/>
        </w:rPr>
        <w:t xml:space="preserve"> </w:t>
      </w:r>
      <w:r w:rsidRPr="00A96337">
        <w:rPr>
          <w:lang w:val="en-AU"/>
        </w:rPr>
        <w:t>Many opportunities for expansion into Gulf and European markets exist, but are subject to arbitrary closure of pathways.</w:t>
      </w:r>
    </w:p>
    <w:p w14:paraId="0A11054D" w14:textId="00657322" w:rsidR="002F4F42" w:rsidRPr="00A96337" w:rsidRDefault="002F4F42" w:rsidP="00E42BC8">
      <w:pPr>
        <w:pStyle w:val="BodyText"/>
        <w:rPr>
          <w:lang w:val="en-AU"/>
        </w:rPr>
      </w:pPr>
      <w:r w:rsidRPr="00A96337">
        <w:rPr>
          <w:lang w:val="en-AU"/>
        </w:rPr>
        <w:t xml:space="preserve">Annex 3 presents a table summarising </w:t>
      </w:r>
      <w:r w:rsidR="00311C40" w:rsidRPr="00A96337">
        <w:rPr>
          <w:lang w:val="en-AU"/>
        </w:rPr>
        <w:t>aggregate</w:t>
      </w:r>
      <w:r w:rsidRPr="00A96337">
        <w:rPr>
          <w:lang w:val="en-AU"/>
        </w:rPr>
        <w:t xml:space="preserve"> results alongside targets for 2018 and 2020.</w:t>
      </w:r>
    </w:p>
    <w:p w14:paraId="4A051AA9" w14:textId="3506346A" w:rsidR="002F4F42" w:rsidRPr="00A96337" w:rsidRDefault="002F4F42" w:rsidP="00E42BC8">
      <w:pPr>
        <w:pStyle w:val="BodyText"/>
        <w:rPr>
          <w:lang w:val="en-AU"/>
        </w:rPr>
      </w:pPr>
      <w:r w:rsidRPr="00A96337">
        <w:rPr>
          <w:lang w:val="en-AU"/>
        </w:rPr>
        <w:t xml:space="preserve">The fact that </w:t>
      </w:r>
      <w:r w:rsidR="009B58A0" w:rsidRPr="00A96337">
        <w:rPr>
          <w:lang w:val="en-AU"/>
        </w:rPr>
        <w:t>AMENCA 3</w:t>
      </w:r>
      <w:r w:rsidRPr="00A96337">
        <w:rPr>
          <w:lang w:val="en-AU"/>
        </w:rPr>
        <w:t xml:space="preserve"> is seeing solid results after three years is noteworthy.</w:t>
      </w:r>
      <w:r w:rsidR="00E42BC8" w:rsidRPr="00A96337">
        <w:rPr>
          <w:lang w:val="en-AU"/>
        </w:rPr>
        <w:t xml:space="preserve"> </w:t>
      </w:r>
      <w:r w:rsidRPr="00A96337">
        <w:rPr>
          <w:lang w:val="en-AU"/>
        </w:rPr>
        <w:t>The MTR team considers that this is partly the consequence of:</w:t>
      </w:r>
    </w:p>
    <w:p w14:paraId="40DCAE5F" w14:textId="37B00ACB" w:rsidR="002F4F42" w:rsidRPr="00A96337" w:rsidRDefault="002F4F42" w:rsidP="00E50F49">
      <w:pPr>
        <w:pStyle w:val="Dotpoint"/>
      </w:pPr>
      <w:r w:rsidRPr="00A96337">
        <w:t xml:space="preserve">the kick-start </w:t>
      </w:r>
      <w:r w:rsidR="009B58A0" w:rsidRPr="00A96337">
        <w:t>AMENCA 3</w:t>
      </w:r>
      <w:r w:rsidRPr="00A96337">
        <w:t xml:space="preserve"> received given that each NGO Consortium already had significant foundational relationships with communities and some significant private sector links.</w:t>
      </w:r>
      <w:r w:rsidR="00E42BC8" w:rsidRPr="00A96337">
        <w:t xml:space="preserve"> </w:t>
      </w:r>
      <w:r w:rsidRPr="00A96337">
        <w:t>These were established by the NGOs either through their involvement in previous phases of AMENCA, or through the profile these NGOs had already attained in their work with other donors.</w:t>
      </w:r>
      <w:r w:rsidR="00E42BC8" w:rsidRPr="00A96337">
        <w:t xml:space="preserve"> </w:t>
      </w:r>
      <w:r w:rsidRPr="00A96337">
        <w:t>Establishing trust and relationships is fundamental to improved market function; and</w:t>
      </w:r>
    </w:p>
    <w:p w14:paraId="6D1A3858" w14:textId="572F5570" w:rsidR="002F4F42" w:rsidRPr="00A96337" w:rsidRDefault="002F4F42" w:rsidP="00E50F49">
      <w:pPr>
        <w:pStyle w:val="Dotpoint"/>
      </w:pPr>
      <w:r w:rsidRPr="00A96337">
        <w:t>the obvious technical skills, qualifications, capacity and competency of NGO consortium staff.</w:t>
      </w:r>
      <w:r w:rsidR="00E42BC8" w:rsidRPr="00A96337">
        <w:t xml:space="preserve"> </w:t>
      </w:r>
      <w:r w:rsidRPr="00A96337">
        <w:t xml:space="preserve">Palestinian professionals are clearly well trained and creative, and so, after some initial teething pains, those engaged in </w:t>
      </w:r>
      <w:r w:rsidR="009B58A0" w:rsidRPr="00A96337">
        <w:t>AMENCA 3</w:t>
      </w:r>
      <w:r w:rsidRPr="00A96337">
        <w:t xml:space="preserve"> are now enthusiastically adopting and adapting </w:t>
      </w:r>
      <w:r w:rsidR="009B58A0" w:rsidRPr="00A96337">
        <w:t>AMENCA 3</w:t>
      </w:r>
      <w:r w:rsidRPr="00A96337">
        <w:t xml:space="preserve">’s hybrid MSD approach. </w:t>
      </w:r>
    </w:p>
    <w:tbl>
      <w:tblPr>
        <w:tblStyle w:val="TableGrid"/>
        <w:tblpPr w:leftFromText="180" w:rightFromText="180" w:vertAnchor="text" w:horzAnchor="margin" w:tblpY="167"/>
        <w:tblW w:w="0" w:type="auto"/>
        <w:tblInd w:w="0" w:type="dxa"/>
        <w:tblBorders>
          <w:top w:val="none" w:sz="0" w:space="0" w:color="auto"/>
          <w:left w:val="single" w:sz="24" w:space="0" w:color="B3995D"/>
          <w:bottom w:val="none" w:sz="0" w:space="0" w:color="auto"/>
          <w:right w:val="none" w:sz="0" w:space="0" w:color="auto"/>
          <w:insideH w:val="single" w:sz="4" w:space="0" w:color="B3995D"/>
          <w:insideV w:val="single" w:sz="4" w:space="0" w:color="B3995D"/>
        </w:tblBorders>
        <w:tblLook w:val="04A0" w:firstRow="1" w:lastRow="0" w:firstColumn="1" w:lastColumn="0" w:noHBand="0" w:noVBand="1"/>
      </w:tblPr>
      <w:tblGrid>
        <w:gridCol w:w="8996"/>
      </w:tblGrid>
      <w:tr w:rsidR="00B253DC" w:rsidRPr="00A96337" w14:paraId="39B64AC3" w14:textId="77777777" w:rsidTr="00B253DC">
        <w:tc>
          <w:tcPr>
            <w:tcW w:w="8996" w:type="dxa"/>
          </w:tcPr>
          <w:p w14:paraId="185899E4" w14:textId="77777777" w:rsidR="00B253DC" w:rsidRPr="00A96337" w:rsidRDefault="00B253DC" w:rsidP="00B253DC">
            <w:pPr>
              <w:spacing w:after="240"/>
              <w:rPr>
                <w:rFonts w:ascii="Arial" w:eastAsiaTheme="majorEastAsia" w:hAnsi="Arial" w:cs="Arial"/>
                <w:b/>
                <w:caps/>
                <w:color w:val="B3995D"/>
                <w:sz w:val="28"/>
                <w:szCs w:val="36"/>
              </w:rPr>
            </w:pPr>
            <w:bookmarkStart w:id="239" w:name="_Toc8978041"/>
            <w:r w:rsidRPr="00A96337">
              <w:rPr>
                <w:rFonts w:ascii="Arial" w:eastAsiaTheme="majorEastAsia" w:hAnsi="Arial" w:cs="Arial"/>
                <w:b/>
                <w:color w:val="B3995D"/>
                <w:sz w:val="28"/>
                <w:szCs w:val="36"/>
              </w:rPr>
              <w:t>Getting Serious About Local Grapes</w:t>
            </w:r>
          </w:p>
          <w:p w14:paraId="1A1490D4" w14:textId="42742B47" w:rsidR="00B253DC" w:rsidRPr="00A96337" w:rsidRDefault="00B253DC" w:rsidP="00B253DC">
            <w:pPr>
              <w:rPr>
                <w:rFonts w:ascii="Arial" w:hAnsi="Arial" w:cs="Arial"/>
                <w:color w:val="808080" w:themeColor="background1" w:themeShade="80"/>
                <w:sz w:val="18"/>
              </w:rPr>
            </w:pPr>
            <w:r w:rsidRPr="00A96337">
              <w:rPr>
                <w:rFonts w:ascii="Arial" w:hAnsi="Arial" w:cs="Arial"/>
                <w:color w:val="808080" w:themeColor="background1" w:themeShade="80"/>
                <w:sz w:val="18"/>
              </w:rPr>
              <w:t xml:space="preserve">The Hebron area is a major producer of grapes for local markets where the fruit is highly popular, but producers extract very little value from it. The </w:t>
            </w:r>
            <w:r w:rsidR="006101D6" w:rsidRPr="00A96337">
              <w:rPr>
                <w:rFonts w:ascii="Arial" w:hAnsi="Arial" w:cs="Arial"/>
                <w:color w:val="808080" w:themeColor="background1" w:themeShade="80"/>
                <w:sz w:val="18"/>
              </w:rPr>
              <w:t>production season</w:t>
            </w:r>
            <w:r w:rsidRPr="00A96337">
              <w:rPr>
                <w:rFonts w:ascii="Arial" w:hAnsi="Arial" w:cs="Arial"/>
                <w:color w:val="808080" w:themeColor="background1" w:themeShade="80"/>
                <w:sz w:val="18"/>
              </w:rPr>
              <w:t xml:space="preserve"> is very short </w:t>
            </w:r>
            <w:r w:rsidR="006101D6" w:rsidRPr="00A96337">
              <w:rPr>
                <w:rFonts w:ascii="Arial" w:hAnsi="Arial" w:cs="Arial"/>
                <w:color w:val="808080" w:themeColor="background1" w:themeShade="80"/>
                <w:sz w:val="18"/>
              </w:rPr>
              <w:t xml:space="preserve">and, given </w:t>
            </w:r>
            <w:r w:rsidRPr="00A96337">
              <w:rPr>
                <w:rFonts w:ascii="Arial" w:hAnsi="Arial" w:cs="Arial"/>
                <w:color w:val="808080" w:themeColor="background1" w:themeShade="80"/>
                <w:sz w:val="18"/>
              </w:rPr>
              <w:t xml:space="preserve">high temperatures </w:t>
            </w:r>
            <w:r w:rsidR="00100D2F" w:rsidRPr="00A96337">
              <w:rPr>
                <w:rFonts w:ascii="Arial" w:hAnsi="Arial" w:cs="Arial"/>
                <w:color w:val="808080" w:themeColor="background1" w:themeShade="80"/>
                <w:sz w:val="18"/>
              </w:rPr>
              <w:t>and the significant</w:t>
            </w:r>
            <w:r w:rsidRPr="00A96337">
              <w:rPr>
                <w:rFonts w:ascii="Arial" w:hAnsi="Arial" w:cs="Arial"/>
                <w:color w:val="808080" w:themeColor="background1" w:themeShade="80"/>
                <w:sz w:val="18"/>
              </w:rPr>
              <w:t xml:space="preserve"> glut of grapes hitting the market at the same time, producers have little choice but to accept the low price on offer at the market.</w:t>
            </w:r>
            <w:r w:rsidR="009C4B52" w:rsidRPr="00A96337">
              <w:rPr>
                <w:rFonts w:ascii="Arial" w:hAnsi="Arial" w:cs="Arial"/>
                <w:color w:val="808080" w:themeColor="background1" w:themeShade="80"/>
                <w:sz w:val="18"/>
              </w:rPr>
              <w:t xml:space="preserve">  Improved packing, cold storage and processing options are desperately needed</w:t>
            </w:r>
            <w:r w:rsidR="00331A67" w:rsidRPr="00A96337">
              <w:rPr>
                <w:rFonts w:ascii="Arial" w:hAnsi="Arial" w:cs="Arial"/>
                <w:color w:val="808080" w:themeColor="background1" w:themeShade="80"/>
                <w:sz w:val="18"/>
              </w:rPr>
              <w:t xml:space="preserve"> but out of the reach of </w:t>
            </w:r>
            <w:r w:rsidR="005B3CF0" w:rsidRPr="00A96337">
              <w:rPr>
                <w:rFonts w:ascii="Arial" w:hAnsi="Arial" w:cs="Arial"/>
                <w:color w:val="808080" w:themeColor="background1" w:themeShade="80"/>
                <w:sz w:val="18"/>
              </w:rPr>
              <w:t>the multitude of</w:t>
            </w:r>
            <w:r w:rsidR="00ED40AC" w:rsidRPr="00A96337">
              <w:rPr>
                <w:rFonts w:ascii="Arial" w:hAnsi="Arial" w:cs="Arial"/>
                <w:color w:val="808080" w:themeColor="background1" w:themeShade="80"/>
                <w:sz w:val="18"/>
              </w:rPr>
              <w:t xml:space="preserve"> </w:t>
            </w:r>
            <w:r w:rsidR="005B3CF0" w:rsidRPr="00A96337">
              <w:rPr>
                <w:rFonts w:ascii="Arial" w:hAnsi="Arial" w:cs="Arial"/>
                <w:color w:val="808080" w:themeColor="background1" w:themeShade="80"/>
                <w:sz w:val="18"/>
              </w:rPr>
              <w:t>small-holder grape farmers.</w:t>
            </w:r>
          </w:p>
          <w:p w14:paraId="2204D60E" w14:textId="6D9CAD93" w:rsidR="00B253DC" w:rsidRPr="00A96337" w:rsidRDefault="00B253DC" w:rsidP="00B253DC">
            <w:pPr>
              <w:rPr>
                <w:rFonts w:ascii="Arial" w:hAnsi="Arial" w:cs="Arial"/>
                <w:color w:val="808080" w:themeColor="background1" w:themeShade="80"/>
                <w:sz w:val="18"/>
              </w:rPr>
            </w:pPr>
            <w:r w:rsidRPr="00A96337">
              <w:rPr>
                <w:rFonts w:ascii="Arial" w:hAnsi="Arial" w:cs="Arial"/>
                <w:color w:val="808080" w:themeColor="background1" w:themeShade="80"/>
                <w:sz w:val="18"/>
              </w:rPr>
              <w:t xml:space="preserve">Oxfam overcame </w:t>
            </w:r>
            <w:r w:rsidR="004266A6" w:rsidRPr="00A96337">
              <w:rPr>
                <w:rFonts w:ascii="Arial" w:hAnsi="Arial" w:cs="Arial"/>
                <w:color w:val="808080" w:themeColor="background1" w:themeShade="80"/>
                <w:sz w:val="18"/>
              </w:rPr>
              <w:t>these challenges</w:t>
            </w:r>
            <w:r w:rsidRPr="00A96337">
              <w:rPr>
                <w:rFonts w:ascii="Arial" w:hAnsi="Arial" w:cs="Arial"/>
                <w:color w:val="808080" w:themeColor="background1" w:themeShade="80"/>
                <w:sz w:val="18"/>
              </w:rPr>
              <w:t xml:space="preserve"> by creating a way to aggregate production, sort the good from the bad with a price signal for quality, package effectively and store in chilled rooms, and find ways to make other high value products with the lower quality fruit.</w:t>
            </w:r>
          </w:p>
          <w:p w14:paraId="2E94A40A" w14:textId="6AC831AD" w:rsidR="00B253DC" w:rsidRPr="00A96337" w:rsidRDefault="00B253DC" w:rsidP="00B253DC">
            <w:pPr>
              <w:rPr>
                <w:rFonts w:ascii="Arial" w:hAnsi="Arial" w:cs="Arial"/>
                <w:color w:val="808080" w:themeColor="background1" w:themeShade="80"/>
                <w:sz w:val="18"/>
              </w:rPr>
            </w:pPr>
            <w:r w:rsidRPr="00A96337">
              <w:rPr>
                <w:rFonts w:ascii="Arial" w:hAnsi="Arial" w:cs="Arial"/>
                <w:color w:val="808080" w:themeColor="background1" w:themeShade="80"/>
                <w:sz w:val="18"/>
              </w:rPr>
              <w:t xml:space="preserve">The hardest part was overcoming </w:t>
            </w:r>
            <w:r w:rsidR="00381162" w:rsidRPr="00A96337">
              <w:rPr>
                <w:rFonts w:ascii="Arial" w:hAnsi="Arial" w:cs="Arial"/>
                <w:color w:val="808080" w:themeColor="background1" w:themeShade="80"/>
                <w:sz w:val="18"/>
              </w:rPr>
              <w:t>distrust</w:t>
            </w:r>
            <w:r w:rsidRPr="00A96337">
              <w:rPr>
                <w:rFonts w:ascii="Arial" w:hAnsi="Arial" w:cs="Arial"/>
                <w:color w:val="808080" w:themeColor="background1" w:themeShade="80"/>
                <w:sz w:val="18"/>
              </w:rPr>
              <w:t>, forming a consortium and encouraging investment in a market that has always been seen as low value. In order to do this, they needed to prove the concept by developing branding and packaging materials, renting a facility that could grade, pack and cool-store grapes, and training workers (particularly women) in grading, packing and processing. Farmer training in better practices has also been an important part of helping producers understand the value of investing to be able to harvest quality fruit that can attract the premium price.</w:t>
            </w:r>
          </w:p>
          <w:p w14:paraId="1765DC04" w14:textId="77777777" w:rsidR="00B253DC" w:rsidRPr="00A96337" w:rsidRDefault="00B253DC" w:rsidP="00B253DC">
            <w:pPr>
              <w:rPr>
                <w:color w:val="808080" w:themeColor="background1" w:themeShade="80"/>
              </w:rPr>
            </w:pPr>
            <w:r w:rsidRPr="00A96337">
              <w:rPr>
                <w:rFonts w:ascii="Arial" w:hAnsi="Arial" w:cs="Arial"/>
                <w:color w:val="808080" w:themeColor="background1" w:themeShade="80"/>
                <w:sz w:val="18"/>
              </w:rPr>
              <w:t>This initial investment paid off and Oxfam was able to form a multi-stakeholder consortium to invest their own funds in a bespoke facility that could take the work to scale and deliver a far longer grape season to producers with good returns to investors. This is the result of taking local grapes seriously as a business that can be profitable if certain barriers can be overcome, and the outcome is a better price for farmers producing quality grapes and new livelihood opportunities for women processing low-grade fruit.</w:t>
            </w:r>
          </w:p>
        </w:tc>
      </w:tr>
    </w:tbl>
    <w:p w14:paraId="21F06CE6" w14:textId="77777777" w:rsidR="002F4F42" w:rsidRPr="00A96337" w:rsidRDefault="002F4F42" w:rsidP="00F05621">
      <w:pPr>
        <w:pStyle w:val="Heading3"/>
        <w:rPr>
          <w:lang w:val="en-AU"/>
        </w:rPr>
      </w:pPr>
      <w:bookmarkStart w:id="240" w:name="_Toc12364814"/>
      <w:r w:rsidRPr="00A96337">
        <w:rPr>
          <w:lang w:val="en-AU"/>
        </w:rPr>
        <w:t>Results Analysis</w:t>
      </w:r>
      <w:bookmarkEnd w:id="239"/>
      <w:bookmarkEnd w:id="240"/>
    </w:p>
    <w:p w14:paraId="1F8E80CF" w14:textId="6F34B352" w:rsidR="002F4F42" w:rsidRPr="00A96337" w:rsidRDefault="002F4F42" w:rsidP="00E42BC8">
      <w:pPr>
        <w:pStyle w:val="BodyText"/>
        <w:rPr>
          <w:lang w:val="en-AU"/>
        </w:rPr>
      </w:pPr>
      <w:r w:rsidRPr="00A96337">
        <w:rPr>
          <w:lang w:val="en-AU"/>
        </w:rPr>
        <w:t xml:space="preserve">The consortia have exceeded 19 of 23 </w:t>
      </w:r>
      <w:r w:rsidR="00FE71C6" w:rsidRPr="00A96337">
        <w:rPr>
          <w:lang w:val="en-AU"/>
        </w:rPr>
        <w:t>aggregate</w:t>
      </w:r>
      <w:r w:rsidRPr="00A96337">
        <w:rPr>
          <w:lang w:val="en-AU"/>
        </w:rPr>
        <w:t xml:space="preserve"> targets</w:t>
      </w:r>
      <w:r w:rsidRPr="00A96337">
        <w:rPr>
          <w:rStyle w:val="FootnoteReference"/>
          <w:lang w:val="en-AU"/>
        </w:rPr>
        <w:footnoteReference w:id="10"/>
      </w:r>
      <w:r w:rsidRPr="00A96337">
        <w:rPr>
          <w:lang w:val="en-AU"/>
        </w:rPr>
        <w:t xml:space="preserve"> for 2018, with the four remaining targets at least 80 percent achieved.</w:t>
      </w:r>
      <w:r w:rsidR="00E42BC8" w:rsidRPr="00A96337">
        <w:rPr>
          <w:lang w:val="en-AU"/>
        </w:rPr>
        <w:t xml:space="preserve"> </w:t>
      </w:r>
      <w:r w:rsidRPr="00A96337">
        <w:rPr>
          <w:lang w:val="en-AU"/>
        </w:rPr>
        <w:t>On average they surpassed the cumulative targets for 2018 by 71 percent and increased the incomes of almost 10,000 more farmers than expected at this stage, despite a much smaller level of expenditure than planned.</w:t>
      </w:r>
    </w:p>
    <w:p w14:paraId="38F04317" w14:textId="77777777" w:rsidR="002F4F42" w:rsidRPr="00A96337" w:rsidRDefault="002F4F42" w:rsidP="00E42BC8">
      <w:pPr>
        <w:pStyle w:val="BodyText"/>
        <w:rPr>
          <w:lang w:val="en-AU"/>
        </w:rPr>
      </w:pPr>
      <w:r w:rsidRPr="00A96337">
        <w:rPr>
          <w:lang w:val="en-AU"/>
        </w:rPr>
        <w:t>This begs two obvious questions:</w:t>
      </w:r>
    </w:p>
    <w:p w14:paraId="744AA48A" w14:textId="77777777" w:rsidR="002F4F42" w:rsidRPr="00A96337" w:rsidRDefault="002F4F42" w:rsidP="00F8335C">
      <w:pPr>
        <w:pStyle w:val="ListParagraph"/>
        <w:numPr>
          <w:ilvl w:val="0"/>
          <w:numId w:val="46"/>
        </w:numPr>
        <w:ind w:left="397" w:hanging="397"/>
      </w:pPr>
      <w:r w:rsidRPr="00A96337">
        <w:t xml:space="preserve">Is the reporting credible? and </w:t>
      </w:r>
    </w:p>
    <w:p w14:paraId="6E974481" w14:textId="77777777" w:rsidR="002F4F42" w:rsidRPr="00A96337" w:rsidRDefault="002F4F42" w:rsidP="00F8335C">
      <w:pPr>
        <w:pStyle w:val="ListParagraph"/>
        <w:numPr>
          <w:ilvl w:val="0"/>
          <w:numId w:val="46"/>
        </w:numPr>
        <w:ind w:left="397" w:hanging="397"/>
      </w:pPr>
      <w:r w:rsidRPr="00A96337">
        <w:t>Were the targets reasonable in the first place?</w:t>
      </w:r>
    </w:p>
    <w:p w14:paraId="3C2C0B2A" w14:textId="77777777" w:rsidR="002F4F42" w:rsidRPr="00A96337" w:rsidRDefault="002F4F42" w:rsidP="00E42BC8">
      <w:pPr>
        <w:pStyle w:val="BodyText"/>
        <w:rPr>
          <w:lang w:val="en-AU"/>
        </w:rPr>
      </w:pPr>
      <w:r w:rsidRPr="00A96337">
        <w:rPr>
          <w:lang w:val="en-AU"/>
        </w:rPr>
        <w:t>These are not easy questions to answer, especially within the limited scope of the MTR mission, but several factors indicate that both questions should be answered in the affirmative:</w:t>
      </w:r>
    </w:p>
    <w:p w14:paraId="00B51F4E" w14:textId="77777777" w:rsidR="002F4F42" w:rsidRPr="00A96337" w:rsidRDefault="002F4F42" w:rsidP="00E50F49">
      <w:pPr>
        <w:pStyle w:val="Dotpoint"/>
      </w:pPr>
      <w:r w:rsidRPr="00A96337">
        <w:t>Is the reporting credible?</w:t>
      </w:r>
    </w:p>
    <w:p w14:paraId="3F7EAD08" w14:textId="77777777" w:rsidR="002F4F42" w:rsidRPr="00A96337" w:rsidRDefault="002F4F42" w:rsidP="00F8335C">
      <w:pPr>
        <w:pStyle w:val="Dotpoint"/>
        <w:numPr>
          <w:ilvl w:val="0"/>
          <w:numId w:val="55"/>
        </w:numPr>
      </w:pPr>
      <w:r w:rsidRPr="00A96337">
        <w:t>the NGOs have robust M&amp;E systems that are well understood by staff and easily explained;</w:t>
      </w:r>
    </w:p>
    <w:p w14:paraId="79C0E080" w14:textId="2B856799" w:rsidR="002F4F42" w:rsidRPr="00A96337" w:rsidRDefault="002F4F42" w:rsidP="00F8335C">
      <w:pPr>
        <w:pStyle w:val="Dotpoint"/>
        <w:numPr>
          <w:ilvl w:val="0"/>
          <w:numId w:val="55"/>
        </w:numPr>
      </w:pPr>
      <w:r w:rsidRPr="00A96337">
        <w:t xml:space="preserve">NGOs undertake internal spot-checks, and the </w:t>
      </w:r>
      <w:r w:rsidR="009B58A0" w:rsidRPr="00A96337">
        <w:t>AMENCA 3</w:t>
      </w:r>
      <w:r w:rsidRPr="00A96337">
        <w:t xml:space="preserve"> M&amp;E Adviser undertakes validation exercises to ensure data is credible; and</w:t>
      </w:r>
    </w:p>
    <w:p w14:paraId="77717693" w14:textId="77777777" w:rsidR="002F4F42" w:rsidRPr="00A96337" w:rsidRDefault="002F4F42" w:rsidP="00F8335C">
      <w:pPr>
        <w:pStyle w:val="Dotpoint"/>
        <w:numPr>
          <w:ilvl w:val="0"/>
          <w:numId w:val="55"/>
        </w:numPr>
      </w:pPr>
      <w:r w:rsidRPr="00A96337">
        <w:t>triangulation of data (based on farmer reporting, private sector data and detailed data from CBOs) is in place.</w:t>
      </w:r>
    </w:p>
    <w:p w14:paraId="56DECAC7" w14:textId="77777777" w:rsidR="002F4F42" w:rsidRPr="00A96337" w:rsidRDefault="002F4F42" w:rsidP="00E50F49">
      <w:pPr>
        <w:pStyle w:val="Dotpoint"/>
      </w:pPr>
      <w:r w:rsidRPr="00A96337">
        <w:t>Were the targets reasonable in the first place?</w:t>
      </w:r>
    </w:p>
    <w:p w14:paraId="3C162B5B" w14:textId="2AD57259" w:rsidR="002F4F42" w:rsidRPr="00A96337" w:rsidRDefault="002F4F42" w:rsidP="00F8335C">
      <w:pPr>
        <w:pStyle w:val="Dotpoint"/>
        <w:numPr>
          <w:ilvl w:val="0"/>
          <w:numId w:val="55"/>
        </w:numPr>
      </w:pPr>
      <w:r w:rsidRPr="00A96337">
        <w:t xml:space="preserve">targets already appear ambitious for this stage of program implementation and considering the </w:t>
      </w:r>
      <w:r w:rsidR="00A6098A" w:rsidRPr="00A6098A">
        <w:t>market constraints that apply in the Palestinian Territories</w:t>
      </w:r>
      <w:r w:rsidRPr="00A96337">
        <w:t>; and</w:t>
      </w:r>
    </w:p>
    <w:p w14:paraId="398A0D96" w14:textId="77777777" w:rsidR="002F4F42" w:rsidRPr="00A96337" w:rsidRDefault="002F4F42" w:rsidP="00F8335C">
      <w:pPr>
        <w:pStyle w:val="Dotpoint"/>
        <w:numPr>
          <w:ilvl w:val="0"/>
          <w:numId w:val="55"/>
        </w:numPr>
      </w:pPr>
      <w:r w:rsidRPr="00A96337">
        <w:t>far less resources have been expensed compared to the planned expenditure associated with the establishment of initial targets.</w:t>
      </w:r>
    </w:p>
    <w:p w14:paraId="003810EF" w14:textId="43E5DF27" w:rsidR="002F4F42" w:rsidRPr="00A96337" w:rsidRDefault="002F4F42" w:rsidP="00E42BC8">
      <w:pPr>
        <w:pStyle w:val="BodyText"/>
        <w:rPr>
          <w:lang w:val="en-AU"/>
        </w:rPr>
      </w:pPr>
      <w:r w:rsidRPr="00A96337">
        <w:rPr>
          <w:lang w:val="en-AU"/>
        </w:rPr>
        <w:t xml:space="preserve">It is also worth exploring whether the results are </w:t>
      </w:r>
      <w:r w:rsidRPr="00A96337">
        <w:rPr>
          <w:i/>
          <w:lang w:val="en-AU"/>
        </w:rPr>
        <w:t>broad-based</w:t>
      </w:r>
      <w:r w:rsidRPr="00A96337">
        <w:rPr>
          <w:lang w:val="en-AU"/>
        </w:rPr>
        <w:t xml:space="preserve"> (and therefore less vulnerable to policy shifts or seasonal effects) or </w:t>
      </w:r>
      <w:r w:rsidRPr="00A96337">
        <w:rPr>
          <w:i/>
          <w:lang w:val="en-AU"/>
        </w:rPr>
        <w:t>narrow range</w:t>
      </w:r>
      <w:r w:rsidRPr="00A96337">
        <w:rPr>
          <w:lang w:val="en-AU"/>
        </w:rPr>
        <w:t xml:space="preserve"> (and thus dependent on </w:t>
      </w:r>
      <w:r w:rsidR="000552AE" w:rsidRPr="00A96337">
        <w:rPr>
          <w:lang w:val="en-AU"/>
        </w:rPr>
        <w:t>a few</w:t>
      </w:r>
      <w:r w:rsidRPr="00A96337">
        <w:rPr>
          <w:lang w:val="en-AU"/>
        </w:rPr>
        <w:t xml:space="preserve"> interventions being highly successful </w:t>
      </w:r>
      <w:r w:rsidR="000552AE" w:rsidRPr="00A96337">
        <w:rPr>
          <w:lang w:val="en-AU"/>
        </w:rPr>
        <w:t>while</w:t>
      </w:r>
      <w:r w:rsidRPr="00A96337">
        <w:rPr>
          <w:lang w:val="en-AU"/>
        </w:rPr>
        <w:t xml:space="preserve"> most others fail</w:t>
      </w:r>
      <w:r w:rsidR="000552AE" w:rsidRPr="00A96337">
        <w:rPr>
          <w:lang w:val="en-AU"/>
        </w:rPr>
        <w:t xml:space="preserve"> or deliver modest outcomes</w:t>
      </w:r>
      <w:r w:rsidRPr="00A96337">
        <w:rPr>
          <w:lang w:val="en-AU"/>
        </w:rPr>
        <w:t>).</w:t>
      </w:r>
      <w:r w:rsidR="00E42BC8" w:rsidRPr="00A96337">
        <w:rPr>
          <w:lang w:val="en-AU"/>
        </w:rPr>
        <w:t xml:space="preserve"> </w:t>
      </w:r>
      <w:r w:rsidRPr="00A96337">
        <w:rPr>
          <w:lang w:val="en-AU"/>
        </w:rPr>
        <w:t>In DFAT’s experience with MSD programming, it is often the case that one or two interventions yield very strong returns while others have little or no impact, and it’s important to assess whether the spread of successful interventions is sufficient to ensure overall program results don’t collapse if an intervention area suddenly fails.</w:t>
      </w:r>
      <w:r w:rsidR="00E42BC8" w:rsidRPr="00A96337">
        <w:rPr>
          <w:lang w:val="en-AU"/>
        </w:rPr>
        <w:t xml:space="preserve"> </w:t>
      </w:r>
      <w:r w:rsidRPr="00A96337">
        <w:rPr>
          <w:lang w:val="en-AU"/>
        </w:rPr>
        <w:t xml:space="preserve">While there are clearly some </w:t>
      </w:r>
      <w:r w:rsidR="009B58A0" w:rsidRPr="00A96337">
        <w:rPr>
          <w:lang w:val="en-AU"/>
        </w:rPr>
        <w:t>AMENCA 3</w:t>
      </w:r>
      <w:r w:rsidRPr="00A96337">
        <w:rPr>
          <w:lang w:val="en-AU"/>
        </w:rPr>
        <w:t xml:space="preserve"> interventions showing little impact or potential for impact at scale, there are indeed a number of intervention pathways achieving results at multiple levels through multiple partners.</w:t>
      </w:r>
    </w:p>
    <w:p w14:paraId="01EE4159" w14:textId="4FEBD1E3" w:rsidR="002F4F42" w:rsidRPr="00A96337" w:rsidRDefault="002F4F42" w:rsidP="00E42BC8">
      <w:pPr>
        <w:pStyle w:val="BodyText"/>
        <w:rPr>
          <w:lang w:val="en-AU"/>
        </w:rPr>
      </w:pPr>
      <w:r w:rsidRPr="00A96337">
        <w:rPr>
          <w:lang w:val="en-AU"/>
        </w:rPr>
        <w:t xml:space="preserve">For example, </w:t>
      </w:r>
      <w:r w:rsidR="00A63717" w:rsidRPr="00A96337">
        <w:rPr>
          <w:lang w:val="en-AU"/>
        </w:rPr>
        <w:t xml:space="preserve">while </w:t>
      </w:r>
      <w:r w:rsidRPr="00A96337">
        <w:rPr>
          <w:lang w:val="en-AU"/>
        </w:rPr>
        <w:t xml:space="preserve">APHEDA </w:t>
      </w:r>
      <w:r w:rsidR="00941184" w:rsidRPr="00A96337">
        <w:rPr>
          <w:lang w:val="en-AU"/>
        </w:rPr>
        <w:t xml:space="preserve">is </w:t>
      </w:r>
      <w:r w:rsidRPr="00A96337">
        <w:rPr>
          <w:lang w:val="en-AU"/>
        </w:rPr>
        <w:t xml:space="preserve">only able to report on results up to mid-2018 due to </w:t>
      </w:r>
      <w:r w:rsidR="00941184" w:rsidRPr="00A96337">
        <w:rPr>
          <w:lang w:val="en-AU"/>
        </w:rPr>
        <w:t xml:space="preserve">its </w:t>
      </w:r>
      <w:r w:rsidRPr="00A96337">
        <w:rPr>
          <w:lang w:val="en-AU"/>
        </w:rPr>
        <w:t>suspension</w:t>
      </w:r>
      <w:r w:rsidR="00A63717" w:rsidRPr="00A96337">
        <w:rPr>
          <w:lang w:val="en-AU"/>
        </w:rPr>
        <w:t>, it</w:t>
      </w:r>
      <w:r w:rsidRPr="00A96337">
        <w:rPr>
          <w:lang w:val="en-AU"/>
        </w:rPr>
        <w:t xml:space="preserve"> can demonstrate strong returns from gherkin exports (</w:t>
      </w:r>
      <w:r w:rsidR="00575100">
        <w:rPr>
          <w:lang w:val="en-AU"/>
        </w:rPr>
        <w:t>AUD</w:t>
      </w:r>
      <w:r w:rsidRPr="00A96337">
        <w:rPr>
          <w:lang w:val="en-AU"/>
        </w:rPr>
        <w:t>1.8m), pickled eggplant exports (</w:t>
      </w:r>
      <w:r w:rsidR="00575100">
        <w:rPr>
          <w:lang w:val="en-AU"/>
        </w:rPr>
        <w:t>AUD</w:t>
      </w:r>
      <w:r w:rsidRPr="00A96337">
        <w:rPr>
          <w:lang w:val="en-AU"/>
        </w:rPr>
        <w:t>0.8m) and vegetable production (</w:t>
      </w:r>
      <w:r w:rsidR="00575100">
        <w:rPr>
          <w:lang w:val="en-AU"/>
        </w:rPr>
        <w:t>AUD</w:t>
      </w:r>
      <w:r w:rsidRPr="00A96337">
        <w:rPr>
          <w:lang w:val="en-AU"/>
        </w:rPr>
        <w:t>0.5m).</w:t>
      </w:r>
      <w:r w:rsidR="00E42BC8" w:rsidRPr="00A96337">
        <w:rPr>
          <w:lang w:val="en-AU"/>
        </w:rPr>
        <w:t xml:space="preserve"> </w:t>
      </w:r>
      <w:r w:rsidRPr="00A96337">
        <w:rPr>
          <w:lang w:val="en-AU"/>
        </w:rPr>
        <w:t xml:space="preserve">They also report eight separate investments above </w:t>
      </w:r>
      <w:r w:rsidR="00575100">
        <w:rPr>
          <w:lang w:val="en-AU"/>
        </w:rPr>
        <w:t>AUD</w:t>
      </w:r>
      <w:r w:rsidRPr="00A96337">
        <w:rPr>
          <w:lang w:val="en-AU"/>
        </w:rPr>
        <w:t>100,000 from three private sector partners and 90 farmers.</w:t>
      </w:r>
      <w:r w:rsidR="00E42BC8" w:rsidRPr="00A96337">
        <w:rPr>
          <w:lang w:val="en-AU"/>
        </w:rPr>
        <w:t xml:space="preserve"> </w:t>
      </w:r>
      <w:r w:rsidRPr="00A96337">
        <w:rPr>
          <w:lang w:val="en-AU"/>
        </w:rPr>
        <w:t>Furthermore, CARE is also supporting vegetable value chain development in similar areas and has been able to complement some of APHEDA’s partners during the suspension.</w:t>
      </w:r>
      <w:r w:rsidR="00E42BC8" w:rsidRPr="00A96337">
        <w:rPr>
          <w:lang w:val="en-AU"/>
        </w:rPr>
        <w:t xml:space="preserve"> </w:t>
      </w:r>
      <w:r w:rsidRPr="00A96337">
        <w:rPr>
          <w:lang w:val="en-AU"/>
        </w:rPr>
        <w:t xml:space="preserve">This strong spread of interventions and impacts indicates the program is </w:t>
      </w:r>
      <w:r w:rsidR="00A63717" w:rsidRPr="00A96337">
        <w:rPr>
          <w:lang w:val="en-AU"/>
        </w:rPr>
        <w:t xml:space="preserve">reasonably well </w:t>
      </w:r>
      <w:r w:rsidRPr="00A96337">
        <w:rPr>
          <w:lang w:val="en-AU"/>
        </w:rPr>
        <w:t>buffered against arbitrary policy and access changes over time.</w:t>
      </w:r>
      <w:r w:rsidR="00E42BC8" w:rsidRPr="00A96337">
        <w:rPr>
          <w:lang w:val="en-AU"/>
        </w:rPr>
        <w:t xml:space="preserve"> </w:t>
      </w:r>
      <w:r w:rsidRPr="00A96337">
        <w:rPr>
          <w:lang w:val="en-AU"/>
        </w:rPr>
        <w:t>It also demonstrates that initiatives are unlikely to suddenly collapse due to other external risks such as poor weather or pest infestation.</w:t>
      </w:r>
      <w:r w:rsidR="00E42BC8" w:rsidRPr="00A96337">
        <w:rPr>
          <w:lang w:val="en-AU"/>
        </w:rPr>
        <w:t xml:space="preserve"> </w:t>
      </w:r>
      <w:r w:rsidRPr="00A96337">
        <w:rPr>
          <w:lang w:val="en-AU"/>
        </w:rPr>
        <w:t xml:space="preserve">This vegetable experience is also backed up by the MTR team’s exposure to a number of other value chains displaying similar strong impacts, such as the sheep dairy value chain in northern West Bank (Tubas) – involving six new commercial buyers and processors – and the grape value chain in southern West Bank (Hebron) where numerous investors including the Chamber of Commerce and individual farmers are buying shares in a large processing and cold storage </w:t>
      </w:r>
      <w:r w:rsidR="00DF6DC1" w:rsidRPr="00A96337">
        <w:rPr>
          <w:lang w:val="en-AU"/>
        </w:rPr>
        <w:t>facility</w:t>
      </w:r>
      <w:r w:rsidRPr="00A96337">
        <w:rPr>
          <w:lang w:val="en-AU"/>
        </w:rPr>
        <w:t xml:space="preserve"> to exploit a wide</w:t>
      </w:r>
      <w:r w:rsidR="00A63717" w:rsidRPr="00A96337">
        <w:rPr>
          <w:lang w:val="en-AU"/>
        </w:rPr>
        <w:t>r</w:t>
      </w:r>
      <w:r w:rsidRPr="00A96337">
        <w:rPr>
          <w:lang w:val="en-AU"/>
        </w:rPr>
        <w:t xml:space="preserve"> range of fresh, chilled and processed products.</w:t>
      </w:r>
    </w:p>
    <w:p w14:paraId="628D5079" w14:textId="034B30B1" w:rsidR="000E4BF2" w:rsidRPr="00A96337" w:rsidRDefault="002F4F42" w:rsidP="00E42BC8">
      <w:pPr>
        <w:pStyle w:val="BodyText"/>
        <w:rPr>
          <w:lang w:val="en-AU"/>
        </w:rPr>
      </w:pPr>
      <w:r w:rsidRPr="00A96337">
        <w:rPr>
          <w:lang w:val="en-AU"/>
        </w:rPr>
        <w:t>For many new market segments, MSD programs can expect ‘overshoots’ – for example, a price signal may stimulate an increase in supply that surpasses or outpaces demand – but at this stage it’s hard to predict whether the interventions are close to achieving ceilings in demand.</w:t>
      </w:r>
      <w:r w:rsidR="00E42BC8" w:rsidRPr="00A96337">
        <w:rPr>
          <w:lang w:val="en-AU"/>
        </w:rPr>
        <w:t xml:space="preserve"> </w:t>
      </w:r>
      <w:r w:rsidRPr="00A96337">
        <w:rPr>
          <w:lang w:val="en-AU"/>
        </w:rPr>
        <w:t>Certainly, for the dairy and grape sectors, demand appears to be very strong and sustainable, based on domestic markets in the Palestinian Territories.</w:t>
      </w:r>
      <w:r w:rsidR="00E42BC8" w:rsidRPr="00A96337">
        <w:rPr>
          <w:lang w:val="en-AU"/>
        </w:rPr>
        <w:t xml:space="preserve"> </w:t>
      </w:r>
      <w:r w:rsidRPr="00A96337">
        <w:rPr>
          <w:lang w:val="en-AU"/>
        </w:rPr>
        <w:t>Israeli and export markets are being actively explored but seen as a ‘bonus’, and rightly so given the risk of arbitrary closure of such markets</w:t>
      </w:r>
      <w:r w:rsidR="0052459E" w:rsidRPr="00A96337">
        <w:rPr>
          <w:lang w:val="en-AU"/>
        </w:rPr>
        <w:t>.</w:t>
      </w:r>
    </w:p>
    <w:p w14:paraId="2C4DA05E" w14:textId="68BAAE71" w:rsidR="002F4F42" w:rsidRPr="00A96337" w:rsidRDefault="0052459E" w:rsidP="00E42BC8">
      <w:pPr>
        <w:pStyle w:val="BodyText"/>
        <w:rPr>
          <w:lang w:val="en-AU"/>
        </w:rPr>
      </w:pPr>
      <w:r w:rsidRPr="00A96337">
        <w:rPr>
          <w:lang w:val="en-AU"/>
        </w:rPr>
        <w:t>In summary, a</w:t>
      </w:r>
      <w:r w:rsidR="002F4F42" w:rsidRPr="00A96337">
        <w:rPr>
          <w:lang w:val="en-AU"/>
        </w:rPr>
        <w:t>t this stage it’s not unreasonable to assess that the results strongly validate the hybrid market systems approach and indicate that the balance of interventions has indeed begun to transform a number of market sectors in significant and scalable ways.</w:t>
      </w:r>
      <w:r w:rsidRPr="00A96337">
        <w:rPr>
          <w:lang w:val="en-AU"/>
        </w:rPr>
        <w:t xml:space="preserve"> However, it will be important to review 2019 results to see if trends can continue </w:t>
      </w:r>
      <w:r w:rsidR="00341342" w:rsidRPr="00A96337">
        <w:rPr>
          <w:lang w:val="en-AU"/>
        </w:rPr>
        <w:t xml:space="preserve">given that most of the achievements reported </w:t>
      </w:r>
      <w:r w:rsidR="000257F2" w:rsidRPr="00A96337">
        <w:rPr>
          <w:lang w:val="en-AU"/>
        </w:rPr>
        <w:t xml:space="preserve">depend on the exponential </w:t>
      </w:r>
      <w:r w:rsidR="00761849" w:rsidRPr="00A96337">
        <w:rPr>
          <w:lang w:val="en-AU"/>
        </w:rPr>
        <w:t>i</w:t>
      </w:r>
      <w:r w:rsidRPr="00A96337">
        <w:rPr>
          <w:lang w:val="en-AU"/>
        </w:rPr>
        <w:t>ncrease</w:t>
      </w:r>
      <w:r w:rsidR="00761849" w:rsidRPr="00A96337">
        <w:rPr>
          <w:lang w:val="en-AU"/>
        </w:rPr>
        <w:t>s</w:t>
      </w:r>
      <w:r w:rsidRPr="00A96337">
        <w:rPr>
          <w:lang w:val="en-AU"/>
        </w:rPr>
        <w:t xml:space="preserve"> </w:t>
      </w:r>
      <w:r w:rsidR="00761849" w:rsidRPr="00A96337">
        <w:rPr>
          <w:lang w:val="en-AU"/>
        </w:rPr>
        <w:t>delivered</w:t>
      </w:r>
      <w:r w:rsidRPr="00A96337">
        <w:rPr>
          <w:lang w:val="en-AU"/>
        </w:rPr>
        <w:t xml:space="preserve"> in 2018.</w:t>
      </w:r>
    </w:p>
    <w:p w14:paraId="390DFE5E" w14:textId="77777777" w:rsidR="002F4F42" w:rsidRPr="00A96337" w:rsidRDefault="002F4F42" w:rsidP="00F8335C">
      <w:pPr>
        <w:pStyle w:val="Heading2"/>
        <w:ind w:left="851" w:hanging="851"/>
      </w:pPr>
      <w:bookmarkStart w:id="241" w:name="_Toc8978042"/>
      <w:bookmarkStart w:id="242" w:name="_Toc12364815"/>
      <w:r w:rsidRPr="00A96337">
        <w:t>Impact of APHEDA’s suspension</w:t>
      </w:r>
      <w:bookmarkEnd w:id="241"/>
      <w:bookmarkEnd w:id="242"/>
    </w:p>
    <w:p w14:paraId="68E439FE" w14:textId="1F9C05CB" w:rsidR="002F4F42" w:rsidRPr="00A96337" w:rsidRDefault="002F4F42" w:rsidP="00E42BC8">
      <w:pPr>
        <w:pStyle w:val="BodyText"/>
        <w:rPr>
          <w:lang w:val="en-AU"/>
        </w:rPr>
      </w:pPr>
      <w:r w:rsidRPr="00A96337">
        <w:rPr>
          <w:lang w:val="en-AU"/>
        </w:rPr>
        <w:t>The impact of the suspension on APHEDA, its local partners, and the delivery of its program benefits ha</w:t>
      </w:r>
      <w:r w:rsidR="00941184" w:rsidRPr="00A96337">
        <w:rPr>
          <w:lang w:val="en-AU"/>
        </w:rPr>
        <w:t>s</w:t>
      </w:r>
      <w:r w:rsidRPr="00A96337">
        <w:rPr>
          <w:lang w:val="en-AU"/>
        </w:rPr>
        <w:t xml:space="preserve"> been significant.</w:t>
      </w:r>
      <w:r w:rsidR="00E42BC8" w:rsidRPr="00A96337">
        <w:rPr>
          <w:lang w:val="en-AU"/>
        </w:rPr>
        <w:t xml:space="preserve"> </w:t>
      </w:r>
      <w:r w:rsidRPr="00A96337">
        <w:rPr>
          <w:lang w:val="en-AU"/>
        </w:rPr>
        <w:t>Ghalleh was the first of the NGO projects to show significant results in terms of private sector partnerships and, although the interventions have suffered during the suspension, these partnerships continue to hold high impact potential provided programming is re-established smoothly.</w:t>
      </w:r>
      <w:r w:rsidR="008B34BA" w:rsidRPr="00A96337">
        <w:rPr>
          <w:lang w:val="en-AU"/>
        </w:rPr>
        <w:t xml:space="preserve"> </w:t>
      </w:r>
      <w:r w:rsidR="00E42BC8" w:rsidRPr="00A96337">
        <w:rPr>
          <w:lang w:val="en-AU"/>
        </w:rPr>
        <w:t xml:space="preserve"> </w:t>
      </w:r>
      <w:r w:rsidRPr="00A96337">
        <w:rPr>
          <w:lang w:val="en-AU"/>
        </w:rPr>
        <w:t xml:space="preserve">APHEDA and </w:t>
      </w:r>
      <w:r w:rsidR="00941184" w:rsidRPr="00A96337">
        <w:rPr>
          <w:lang w:val="en-AU"/>
        </w:rPr>
        <w:t>its</w:t>
      </w:r>
      <w:r w:rsidRPr="00A96337">
        <w:rPr>
          <w:lang w:val="en-AU"/>
        </w:rPr>
        <w:t xml:space="preserve"> long-term partners have previously demonstrated their ability for rapid mobilisation during previous AMENCA phases.</w:t>
      </w:r>
      <w:r w:rsidR="00E42BC8" w:rsidRPr="00A96337">
        <w:rPr>
          <w:lang w:val="en-AU"/>
        </w:rPr>
        <w:t xml:space="preserve"> </w:t>
      </w:r>
      <w:r w:rsidRPr="00A96337">
        <w:rPr>
          <w:lang w:val="en-AU"/>
        </w:rPr>
        <w:t>As such, DFAT ha</w:t>
      </w:r>
      <w:r w:rsidR="00AD1A84" w:rsidRPr="00A96337">
        <w:rPr>
          <w:lang w:val="en-AU"/>
        </w:rPr>
        <w:t>s</w:t>
      </w:r>
      <w:r w:rsidRPr="00A96337">
        <w:rPr>
          <w:lang w:val="en-AU"/>
        </w:rPr>
        <w:t xml:space="preserve"> commenced early planning with APHEDA for reintegration of Ghalleh into </w:t>
      </w:r>
      <w:r w:rsidR="009B58A0" w:rsidRPr="00A96337">
        <w:rPr>
          <w:lang w:val="en-AU"/>
        </w:rPr>
        <w:t>AMENCA 3</w:t>
      </w:r>
      <w:r w:rsidRPr="00A96337">
        <w:rPr>
          <w:lang w:val="en-AU"/>
        </w:rPr>
        <w:t>.</w:t>
      </w:r>
    </w:p>
    <w:p w14:paraId="6F92C62B" w14:textId="20AC5CCA" w:rsidR="003F53F7" w:rsidRPr="00A96337" w:rsidRDefault="002F4F42" w:rsidP="000E1846">
      <w:pPr>
        <w:pStyle w:val="BodyText"/>
        <w:spacing w:after="240"/>
        <w:rPr>
          <w:spacing w:val="-2"/>
          <w:lang w:val="en-AU"/>
        </w:rPr>
      </w:pPr>
      <w:r w:rsidRPr="00A96337">
        <w:rPr>
          <w:spacing w:val="-2"/>
          <w:lang w:val="en-AU"/>
        </w:rPr>
        <w:t>APHEDA, and its consortium partners, face challenges in remobilising Ghalleh.</w:t>
      </w:r>
      <w:r w:rsidR="00E42BC8" w:rsidRPr="00A96337">
        <w:rPr>
          <w:spacing w:val="-2"/>
          <w:lang w:val="en-AU"/>
        </w:rPr>
        <w:t xml:space="preserve"> </w:t>
      </w:r>
      <w:r w:rsidR="008B34BA" w:rsidRPr="00A96337">
        <w:rPr>
          <w:spacing w:val="-2"/>
          <w:lang w:val="en-AU"/>
        </w:rPr>
        <w:t xml:space="preserve"> </w:t>
      </w:r>
      <w:r w:rsidRPr="00A96337">
        <w:rPr>
          <w:spacing w:val="-2"/>
          <w:lang w:val="en-AU"/>
        </w:rPr>
        <w:t>Partners have suffered and continue to suffer reputational damage as a result of the suspension.</w:t>
      </w:r>
      <w:r w:rsidR="00E42BC8" w:rsidRPr="00A96337">
        <w:rPr>
          <w:spacing w:val="-2"/>
          <w:lang w:val="en-AU"/>
        </w:rPr>
        <w:t xml:space="preserve"> </w:t>
      </w:r>
      <w:r w:rsidR="008B34BA" w:rsidRPr="00A96337">
        <w:rPr>
          <w:spacing w:val="-2"/>
          <w:lang w:val="en-AU"/>
        </w:rPr>
        <w:t xml:space="preserve"> </w:t>
      </w:r>
      <w:r w:rsidRPr="00A96337">
        <w:rPr>
          <w:spacing w:val="-2"/>
          <w:lang w:val="en-AU"/>
        </w:rPr>
        <w:t xml:space="preserve">The suspension was also an important factor that triggered the </w:t>
      </w:r>
      <w:r w:rsidR="003141CA" w:rsidRPr="00A96337">
        <w:rPr>
          <w:spacing w:val="-2"/>
          <w:lang w:val="en-AU"/>
        </w:rPr>
        <w:t>withdrawal</w:t>
      </w:r>
      <w:r w:rsidR="00DF6DC1" w:rsidRPr="00A96337">
        <w:rPr>
          <w:spacing w:val="-2"/>
          <w:lang w:val="en-AU"/>
        </w:rPr>
        <w:t xml:space="preserve"> of engagement by the </w:t>
      </w:r>
      <w:r w:rsidRPr="00A96337">
        <w:rPr>
          <w:spacing w:val="-2"/>
          <w:lang w:val="en-AU"/>
        </w:rPr>
        <w:t xml:space="preserve">Palestinian Authority with </w:t>
      </w:r>
      <w:r w:rsidR="009B58A0" w:rsidRPr="00A96337">
        <w:rPr>
          <w:spacing w:val="-2"/>
          <w:lang w:val="en-AU"/>
        </w:rPr>
        <w:t>AMENCA 3</w:t>
      </w:r>
      <w:r w:rsidRPr="00A96337">
        <w:rPr>
          <w:spacing w:val="-2"/>
          <w:lang w:val="en-AU"/>
        </w:rPr>
        <w:t>, which has broader programmatic and relational impacts for DFAT.</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477E17" w:rsidRPr="00A96337" w14:paraId="4A83A146" w14:textId="77777777" w:rsidTr="000E1846">
        <w:trPr>
          <w:trHeight w:val="1207"/>
        </w:trPr>
        <w:tc>
          <w:tcPr>
            <w:tcW w:w="709" w:type="dxa"/>
          </w:tcPr>
          <w:p w14:paraId="5D4E62BB" w14:textId="77777777" w:rsidR="00477E17" w:rsidRPr="00A96337" w:rsidRDefault="00477E17" w:rsidP="000E1846">
            <w:pPr>
              <w:pStyle w:val="IntenseQuote"/>
              <w:pBdr>
                <w:bottom w:val="none" w:sz="0" w:space="0" w:color="auto"/>
              </w:pBdr>
              <w:spacing w:before="120" w:after="120" w:line="259" w:lineRule="auto"/>
              <w:ind w:left="0" w:right="124"/>
              <w:rPr>
                <w:rFonts w:ascii="Arial" w:hAnsi="Arial" w:cs="Arial"/>
                <w:i w:val="0"/>
              </w:rPr>
            </w:pPr>
            <w:r w:rsidRPr="00A96337">
              <w:rPr>
                <w:rFonts w:ascii="Arial" w:hAnsi="Arial" w:cs="Arial"/>
                <w:i w:val="0"/>
                <w:noProof/>
                <w:lang w:eastAsia="en-AU"/>
              </w:rPr>
              <w:drawing>
                <wp:inline distT="0" distB="0" distL="0" distR="0" wp14:anchorId="36CEC4AF" wp14:editId="355C47A4">
                  <wp:extent cx="267419" cy="330844"/>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307" w:type="dxa"/>
          </w:tcPr>
          <w:p w14:paraId="232E83D1" w14:textId="2DE5B257" w:rsidR="00477E17" w:rsidRPr="00A96337" w:rsidRDefault="00D012B6" w:rsidP="00F8335C">
            <w:pPr>
              <w:pStyle w:val="IntenseQuote"/>
              <w:numPr>
                <w:ilvl w:val="0"/>
                <w:numId w:val="30"/>
              </w:numPr>
              <w:pBdr>
                <w:bottom w:val="none" w:sz="0" w:space="0" w:color="auto"/>
              </w:pBdr>
              <w:spacing w:before="120" w:after="120" w:line="259" w:lineRule="auto"/>
              <w:ind w:left="0" w:right="0" w:firstLine="0"/>
              <w:rPr>
                <w:rFonts w:ascii="Arial" w:hAnsi="Arial" w:cs="Arial"/>
                <w:b w:val="0"/>
                <w:bCs w:val="0"/>
                <w:i w:val="0"/>
              </w:rPr>
            </w:pPr>
            <w:bookmarkStart w:id="243" w:name="_Ref11932648"/>
            <w:r w:rsidRPr="00A96337">
              <w:rPr>
                <w:rFonts w:ascii="Arial" w:hAnsi="Arial" w:cs="Arial"/>
                <w:i w:val="0"/>
                <w:color w:val="5482AB"/>
              </w:rPr>
              <w:t>Clarify APHEDA situation:</w:t>
            </w:r>
            <w:r w:rsidRPr="00A96337">
              <w:rPr>
                <w:rFonts w:ascii="Arial" w:hAnsi="Arial" w:cs="Arial"/>
                <w:b w:val="0"/>
                <w:bCs w:val="0"/>
                <w:i w:val="0"/>
                <w:color w:val="5482AB"/>
              </w:rPr>
              <w:t xml:space="preserve"> DFAT to agree that APHEDA may provide a copy of DFAT’s letter advising of APHEDA’s full reinstatement to its communities, stakeholders, partners and the Palestinian Authority.  DFAT to explore other opportunities to help communicate the current state of play.</w:t>
            </w:r>
            <w:bookmarkEnd w:id="243"/>
          </w:p>
        </w:tc>
      </w:tr>
    </w:tbl>
    <w:p w14:paraId="2FECE956" w14:textId="297FA978" w:rsidR="000E1846" w:rsidRPr="00A96337" w:rsidRDefault="002F4F42" w:rsidP="000E1846">
      <w:pPr>
        <w:pStyle w:val="BodyText"/>
        <w:spacing w:before="240" w:after="240"/>
        <w:rPr>
          <w:lang w:val="en-AU"/>
        </w:rPr>
      </w:pPr>
      <w:r w:rsidRPr="00A96337">
        <w:rPr>
          <w:lang w:val="en-AU"/>
        </w:rPr>
        <w:t>This would not only reassure all Ghalleh stakeholders, but it could also provide an avenue for DFAT to re-engage with the Ministry of Agriculture.</w:t>
      </w:r>
    </w:p>
    <w:p w14:paraId="2EC05798" w14:textId="687ABF54" w:rsidR="002F4F42" w:rsidRPr="00A96337" w:rsidRDefault="002F4F42" w:rsidP="00F8335C">
      <w:pPr>
        <w:pStyle w:val="Heading2"/>
        <w:ind w:left="851" w:hanging="851"/>
      </w:pPr>
      <w:bookmarkStart w:id="244" w:name="_Toc8978043"/>
      <w:bookmarkStart w:id="245" w:name="_Toc12364816"/>
      <w:r w:rsidRPr="00A96337">
        <w:t xml:space="preserve">Is the intervention portfolio of </w:t>
      </w:r>
      <w:r w:rsidR="009B58A0" w:rsidRPr="00A96337">
        <w:t>AMENCA 3</w:t>
      </w:r>
      <w:r w:rsidRPr="00A96337">
        <w:t xml:space="preserve"> strategic and well managed?</w:t>
      </w:r>
      <w:bookmarkEnd w:id="244"/>
      <w:bookmarkEnd w:id="245"/>
    </w:p>
    <w:p w14:paraId="23ED2369" w14:textId="208B68D7" w:rsidR="002F4F42" w:rsidRPr="00A96337" w:rsidRDefault="009B58A0" w:rsidP="00E42BC8">
      <w:pPr>
        <w:pStyle w:val="BodyText"/>
        <w:rPr>
          <w:lang w:val="en-AU"/>
        </w:rPr>
      </w:pPr>
      <w:r w:rsidRPr="00A96337">
        <w:rPr>
          <w:lang w:val="en-AU"/>
        </w:rPr>
        <w:t>AMENCA 3</w:t>
      </w:r>
      <w:r w:rsidR="002F4F42" w:rsidRPr="00A96337">
        <w:rPr>
          <w:lang w:val="en-AU"/>
        </w:rPr>
        <w:t>’s primary sectors of intervention are:</w:t>
      </w:r>
    </w:p>
    <w:p w14:paraId="5B7427AB" w14:textId="77777777" w:rsidR="002F4F42" w:rsidRPr="00A96337" w:rsidRDefault="002F4F42" w:rsidP="00F8335C">
      <w:pPr>
        <w:pStyle w:val="ListParagraph"/>
        <w:numPr>
          <w:ilvl w:val="0"/>
          <w:numId w:val="56"/>
        </w:numPr>
        <w:ind w:left="397" w:hanging="397"/>
      </w:pPr>
      <w:r w:rsidRPr="00A96337">
        <w:t>Small Ruminants Dairy (CARE and Oxfam).</w:t>
      </w:r>
    </w:p>
    <w:p w14:paraId="1222B1A0" w14:textId="4FBBCBA0" w:rsidR="002F4F42" w:rsidRPr="00A96337" w:rsidRDefault="002F4F42" w:rsidP="00F8335C">
      <w:pPr>
        <w:pStyle w:val="ListParagraph"/>
        <w:numPr>
          <w:ilvl w:val="0"/>
          <w:numId w:val="56"/>
        </w:numPr>
        <w:ind w:left="397" w:hanging="397"/>
      </w:pPr>
      <w:r w:rsidRPr="00A96337">
        <w:t>Safe</w:t>
      </w:r>
      <w:r w:rsidR="0027108F" w:rsidRPr="00A96337">
        <w:t>r</w:t>
      </w:r>
      <w:r w:rsidRPr="00A96337">
        <w:t xml:space="preserve"> High Value Vegetables (CARE and APHEDA).</w:t>
      </w:r>
    </w:p>
    <w:p w14:paraId="58050D2F" w14:textId="77777777" w:rsidR="002F4F42" w:rsidRPr="00A96337" w:rsidRDefault="002F4F42" w:rsidP="00F8335C">
      <w:pPr>
        <w:pStyle w:val="ListParagraph"/>
        <w:numPr>
          <w:ilvl w:val="0"/>
          <w:numId w:val="56"/>
        </w:numPr>
        <w:ind w:left="397" w:hanging="397"/>
      </w:pPr>
      <w:r w:rsidRPr="00A96337">
        <w:t>High Value Fruits and Nuts - Oxfam (Guava, Grapes, Avocado, Olives) and APHEDA (Almonds, Dates).</w:t>
      </w:r>
    </w:p>
    <w:p w14:paraId="54D7978B" w14:textId="77777777" w:rsidR="002F4F42" w:rsidRPr="00A96337" w:rsidRDefault="002F4F42" w:rsidP="00F8335C">
      <w:pPr>
        <w:pStyle w:val="ListParagraph"/>
        <w:numPr>
          <w:ilvl w:val="0"/>
          <w:numId w:val="56"/>
        </w:numPr>
        <w:ind w:left="397" w:hanging="397"/>
      </w:pPr>
      <w:r w:rsidRPr="00A96337">
        <w:t>Small Infrastructure – Farm to Market Roads and Irrigation (CARE, Oxfam, APHEDA).</w:t>
      </w:r>
    </w:p>
    <w:p w14:paraId="6DDD96AB" w14:textId="77777777" w:rsidR="002F4F42" w:rsidRPr="00A96337" w:rsidRDefault="002F4F42" w:rsidP="00E42BC8">
      <w:pPr>
        <w:pStyle w:val="BodyText"/>
        <w:rPr>
          <w:lang w:val="en-AU"/>
        </w:rPr>
      </w:pPr>
      <w:r w:rsidRPr="00A96337">
        <w:rPr>
          <w:lang w:val="en-AU"/>
        </w:rPr>
        <w:t>The MTR Team considers that the majority of the interventions across these sectors are innovative and well thought through.</w:t>
      </w:r>
      <w:r w:rsidR="00E42BC8" w:rsidRPr="00A96337">
        <w:rPr>
          <w:lang w:val="en-AU"/>
        </w:rPr>
        <w:t xml:space="preserve"> </w:t>
      </w:r>
      <w:r w:rsidRPr="00A96337">
        <w:rPr>
          <w:lang w:val="en-AU"/>
        </w:rPr>
        <w:t>There are four areas, however, where some enhancement to the interventions should be considered.</w:t>
      </w:r>
    </w:p>
    <w:p w14:paraId="68EA22E4" w14:textId="77777777" w:rsidR="002F4F42" w:rsidRPr="00A96337" w:rsidRDefault="002F4F42" w:rsidP="00F05621">
      <w:pPr>
        <w:pStyle w:val="Heading3"/>
        <w:rPr>
          <w:lang w:val="en-AU"/>
        </w:rPr>
      </w:pPr>
      <w:bookmarkStart w:id="246" w:name="_Toc8468208"/>
      <w:bookmarkStart w:id="247" w:name="_Toc8978044"/>
      <w:bookmarkStart w:id="248" w:name="_Ref12009642"/>
      <w:bookmarkStart w:id="249" w:name="_Ref12009700"/>
      <w:bookmarkStart w:id="250" w:name="_Toc12364817"/>
      <w:r w:rsidRPr="00A96337">
        <w:rPr>
          <w:lang w:val="en-AU"/>
        </w:rPr>
        <w:t>Moving from a value-chain to a market perspective</w:t>
      </w:r>
      <w:bookmarkEnd w:id="246"/>
      <w:bookmarkEnd w:id="247"/>
      <w:bookmarkEnd w:id="248"/>
      <w:bookmarkEnd w:id="249"/>
      <w:bookmarkEnd w:id="250"/>
    </w:p>
    <w:p w14:paraId="42F5CB59" w14:textId="64E02F3E" w:rsidR="0002297F" w:rsidRPr="00A96337" w:rsidRDefault="002F4F42" w:rsidP="00E42BC8">
      <w:pPr>
        <w:pStyle w:val="BodyText"/>
        <w:rPr>
          <w:lang w:val="en-AU"/>
        </w:rPr>
      </w:pPr>
      <w:r w:rsidRPr="00A96337">
        <w:rPr>
          <w:lang w:val="en-AU"/>
        </w:rPr>
        <w:t xml:space="preserve">Many </w:t>
      </w:r>
      <w:r w:rsidR="009B58A0" w:rsidRPr="00A96337">
        <w:rPr>
          <w:lang w:val="en-AU"/>
        </w:rPr>
        <w:t>AMENCA 3</w:t>
      </w:r>
      <w:r w:rsidRPr="00A96337">
        <w:rPr>
          <w:lang w:val="en-AU"/>
        </w:rPr>
        <w:t xml:space="preserve"> interventions are focusing on specific product value chains in order to directly improve the effectiveness or efficient functioning of elements within those value chains.</w:t>
      </w:r>
      <w:r w:rsidR="00E42BC8" w:rsidRPr="00A96337">
        <w:rPr>
          <w:lang w:val="en-AU"/>
        </w:rPr>
        <w:t xml:space="preserve"> </w:t>
      </w:r>
      <w:r w:rsidRPr="00A96337">
        <w:rPr>
          <w:lang w:val="en-AU"/>
        </w:rPr>
        <w:t>Yet many of the fundamental constraints on value chain performance sit in the broader markets beyond the value chains themselves.</w:t>
      </w:r>
      <w:r w:rsidR="00E42BC8" w:rsidRPr="00A96337">
        <w:rPr>
          <w:lang w:val="en-AU"/>
        </w:rPr>
        <w:t xml:space="preserve"> </w:t>
      </w:r>
      <w:r w:rsidR="009B58A0" w:rsidRPr="00A96337">
        <w:rPr>
          <w:lang w:val="en-AU"/>
        </w:rPr>
        <w:t>AMENCA 3</w:t>
      </w:r>
      <w:r w:rsidRPr="00A96337">
        <w:rPr>
          <w:lang w:val="en-AU"/>
        </w:rPr>
        <w:t xml:space="preserve">’s hybrid approach has already recognised this, and as such has identified the need for specific </w:t>
      </w:r>
      <w:r w:rsidRPr="00A96337">
        <w:rPr>
          <w:i/>
          <w:iCs/>
          <w:lang w:val="en-AU"/>
        </w:rPr>
        <w:t>uplift</w:t>
      </w:r>
      <w:r w:rsidRPr="00A96337">
        <w:rPr>
          <w:lang w:val="en-AU"/>
        </w:rPr>
        <w:t xml:space="preserve"> and </w:t>
      </w:r>
      <w:r w:rsidRPr="00A96337">
        <w:rPr>
          <w:i/>
          <w:iCs/>
          <w:lang w:val="en-AU"/>
        </w:rPr>
        <w:t>reach</w:t>
      </w:r>
      <w:r w:rsidRPr="00A96337">
        <w:rPr>
          <w:lang w:val="en-AU"/>
        </w:rPr>
        <w:t xml:space="preserve"> interventions that help to strengthen the functioning of</w:t>
      </w:r>
      <w:r w:rsidRPr="00A96337" w:rsidDel="00CC536E">
        <w:rPr>
          <w:lang w:val="en-AU"/>
        </w:rPr>
        <w:t xml:space="preserve"> </w:t>
      </w:r>
      <w:r w:rsidRPr="00A96337">
        <w:rPr>
          <w:lang w:val="en-AU"/>
        </w:rPr>
        <w:t>the target markets as a whole.</w:t>
      </w:r>
      <w:r w:rsidR="00E42BC8" w:rsidRPr="00A96337">
        <w:rPr>
          <w:lang w:val="en-AU"/>
        </w:rPr>
        <w:t xml:space="preserve"> </w:t>
      </w:r>
      <w:r w:rsidRPr="00A96337">
        <w:rPr>
          <w:lang w:val="en-AU"/>
        </w:rPr>
        <w:t>However, other important market-wide issues also need to be understood, tracked, and targeted if necessary.</w:t>
      </w:r>
      <w:r w:rsidR="00E42BC8" w:rsidRPr="00A96337">
        <w:rPr>
          <w:lang w:val="en-AU"/>
        </w:rPr>
        <w:t xml:space="preserve"> </w:t>
      </w:r>
      <w:r w:rsidRPr="00A96337">
        <w:rPr>
          <w:lang w:val="en-AU"/>
        </w:rPr>
        <w:t>Examples include</w:t>
      </w:r>
      <w:r w:rsidR="00D82EC8" w:rsidRPr="00A96337">
        <w:rPr>
          <w:lang w:val="en-AU"/>
        </w:rPr>
        <w:t xml:space="preserve"> insufficiencies in</w:t>
      </w:r>
      <w:r w:rsidR="0002297F" w:rsidRPr="00A96337">
        <w:rPr>
          <w:lang w:val="en-AU"/>
        </w:rPr>
        <w:t>:</w:t>
      </w:r>
    </w:p>
    <w:p w14:paraId="64C22A97" w14:textId="4046DC44" w:rsidR="00D82EC8" w:rsidRPr="00A96337" w:rsidRDefault="002F4F42" w:rsidP="00344F3B">
      <w:pPr>
        <w:pStyle w:val="Dotpoint"/>
      </w:pPr>
      <w:r w:rsidRPr="00A96337">
        <w:t>the associated input markets (for goods or services);</w:t>
      </w:r>
    </w:p>
    <w:p w14:paraId="23990110" w14:textId="77777777" w:rsidR="00D82EC8" w:rsidRPr="00A96337" w:rsidRDefault="002F4F42" w:rsidP="00344F3B">
      <w:pPr>
        <w:pStyle w:val="Dotpoint"/>
      </w:pPr>
      <w:r w:rsidRPr="00A96337">
        <w:t>production infrastructure,</w:t>
      </w:r>
    </w:p>
    <w:p w14:paraId="6A7B9ABA" w14:textId="77777777" w:rsidR="00026869" w:rsidRPr="00A96337" w:rsidRDefault="002F4F42" w:rsidP="00344F3B">
      <w:pPr>
        <w:pStyle w:val="Dotpoint"/>
      </w:pPr>
      <w:r w:rsidRPr="00A96337">
        <w:t>transport and logistics,</w:t>
      </w:r>
    </w:p>
    <w:p w14:paraId="6618AB59" w14:textId="77777777" w:rsidR="00026869" w:rsidRPr="00A96337" w:rsidRDefault="002F4F42" w:rsidP="00344F3B">
      <w:pPr>
        <w:pStyle w:val="Dotpoint"/>
      </w:pPr>
      <w:r w:rsidRPr="00A96337">
        <w:t>factor markets (e.g. land, water, capital and finance);</w:t>
      </w:r>
    </w:p>
    <w:p w14:paraId="121033AF" w14:textId="77777777" w:rsidR="00026869" w:rsidRPr="00A96337" w:rsidRDefault="002F4F42" w:rsidP="00344F3B">
      <w:pPr>
        <w:pStyle w:val="Dotpoint"/>
      </w:pPr>
      <w:r w:rsidRPr="00A96337">
        <w:t>entrepreneurship</w:t>
      </w:r>
      <w:r w:rsidR="00026869" w:rsidRPr="00A96337">
        <w:t>;</w:t>
      </w:r>
    </w:p>
    <w:p w14:paraId="453DD502" w14:textId="4EB435DE" w:rsidR="00026869" w:rsidRPr="00A96337" w:rsidRDefault="00B628B5" w:rsidP="00344F3B">
      <w:pPr>
        <w:pStyle w:val="Dotpoint"/>
      </w:pPr>
      <w:r w:rsidRPr="00A96337">
        <w:t>gender and inclusion (</w:t>
      </w:r>
      <w:r w:rsidR="00017ABF" w:rsidRPr="00A96337">
        <w:t>e.g.</w:t>
      </w:r>
      <w:r w:rsidRPr="00A96337">
        <w:t xml:space="preserve"> how </w:t>
      </w:r>
      <w:r w:rsidR="004E6252" w:rsidRPr="00A96337">
        <w:t xml:space="preserve">the </w:t>
      </w:r>
      <w:r w:rsidR="00017ABF" w:rsidRPr="00A96337">
        <w:t xml:space="preserve">limited </w:t>
      </w:r>
      <w:r w:rsidR="004E6252" w:rsidRPr="00A96337">
        <w:t>access and agency of women and youth constrain ma</w:t>
      </w:r>
      <w:r w:rsidR="00017ABF" w:rsidRPr="00A96337">
        <w:t>r</w:t>
      </w:r>
      <w:r w:rsidR="004E6252" w:rsidRPr="00A96337">
        <w:t xml:space="preserve">ket </w:t>
      </w:r>
      <w:r w:rsidR="00017ABF" w:rsidRPr="00A96337">
        <w:t>growth</w:t>
      </w:r>
      <w:r w:rsidRPr="00A96337">
        <w:t>)</w:t>
      </w:r>
      <w:r w:rsidR="00026869" w:rsidRPr="00A96337">
        <w:t>;</w:t>
      </w:r>
    </w:p>
    <w:p w14:paraId="36ECF952" w14:textId="77777777" w:rsidR="00026869" w:rsidRPr="00A96337" w:rsidRDefault="00B628B5" w:rsidP="00344F3B">
      <w:pPr>
        <w:pStyle w:val="Dotpoint"/>
      </w:pPr>
      <w:r w:rsidRPr="00A96337">
        <w:t>business development services; and</w:t>
      </w:r>
    </w:p>
    <w:p w14:paraId="79497FEF" w14:textId="4BF7C7AA" w:rsidR="002F4F42" w:rsidRPr="00A96337" w:rsidRDefault="00B628B5" w:rsidP="00344F3B">
      <w:pPr>
        <w:pStyle w:val="Dotpoint"/>
      </w:pPr>
      <w:r w:rsidRPr="00A96337">
        <w:t>the associated regulations and policy.</w:t>
      </w:r>
    </w:p>
    <w:p w14:paraId="13BDDE60" w14:textId="6B2F4FEF" w:rsidR="002F4F42" w:rsidRPr="00A96337" w:rsidRDefault="002F4F42" w:rsidP="00E42BC8">
      <w:pPr>
        <w:pStyle w:val="BodyText"/>
        <w:rPr>
          <w:lang w:val="en-AU"/>
        </w:rPr>
      </w:pPr>
      <w:r w:rsidRPr="00A96337">
        <w:rPr>
          <w:lang w:val="en-AU"/>
        </w:rPr>
        <w:t xml:space="preserve">Although there is evidence from across </w:t>
      </w:r>
      <w:r w:rsidR="009B58A0" w:rsidRPr="00A96337">
        <w:rPr>
          <w:lang w:val="en-AU"/>
        </w:rPr>
        <w:t>AMENCA 3</w:t>
      </w:r>
      <w:r w:rsidRPr="00A96337">
        <w:rPr>
          <w:lang w:val="en-AU"/>
        </w:rPr>
        <w:t xml:space="preserve"> that the teams are thinking (at least in an ad hoc way) about most of these issues, a review of the NGO analysis indicates that they are not being coherently and systematically taken into consideration during the development of either the sector or the intervention logics.</w:t>
      </w:r>
      <w:r w:rsidR="00E42BC8" w:rsidRPr="00A96337">
        <w:rPr>
          <w:lang w:val="en-AU"/>
        </w:rPr>
        <w:t xml:space="preserve"> </w:t>
      </w:r>
      <w:r w:rsidRPr="00A96337">
        <w:rPr>
          <w:lang w:val="en-AU"/>
        </w:rPr>
        <w:t>Instead, what is generally happening is that an innovation or technology (e.g. safe vegetables) is proposed, and then ways are explored of introducing that innovation into the value chain.</w:t>
      </w:r>
      <w:r w:rsidR="00E42BC8" w:rsidRPr="00A96337">
        <w:rPr>
          <w:lang w:val="en-AU"/>
        </w:rPr>
        <w:t xml:space="preserve"> </w:t>
      </w:r>
      <w:r w:rsidRPr="00A96337">
        <w:rPr>
          <w:lang w:val="en-AU"/>
        </w:rPr>
        <w:t xml:space="preserve">Yet while this is a valid, iterative and successful approach, it would be beneficial for all stakeholders if the approach were underpinned by a broader sector and intervention analysis establishing that the particular value chain element </w:t>
      </w:r>
      <w:r w:rsidR="000A5897" w:rsidRPr="00A96337">
        <w:rPr>
          <w:lang w:val="en-AU"/>
        </w:rPr>
        <w:t>(e.g.</w:t>
      </w:r>
      <w:r w:rsidRPr="00A96337">
        <w:rPr>
          <w:lang w:val="en-AU"/>
        </w:rPr>
        <w:t xml:space="preserve"> pesticide residues</w:t>
      </w:r>
      <w:r w:rsidR="00BB2856" w:rsidRPr="00A96337">
        <w:rPr>
          <w:lang w:val="en-AU"/>
        </w:rPr>
        <w:t>)</w:t>
      </w:r>
      <w:r w:rsidRPr="00A96337">
        <w:rPr>
          <w:lang w:val="en-AU"/>
        </w:rPr>
        <w:t xml:space="preserve"> is, in fact, a central impediment to pro-poor market function, and that other elements are not more critical.</w:t>
      </w:r>
      <w:r w:rsidR="00E42BC8" w:rsidRPr="00A96337">
        <w:rPr>
          <w:lang w:val="en-AU"/>
        </w:rPr>
        <w:t xml:space="preserve"> </w:t>
      </w:r>
      <w:r w:rsidRPr="00A96337">
        <w:rPr>
          <w:lang w:val="en-AU"/>
        </w:rPr>
        <w:t>One instructive example comes from the technical interventions into the small ruminant dairy sector, which seem quite innovative (breeds, chillers, aggregation, vaccination, advice etc).</w:t>
      </w:r>
      <w:r w:rsidR="00E42BC8" w:rsidRPr="00A96337">
        <w:rPr>
          <w:lang w:val="en-AU"/>
        </w:rPr>
        <w:t xml:space="preserve"> </w:t>
      </w:r>
      <w:r w:rsidRPr="00A96337">
        <w:rPr>
          <w:lang w:val="en-AU"/>
        </w:rPr>
        <w:t>However, a more fundamental review of the overall market would complement this work and either confirm the current track or inspire changes.</w:t>
      </w:r>
      <w:r w:rsidR="00E42BC8" w:rsidRPr="00A96337">
        <w:rPr>
          <w:lang w:val="en-AU"/>
        </w:rPr>
        <w:t xml:space="preserve"> </w:t>
      </w:r>
      <w:r w:rsidRPr="00A96337">
        <w:rPr>
          <w:lang w:val="en-AU"/>
        </w:rPr>
        <w:t xml:space="preserve">For example, a market sector review would complement </w:t>
      </w:r>
      <w:r w:rsidR="009B58A0" w:rsidRPr="00A96337">
        <w:rPr>
          <w:lang w:val="en-AU"/>
        </w:rPr>
        <w:t>AMENCA 3</w:t>
      </w:r>
      <w:r w:rsidRPr="00A96337">
        <w:rPr>
          <w:lang w:val="en-AU"/>
        </w:rPr>
        <w:t xml:space="preserve">’s work, by taking into consideration such issues as: </w:t>
      </w:r>
    </w:p>
    <w:p w14:paraId="7608C7BD" w14:textId="77777777" w:rsidR="002F4F42" w:rsidRPr="00A96337" w:rsidRDefault="002F4F42" w:rsidP="00E50F49">
      <w:pPr>
        <w:pStyle w:val="Dotpoint"/>
      </w:pPr>
      <w:r w:rsidRPr="00A96337">
        <w:t>the overall competitive risks to small ruminant dairy in the region;</w:t>
      </w:r>
    </w:p>
    <w:p w14:paraId="49E386B6" w14:textId="5522888A" w:rsidR="002F4F42" w:rsidRPr="00A96337" w:rsidRDefault="002F4F42" w:rsidP="00E50F49">
      <w:pPr>
        <w:pStyle w:val="Dotpoint"/>
      </w:pPr>
      <w:r w:rsidRPr="00A96337">
        <w:t>the impediments to</w:t>
      </w:r>
      <w:r w:rsidR="00062D77" w:rsidRPr="00A96337">
        <w:t xml:space="preserve"> pro-poor and </w:t>
      </w:r>
      <w:r w:rsidRPr="00A96337">
        <w:t>inclusive growth</w:t>
      </w:r>
      <w:r w:rsidR="00907AC9" w:rsidRPr="00A96337">
        <w:t xml:space="preserve"> (see also Section </w:t>
      </w:r>
      <w:r w:rsidR="006C5F5B" w:rsidRPr="00A96337">
        <w:fldChar w:fldCharType="begin"/>
      </w:r>
      <w:r w:rsidR="006C5F5B" w:rsidRPr="00A96337">
        <w:instrText xml:space="preserve"> REF _Ref12168855 \r \h </w:instrText>
      </w:r>
      <w:r w:rsidR="006C5F5B" w:rsidRPr="00A96337">
        <w:fldChar w:fldCharType="separate"/>
      </w:r>
      <w:r w:rsidR="00E06D4A">
        <w:t>12.1.1</w:t>
      </w:r>
      <w:r w:rsidR="006C5F5B" w:rsidRPr="00A96337">
        <w:fldChar w:fldCharType="end"/>
      </w:r>
      <w:r w:rsidR="006C5F5B" w:rsidRPr="00A96337">
        <w:t xml:space="preserve"> on </w:t>
      </w:r>
      <w:r w:rsidR="006C5F5B" w:rsidRPr="00A96337">
        <w:fldChar w:fldCharType="begin"/>
      </w:r>
      <w:r w:rsidR="006C5F5B" w:rsidRPr="00A96337">
        <w:instrText xml:space="preserve"> REF _Ref12168855 \h </w:instrText>
      </w:r>
      <w:r w:rsidR="006C5F5B" w:rsidRPr="00A96337">
        <w:fldChar w:fldCharType="separate"/>
      </w:r>
      <w:r w:rsidR="00E06D4A" w:rsidRPr="00A96337">
        <w:t>Poverty and economic exclusion</w:t>
      </w:r>
      <w:r w:rsidR="006C5F5B" w:rsidRPr="00A96337">
        <w:fldChar w:fldCharType="end"/>
      </w:r>
      <w:r w:rsidR="006C5F5B" w:rsidRPr="00A96337">
        <w:t>)</w:t>
      </w:r>
      <w:r w:rsidRPr="00A96337">
        <w:t>;</w:t>
      </w:r>
    </w:p>
    <w:p w14:paraId="38B3C112" w14:textId="77777777" w:rsidR="002F4F42" w:rsidRPr="00A96337" w:rsidRDefault="002F4F42" w:rsidP="00E50F49">
      <w:pPr>
        <w:pStyle w:val="Dotpoint"/>
      </w:pPr>
      <w:r w:rsidRPr="00A96337">
        <w:t>the impact of biosecurity risks such as zoonotic diseases;</w:t>
      </w:r>
    </w:p>
    <w:p w14:paraId="630297EB" w14:textId="77777777" w:rsidR="002F4F42" w:rsidRPr="00A96337" w:rsidRDefault="002F4F42" w:rsidP="00E50F49">
      <w:pPr>
        <w:pStyle w:val="Dotpoint"/>
      </w:pPr>
      <w:r w:rsidRPr="00A96337">
        <w:t>impacts on the natural resource base (e.g. water, rangelands); and</w:t>
      </w:r>
    </w:p>
    <w:p w14:paraId="758AFE0A" w14:textId="77777777" w:rsidR="002F4F42" w:rsidRPr="00A96337" w:rsidRDefault="002F4F42" w:rsidP="00E50F49">
      <w:pPr>
        <w:pStyle w:val="Dotpoint"/>
      </w:pPr>
      <w:r w:rsidRPr="00A96337">
        <w:t>broader issues such as aggregation and logistics.</w:t>
      </w:r>
    </w:p>
    <w:p w14:paraId="7040C682" w14:textId="4130D353" w:rsidR="002F4F42" w:rsidRPr="00A96337" w:rsidRDefault="002F4F42" w:rsidP="00E42BC8">
      <w:pPr>
        <w:pStyle w:val="BodyText"/>
        <w:rPr>
          <w:lang w:val="en-AU"/>
        </w:rPr>
      </w:pPr>
      <w:r w:rsidRPr="00A96337">
        <w:rPr>
          <w:lang w:val="en-AU"/>
        </w:rPr>
        <w:t xml:space="preserve">It may be that over time, both the various sector assessments and the on-the-ground experience of the teams, demonstrate that </w:t>
      </w:r>
      <w:r w:rsidR="00B652F6" w:rsidRPr="00A96337">
        <w:rPr>
          <w:lang w:val="en-AU"/>
        </w:rPr>
        <w:t>many</w:t>
      </w:r>
      <w:r w:rsidRPr="00A96337">
        <w:rPr>
          <w:lang w:val="en-AU"/>
        </w:rPr>
        <w:t xml:space="preserve"> interventions are facing similar major challenge/s (e.g. transport and logistics).</w:t>
      </w:r>
      <w:r w:rsidR="00E42BC8" w:rsidRPr="00A96337">
        <w:rPr>
          <w:lang w:val="en-AU"/>
        </w:rPr>
        <w:t xml:space="preserve"> </w:t>
      </w:r>
      <w:r w:rsidRPr="00A96337">
        <w:rPr>
          <w:lang w:val="en-AU"/>
        </w:rPr>
        <w:t xml:space="preserve">In this case </w:t>
      </w:r>
      <w:r w:rsidR="009B58A0" w:rsidRPr="00A96337">
        <w:rPr>
          <w:lang w:val="en-AU"/>
        </w:rPr>
        <w:t>AMENCA 3</w:t>
      </w:r>
      <w:r w:rsidRPr="00A96337">
        <w:rPr>
          <w:lang w:val="en-AU"/>
        </w:rPr>
        <w:t xml:space="preserve"> should consider the potential of market-based partnerships with the private sector to address this as a sector in its own right.</w:t>
      </w:r>
    </w:p>
    <w:p w14:paraId="000C5341" w14:textId="730E139A" w:rsidR="002F4F42" w:rsidRPr="00A96337" w:rsidRDefault="009B58A0" w:rsidP="00E42BC8">
      <w:pPr>
        <w:pStyle w:val="BodyText"/>
        <w:rPr>
          <w:lang w:val="en-AU"/>
        </w:rPr>
      </w:pPr>
      <w:bookmarkStart w:id="251" w:name="_Ref8461583"/>
      <w:r w:rsidRPr="00A96337">
        <w:rPr>
          <w:lang w:val="en-AU"/>
        </w:rPr>
        <w:t>AMENCA 3</w:t>
      </w:r>
      <w:r w:rsidR="002F4F42" w:rsidRPr="00A96337">
        <w:rPr>
          <w:lang w:val="en-AU"/>
        </w:rPr>
        <w:t>’s current value-chain interventions should be complemented by regular and ongoing reviews that assess market function more broadly.</w:t>
      </w:r>
      <w:r w:rsidR="00E42BC8" w:rsidRPr="00A96337">
        <w:rPr>
          <w:lang w:val="en-AU"/>
        </w:rPr>
        <w:t xml:space="preserve"> </w:t>
      </w:r>
      <w:r w:rsidR="002F4F42" w:rsidRPr="00A96337">
        <w:rPr>
          <w:lang w:val="en-AU"/>
        </w:rPr>
        <w:t>This, combined with the teams’ on-the-ground experience, would either confirm the current sector/intervention logic, or inspire changes/refinements to the interventions that enable them to address broader market concerns.</w:t>
      </w:r>
      <w:r w:rsidR="00E42BC8" w:rsidRPr="00A96337">
        <w:rPr>
          <w:lang w:val="en-AU"/>
        </w:rPr>
        <w:t xml:space="preserve"> </w:t>
      </w:r>
      <w:r w:rsidR="002F4F42" w:rsidRPr="00A96337">
        <w:rPr>
          <w:lang w:val="en-AU"/>
        </w:rPr>
        <w:t xml:space="preserve">These studies could be commissioned across </w:t>
      </w:r>
      <w:r w:rsidRPr="00A96337">
        <w:rPr>
          <w:lang w:val="en-AU"/>
        </w:rPr>
        <w:t>AMENCA 3</w:t>
      </w:r>
      <w:r w:rsidR="002F4F42" w:rsidRPr="00A96337">
        <w:rPr>
          <w:lang w:val="en-AU"/>
        </w:rPr>
        <w:t xml:space="preserve"> using the advisory resources, and should be combined with the regular Sector Reviews (see next).</w:t>
      </w:r>
      <w:bookmarkEnd w:id="251"/>
    </w:p>
    <w:p w14:paraId="73E298FC" w14:textId="132C0D5C" w:rsidR="002F4F42" w:rsidRPr="00A96337" w:rsidRDefault="002F4F42" w:rsidP="00F05621">
      <w:pPr>
        <w:pStyle w:val="Heading3"/>
        <w:rPr>
          <w:lang w:val="en-AU"/>
        </w:rPr>
      </w:pPr>
      <w:bookmarkStart w:id="252" w:name="_Toc8468209"/>
      <w:bookmarkStart w:id="253" w:name="_Toc8978045"/>
      <w:bookmarkStart w:id="254" w:name="_Toc12364818"/>
      <w:r w:rsidRPr="00A96337">
        <w:rPr>
          <w:lang w:val="en-AU"/>
        </w:rPr>
        <w:t xml:space="preserve">Developing Whole-of-Program, </w:t>
      </w:r>
      <w:r w:rsidR="009B58A0" w:rsidRPr="00A96337">
        <w:rPr>
          <w:lang w:val="en-AU"/>
        </w:rPr>
        <w:t>AMENCA 3</w:t>
      </w:r>
      <w:r w:rsidRPr="00A96337">
        <w:rPr>
          <w:lang w:val="en-AU"/>
        </w:rPr>
        <w:t xml:space="preserve"> wide, sector approaches</w:t>
      </w:r>
      <w:bookmarkEnd w:id="252"/>
      <w:bookmarkEnd w:id="253"/>
      <w:bookmarkEnd w:id="254"/>
    </w:p>
    <w:p w14:paraId="5713FA7A" w14:textId="77777777" w:rsidR="002F4F42" w:rsidRPr="00A96337" w:rsidRDefault="002F4F42" w:rsidP="00E42BC8">
      <w:pPr>
        <w:pStyle w:val="BodyText"/>
        <w:rPr>
          <w:spacing w:val="-2"/>
          <w:lang w:val="en-AU"/>
        </w:rPr>
      </w:pPr>
      <w:r w:rsidRPr="00A96337">
        <w:rPr>
          <w:spacing w:val="-2"/>
          <w:lang w:val="en-AU"/>
        </w:rPr>
        <w:t>Currently, each NGO consortium works independently to determine in which agriculture sectors pro-poor growth can occur, to choose which of these sectors it will work with, and to then develop sector strategies and the associated portfolios of interventions.</w:t>
      </w:r>
      <w:r w:rsidR="00E42BC8" w:rsidRPr="00A96337">
        <w:rPr>
          <w:spacing w:val="-2"/>
          <w:lang w:val="en-AU"/>
        </w:rPr>
        <w:t xml:space="preserve"> </w:t>
      </w:r>
      <w:r w:rsidRPr="00A96337">
        <w:rPr>
          <w:spacing w:val="-2"/>
          <w:lang w:val="en-AU"/>
        </w:rPr>
        <w:t>Reassuringly, this independent process has settled on four common sectors (mentioned at the start of Section 8.3) in which the interventions also show significant overlap - an outcome which appears to demonstrate that these analyses were sound.</w:t>
      </w:r>
      <w:r w:rsidR="00E42BC8" w:rsidRPr="00A96337">
        <w:rPr>
          <w:spacing w:val="-2"/>
          <w:lang w:val="en-AU"/>
        </w:rPr>
        <w:t xml:space="preserve"> </w:t>
      </w:r>
      <w:r w:rsidRPr="00A96337">
        <w:rPr>
          <w:spacing w:val="-2"/>
          <w:lang w:val="en-AU"/>
        </w:rPr>
        <w:t>The MTR considers that having three partners work independently to develop their approaches is valid –</w:t>
      </w:r>
      <w:r w:rsidR="00E42BC8" w:rsidRPr="00A96337">
        <w:rPr>
          <w:spacing w:val="-2"/>
          <w:lang w:val="en-AU"/>
        </w:rPr>
        <w:t xml:space="preserve"> </w:t>
      </w:r>
      <w:r w:rsidRPr="00A96337">
        <w:rPr>
          <w:spacing w:val="-2"/>
          <w:lang w:val="en-AU"/>
        </w:rPr>
        <w:t>parallel analysis and interventions that test differing approaches are, in fact, key principles of MSD.</w:t>
      </w:r>
    </w:p>
    <w:p w14:paraId="347CF669" w14:textId="17ACC783" w:rsidR="002F4F42" w:rsidRPr="00A96337" w:rsidRDefault="00CD3B4D" w:rsidP="00E42BC8">
      <w:pPr>
        <w:pStyle w:val="BodyText"/>
        <w:rPr>
          <w:lang w:val="en-AU"/>
        </w:rPr>
      </w:pPr>
      <w:r w:rsidRPr="00A96337">
        <w:rPr>
          <w:lang w:val="en-AU"/>
        </w:rPr>
        <w:t xml:space="preserve">However, </w:t>
      </w:r>
      <w:r w:rsidR="00477055" w:rsidRPr="00A96337">
        <w:rPr>
          <w:lang w:val="en-AU"/>
        </w:rPr>
        <w:t xml:space="preserve">there </w:t>
      </w:r>
      <w:r w:rsidR="00273776" w:rsidRPr="00A96337">
        <w:rPr>
          <w:lang w:val="en-AU"/>
        </w:rPr>
        <w:t>are worrying signs of competition and criticism between NGOs</w:t>
      </w:r>
      <w:r w:rsidR="00C12B00">
        <w:rPr>
          <w:lang w:val="en-AU"/>
        </w:rPr>
        <w:t xml:space="preserve">. </w:t>
      </w:r>
      <w:r w:rsidR="00604056" w:rsidRPr="00A96337">
        <w:rPr>
          <w:lang w:val="en-AU"/>
        </w:rPr>
        <w:t>This is not helpful and often the cri</w:t>
      </w:r>
      <w:r w:rsidR="00C12B00">
        <w:rPr>
          <w:lang w:val="en-AU"/>
        </w:rPr>
        <w:t>ticisms levelled are unfounded.</w:t>
      </w:r>
      <w:r w:rsidR="00604056" w:rsidRPr="00A96337">
        <w:rPr>
          <w:lang w:val="en-AU"/>
        </w:rPr>
        <w:t xml:space="preserve"> </w:t>
      </w:r>
      <w:r w:rsidR="007614FC" w:rsidRPr="00A96337">
        <w:rPr>
          <w:lang w:val="en-AU"/>
        </w:rPr>
        <w:t xml:space="preserve">The NGOs need to see themselves as collaborators </w:t>
      </w:r>
      <w:r w:rsidR="00975459" w:rsidRPr="00A96337">
        <w:rPr>
          <w:lang w:val="en-AU"/>
        </w:rPr>
        <w:t xml:space="preserve">and hence </w:t>
      </w:r>
      <w:r w:rsidRPr="00A96337">
        <w:rPr>
          <w:lang w:val="en-AU"/>
        </w:rPr>
        <w:t>t</w:t>
      </w:r>
      <w:r w:rsidR="002F4F42" w:rsidRPr="00A96337">
        <w:rPr>
          <w:lang w:val="en-AU"/>
        </w:rPr>
        <w:t xml:space="preserve">he MTR considers that significant learning could be gained if </w:t>
      </w:r>
      <w:r w:rsidR="009B58A0" w:rsidRPr="00A96337">
        <w:rPr>
          <w:lang w:val="en-AU"/>
        </w:rPr>
        <w:t>AMENCA 3</w:t>
      </w:r>
      <w:r w:rsidR="002F4F42" w:rsidRPr="00A96337">
        <w:rPr>
          <w:lang w:val="en-AU"/>
        </w:rPr>
        <w:t xml:space="preserve"> were to bring the teams together over the next two years to:</w:t>
      </w:r>
    </w:p>
    <w:p w14:paraId="3905D6B0" w14:textId="77777777" w:rsidR="002F4F42" w:rsidRPr="00A96337" w:rsidRDefault="002F4F42" w:rsidP="00F8335C">
      <w:pPr>
        <w:pStyle w:val="ListParagraph"/>
        <w:numPr>
          <w:ilvl w:val="0"/>
          <w:numId w:val="57"/>
        </w:numPr>
        <w:ind w:left="397" w:hanging="397"/>
      </w:pPr>
      <w:r w:rsidRPr="00A96337">
        <w:t>discuss their sector work and the factors that are driving successes;</w:t>
      </w:r>
    </w:p>
    <w:p w14:paraId="3009EEC9" w14:textId="3D9044E8" w:rsidR="002F4F42" w:rsidRPr="00A96337" w:rsidRDefault="00CD3B4D" w:rsidP="00F8335C">
      <w:pPr>
        <w:pStyle w:val="ListParagraph"/>
        <w:numPr>
          <w:ilvl w:val="0"/>
          <w:numId w:val="57"/>
        </w:numPr>
        <w:ind w:left="397" w:hanging="397"/>
      </w:pPr>
      <w:r w:rsidRPr="00A96337">
        <w:t>analyse</w:t>
      </w:r>
      <w:r w:rsidR="002F4F42" w:rsidRPr="00A96337">
        <w:t xml:space="preserve"> the broader sector contexts, and </w:t>
      </w:r>
      <w:r w:rsidR="00026153" w:rsidRPr="00A96337">
        <w:t xml:space="preserve">the </w:t>
      </w:r>
      <w:r w:rsidR="002F4F42" w:rsidRPr="00A96337">
        <w:t xml:space="preserve">ways in which </w:t>
      </w:r>
      <w:r w:rsidR="00A77A01" w:rsidRPr="00A96337">
        <w:t>their respective</w:t>
      </w:r>
      <w:r w:rsidR="002F4F42" w:rsidRPr="00A96337">
        <w:t xml:space="preserve"> interventions </w:t>
      </w:r>
      <w:r w:rsidR="00A77A01" w:rsidRPr="00A96337">
        <w:t>are complementary</w:t>
      </w:r>
      <w:r w:rsidR="00026153" w:rsidRPr="00A96337">
        <w:t xml:space="preserve">. NGOs need to </w:t>
      </w:r>
      <w:r w:rsidR="00A31A61" w:rsidRPr="00A96337">
        <w:t xml:space="preserve">consider how their combined effort </w:t>
      </w:r>
      <w:r w:rsidR="002F4F42" w:rsidRPr="00A96337">
        <w:t xml:space="preserve">might gain the scale and reach necessary to drive systemic change within these </w:t>
      </w:r>
      <w:r w:rsidR="00BF3C85" w:rsidRPr="00A96337">
        <w:t>sectors</w:t>
      </w:r>
      <w:r w:rsidRPr="00A96337">
        <w:t xml:space="preserve"> (</w:t>
      </w:r>
      <w:r w:rsidR="00BF3C85" w:rsidRPr="00A96337">
        <w:t>as discussed above in</w:t>
      </w:r>
      <w:r w:rsidR="00CB13AD" w:rsidRPr="00A96337">
        <w:t xml:space="preserve"> Section</w:t>
      </w:r>
      <w:r w:rsidR="00BF3C85" w:rsidRPr="00A96337">
        <w:t xml:space="preserve"> </w:t>
      </w:r>
      <w:r w:rsidR="00BF3C85" w:rsidRPr="00A96337">
        <w:fldChar w:fldCharType="begin"/>
      </w:r>
      <w:r w:rsidR="00BF3C85" w:rsidRPr="00A96337">
        <w:instrText xml:space="preserve"> REF _Ref12009700 \r \h </w:instrText>
      </w:r>
      <w:r w:rsidR="00BF3C85" w:rsidRPr="00A96337">
        <w:fldChar w:fldCharType="separate"/>
      </w:r>
      <w:r w:rsidR="00E06D4A">
        <w:t>8.4.1</w:t>
      </w:r>
      <w:r w:rsidR="00BF3C85" w:rsidRPr="00A96337">
        <w:fldChar w:fldCharType="end"/>
      </w:r>
      <w:r w:rsidR="00BF3C85" w:rsidRPr="00A96337">
        <w:t>)</w:t>
      </w:r>
      <w:r w:rsidR="002F4F42" w:rsidRPr="00A96337">
        <w:t>; and</w:t>
      </w:r>
    </w:p>
    <w:p w14:paraId="081A6E7D" w14:textId="40AF92F4" w:rsidR="002F4F42" w:rsidRPr="00A96337" w:rsidRDefault="002F4F42" w:rsidP="00F8335C">
      <w:pPr>
        <w:pStyle w:val="ListParagraph"/>
        <w:numPr>
          <w:ilvl w:val="0"/>
          <w:numId w:val="57"/>
        </w:numPr>
        <w:ind w:left="397" w:hanging="397"/>
      </w:pPr>
      <w:r w:rsidRPr="00A96337">
        <w:t>enhance synergies between the individual programs by building stronger market networks and links; by sharing learning and approaches; and/ or by focusing joint efforts on critical/ intractable parts of the market, or in certain geographies.</w:t>
      </w:r>
    </w:p>
    <w:p w14:paraId="790D603D" w14:textId="18B876CC" w:rsidR="002F4F42" w:rsidRPr="00A96337" w:rsidRDefault="002F4F42" w:rsidP="00E42BC8">
      <w:pPr>
        <w:pStyle w:val="BodyText"/>
        <w:rPr>
          <w:spacing w:val="-2"/>
          <w:lang w:val="en-AU"/>
        </w:rPr>
      </w:pPr>
      <w:r w:rsidRPr="00A96337">
        <w:rPr>
          <w:spacing w:val="-2"/>
          <w:lang w:val="en-AU"/>
        </w:rPr>
        <w:t xml:space="preserve">Some of these discussions </w:t>
      </w:r>
      <w:r w:rsidR="00DF6DC1" w:rsidRPr="00A96337">
        <w:rPr>
          <w:spacing w:val="-2"/>
          <w:lang w:val="en-AU"/>
        </w:rPr>
        <w:t>had been put in place by the program</w:t>
      </w:r>
      <w:r w:rsidR="00A62948" w:rsidRPr="00A96337">
        <w:rPr>
          <w:spacing w:val="-2"/>
          <w:lang w:val="en-AU"/>
        </w:rPr>
        <w:t xml:space="preserve"> and </w:t>
      </w:r>
      <w:r w:rsidRPr="00A96337">
        <w:rPr>
          <w:spacing w:val="-2"/>
          <w:lang w:val="en-AU"/>
        </w:rPr>
        <w:t>some examples of collaboration are beginning to emerge in areas such as:</w:t>
      </w:r>
    </w:p>
    <w:p w14:paraId="1131F228" w14:textId="77777777" w:rsidR="002F4F42" w:rsidRPr="00A96337" w:rsidRDefault="002F4F42" w:rsidP="00E50F49">
      <w:pPr>
        <w:pStyle w:val="Dotpoint"/>
      </w:pPr>
      <w:r w:rsidRPr="00A96337">
        <w:t>Dairy Value Chain (Oxfam and CARE);</w:t>
      </w:r>
    </w:p>
    <w:p w14:paraId="4423B4E2" w14:textId="77777777" w:rsidR="002F4F42" w:rsidRPr="00A96337" w:rsidRDefault="002F4F42" w:rsidP="00E50F49">
      <w:pPr>
        <w:pStyle w:val="Dotpoint"/>
      </w:pPr>
      <w:r w:rsidRPr="00A96337">
        <w:t>youth employment and entrepreneurship; and</w:t>
      </w:r>
    </w:p>
    <w:p w14:paraId="28DF1F77" w14:textId="77777777" w:rsidR="002F4F42" w:rsidRPr="00A96337" w:rsidRDefault="002F4F42" w:rsidP="00E50F49">
      <w:pPr>
        <w:pStyle w:val="Dotpoint"/>
      </w:pPr>
      <w:r w:rsidRPr="00A96337">
        <w:t>veterinary services.</w:t>
      </w:r>
    </w:p>
    <w:p w14:paraId="12C6D826" w14:textId="77777777" w:rsidR="002F4F42" w:rsidRPr="00A96337" w:rsidRDefault="002F4F42" w:rsidP="000E1846">
      <w:pPr>
        <w:pStyle w:val="BodyText"/>
        <w:spacing w:line="240" w:lineRule="auto"/>
        <w:rPr>
          <w:lang w:val="en-AU"/>
        </w:rPr>
      </w:pPr>
      <w:r w:rsidRPr="00A96337">
        <w:rPr>
          <w:lang w:val="en-AU"/>
        </w:rPr>
        <w:t>Many of these links have formed where synergies have already existed between market players.</w:t>
      </w:r>
      <w:r w:rsidR="00E42BC8" w:rsidRPr="00A96337">
        <w:rPr>
          <w:lang w:val="en-AU"/>
        </w:rPr>
        <w:t xml:space="preserve"> </w:t>
      </w:r>
      <w:r w:rsidRPr="00A96337">
        <w:rPr>
          <w:lang w:val="en-AU"/>
        </w:rPr>
        <w:t>There remains, however, significant opportunity to enhance such cross learning between NGOs as they try to intervene in similar market functions/ intervention areas such as:</w:t>
      </w:r>
    </w:p>
    <w:p w14:paraId="715EDAF4" w14:textId="7E9C2211" w:rsidR="002F4F42" w:rsidRPr="00A96337" w:rsidRDefault="002F4F42" w:rsidP="00E50F49">
      <w:pPr>
        <w:pStyle w:val="Dotpoint"/>
      </w:pPr>
      <w:r w:rsidRPr="00A96337">
        <w:t>food safety</w:t>
      </w:r>
      <w:r w:rsidR="00A62948" w:rsidRPr="00A96337">
        <w:t xml:space="preserve"> (Care and </w:t>
      </w:r>
      <w:r w:rsidR="00952F83" w:rsidRPr="00A96337">
        <w:t>APHEDA are both working with the Palestinian Standards Institute)</w:t>
      </w:r>
      <w:r w:rsidR="009E62E9" w:rsidRPr="00A96337">
        <w:t>;</w:t>
      </w:r>
    </w:p>
    <w:p w14:paraId="5F02C8D6" w14:textId="77777777" w:rsidR="002F4F42" w:rsidRPr="00A96337" w:rsidRDefault="002F4F42" w:rsidP="00E50F49">
      <w:pPr>
        <w:pStyle w:val="Dotpoint"/>
      </w:pPr>
      <w:r w:rsidRPr="00A96337">
        <w:t>aggregation;</w:t>
      </w:r>
    </w:p>
    <w:p w14:paraId="08DF9FE0" w14:textId="77777777" w:rsidR="002F4F42" w:rsidRPr="00A96337" w:rsidRDefault="002F4F42" w:rsidP="00E50F49">
      <w:pPr>
        <w:pStyle w:val="Dotpoint"/>
      </w:pPr>
      <w:r w:rsidRPr="00A96337">
        <w:t>access to finance;</w:t>
      </w:r>
    </w:p>
    <w:p w14:paraId="0604F798" w14:textId="77777777" w:rsidR="002F4F42" w:rsidRPr="00A96337" w:rsidRDefault="002F4F42" w:rsidP="00E50F49">
      <w:pPr>
        <w:pStyle w:val="Dotpoint"/>
      </w:pPr>
      <w:r w:rsidRPr="00A96337">
        <w:t>women’s economic empowerment;</w:t>
      </w:r>
    </w:p>
    <w:p w14:paraId="079B43EF" w14:textId="77777777" w:rsidR="002F4F42" w:rsidRPr="00A96337" w:rsidRDefault="002F4F42" w:rsidP="00E50F49">
      <w:pPr>
        <w:pStyle w:val="Dotpoint"/>
      </w:pPr>
      <w:r w:rsidRPr="00A96337">
        <w:t>youth inclusion;</w:t>
      </w:r>
    </w:p>
    <w:p w14:paraId="6A89E6C3" w14:textId="77777777" w:rsidR="002F4F42" w:rsidRPr="00A96337" w:rsidRDefault="002F4F42" w:rsidP="00E50F49">
      <w:pPr>
        <w:pStyle w:val="Dotpoint"/>
      </w:pPr>
      <w:r w:rsidRPr="00A96337">
        <w:t>input and information services; and</w:t>
      </w:r>
    </w:p>
    <w:p w14:paraId="4766B6DC" w14:textId="77777777" w:rsidR="002F4F42" w:rsidRPr="00A96337" w:rsidRDefault="002F4F42" w:rsidP="00E50F49">
      <w:pPr>
        <w:pStyle w:val="Dotpoint"/>
      </w:pPr>
      <w:r w:rsidRPr="00A96337">
        <w:t>export access.</w:t>
      </w:r>
    </w:p>
    <w:p w14:paraId="32CCADC7" w14:textId="21B2ECB3" w:rsidR="003F53F7" w:rsidRPr="00A96337" w:rsidRDefault="002F4F42" w:rsidP="000E1846">
      <w:pPr>
        <w:pStyle w:val="BodyText"/>
        <w:spacing w:after="240" w:line="240" w:lineRule="auto"/>
        <w:rPr>
          <w:lang w:val="en-AU"/>
        </w:rPr>
      </w:pPr>
      <w:r w:rsidRPr="00A96337">
        <w:rPr>
          <w:lang w:val="en-AU"/>
        </w:rPr>
        <w:t xml:space="preserve">In these and many other areas, Oxfam and CARE (and APHEDA too in the past) have been </w:t>
      </w:r>
      <w:r w:rsidR="00BD3B7D" w:rsidRPr="00A96337">
        <w:rPr>
          <w:lang w:val="en-AU"/>
        </w:rPr>
        <w:t>trialling</w:t>
      </w:r>
      <w:r w:rsidRPr="00A96337">
        <w:rPr>
          <w:lang w:val="en-AU"/>
        </w:rPr>
        <w:t xml:space="preserve"> different approaches to a similar problem.</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3F53F7" w:rsidRPr="00A96337" w14:paraId="5011F68A" w14:textId="77777777" w:rsidTr="000E1846">
        <w:trPr>
          <w:trHeight w:val="1207"/>
        </w:trPr>
        <w:tc>
          <w:tcPr>
            <w:tcW w:w="709" w:type="dxa"/>
          </w:tcPr>
          <w:p w14:paraId="3B16A043" w14:textId="77777777" w:rsidR="00450A35" w:rsidRPr="00A96337" w:rsidRDefault="00450A35" w:rsidP="000E1846">
            <w:pPr>
              <w:pStyle w:val="IntenseQuote"/>
              <w:pBdr>
                <w:bottom w:val="none" w:sz="0" w:space="0" w:color="auto"/>
              </w:pBdr>
              <w:spacing w:before="120" w:after="120"/>
              <w:ind w:left="0" w:right="124"/>
              <w:rPr>
                <w:rFonts w:ascii="Arial" w:hAnsi="Arial" w:cs="Arial"/>
                <w:i w:val="0"/>
                <w:color w:val="5482AB"/>
              </w:rPr>
            </w:pPr>
            <w:r w:rsidRPr="00A96337">
              <w:rPr>
                <w:rFonts w:ascii="Arial" w:hAnsi="Arial" w:cs="Arial"/>
                <w:i w:val="0"/>
                <w:noProof/>
                <w:color w:val="5482AB"/>
                <w:lang w:eastAsia="en-AU"/>
              </w:rPr>
              <w:drawing>
                <wp:inline distT="0" distB="0" distL="0" distR="0" wp14:anchorId="5C2BE944" wp14:editId="1BA0CD71">
                  <wp:extent cx="267419" cy="330844"/>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307" w:type="dxa"/>
          </w:tcPr>
          <w:p w14:paraId="6E0EFD22" w14:textId="7D39D6F0" w:rsidR="00450A35" w:rsidRPr="00A96337" w:rsidRDefault="00E45A95" w:rsidP="00F8335C">
            <w:pPr>
              <w:pStyle w:val="IntenseQuote"/>
              <w:numPr>
                <w:ilvl w:val="0"/>
                <w:numId w:val="30"/>
              </w:numPr>
              <w:pBdr>
                <w:bottom w:val="none" w:sz="0" w:space="0" w:color="auto"/>
              </w:pBdr>
              <w:spacing w:before="120" w:after="120" w:line="259" w:lineRule="auto"/>
              <w:ind w:left="0" w:right="0" w:firstLine="0"/>
              <w:rPr>
                <w:rFonts w:ascii="Arial" w:hAnsi="Arial" w:cs="Arial"/>
                <w:i w:val="0"/>
                <w:color w:val="5482AB"/>
              </w:rPr>
            </w:pPr>
            <w:bookmarkStart w:id="255" w:name="_Ref8461674"/>
            <w:bookmarkStart w:id="256" w:name="_Ref11932796"/>
            <w:r w:rsidRPr="00A96337">
              <w:rPr>
                <w:rFonts w:ascii="Arial" w:hAnsi="Arial" w:cs="Arial"/>
                <w:i w:val="0"/>
                <w:color w:val="5482AB"/>
              </w:rPr>
              <w:t xml:space="preserve">Collaborate at sector level: </w:t>
            </w:r>
            <w:r w:rsidRPr="00A96337">
              <w:rPr>
                <w:rFonts w:ascii="Arial" w:hAnsi="Arial" w:cs="Arial"/>
                <w:b w:val="0"/>
                <w:bCs w:val="0"/>
                <w:i w:val="0"/>
                <w:color w:val="5482AB"/>
              </w:rPr>
              <w:t>DFAT should facilitate the NGO consortia to form cross-program agriculture sector teams to undertake regular (annual or six-monthly) sector-level reviews of the overall work as a new part of the current TPAG arrangements. Each review should define the sector-level results chain, review the intervention portfolio, and determine what changes are necessary. Initial sectors should include small ruminant dairy and high value horticulture</w:t>
            </w:r>
            <w:bookmarkEnd w:id="255"/>
            <w:bookmarkEnd w:id="256"/>
            <w:r w:rsidR="009F10ED" w:rsidRPr="00A96337">
              <w:rPr>
                <w:rFonts w:ascii="Arial" w:hAnsi="Arial" w:cs="Arial"/>
                <w:b w:val="0"/>
                <w:bCs w:val="0"/>
                <w:i w:val="0"/>
                <w:color w:val="5482AB"/>
              </w:rPr>
              <w:t>.</w:t>
            </w:r>
          </w:p>
        </w:tc>
      </w:tr>
    </w:tbl>
    <w:p w14:paraId="505D0B04" w14:textId="60A737AA" w:rsidR="002F4F42" w:rsidRPr="00A96337" w:rsidRDefault="002F4F42" w:rsidP="00F05621">
      <w:pPr>
        <w:pStyle w:val="Heading3"/>
        <w:rPr>
          <w:lang w:val="en-AU"/>
        </w:rPr>
      </w:pPr>
      <w:bookmarkStart w:id="257" w:name="_Toc8468210"/>
      <w:bookmarkStart w:id="258" w:name="_Toc8978046"/>
      <w:bookmarkStart w:id="259" w:name="_Toc12364819"/>
      <w:r w:rsidRPr="00A96337">
        <w:rPr>
          <w:lang w:val="en-AU"/>
        </w:rPr>
        <w:t>Rethinking the Small Infrastructure Sector engagements</w:t>
      </w:r>
      <w:bookmarkEnd w:id="257"/>
      <w:bookmarkEnd w:id="258"/>
      <w:bookmarkEnd w:id="259"/>
    </w:p>
    <w:tbl>
      <w:tblPr>
        <w:tblStyle w:val="TableGrid"/>
        <w:tblpPr w:leftFromText="180" w:rightFromText="180" w:vertAnchor="text" w:horzAnchor="margin" w:tblpXSpec="right" w:tblpY="347"/>
        <w:tblOverlap w:val="never"/>
        <w:tblW w:w="0" w:type="auto"/>
        <w:tblInd w:w="0" w:type="dxa"/>
        <w:tblBorders>
          <w:top w:val="none" w:sz="0" w:space="0" w:color="auto"/>
          <w:left w:val="single" w:sz="24" w:space="0" w:color="B3995D"/>
          <w:bottom w:val="none" w:sz="0" w:space="0" w:color="auto"/>
          <w:right w:val="none" w:sz="0" w:space="0" w:color="auto"/>
        </w:tblBorders>
        <w:tblLook w:val="04A0" w:firstRow="1" w:lastRow="0" w:firstColumn="1" w:lastColumn="0" w:noHBand="0" w:noVBand="1"/>
      </w:tblPr>
      <w:tblGrid>
        <w:gridCol w:w="3214"/>
      </w:tblGrid>
      <w:tr w:rsidR="00534843" w:rsidRPr="00A96337" w14:paraId="10589B47" w14:textId="77777777" w:rsidTr="000005D9">
        <w:trPr>
          <w:trHeight w:val="5529"/>
        </w:trPr>
        <w:tc>
          <w:tcPr>
            <w:tcW w:w="3214" w:type="dxa"/>
            <w:vAlign w:val="center"/>
          </w:tcPr>
          <w:p w14:paraId="7260F9E0" w14:textId="77777777" w:rsidR="00534843" w:rsidRPr="00A96337" w:rsidRDefault="00534843" w:rsidP="000005D9">
            <w:pPr>
              <w:spacing w:after="240"/>
              <w:rPr>
                <w:rFonts w:ascii="Arial" w:eastAsiaTheme="majorEastAsia" w:hAnsi="Arial" w:cs="Arial"/>
                <w:b/>
                <w:caps/>
                <w:color w:val="B3995D"/>
                <w:sz w:val="28"/>
                <w:szCs w:val="36"/>
              </w:rPr>
            </w:pPr>
            <w:r w:rsidRPr="00A96337">
              <w:rPr>
                <w:rFonts w:ascii="Arial" w:eastAsiaTheme="majorEastAsia" w:hAnsi="Arial" w:cs="Arial"/>
                <w:b/>
                <w:color w:val="B3995D"/>
                <w:sz w:val="28"/>
                <w:szCs w:val="36"/>
              </w:rPr>
              <w:t>Road Infrastructure Improves Access</w:t>
            </w:r>
          </w:p>
          <w:p w14:paraId="0D5EFE90" w14:textId="4BBB9642" w:rsidR="00534843" w:rsidRPr="00A96337" w:rsidRDefault="00534843" w:rsidP="000005D9">
            <w:pPr>
              <w:rPr>
                <w:rFonts w:ascii="Arial" w:hAnsi="Arial" w:cs="Arial"/>
                <w:color w:val="808080" w:themeColor="background1" w:themeShade="80"/>
              </w:rPr>
            </w:pPr>
            <w:r w:rsidRPr="00A96337">
              <w:rPr>
                <w:rFonts w:ascii="Arial" w:hAnsi="Arial" w:cs="Arial"/>
                <w:color w:val="808080" w:themeColor="background1" w:themeShade="80"/>
              </w:rPr>
              <w:t xml:space="preserve">Beneficiaries of roads built under </w:t>
            </w:r>
            <w:r w:rsidR="009B58A0" w:rsidRPr="00A96337">
              <w:rPr>
                <w:rFonts w:ascii="Arial" w:hAnsi="Arial" w:cs="Arial"/>
                <w:color w:val="808080" w:themeColor="background1" w:themeShade="80"/>
              </w:rPr>
              <w:t>AMENCA 3</w:t>
            </w:r>
            <w:r w:rsidRPr="00A96337">
              <w:rPr>
                <w:rFonts w:ascii="Arial" w:hAnsi="Arial" w:cs="Arial"/>
                <w:color w:val="808080" w:themeColor="background1" w:themeShade="80"/>
              </w:rPr>
              <w:t xml:space="preserve"> report that prior to the roads being built it was difficult to reach agricultural areas. Women and men could not reach their crops nor take their tractors to assist with farming the land. </w:t>
            </w:r>
            <w:r w:rsidR="000005D9" w:rsidRPr="00A96337">
              <w:rPr>
                <w:rFonts w:ascii="Arial" w:hAnsi="Arial" w:cs="Arial"/>
                <w:color w:val="808080" w:themeColor="background1" w:themeShade="80"/>
              </w:rPr>
              <w:t xml:space="preserve"> There was a higher rate of accidents particularly on rainy days. </w:t>
            </w:r>
            <w:r w:rsidRPr="00A96337">
              <w:rPr>
                <w:rFonts w:ascii="Arial" w:hAnsi="Arial" w:cs="Arial"/>
                <w:color w:val="808080" w:themeColor="background1" w:themeShade="80"/>
              </w:rPr>
              <w:t>Now farmers - including women –can take their own cars, access their lands and revive them. Many have built new greenhouses.</w:t>
            </w:r>
          </w:p>
        </w:tc>
      </w:tr>
    </w:tbl>
    <w:p w14:paraId="1C7C83FA" w14:textId="30BD1003" w:rsidR="002F4F42" w:rsidRPr="00A96337" w:rsidRDefault="00534843" w:rsidP="000E1846">
      <w:pPr>
        <w:pStyle w:val="BodyText"/>
        <w:spacing w:line="240" w:lineRule="auto"/>
        <w:rPr>
          <w:spacing w:val="-2"/>
          <w:lang w:val="en-AU"/>
        </w:rPr>
      </w:pPr>
      <w:r w:rsidRPr="00A96337">
        <w:rPr>
          <w:spacing w:val="-2"/>
          <w:lang w:val="en-AU"/>
        </w:rPr>
        <w:t xml:space="preserve"> </w:t>
      </w:r>
      <w:r w:rsidR="002F4F42" w:rsidRPr="00A96337">
        <w:rPr>
          <w:spacing w:val="-2"/>
          <w:lang w:val="en-AU"/>
        </w:rPr>
        <w:t xml:space="preserve">Small infrastructure has clearly been an important and valued foundational investment across </w:t>
      </w:r>
      <w:r w:rsidR="009B58A0" w:rsidRPr="00A96337">
        <w:rPr>
          <w:spacing w:val="-2"/>
          <w:lang w:val="en-AU"/>
        </w:rPr>
        <w:t>AMENCA 3</w:t>
      </w:r>
      <w:r w:rsidR="002F4F42" w:rsidRPr="00A96337">
        <w:rPr>
          <w:spacing w:val="-2"/>
          <w:lang w:val="en-AU"/>
        </w:rPr>
        <w:t>.</w:t>
      </w:r>
      <w:r w:rsidR="00E42BC8" w:rsidRPr="00A96337">
        <w:rPr>
          <w:spacing w:val="-2"/>
          <w:lang w:val="en-AU"/>
        </w:rPr>
        <w:t xml:space="preserve"> </w:t>
      </w:r>
      <w:r w:rsidR="002F4F42" w:rsidRPr="00A96337">
        <w:rPr>
          <w:spacing w:val="-2"/>
          <w:lang w:val="en-AU"/>
        </w:rPr>
        <w:t>At the start of the program, investments in small infrastructure (either directly funded, or co-funded with local authorities, farmers and contractors), helped to boost early expenditure, to rapidly add to the productive potential of communities, and to deliver tangible early benefits that helped bring the communities on board.</w:t>
      </w:r>
    </w:p>
    <w:p w14:paraId="004A781C" w14:textId="25A4AC07" w:rsidR="003F53F7" w:rsidRPr="00A96337" w:rsidRDefault="002F4F42" w:rsidP="000E1846">
      <w:pPr>
        <w:pStyle w:val="BodyText"/>
        <w:spacing w:after="240" w:line="240" w:lineRule="auto"/>
        <w:rPr>
          <w:lang w:val="en-AU"/>
        </w:rPr>
      </w:pPr>
      <w:r w:rsidRPr="00A96337">
        <w:rPr>
          <w:lang w:val="en-AU"/>
        </w:rPr>
        <w:t>Most of these small infrastructure interventions were directly funded, or co-funded with local authorities, farmers and contractors.</w:t>
      </w:r>
      <w:r w:rsidR="00E42BC8" w:rsidRPr="00A96337">
        <w:rPr>
          <w:lang w:val="en-AU"/>
        </w:rPr>
        <w:t xml:space="preserve"> </w:t>
      </w:r>
      <w:r w:rsidRPr="00A96337">
        <w:rPr>
          <w:lang w:val="en-AU"/>
        </w:rPr>
        <w:t>Now that the program has settled down and developed a strong portfolio of market interventions</w:t>
      </w:r>
      <w:r w:rsidR="003F4DF5" w:rsidRPr="00A96337">
        <w:rPr>
          <w:lang w:val="en-AU"/>
        </w:rPr>
        <w:t>,</w:t>
      </w:r>
      <w:r w:rsidRPr="00A96337">
        <w:rPr>
          <w:lang w:val="en-AU"/>
        </w:rPr>
        <w:t xml:space="preserve"> it may be appropriate for </w:t>
      </w:r>
      <w:r w:rsidR="009B58A0" w:rsidRPr="00A96337">
        <w:rPr>
          <w:lang w:val="en-AU"/>
        </w:rPr>
        <w:t>AMENCA 3</w:t>
      </w:r>
      <w:r w:rsidRPr="00A96337">
        <w:rPr>
          <w:lang w:val="en-AU"/>
        </w:rPr>
        <w:t xml:space="preserve"> to review its work in small infrastructure.</w:t>
      </w:r>
      <w:r w:rsidR="00E42BC8" w:rsidRPr="00A96337">
        <w:rPr>
          <w:lang w:val="en-AU"/>
        </w:rPr>
        <w:t xml:space="preserve"> </w:t>
      </w:r>
      <w:r w:rsidRPr="00A96337">
        <w:rPr>
          <w:lang w:val="en-AU"/>
        </w:rPr>
        <w:t>It is not the intention to question the foundational necessity of small infrastructure, but to take a broader system/market level approach to investment.</w:t>
      </w:r>
      <w:r w:rsidR="00E42BC8" w:rsidRPr="00A96337">
        <w:rPr>
          <w:lang w:val="en-AU"/>
        </w:rPr>
        <w:t xml:space="preserve"> </w:t>
      </w:r>
      <w:r w:rsidRPr="00A96337">
        <w:rPr>
          <w:lang w:val="en-AU"/>
        </w:rPr>
        <w:t>The fundamental need is to unpack why the small infrastructure market is not operating effectively.</w:t>
      </w:r>
      <w:r w:rsidR="00E42BC8" w:rsidRPr="00A96337">
        <w:rPr>
          <w:lang w:val="en-AU"/>
        </w:rPr>
        <w:t xml:space="preserve"> </w:t>
      </w:r>
      <w:r w:rsidRPr="00A96337">
        <w:rPr>
          <w:lang w:val="en-AU"/>
        </w:rPr>
        <w:t xml:space="preserve">A deeper analysis of ‘why’ the market is failing may well help </w:t>
      </w:r>
      <w:r w:rsidR="009B58A0" w:rsidRPr="00A96337">
        <w:rPr>
          <w:lang w:val="en-AU"/>
        </w:rPr>
        <w:t>AMENCA 3</w:t>
      </w:r>
      <w:r w:rsidRPr="00A96337">
        <w:rPr>
          <w:lang w:val="en-AU"/>
        </w:rPr>
        <w:t xml:space="preserve"> identify creative intervention points that address some of the fundamental systemic impediments.</w:t>
      </w:r>
      <w:r w:rsidR="00E42BC8" w:rsidRPr="00A96337">
        <w:rPr>
          <w:lang w:val="en-AU"/>
        </w:rPr>
        <w:t xml:space="preserve"> </w:t>
      </w:r>
      <w:r w:rsidRPr="00A96337">
        <w:rPr>
          <w:lang w:val="en-AU"/>
        </w:rPr>
        <w:t>DFAT experience in using MSD approaches in the Cambodia irrigation market (see CAVAC literature) provides an example of how innovation was used to move donor investment from delivering irrigation on a case by case basis, to a situation where the market functioned more effectively.</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3F53F7" w:rsidRPr="00A96337" w14:paraId="282A0607" w14:textId="77777777" w:rsidTr="003F53F7">
        <w:trPr>
          <w:trHeight w:val="44"/>
        </w:trPr>
        <w:tc>
          <w:tcPr>
            <w:tcW w:w="709" w:type="dxa"/>
          </w:tcPr>
          <w:p w14:paraId="4D1614CB" w14:textId="77777777" w:rsidR="00450A35" w:rsidRPr="00A96337" w:rsidRDefault="00450A35" w:rsidP="000E1846">
            <w:pPr>
              <w:pStyle w:val="IntenseQuote"/>
              <w:pBdr>
                <w:bottom w:val="none" w:sz="0" w:space="0" w:color="auto"/>
              </w:pBdr>
              <w:spacing w:before="120" w:after="120" w:line="259" w:lineRule="auto"/>
              <w:ind w:left="0" w:right="124"/>
              <w:rPr>
                <w:rFonts w:ascii="Arial" w:hAnsi="Arial" w:cs="Arial"/>
                <w:i w:val="0"/>
                <w:color w:val="5482AB"/>
              </w:rPr>
            </w:pPr>
            <w:r w:rsidRPr="00A96337">
              <w:rPr>
                <w:rFonts w:ascii="Arial" w:hAnsi="Arial" w:cs="Arial"/>
                <w:i w:val="0"/>
                <w:noProof/>
                <w:color w:val="5482AB"/>
                <w:lang w:eastAsia="en-AU"/>
              </w:rPr>
              <w:drawing>
                <wp:inline distT="0" distB="0" distL="0" distR="0" wp14:anchorId="6F35FD14" wp14:editId="053ACD7F">
                  <wp:extent cx="267419" cy="33084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307" w:type="dxa"/>
          </w:tcPr>
          <w:p w14:paraId="63289D5E" w14:textId="0945F529" w:rsidR="00450A35" w:rsidRPr="00A96337" w:rsidRDefault="00687D20" w:rsidP="00F8335C">
            <w:pPr>
              <w:pStyle w:val="IntenseQuote"/>
              <w:numPr>
                <w:ilvl w:val="0"/>
                <w:numId w:val="30"/>
              </w:numPr>
              <w:pBdr>
                <w:bottom w:val="none" w:sz="0" w:space="0" w:color="auto"/>
              </w:pBdr>
              <w:spacing w:before="120" w:after="120" w:line="259" w:lineRule="auto"/>
              <w:ind w:left="0" w:right="0" w:firstLine="0"/>
              <w:rPr>
                <w:rFonts w:ascii="Arial" w:hAnsi="Arial" w:cs="Arial"/>
                <w:i w:val="0"/>
                <w:color w:val="5482AB"/>
              </w:rPr>
            </w:pPr>
            <w:bookmarkStart w:id="260" w:name="_Ref11932832"/>
            <w:r w:rsidRPr="00A96337">
              <w:rPr>
                <w:rFonts w:ascii="Arial" w:hAnsi="Arial" w:cs="Arial"/>
                <w:i w:val="0"/>
                <w:color w:val="5482AB"/>
              </w:rPr>
              <w:t xml:space="preserve">Review approach to infrastructure investments: </w:t>
            </w:r>
            <w:r w:rsidR="009B58A0" w:rsidRPr="00A96337">
              <w:rPr>
                <w:rFonts w:ascii="Arial" w:hAnsi="Arial" w:cs="Arial"/>
                <w:b w:val="0"/>
                <w:bCs w:val="0"/>
                <w:i w:val="0"/>
                <w:color w:val="5482AB"/>
              </w:rPr>
              <w:t>AMENCA 3</w:t>
            </w:r>
            <w:r w:rsidRPr="00A96337">
              <w:rPr>
                <w:rFonts w:ascii="Arial" w:hAnsi="Arial" w:cs="Arial"/>
                <w:b w:val="0"/>
                <w:bCs w:val="0"/>
                <w:i w:val="0"/>
                <w:color w:val="5482AB"/>
              </w:rPr>
              <w:t xml:space="preserve"> advisers (MSD, Program) should be tasked to undertake a study of small infrastructure investments and the broader systemic constraints that limit the capacity of stakeholders (</w:t>
            </w:r>
            <w:r w:rsidR="00534843" w:rsidRPr="00A96337">
              <w:rPr>
                <w:rFonts w:ascii="Arial" w:hAnsi="Arial" w:cs="Arial"/>
                <w:b w:val="0"/>
                <w:bCs w:val="0"/>
                <w:i w:val="0"/>
                <w:color w:val="5482AB"/>
              </w:rPr>
              <w:t>the Palestinian Authority</w:t>
            </w:r>
            <w:r w:rsidRPr="00A96337">
              <w:rPr>
                <w:rFonts w:ascii="Arial" w:hAnsi="Arial" w:cs="Arial"/>
                <w:b w:val="0"/>
                <w:bCs w:val="0"/>
                <w:i w:val="0"/>
                <w:color w:val="5482AB"/>
              </w:rPr>
              <w:t>, farmer</w:t>
            </w:r>
            <w:r w:rsidR="00534843" w:rsidRPr="00A96337">
              <w:rPr>
                <w:rFonts w:ascii="Arial" w:hAnsi="Arial" w:cs="Arial"/>
                <w:b w:val="0"/>
                <w:bCs w:val="0"/>
                <w:i w:val="0"/>
                <w:color w:val="5482AB"/>
              </w:rPr>
              <w:t>s</w:t>
            </w:r>
            <w:r w:rsidRPr="00A96337">
              <w:rPr>
                <w:rFonts w:ascii="Arial" w:hAnsi="Arial" w:cs="Arial"/>
                <w:b w:val="0"/>
                <w:bCs w:val="0"/>
                <w:i w:val="0"/>
                <w:color w:val="5482AB"/>
              </w:rPr>
              <w:t xml:space="preserve">, </w:t>
            </w:r>
            <w:r w:rsidR="00534843" w:rsidRPr="00A96337">
              <w:rPr>
                <w:rFonts w:ascii="Arial" w:hAnsi="Arial" w:cs="Arial"/>
                <w:b w:val="0"/>
                <w:bCs w:val="0"/>
                <w:i w:val="0"/>
                <w:color w:val="5482AB"/>
              </w:rPr>
              <w:t xml:space="preserve">the </w:t>
            </w:r>
            <w:r w:rsidRPr="00A96337">
              <w:rPr>
                <w:rFonts w:ascii="Arial" w:hAnsi="Arial" w:cs="Arial"/>
                <w:b w:val="0"/>
                <w:bCs w:val="0"/>
                <w:i w:val="0"/>
                <w:color w:val="5482AB"/>
              </w:rPr>
              <w:t xml:space="preserve">private sector and contractors) to meet what is clearly an important market gap. </w:t>
            </w:r>
            <w:r w:rsidR="009B58A0" w:rsidRPr="00A96337">
              <w:rPr>
                <w:rFonts w:ascii="Arial" w:hAnsi="Arial" w:cs="Arial"/>
                <w:b w:val="0"/>
                <w:bCs w:val="0"/>
                <w:i w:val="0"/>
                <w:color w:val="5482AB"/>
              </w:rPr>
              <w:t>AMENCA 3</w:t>
            </w:r>
            <w:r w:rsidRPr="00A96337">
              <w:rPr>
                <w:rFonts w:ascii="Arial" w:hAnsi="Arial" w:cs="Arial"/>
                <w:b w:val="0"/>
                <w:bCs w:val="0"/>
                <w:i w:val="0"/>
                <w:color w:val="5482AB"/>
              </w:rPr>
              <w:t xml:space="preserve"> should base any</w:t>
            </w:r>
            <w:r w:rsidR="00A03F4C" w:rsidRPr="00A96337">
              <w:rPr>
                <w:rFonts w:ascii="Arial" w:hAnsi="Arial" w:cs="Arial"/>
                <w:b w:val="0"/>
                <w:bCs w:val="0"/>
                <w:i w:val="0"/>
                <w:color w:val="5482AB"/>
              </w:rPr>
              <w:t xml:space="preserve"> </w:t>
            </w:r>
            <w:r w:rsidRPr="00A96337">
              <w:rPr>
                <w:rFonts w:ascii="Arial" w:hAnsi="Arial" w:cs="Arial"/>
                <w:b w:val="0"/>
                <w:bCs w:val="0"/>
                <w:i w:val="0"/>
                <w:color w:val="5482AB"/>
              </w:rPr>
              <w:t>future infrastructure portfolio on addressing these systemic constraints wherever possible.</w:t>
            </w:r>
            <w:bookmarkEnd w:id="260"/>
          </w:p>
        </w:tc>
      </w:tr>
    </w:tbl>
    <w:p w14:paraId="6010FEFE" w14:textId="00A8BE23" w:rsidR="002F4F42" w:rsidRPr="00A96337" w:rsidRDefault="002F4F42" w:rsidP="00F05621">
      <w:pPr>
        <w:pStyle w:val="Heading3"/>
        <w:rPr>
          <w:lang w:val="en-AU"/>
        </w:rPr>
      </w:pPr>
      <w:bookmarkStart w:id="261" w:name="_Toc8468211"/>
      <w:bookmarkStart w:id="262" w:name="_Toc8978047"/>
      <w:bookmarkStart w:id="263" w:name="_Toc12364820"/>
      <w:r w:rsidRPr="00A96337">
        <w:rPr>
          <w:lang w:val="en-AU"/>
        </w:rPr>
        <w:t>Exit strategies</w:t>
      </w:r>
      <w:bookmarkEnd w:id="261"/>
      <w:bookmarkEnd w:id="262"/>
      <w:bookmarkEnd w:id="263"/>
    </w:p>
    <w:p w14:paraId="071335F6" w14:textId="7CE1FBC1" w:rsidR="002F4F42" w:rsidRPr="00A96337" w:rsidRDefault="002F4F42" w:rsidP="00E42BC8">
      <w:pPr>
        <w:pStyle w:val="BodyText"/>
        <w:rPr>
          <w:lang w:val="en-AU"/>
        </w:rPr>
      </w:pPr>
      <w:r w:rsidRPr="00A96337">
        <w:rPr>
          <w:lang w:val="en-AU"/>
        </w:rPr>
        <w:t xml:space="preserve">At the start of </w:t>
      </w:r>
      <w:r w:rsidR="009B58A0" w:rsidRPr="00A96337">
        <w:rPr>
          <w:lang w:val="en-AU"/>
        </w:rPr>
        <w:t>AMENCA 3</w:t>
      </w:r>
      <w:r w:rsidRPr="00A96337">
        <w:rPr>
          <w:lang w:val="en-AU"/>
        </w:rPr>
        <w:t>, the consortiums were encouraged to deliver at least some activities that met community needs in the short term, with the aim of delivering some early and tangible outcomes that would bring on board the target communities.</w:t>
      </w:r>
      <w:r w:rsidR="00E42BC8" w:rsidRPr="00A96337">
        <w:rPr>
          <w:lang w:val="en-AU"/>
        </w:rPr>
        <w:t xml:space="preserve"> </w:t>
      </w:r>
      <w:r w:rsidRPr="00A96337">
        <w:rPr>
          <w:lang w:val="en-AU"/>
        </w:rPr>
        <w:t xml:space="preserve">However, a number of these interventions are still ongoing, and as such need to be </w:t>
      </w:r>
      <w:r w:rsidR="001262AE" w:rsidRPr="00A96337">
        <w:rPr>
          <w:lang w:val="en-AU"/>
        </w:rPr>
        <w:t>reviewed</w:t>
      </w:r>
      <w:r w:rsidRPr="00A96337">
        <w:rPr>
          <w:lang w:val="en-AU"/>
        </w:rPr>
        <w:t>, as they cannot be easily aligned with the now established sector strategies.</w:t>
      </w:r>
      <w:r w:rsidR="00E42BC8" w:rsidRPr="00A96337">
        <w:rPr>
          <w:lang w:val="en-AU"/>
        </w:rPr>
        <w:t xml:space="preserve"> </w:t>
      </w:r>
      <w:r w:rsidRPr="00A96337">
        <w:rPr>
          <w:lang w:val="en-AU"/>
        </w:rPr>
        <w:t xml:space="preserve">In addition, there is evidence that some investments are struggling to deliver traction, and as such have little capacity to </w:t>
      </w:r>
      <w:r w:rsidR="001262AE" w:rsidRPr="00A96337">
        <w:rPr>
          <w:lang w:val="en-AU"/>
        </w:rPr>
        <w:t>achieve</w:t>
      </w:r>
      <w:r w:rsidRPr="00A96337">
        <w:rPr>
          <w:lang w:val="en-AU"/>
        </w:rPr>
        <w:t xml:space="preserve"> systemic outcomes in the long-term. </w:t>
      </w:r>
    </w:p>
    <w:p w14:paraId="0BE3F155" w14:textId="3C7B3BC0" w:rsidR="003F53F7" w:rsidRPr="00A96337" w:rsidRDefault="002F4F42" w:rsidP="003F53F7">
      <w:pPr>
        <w:pStyle w:val="BodyText"/>
        <w:spacing w:after="240"/>
        <w:rPr>
          <w:lang w:val="en-AU"/>
        </w:rPr>
      </w:pPr>
      <w:r w:rsidRPr="00A96337">
        <w:rPr>
          <w:lang w:val="en-AU"/>
        </w:rPr>
        <w:t xml:space="preserve">Two characteristics of a healthy MSD program are that it can quickly prune those interventions that are not showing promise at scale, and that it has built a culture of being able to let go of interventions without disincentivising those who have </w:t>
      </w:r>
      <w:r w:rsidR="001262AE" w:rsidRPr="00A96337">
        <w:rPr>
          <w:lang w:val="en-AU"/>
        </w:rPr>
        <w:t xml:space="preserve">been </w:t>
      </w:r>
      <w:r w:rsidRPr="00A96337">
        <w:rPr>
          <w:lang w:val="en-AU"/>
        </w:rPr>
        <w:t>involved.</w:t>
      </w:r>
      <w:r w:rsidR="00E42BC8" w:rsidRPr="00A96337">
        <w:rPr>
          <w:lang w:val="en-AU"/>
        </w:rPr>
        <w:t xml:space="preserve"> </w:t>
      </w:r>
      <w:r w:rsidRPr="00A96337">
        <w:rPr>
          <w:lang w:val="en-AU"/>
        </w:rPr>
        <w:t xml:space="preserve">The MTR came across little evidence, however, that any </w:t>
      </w:r>
      <w:r w:rsidR="009B58A0" w:rsidRPr="00A96337">
        <w:rPr>
          <w:lang w:val="en-AU"/>
        </w:rPr>
        <w:t>AMENCA 3</w:t>
      </w:r>
      <w:r w:rsidRPr="00A96337">
        <w:rPr>
          <w:lang w:val="en-AU"/>
        </w:rPr>
        <w:t xml:space="preserve"> intervention has been purposefully closed due to its weak performance.</w:t>
      </w:r>
      <w:r w:rsidR="00E42BC8" w:rsidRPr="00A96337">
        <w:rPr>
          <w:lang w:val="en-AU"/>
        </w:rPr>
        <w:t xml:space="preserve"> </w:t>
      </w:r>
      <w:r w:rsidRPr="00A96337">
        <w:rPr>
          <w:lang w:val="en-AU"/>
        </w:rPr>
        <w:t xml:space="preserve">Yet pruning is essential if </w:t>
      </w:r>
      <w:r w:rsidR="009B58A0" w:rsidRPr="00A96337">
        <w:rPr>
          <w:lang w:val="en-AU"/>
        </w:rPr>
        <w:t>AMENCA 3</w:t>
      </w:r>
      <w:r w:rsidRPr="00A96337">
        <w:rPr>
          <w:lang w:val="en-AU"/>
        </w:rPr>
        <w:t>’s portfolio is to be kept vibrant and focused on areas of traction.</w:t>
      </w:r>
      <w:r w:rsidR="00E42BC8" w:rsidRPr="00A96337">
        <w:rPr>
          <w:lang w:val="en-AU"/>
        </w:rPr>
        <w:t xml:space="preserve"> </w:t>
      </w:r>
      <w:r w:rsidRPr="00A96337">
        <w:rPr>
          <w:lang w:val="en-AU"/>
        </w:rPr>
        <w:t>It not only delivers better outcomes, but allows an NGO to shift scarce resources to areas where there is greater potential for success.</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3F53F7" w:rsidRPr="00A96337" w14:paraId="1981F1A9" w14:textId="77777777" w:rsidTr="00CB5CD1">
        <w:trPr>
          <w:trHeight w:val="44"/>
        </w:trPr>
        <w:tc>
          <w:tcPr>
            <w:tcW w:w="709" w:type="dxa"/>
          </w:tcPr>
          <w:p w14:paraId="071DA66D" w14:textId="77777777" w:rsidR="00450A35" w:rsidRPr="00A96337" w:rsidRDefault="00450A35" w:rsidP="000E1846">
            <w:pPr>
              <w:pStyle w:val="IntenseQuote"/>
              <w:pBdr>
                <w:bottom w:val="none" w:sz="0" w:space="0" w:color="auto"/>
              </w:pBdr>
              <w:spacing w:before="120" w:after="120" w:line="259" w:lineRule="auto"/>
              <w:ind w:left="0" w:right="124"/>
              <w:rPr>
                <w:rFonts w:ascii="Arial" w:hAnsi="Arial" w:cs="Arial"/>
                <w:i w:val="0"/>
                <w:color w:val="5482AB"/>
              </w:rPr>
            </w:pPr>
            <w:r w:rsidRPr="00A96337">
              <w:rPr>
                <w:rFonts w:ascii="Arial" w:hAnsi="Arial" w:cs="Arial"/>
                <w:i w:val="0"/>
                <w:noProof/>
                <w:color w:val="5482AB"/>
                <w:lang w:eastAsia="en-AU"/>
              </w:rPr>
              <w:drawing>
                <wp:inline distT="0" distB="0" distL="0" distR="0" wp14:anchorId="2920A4F5" wp14:editId="64650632">
                  <wp:extent cx="267419" cy="330844"/>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307" w:type="dxa"/>
          </w:tcPr>
          <w:p w14:paraId="1786629D" w14:textId="2399C39D" w:rsidR="00450A35" w:rsidRPr="00A96337" w:rsidRDefault="00301BDA" w:rsidP="00F8335C">
            <w:pPr>
              <w:pStyle w:val="IntenseQuote"/>
              <w:numPr>
                <w:ilvl w:val="0"/>
                <w:numId w:val="30"/>
              </w:numPr>
              <w:pBdr>
                <w:bottom w:val="none" w:sz="0" w:space="0" w:color="auto"/>
              </w:pBdr>
              <w:spacing w:before="120" w:after="120" w:line="259" w:lineRule="auto"/>
              <w:ind w:left="0" w:right="0" w:firstLine="0"/>
              <w:rPr>
                <w:rFonts w:ascii="Arial" w:hAnsi="Arial" w:cs="Arial"/>
                <w:i w:val="0"/>
                <w:color w:val="5482AB"/>
              </w:rPr>
            </w:pPr>
            <w:bookmarkStart w:id="264" w:name="_Ref11933515"/>
            <w:r w:rsidRPr="00A96337">
              <w:rPr>
                <w:rFonts w:ascii="Arial" w:hAnsi="Arial" w:cs="Arial"/>
                <w:i w:val="0"/>
                <w:color w:val="5482AB"/>
              </w:rPr>
              <w:t xml:space="preserve">Encourage exit from underperforming interventions: </w:t>
            </w:r>
            <w:r w:rsidRPr="00A96337">
              <w:rPr>
                <w:rFonts w:ascii="Arial" w:hAnsi="Arial" w:cs="Arial"/>
                <w:b w:val="0"/>
                <w:bCs w:val="0"/>
                <w:i w:val="0"/>
                <w:color w:val="5482AB"/>
              </w:rPr>
              <w:t xml:space="preserve">Each </w:t>
            </w:r>
            <w:r w:rsidR="009B58A0" w:rsidRPr="00A96337">
              <w:rPr>
                <w:rFonts w:ascii="Arial" w:hAnsi="Arial" w:cs="Arial"/>
                <w:b w:val="0"/>
                <w:bCs w:val="0"/>
                <w:i w:val="0"/>
                <w:color w:val="5482AB"/>
              </w:rPr>
              <w:t>AMENCA 3</w:t>
            </w:r>
            <w:r w:rsidRPr="00A96337">
              <w:rPr>
                <w:rFonts w:ascii="Arial" w:hAnsi="Arial" w:cs="Arial"/>
                <w:b w:val="0"/>
                <w:bCs w:val="0"/>
                <w:i w:val="0"/>
                <w:color w:val="5482AB"/>
              </w:rPr>
              <w:t xml:space="preserve"> NGO Consortium should undertake quarterly intervention reviews to track progress against expected</w:t>
            </w:r>
            <w:r w:rsidRPr="00A96337" w:rsidDel="00C21C59">
              <w:rPr>
                <w:rFonts w:ascii="Arial" w:hAnsi="Arial" w:cs="Arial"/>
                <w:b w:val="0"/>
                <w:bCs w:val="0"/>
                <w:i w:val="0"/>
                <w:color w:val="5482AB"/>
              </w:rPr>
              <w:t xml:space="preserve"> </w:t>
            </w:r>
            <w:r w:rsidRPr="00A96337">
              <w:rPr>
                <w:rFonts w:ascii="Arial" w:hAnsi="Arial" w:cs="Arial"/>
                <w:b w:val="0"/>
                <w:bCs w:val="0"/>
                <w:i w:val="0"/>
                <w:color w:val="5482AB"/>
              </w:rPr>
              <w:t>results. Where partners are underperforming or where assumptions underpinning the results chain are found to be invalid, or where changes have no chance to scale further, the Consortium should consider withdrawing from the intervention.  Decisions about whether to continue or exit from an intervention should be reviewed by the AHLD Key Stakeholder Group (or similar).</w:t>
            </w:r>
            <w:bookmarkEnd w:id="264"/>
          </w:p>
        </w:tc>
      </w:tr>
    </w:tbl>
    <w:p w14:paraId="7C4B43FB" w14:textId="15C6E3EA" w:rsidR="002F4F42" w:rsidRPr="00A96337" w:rsidRDefault="002F4F42" w:rsidP="00F8335C">
      <w:pPr>
        <w:pStyle w:val="Heading2"/>
        <w:ind w:left="851" w:hanging="851"/>
      </w:pPr>
      <w:bookmarkStart w:id="265" w:name="_Toc8978048"/>
      <w:bookmarkStart w:id="266" w:name="_Toc12364821"/>
      <w:r w:rsidRPr="00A96337">
        <w:t xml:space="preserve">Is there evidence of </w:t>
      </w:r>
      <w:r w:rsidR="00BD47E6" w:rsidRPr="00A96337">
        <w:t>s</w:t>
      </w:r>
      <w:r w:rsidRPr="00A96337">
        <w:t xml:space="preserve">ystemic </w:t>
      </w:r>
      <w:r w:rsidR="00BD47E6" w:rsidRPr="00A96337">
        <w:t>c</w:t>
      </w:r>
      <w:r w:rsidRPr="00A96337">
        <w:t>hange?</w:t>
      </w:r>
      <w:bookmarkEnd w:id="265"/>
      <w:bookmarkEnd w:id="266"/>
    </w:p>
    <w:p w14:paraId="6E7BE027" w14:textId="555EAAF5" w:rsidR="002F4F42" w:rsidRPr="00A96337" w:rsidRDefault="009B58A0" w:rsidP="00E42BC8">
      <w:pPr>
        <w:pStyle w:val="BodyText"/>
        <w:rPr>
          <w:lang w:val="en-AU"/>
        </w:rPr>
      </w:pPr>
      <w:r w:rsidRPr="00A96337">
        <w:rPr>
          <w:lang w:val="en-AU"/>
        </w:rPr>
        <w:t>AMENCA 3</w:t>
      </w:r>
      <w:r w:rsidR="002F4F42" w:rsidRPr="00A96337">
        <w:rPr>
          <w:lang w:val="en-AU"/>
        </w:rPr>
        <w:t>, like most MSD approaches, is well aware of the need for its market interventions to lead to systemic change.</w:t>
      </w:r>
      <w:r w:rsidR="00E42BC8" w:rsidRPr="00A96337">
        <w:rPr>
          <w:lang w:val="en-AU"/>
        </w:rPr>
        <w:t xml:space="preserve"> </w:t>
      </w:r>
      <w:r w:rsidR="002F4F42" w:rsidRPr="00A96337">
        <w:rPr>
          <w:lang w:val="en-AU"/>
        </w:rPr>
        <w:t>Like other MSD programs both effort and business skills are needed to select intervention areas where there is significant market growth potential, and where growth can have direct benefit flows to the poor as suppliers, producers or employees.</w:t>
      </w:r>
      <w:r w:rsidR="00E42BC8" w:rsidRPr="00A96337">
        <w:rPr>
          <w:lang w:val="en-AU"/>
        </w:rPr>
        <w:t xml:space="preserve"> </w:t>
      </w:r>
      <w:r w:rsidR="002F4F42" w:rsidRPr="00A96337">
        <w:rPr>
          <w:lang w:val="en-AU"/>
        </w:rPr>
        <w:t xml:space="preserve">Whereas there are now some very solid examples of successful interventions, </w:t>
      </w:r>
      <w:r w:rsidRPr="00A96337">
        <w:rPr>
          <w:lang w:val="en-AU"/>
        </w:rPr>
        <w:t>AMENCA 3</w:t>
      </w:r>
      <w:r w:rsidR="002F4F42" w:rsidRPr="00A96337">
        <w:rPr>
          <w:lang w:val="en-AU"/>
        </w:rPr>
        <w:t xml:space="preserve"> is now increasingly challenged by the need to demonstrate that these initial successes can lead to broader systemic change.</w:t>
      </w:r>
      <w:r w:rsidR="00E42BC8" w:rsidRPr="00A96337">
        <w:rPr>
          <w:lang w:val="en-AU"/>
        </w:rPr>
        <w:t xml:space="preserve"> </w:t>
      </w:r>
      <w:r w:rsidR="00FE16BD" w:rsidRPr="00A96337">
        <w:rPr>
          <w:lang w:val="en-AU"/>
        </w:rPr>
        <w:t>This</w:t>
      </w:r>
      <w:r w:rsidR="002F4F42" w:rsidRPr="00A96337">
        <w:rPr>
          <w:lang w:val="en-AU"/>
        </w:rPr>
        <w:t xml:space="preserve"> is more than just supporting individual businesses to unlock growth, create jobs and increase incomes. It is also about creating a series of partnerships that through different channels introduce innovations so the sector as a whole goes through a process of innovation and transformation, and starts to work in a different manner from which the poor can benefit.</w:t>
      </w:r>
    </w:p>
    <w:p w14:paraId="21532EA2" w14:textId="1C8E6A2A" w:rsidR="002F4F42" w:rsidRPr="00A96337" w:rsidRDefault="002F4F42" w:rsidP="00E42BC8">
      <w:pPr>
        <w:pStyle w:val="BodyText"/>
        <w:rPr>
          <w:lang w:val="en-AU"/>
        </w:rPr>
      </w:pPr>
      <w:r w:rsidRPr="00A96337">
        <w:rPr>
          <w:lang w:val="en-AU"/>
        </w:rPr>
        <w:t xml:space="preserve">Currently </w:t>
      </w:r>
      <w:r w:rsidR="009B58A0" w:rsidRPr="00A96337">
        <w:rPr>
          <w:lang w:val="en-AU"/>
        </w:rPr>
        <w:t>AMENCA 3</w:t>
      </w:r>
      <w:r w:rsidRPr="00A96337">
        <w:rPr>
          <w:lang w:val="en-AU"/>
        </w:rPr>
        <w:t xml:space="preserve"> has realised a number of market innovations that have potential to achieve systemic change, including:</w:t>
      </w:r>
    </w:p>
    <w:p w14:paraId="0F30B713" w14:textId="724C7561" w:rsidR="002F4F42" w:rsidRPr="00A96337" w:rsidRDefault="002F4F42" w:rsidP="00E50F49">
      <w:pPr>
        <w:pStyle w:val="Dotpoint"/>
      </w:pPr>
      <w:r w:rsidRPr="00A96337">
        <w:t xml:space="preserve">developing a new commercial sheep milk market in </w:t>
      </w:r>
      <w:r w:rsidR="00FE16BD" w:rsidRPr="00A96337">
        <w:t xml:space="preserve">the </w:t>
      </w:r>
      <w:r w:rsidRPr="00A96337">
        <w:t>northern West Bank;</w:t>
      </w:r>
    </w:p>
    <w:p w14:paraId="5AEC0C8C" w14:textId="77777777" w:rsidR="002F4F42" w:rsidRPr="00A96337" w:rsidRDefault="002F4F42" w:rsidP="00E50F49">
      <w:pPr>
        <w:pStyle w:val="Dotpoint"/>
      </w:pPr>
      <w:r w:rsidRPr="00A96337">
        <w:t>commercialisation of the local and seedless grape sectors, including cold storage and the development of new products using thinnings and low-grade produce; and</w:t>
      </w:r>
    </w:p>
    <w:p w14:paraId="2CAA3CFD" w14:textId="53A71E6A" w:rsidR="002F4F42" w:rsidRPr="00A96337" w:rsidRDefault="002F4F42" w:rsidP="00E50F49">
      <w:pPr>
        <w:pStyle w:val="Dotpoint"/>
      </w:pPr>
      <w:r w:rsidRPr="00A96337">
        <w:t xml:space="preserve">opening up the </w:t>
      </w:r>
      <w:r w:rsidR="00307000" w:rsidRPr="00A96337">
        <w:t>gherkin</w:t>
      </w:r>
      <w:r w:rsidRPr="00A96337">
        <w:t xml:space="preserve"> market with strong demand for pickling.</w:t>
      </w:r>
    </w:p>
    <w:p w14:paraId="19F27F7E" w14:textId="0DB0D41D" w:rsidR="002F4F42" w:rsidRPr="00A96337" w:rsidRDefault="002F4F42" w:rsidP="00E42BC8">
      <w:pPr>
        <w:pStyle w:val="BodyText"/>
        <w:rPr>
          <w:lang w:val="en-AU"/>
        </w:rPr>
      </w:pPr>
      <w:r w:rsidRPr="00A96337">
        <w:rPr>
          <w:lang w:val="en-AU"/>
        </w:rPr>
        <w:t xml:space="preserve">Currently the evidence used by </w:t>
      </w:r>
      <w:r w:rsidR="009B58A0" w:rsidRPr="00A96337">
        <w:rPr>
          <w:lang w:val="en-AU"/>
        </w:rPr>
        <w:t>AMENCA 3</w:t>
      </w:r>
      <w:r w:rsidRPr="00A96337">
        <w:rPr>
          <w:lang w:val="en-AU"/>
        </w:rPr>
        <w:t xml:space="preserve"> for systemic change covers the major concepts of crowding in and copying.</w:t>
      </w:r>
      <w:r w:rsidR="00E42BC8" w:rsidRPr="00A96337">
        <w:rPr>
          <w:lang w:val="en-AU"/>
        </w:rPr>
        <w:t xml:space="preserve"> </w:t>
      </w:r>
      <w:r w:rsidRPr="00A96337">
        <w:rPr>
          <w:lang w:val="en-AU"/>
        </w:rPr>
        <w:t>However, work from around the world appreciates that these two elements are only part of the story.</w:t>
      </w:r>
      <w:r w:rsidR="00E42BC8" w:rsidRPr="00A96337">
        <w:rPr>
          <w:lang w:val="en-AU"/>
        </w:rPr>
        <w:t xml:space="preserve"> </w:t>
      </w:r>
      <w:r w:rsidRPr="00A96337">
        <w:rPr>
          <w:lang w:val="en-AU"/>
        </w:rPr>
        <w:t>In some value chains and smaller market spaces crowding in and copying are sometimes inappropriate as there is little scope for multiple players to do the same thing.</w:t>
      </w:r>
      <w:r w:rsidR="00E42BC8" w:rsidRPr="00A96337">
        <w:rPr>
          <w:lang w:val="en-AU"/>
        </w:rPr>
        <w:t xml:space="preserve"> </w:t>
      </w:r>
      <w:r w:rsidRPr="00A96337">
        <w:rPr>
          <w:lang w:val="en-AU"/>
        </w:rPr>
        <w:t>In these cases, other measures are found to also reflect change.</w:t>
      </w:r>
      <w:r w:rsidR="00E42BC8" w:rsidRPr="00A96337">
        <w:rPr>
          <w:lang w:val="en-AU"/>
        </w:rPr>
        <w:t xml:space="preserve"> </w:t>
      </w:r>
      <w:r w:rsidRPr="00A96337">
        <w:rPr>
          <w:lang w:val="en-AU"/>
        </w:rPr>
        <w:t>Whereas early partnerships in more robust markets typically demonstrate innovations aimed to encourage crowding in, the early partnerships in more conflicted markets usually enable a partner to fill a market gap.</w:t>
      </w:r>
      <w:r w:rsidR="00E42BC8" w:rsidRPr="00A96337">
        <w:rPr>
          <w:lang w:val="en-AU"/>
        </w:rPr>
        <w:t xml:space="preserve"> </w:t>
      </w:r>
      <w:r w:rsidRPr="00A96337">
        <w:rPr>
          <w:lang w:val="en-AU"/>
        </w:rPr>
        <w:t>For example, an early partnership might provide an input or service that is not currently available to the market.</w:t>
      </w:r>
      <w:r w:rsidR="00E42BC8" w:rsidRPr="00A96337">
        <w:rPr>
          <w:lang w:val="en-AU"/>
        </w:rPr>
        <w:t xml:space="preserve"> </w:t>
      </w:r>
      <w:r w:rsidRPr="00A96337">
        <w:rPr>
          <w:lang w:val="en-AU"/>
        </w:rPr>
        <w:t>Even though these early partnerships are not easily copied by others, they do demonstrate successful innovation in the sector.</w:t>
      </w:r>
      <w:r w:rsidR="00E42BC8" w:rsidRPr="00A96337">
        <w:rPr>
          <w:lang w:val="en-AU"/>
        </w:rPr>
        <w:t xml:space="preserve"> </w:t>
      </w:r>
      <w:r w:rsidRPr="00A96337">
        <w:rPr>
          <w:lang w:val="en-AU"/>
        </w:rPr>
        <w:t>Multiple demonstrations of innovation, along with other measures, are generally required to generate sufficient confidence to encourage risk taking by other market actors.</w:t>
      </w:r>
      <w:r w:rsidR="00E42BC8" w:rsidRPr="00A96337">
        <w:rPr>
          <w:lang w:val="en-AU"/>
        </w:rPr>
        <w:t xml:space="preserve"> </w:t>
      </w:r>
      <w:r w:rsidRPr="00A96337">
        <w:rPr>
          <w:lang w:val="en-AU"/>
        </w:rPr>
        <w:t xml:space="preserve">In addition, each partnership that fills a market gap increases the potential for broader market changes and lowers the barriers to others innovating </w:t>
      </w:r>
      <w:sdt>
        <w:sdtPr>
          <w:rPr>
            <w:lang w:val="en-AU"/>
          </w:rPr>
          <w:id w:val="586508794"/>
          <w:citation/>
        </w:sdtPr>
        <w:sdtEndPr/>
        <w:sdtContent>
          <w:r w:rsidRPr="00A96337">
            <w:rPr>
              <w:lang w:val="en-AU"/>
            </w:rPr>
            <w:fldChar w:fldCharType="begin"/>
          </w:r>
          <w:r w:rsidRPr="00A96337">
            <w:rPr>
              <w:lang w:val="en-AU"/>
            </w:rPr>
            <w:instrText xml:space="preserve">CITATION Mie18 \l 5129 </w:instrText>
          </w:r>
          <w:r w:rsidRPr="00A96337">
            <w:rPr>
              <w:lang w:val="en-AU"/>
            </w:rPr>
            <w:fldChar w:fldCharType="separate"/>
          </w:r>
          <w:r w:rsidR="00593D9F" w:rsidRPr="00593D9F">
            <w:rPr>
              <w:noProof/>
              <w:lang w:val="en-AU"/>
            </w:rPr>
            <w:t>(Miehlbradt, Warner, &amp; Swete Kelly, 2018)</w:t>
          </w:r>
          <w:r w:rsidRPr="00A96337">
            <w:rPr>
              <w:lang w:val="en-AU"/>
            </w:rPr>
            <w:fldChar w:fldCharType="end"/>
          </w:r>
        </w:sdtContent>
      </w:sdt>
      <w:r w:rsidRPr="00A96337">
        <w:rPr>
          <w:lang w:val="en-AU"/>
        </w:rPr>
        <w:t>.</w:t>
      </w:r>
    </w:p>
    <w:p w14:paraId="0711C67D" w14:textId="56643B98" w:rsidR="002F4F42" w:rsidRPr="00A96337" w:rsidRDefault="002F4F42" w:rsidP="00E42BC8">
      <w:pPr>
        <w:pStyle w:val="BodyText"/>
        <w:rPr>
          <w:lang w:val="en-AU"/>
        </w:rPr>
      </w:pPr>
      <w:r w:rsidRPr="00A96337">
        <w:rPr>
          <w:lang w:val="en-AU"/>
        </w:rPr>
        <w:t xml:space="preserve">Aspects such as hope, business confidence, trustful market relationships, new market functions, independent innovation/investment, and group empowerment add more depth and learning to the quantitative indicators </w:t>
      </w:r>
      <w:r w:rsidR="009B58A0" w:rsidRPr="00A96337">
        <w:rPr>
          <w:lang w:val="en-AU"/>
        </w:rPr>
        <w:t>AMENCA 3</w:t>
      </w:r>
      <w:r w:rsidRPr="00A96337">
        <w:rPr>
          <w:lang w:val="en-AU"/>
        </w:rPr>
        <w:t xml:space="preserve"> currently uses.</w:t>
      </w:r>
      <w:r w:rsidR="00E42BC8" w:rsidRPr="00A96337">
        <w:rPr>
          <w:lang w:val="en-AU"/>
        </w:rPr>
        <w:t xml:space="preserve"> </w:t>
      </w:r>
      <w:bookmarkStart w:id="267" w:name="_Ref8461748"/>
      <w:r w:rsidRPr="00A96337">
        <w:rPr>
          <w:lang w:val="en-AU"/>
        </w:rPr>
        <w:t>Progress towards these changes also needs to be directly monitored and measured.</w:t>
      </w:r>
      <w:bookmarkEnd w:id="267"/>
    </w:p>
    <w:p w14:paraId="4FF86859" w14:textId="77777777" w:rsidR="002F4F42" w:rsidRPr="00A96337" w:rsidRDefault="002F4F42" w:rsidP="00F8335C">
      <w:pPr>
        <w:pStyle w:val="Heading2"/>
        <w:ind w:left="851" w:hanging="851"/>
      </w:pPr>
      <w:bookmarkStart w:id="268" w:name="_Toc8978049"/>
      <w:bookmarkStart w:id="269" w:name="_Toc12364822"/>
      <w:r w:rsidRPr="00A96337">
        <w:t>Are NGO’s acting as effective market facilitators rather than market actors?</w:t>
      </w:r>
      <w:bookmarkEnd w:id="268"/>
      <w:bookmarkEnd w:id="269"/>
    </w:p>
    <w:p w14:paraId="07C80E5B" w14:textId="4A521718" w:rsidR="002F4F42" w:rsidRPr="00A96337" w:rsidRDefault="002F4F42" w:rsidP="00E42BC8">
      <w:pPr>
        <w:pStyle w:val="BodyText"/>
        <w:rPr>
          <w:spacing w:val="-2"/>
          <w:lang w:val="en-AU"/>
        </w:rPr>
      </w:pPr>
      <w:r w:rsidRPr="00A96337">
        <w:rPr>
          <w:spacing w:val="-2"/>
          <w:lang w:val="en-AU"/>
        </w:rPr>
        <w:t>Another pertinent question is the degree to which the NGOs are ‘inserting’ themselves in the value chain as market actors that are difficult to replace or phase out.</w:t>
      </w:r>
      <w:r w:rsidR="00E42BC8" w:rsidRPr="00A96337">
        <w:rPr>
          <w:spacing w:val="-2"/>
          <w:lang w:val="en-AU"/>
        </w:rPr>
        <w:t xml:space="preserve"> </w:t>
      </w:r>
      <w:r w:rsidRPr="00A96337">
        <w:rPr>
          <w:spacing w:val="-2"/>
          <w:lang w:val="en-AU"/>
        </w:rPr>
        <w:t>Based on the intervention logic presented and the interviews in-country it seems this is not usually a problem.</w:t>
      </w:r>
      <w:r w:rsidR="00E42BC8" w:rsidRPr="00A96337">
        <w:rPr>
          <w:spacing w:val="-2"/>
          <w:lang w:val="en-AU"/>
        </w:rPr>
        <w:t xml:space="preserve"> </w:t>
      </w:r>
      <w:r w:rsidRPr="00A96337">
        <w:rPr>
          <w:spacing w:val="-2"/>
          <w:lang w:val="en-AU"/>
        </w:rPr>
        <w:t xml:space="preserve">However, the transition of NGOs from a direct delivery approach to </w:t>
      </w:r>
      <w:bookmarkStart w:id="270" w:name="_Hlk7330762"/>
      <w:r w:rsidRPr="00A96337">
        <w:rPr>
          <w:spacing w:val="-2"/>
          <w:lang w:val="en-AU"/>
        </w:rPr>
        <w:t xml:space="preserve">a market facilitation approach </w:t>
      </w:r>
      <w:bookmarkEnd w:id="270"/>
      <w:r w:rsidRPr="00A96337">
        <w:rPr>
          <w:spacing w:val="-2"/>
          <w:lang w:val="en-AU"/>
        </w:rPr>
        <w:t xml:space="preserve">has not always </w:t>
      </w:r>
      <w:r w:rsidR="00FE16BD" w:rsidRPr="00A96337">
        <w:rPr>
          <w:spacing w:val="-2"/>
          <w:lang w:val="en-AU"/>
        </w:rPr>
        <w:t xml:space="preserve">been </w:t>
      </w:r>
      <w:r w:rsidRPr="00A96337">
        <w:rPr>
          <w:spacing w:val="-2"/>
          <w:lang w:val="en-AU"/>
        </w:rPr>
        <w:t>smooth.</w:t>
      </w:r>
    </w:p>
    <w:p w14:paraId="20DB5B61" w14:textId="37872E47" w:rsidR="002F4F42" w:rsidRPr="00A96337" w:rsidRDefault="002F4F42" w:rsidP="00E42BC8">
      <w:pPr>
        <w:pStyle w:val="BodyText"/>
        <w:rPr>
          <w:lang w:val="en-AU"/>
        </w:rPr>
      </w:pPr>
      <w:r w:rsidRPr="00A96337">
        <w:rPr>
          <w:lang w:val="en-AU"/>
        </w:rPr>
        <w:t xml:space="preserve">For example, a recent analysis highlighted the challenges faced by one local NGO, the Palestinian Livestock Development Centre (PLDC), when it changed to an MSD approach </w:t>
      </w:r>
      <w:sdt>
        <w:sdtPr>
          <w:rPr>
            <w:lang w:val="en-AU"/>
          </w:rPr>
          <w:id w:val="693346614"/>
          <w:citation/>
        </w:sdtPr>
        <w:sdtEndPr/>
        <w:sdtContent>
          <w:r w:rsidRPr="00A96337">
            <w:rPr>
              <w:lang w:val="en-AU"/>
            </w:rPr>
            <w:fldChar w:fldCharType="begin"/>
          </w:r>
          <w:r w:rsidRPr="00A96337">
            <w:rPr>
              <w:lang w:val="en-AU"/>
            </w:rPr>
            <w:instrText xml:space="preserve"> CITATION ElA192 \l 5129 </w:instrText>
          </w:r>
          <w:r w:rsidRPr="00A96337">
            <w:rPr>
              <w:lang w:val="en-AU"/>
            </w:rPr>
            <w:fldChar w:fldCharType="separate"/>
          </w:r>
          <w:r w:rsidR="00593D9F" w:rsidRPr="00593D9F">
            <w:rPr>
              <w:noProof/>
              <w:lang w:val="en-AU"/>
            </w:rPr>
            <w:t>(El-Ahmed &amp; Nabris, January 2019)</w:t>
          </w:r>
          <w:r w:rsidRPr="00A96337">
            <w:rPr>
              <w:lang w:val="en-AU"/>
            </w:rPr>
            <w:fldChar w:fldCharType="end"/>
          </w:r>
        </w:sdtContent>
      </w:sdt>
      <w:r w:rsidRPr="00A96337">
        <w:rPr>
          <w:lang w:val="en-AU"/>
        </w:rPr>
        <w:t>.</w:t>
      </w:r>
      <w:r w:rsidR="00E42BC8" w:rsidRPr="00A96337">
        <w:rPr>
          <w:lang w:val="en-AU"/>
        </w:rPr>
        <w:t xml:space="preserve"> </w:t>
      </w:r>
      <w:r w:rsidRPr="00A96337">
        <w:rPr>
          <w:lang w:val="en-AU"/>
        </w:rPr>
        <w:t>PLDC’s decision to integrate MSD into their support to local communities provides critical lessons for any NGO considering a change in approach.</w:t>
      </w:r>
      <w:r w:rsidR="00E42BC8" w:rsidRPr="00A96337">
        <w:rPr>
          <w:lang w:val="en-AU"/>
        </w:rPr>
        <w:t xml:space="preserve"> </w:t>
      </w:r>
      <w:r w:rsidRPr="00A96337">
        <w:rPr>
          <w:lang w:val="en-AU"/>
        </w:rPr>
        <w:t>The transition requires an NGO to become a market facilitator while avoiding becoming a market actor in any shape or form.</w:t>
      </w:r>
      <w:r w:rsidR="00E42BC8" w:rsidRPr="00A96337">
        <w:rPr>
          <w:lang w:val="en-AU"/>
        </w:rPr>
        <w:t xml:space="preserve"> </w:t>
      </w:r>
      <w:r w:rsidRPr="00A96337">
        <w:rPr>
          <w:lang w:val="en-AU"/>
        </w:rPr>
        <w:t>The PLDC, however, integrated these two incompatible roles by becoming a shareholder in the very market it was helping to facilitate.</w:t>
      </w:r>
      <w:r w:rsidR="00E42BC8" w:rsidRPr="00A96337">
        <w:rPr>
          <w:lang w:val="en-AU"/>
        </w:rPr>
        <w:t xml:space="preserve"> </w:t>
      </w:r>
      <w:r w:rsidRPr="00A96337">
        <w:rPr>
          <w:lang w:val="en-AU"/>
        </w:rPr>
        <w:t>The result was a conflict of interest that confused stakeholders, and undermined the intervention.</w:t>
      </w:r>
      <w:r w:rsidR="00E42BC8" w:rsidRPr="00A96337">
        <w:rPr>
          <w:lang w:val="en-AU"/>
        </w:rPr>
        <w:t xml:space="preserve"> </w:t>
      </w:r>
      <w:r w:rsidRPr="00A96337">
        <w:rPr>
          <w:lang w:val="en-AU"/>
        </w:rPr>
        <w:t>The lessons learnt were many: for the transition to a market facilitation approach to work smoothly, an institutional paradigm-shift is necessary, including measures such as building the understanding and ownership of MSD by the board of directors and other stakeholders, and aligning the mission, vision, and core programmes of the NGO with the MSD approach through a revision of procedural systems and processes, as well as strategy.</w:t>
      </w:r>
    </w:p>
    <w:p w14:paraId="1A4D530F" w14:textId="07FDED48" w:rsidR="002F4F42" w:rsidRPr="00A96337" w:rsidRDefault="002F4F42" w:rsidP="00E42BC8">
      <w:pPr>
        <w:pStyle w:val="BodyText"/>
        <w:rPr>
          <w:lang w:val="en-AU"/>
        </w:rPr>
      </w:pPr>
      <w:r w:rsidRPr="00A96337">
        <w:rPr>
          <w:lang w:val="en-AU"/>
        </w:rPr>
        <w:t>Overall however, NGOs are now aware that they cannot replace market actors.</w:t>
      </w:r>
      <w:r w:rsidR="00E42BC8" w:rsidRPr="00A96337">
        <w:rPr>
          <w:lang w:val="en-AU"/>
        </w:rPr>
        <w:t xml:space="preserve"> </w:t>
      </w:r>
      <w:r w:rsidRPr="00A96337">
        <w:rPr>
          <w:lang w:val="en-AU"/>
        </w:rPr>
        <w:t>For example, the use of supply contracts directly between suppliers and traders in the grape sector (underwritten and brokered by Oxfam, but without Oxfam being party to the agreement) demonstrates how the direct linkages are operating between farmer and trader.</w:t>
      </w:r>
      <w:r w:rsidR="00E42BC8" w:rsidRPr="00A96337">
        <w:rPr>
          <w:lang w:val="en-AU"/>
        </w:rPr>
        <w:t xml:space="preserve"> </w:t>
      </w:r>
      <w:r w:rsidRPr="00A96337">
        <w:rPr>
          <w:lang w:val="en-AU"/>
        </w:rPr>
        <w:t xml:space="preserve">In addition, the case studies provided in Annex 2, unpack the way that </w:t>
      </w:r>
      <w:r w:rsidR="009B58A0" w:rsidRPr="00A96337">
        <w:rPr>
          <w:lang w:val="en-AU"/>
        </w:rPr>
        <w:t>AMENCA 3</w:t>
      </w:r>
      <w:r w:rsidRPr="00A96337">
        <w:rPr>
          <w:lang w:val="en-AU"/>
        </w:rPr>
        <w:t xml:space="preserve">’s </w:t>
      </w:r>
      <w:r w:rsidR="00B36032" w:rsidRPr="00A96337">
        <w:rPr>
          <w:i/>
          <w:lang w:val="en-AU"/>
        </w:rPr>
        <w:t>u</w:t>
      </w:r>
      <w:r w:rsidRPr="00A96337">
        <w:rPr>
          <w:i/>
          <w:lang w:val="en-AU"/>
        </w:rPr>
        <w:t>plift</w:t>
      </w:r>
      <w:r w:rsidRPr="00A96337">
        <w:rPr>
          <w:lang w:val="en-AU"/>
        </w:rPr>
        <w:t xml:space="preserve"> and </w:t>
      </w:r>
      <w:r w:rsidR="00B36032" w:rsidRPr="00A96337">
        <w:rPr>
          <w:i/>
          <w:lang w:val="en-AU"/>
        </w:rPr>
        <w:t>r</w:t>
      </w:r>
      <w:r w:rsidRPr="00A96337">
        <w:rPr>
          <w:i/>
          <w:lang w:val="en-AU"/>
        </w:rPr>
        <w:t>each</w:t>
      </w:r>
      <w:r w:rsidRPr="00A96337">
        <w:rPr>
          <w:lang w:val="en-AU"/>
        </w:rPr>
        <w:t xml:space="preserve"> hybrid interventions marry to transform the way markets operate for the poor.</w:t>
      </w:r>
    </w:p>
    <w:p w14:paraId="2378307B" w14:textId="7E99AD48" w:rsidR="002F4F42" w:rsidRPr="00A96337" w:rsidRDefault="002F4F42" w:rsidP="00E42BC8">
      <w:pPr>
        <w:pStyle w:val="BodyText"/>
        <w:rPr>
          <w:lang w:val="en-AU"/>
        </w:rPr>
      </w:pPr>
      <w:r w:rsidRPr="00A96337">
        <w:rPr>
          <w:lang w:val="en-AU"/>
        </w:rPr>
        <w:t>The MTR Team noted however, that there is quite a range in the competency and ownership of the MSD approach across the consortium partners.</w:t>
      </w:r>
      <w:r w:rsidR="00E42BC8" w:rsidRPr="00A96337">
        <w:rPr>
          <w:lang w:val="en-AU"/>
        </w:rPr>
        <w:t xml:space="preserve"> </w:t>
      </w:r>
      <w:r w:rsidRPr="00A96337">
        <w:rPr>
          <w:lang w:val="en-AU"/>
        </w:rPr>
        <w:t>For the future it is important that NGOs undergo more consistent and structured MSD training, with guided support throughout from skilled personnel with knowledge and expertise in the MSD approach.</w:t>
      </w:r>
      <w:r w:rsidR="00E42BC8" w:rsidRPr="00A96337">
        <w:rPr>
          <w:lang w:val="en-AU"/>
        </w:rPr>
        <w:t xml:space="preserve"> </w:t>
      </w:r>
      <w:r w:rsidRPr="00A96337">
        <w:rPr>
          <w:lang w:val="en-AU"/>
        </w:rPr>
        <w:t xml:space="preserve">AMENCA’s MSD adviser </w:t>
      </w:r>
      <w:r w:rsidR="00FE16BD" w:rsidRPr="00A96337">
        <w:rPr>
          <w:lang w:val="en-AU"/>
        </w:rPr>
        <w:t xml:space="preserve">can </w:t>
      </w:r>
      <w:r w:rsidRPr="00A96337">
        <w:rPr>
          <w:lang w:val="en-AU"/>
        </w:rPr>
        <w:t>provide</w:t>
      </w:r>
      <w:r w:rsidR="00FE16BD" w:rsidRPr="00A96337">
        <w:rPr>
          <w:lang w:val="en-AU"/>
        </w:rPr>
        <w:t xml:space="preserve"> or facil</w:t>
      </w:r>
      <w:r w:rsidR="00F338E9" w:rsidRPr="00A96337">
        <w:rPr>
          <w:lang w:val="en-AU"/>
        </w:rPr>
        <w:t>itate</w:t>
      </w:r>
      <w:r w:rsidRPr="00A96337">
        <w:rPr>
          <w:lang w:val="en-AU"/>
        </w:rPr>
        <w:t xml:space="preserve"> </w:t>
      </w:r>
      <w:r w:rsidR="00F338E9" w:rsidRPr="00A96337">
        <w:rPr>
          <w:lang w:val="en-AU"/>
        </w:rPr>
        <w:t>much</w:t>
      </w:r>
      <w:r w:rsidRPr="00A96337">
        <w:rPr>
          <w:lang w:val="en-AU"/>
        </w:rPr>
        <w:t xml:space="preserve"> of this guidance, but it is clear that </w:t>
      </w:r>
      <w:r w:rsidR="00F338E9" w:rsidRPr="00A96337">
        <w:rPr>
          <w:lang w:val="en-AU"/>
        </w:rPr>
        <w:t>ongoing</w:t>
      </w:r>
      <w:r w:rsidRPr="00A96337">
        <w:rPr>
          <w:lang w:val="en-AU"/>
        </w:rPr>
        <w:t xml:space="preserve"> inputs in particular areas are needed as </w:t>
      </w:r>
      <w:r w:rsidR="009B58A0" w:rsidRPr="00A96337">
        <w:rPr>
          <w:lang w:val="en-AU"/>
        </w:rPr>
        <w:t>AMENCA 3</w:t>
      </w:r>
      <w:r w:rsidRPr="00A96337">
        <w:rPr>
          <w:lang w:val="en-AU"/>
        </w:rPr>
        <w:t xml:space="preserve"> evolves.</w:t>
      </w:r>
      <w:r w:rsidR="00E42BC8" w:rsidRPr="00A96337">
        <w:rPr>
          <w:lang w:val="en-AU"/>
        </w:rPr>
        <w:t xml:space="preserve"> </w:t>
      </w:r>
      <w:r w:rsidRPr="00A96337">
        <w:rPr>
          <w:lang w:val="en-AU"/>
        </w:rPr>
        <w:t>The CARE, Oxfam and APHEDA consortiums have varying capacity.</w:t>
      </w:r>
      <w:r w:rsidR="00E42BC8" w:rsidRPr="00A96337">
        <w:rPr>
          <w:lang w:val="en-AU"/>
        </w:rPr>
        <w:t xml:space="preserve"> </w:t>
      </w:r>
      <w:r w:rsidRPr="00A96337">
        <w:rPr>
          <w:lang w:val="en-AU"/>
        </w:rPr>
        <w:t>Where gaps exist NGOs should aim to either employ skilled MSD people or upgrade the skills of their specialist staff so that basic capacity is embedded full-time within each organisation.</w:t>
      </w:r>
    </w:p>
    <w:p w14:paraId="769E2472" w14:textId="68819926" w:rsidR="003F53F7" w:rsidRPr="00A96337" w:rsidRDefault="002F4F42" w:rsidP="0063506C">
      <w:pPr>
        <w:pStyle w:val="BodyText"/>
        <w:spacing w:after="240"/>
        <w:rPr>
          <w:lang w:val="en-AU"/>
        </w:rPr>
      </w:pPr>
      <w:r w:rsidRPr="00A96337">
        <w:rPr>
          <w:lang w:val="en-AU"/>
        </w:rPr>
        <w:t xml:space="preserve">While many </w:t>
      </w:r>
      <w:r w:rsidR="009B58A0" w:rsidRPr="00A96337">
        <w:rPr>
          <w:lang w:val="en-AU"/>
        </w:rPr>
        <w:t>AMENCA 3</w:t>
      </w:r>
      <w:r w:rsidRPr="00A96337">
        <w:rPr>
          <w:lang w:val="en-AU"/>
        </w:rPr>
        <w:t xml:space="preserve"> NGOs have taken the opportunity to train staff, this needs to be supported in a more structured and consistent manner for both INGOs and their consortium partners.</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1756BC" w:rsidRPr="00A96337" w14:paraId="4D7CCC3D" w14:textId="77777777" w:rsidTr="001756BC">
        <w:trPr>
          <w:trHeight w:val="44"/>
        </w:trPr>
        <w:tc>
          <w:tcPr>
            <w:tcW w:w="709" w:type="dxa"/>
          </w:tcPr>
          <w:p w14:paraId="0A0B90E4" w14:textId="77777777" w:rsidR="00450A35" w:rsidRPr="00A96337" w:rsidRDefault="00450A35" w:rsidP="001756BC">
            <w:pPr>
              <w:pStyle w:val="IntenseQuote"/>
              <w:pBdr>
                <w:bottom w:val="none" w:sz="0" w:space="0" w:color="auto"/>
              </w:pBdr>
              <w:spacing w:before="120" w:after="0" w:line="259" w:lineRule="auto"/>
              <w:ind w:left="0" w:right="124"/>
              <w:rPr>
                <w:rFonts w:ascii="Arial" w:hAnsi="Arial" w:cs="Arial"/>
                <w:i w:val="0"/>
                <w:color w:val="5482AB"/>
              </w:rPr>
            </w:pPr>
            <w:r w:rsidRPr="00A96337">
              <w:rPr>
                <w:rFonts w:ascii="Arial" w:hAnsi="Arial" w:cs="Arial"/>
                <w:i w:val="0"/>
                <w:noProof/>
                <w:color w:val="5482AB"/>
                <w:lang w:eastAsia="en-AU"/>
              </w:rPr>
              <w:drawing>
                <wp:inline distT="0" distB="0" distL="0" distR="0" wp14:anchorId="47B4223E" wp14:editId="64927572">
                  <wp:extent cx="267419" cy="33084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307" w:type="dxa"/>
          </w:tcPr>
          <w:p w14:paraId="78C2351F" w14:textId="69ABDFF6" w:rsidR="00450A35" w:rsidRPr="00A96337" w:rsidRDefault="0078584C" w:rsidP="00F8335C">
            <w:pPr>
              <w:pStyle w:val="IntenseQuote"/>
              <w:numPr>
                <w:ilvl w:val="0"/>
                <w:numId w:val="30"/>
              </w:numPr>
              <w:pBdr>
                <w:bottom w:val="none" w:sz="0" w:space="0" w:color="auto"/>
              </w:pBdr>
              <w:spacing w:before="120" w:after="120" w:line="259" w:lineRule="auto"/>
              <w:ind w:left="0" w:right="0" w:firstLine="0"/>
              <w:rPr>
                <w:rFonts w:ascii="Arial Bold" w:hAnsi="Arial Bold" w:cs="Arial"/>
                <w:i w:val="0"/>
                <w:color w:val="5482AB"/>
                <w:spacing w:val="-4"/>
              </w:rPr>
            </w:pPr>
            <w:bookmarkStart w:id="271" w:name="_Ref11933135"/>
            <w:r w:rsidRPr="00A96337">
              <w:rPr>
                <w:rFonts w:ascii="Arial" w:hAnsi="Arial" w:cs="Arial"/>
                <w:i w:val="0"/>
                <w:color w:val="5482AB"/>
              </w:rPr>
              <w:t>Structured MSD capacity development:</w:t>
            </w:r>
            <w:r w:rsidRPr="00A96337">
              <w:rPr>
                <w:rFonts w:ascii="Arial" w:hAnsi="Arial" w:cs="Arial"/>
                <w:b w:val="0"/>
                <w:bCs w:val="0"/>
                <w:i w:val="0"/>
                <w:color w:val="5482AB"/>
              </w:rPr>
              <w:t xml:space="preserve">  The contractor for advisory services should be tasked to support further structured MSD skills development both directly, as well as through staff involvement in organised MSD training, drawing on skills within the </w:t>
            </w:r>
            <w:r w:rsidR="006743E0" w:rsidRPr="00A96337">
              <w:rPr>
                <w:rFonts w:ascii="Arial" w:hAnsi="Arial" w:cs="Arial"/>
                <w:b w:val="0"/>
                <w:bCs w:val="0"/>
                <w:i w:val="0"/>
                <w:color w:val="5482AB"/>
              </w:rPr>
              <w:t>I</w:t>
            </w:r>
            <w:r w:rsidRPr="00A96337">
              <w:rPr>
                <w:rFonts w:ascii="Arial" w:hAnsi="Arial" w:cs="Arial"/>
                <w:b w:val="0"/>
                <w:bCs w:val="0"/>
                <w:i w:val="0"/>
                <w:color w:val="5482AB"/>
              </w:rPr>
              <w:t>NGO teams as well as external advisors and training programs as appropriate. This should concentrate on key management, Results Measurement and Inclusion issues.</w:t>
            </w:r>
            <w:bookmarkEnd w:id="271"/>
          </w:p>
        </w:tc>
      </w:tr>
    </w:tbl>
    <w:p w14:paraId="52EB8C20" w14:textId="1E76FB0E" w:rsidR="002F4F42" w:rsidRPr="00A96337" w:rsidRDefault="002F4F42" w:rsidP="007F6FE5">
      <w:pPr>
        <w:pStyle w:val="Heading1"/>
      </w:pPr>
      <w:bookmarkStart w:id="272" w:name="_Toc8978050"/>
      <w:bookmarkStart w:id="273" w:name="_Toc12364823"/>
      <w:r w:rsidRPr="00A96337">
        <w:t>Efficiency</w:t>
      </w:r>
      <w:bookmarkEnd w:id="272"/>
      <w:bookmarkEnd w:id="273"/>
    </w:p>
    <w:p w14:paraId="740FA5B4" w14:textId="558A18C8" w:rsidR="000E1846" w:rsidRPr="00A96337" w:rsidRDefault="000E1846" w:rsidP="000E1846">
      <w:pPr>
        <w:pStyle w:val="BodyText"/>
        <w:rPr>
          <w:lang w:val="en-AU" w:eastAsia="en-AU"/>
        </w:rPr>
      </w:pPr>
      <w:r w:rsidRPr="00A96337">
        <w:rPr>
          <w:noProof/>
          <w:lang w:val="en-AU" w:eastAsia="en-AU"/>
        </w:rPr>
        <mc:AlternateContent>
          <mc:Choice Requires="wps">
            <w:drawing>
              <wp:inline distT="0" distB="0" distL="0" distR="0" wp14:anchorId="286E003C" wp14:editId="662FC569">
                <wp:extent cx="5731510" cy="869582"/>
                <wp:effectExtent l="0" t="0" r="2540" b="6985"/>
                <wp:docPr id="4" name="Text Box 4"/>
                <wp:cNvGraphicFramePr/>
                <a:graphic xmlns:a="http://schemas.openxmlformats.org/drawingml/2006/main">
                  <a:graphicData uri="http://schemas.microsoft.com/office/word/2010/wordprocessingShape">
                    <wps:wsp>
                      <wps:cNvSpPr txBox="1"/>
                      <wps:spPr>
                        <a:xfrm>
                          <a:off x="0" y="0"/>
                          <a:ext cx="5731510" cy="869582"/>
                        </a:xfrm>
                        <a:prstGeom prst="rect">
                          <a:avLst/>
                        </a:prstGeom>
                        <a:solidFill>
                          <a:schemeClr val="bg1">
                            <a:lumMod val="95000"/>
                          </a:schemeClr>
                        </a:solidFill>
                        <a:ln w="6350">
                          <a:noFill/>
                        </a:ln>
                        <a:effectLst/>
                      </wps:spPr>
                      <wps:txbx>
                        <w:txbxContent>
                          <w:p w14:paraId="1563D9DB" w14:textId="62AD4B52" w:rsidR="00AE1954" w:rsidRPr="00E6670A" w:rsidRDefault="00AE1954" w:rsidP="000E1846">
                            <w:pPr>
                              <w:rPr>
                                <w:color w:val="1F497D" w:themeColor="text2"/>
                              </w:rPr>
                            </w:pPr>
                            <w:r w:rsidRPr="00CF7F1C">
                              <w:rPr>
                                <w:rFonts w:ascii="Arial" w:hAnsi="Arial" w:cs="Arial"/>
                                <w:color w:val="003478"/>
                              </w:rPr>
                              <w:t xml:space="preserve">There is a mixed picture regarding the operational resourcing of </w:t>
                            </w:r>
                            <w:r>
                              <w:rPr>
                                <w:rFonts w:ascii="Arial" w:hAnsi="Arial" w:cs="Arial"/>
                                <w:color w:val="003478"/>
                              </w:rPr>
                              <w:t>AMENCA 3</w:t>
                            </w:r>
                            <w:r w:rsidRPr="00CF7F1C">
                              <w:rPr>
                                <w:rFonts w:ascii="Arial" w:hAnsi="Arial" w:cs="Arial"/>
                                <w:color w:val="003478"/>
                              </w:rPr>
                              <w:t>. Clear opportunities exist to more efficiently use resources for cross program learning, governance and management.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shape w14:anchorId="286E003C" id="Text Box 4" o:spid="_x0000_s1030" type="#_x0000_t202" style="width:451.3pt;height:6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" fillcolor="#f2f2f2 [3052]" stroked="f" strokeweight=".5pt">
                <v:textbox inset="14.4pt,14.4pt,14.4pt,14.4pt">
                  <w:txbxContent>
                    <w:p w14:paraId="1563D9DB" w14:textId="62AD4B52" w:rsidR="00AE1954" w:rsidRPr="00E6670A" w:rsidRDefault="00AE1954" w:rsidP="000E1846">
                      <w:pPr>
                        <w:rPr>
                          <w:color w:val="1F497D" w:themeColor="text2"/>
                        </w:rPr>
                      </w:pPr>
                      <w:r w:rsidRPr="00CF7F1C">
                        <w:rPr>
                          <w:rFonts w:ascii="Arial" w:hAnsi="Arial" w:cs="Arial"/>
                          <w:color w:val="003478"/>
                        </w:rPr>
                        <w:t xml:space="preserve">There is a mixed picture regarding the operational resourcing of </w:t>
                      </w:r>
                      <w:r>
                        <w:rPr>
                          <w:rFonts w:ascii="Arial" w:hAnsi="Arial" w:cs="Arial"/>
                          <w:color w:val="003478"/>
                        </w:rPr>
                        <w:t>AMENCA 3</w:t>
                      </w:r>
                      <w:r w:rsidRPr="00CF7F1C">
                        <w:rPr>
                          <w:rFonts w:ascii="Arial" w:hAnsi="Arial" w:cs="Arial"/>
                          <w:color w:val="003478"/>
                        </w:rPr>
                        <w:t>. Clear opportunities exist to more efficiently use resources for cross program learning, governance and management.</w:t>
                      </w:r>
                    </w:p>
                  </w:txbxContent>
                </v:textbox>
                <w10:anchorlock/>
              </v:shape>
            </w:pict>
          </mc:Fallback>
        </mc:AlternateContent>
      </w:r>
    </w:p>
    <w:p w14:paraId="2DE5A28C" w14:textId="19CECB57" w:rsidR="002F4597" w:rsidRPr="00A96337" w:rsidRDefault="002F4597" w:rsidP="00F8335C">
      <w:pPr>
        <w:pStyle w:val="Heading2"/>
        <w:ind w:left="851" w:hanging="851"/>
      </w:pPr>
      <w:bookmarkStart w:id="274" w:name="_Toc12364824"/>
      <w:r w:rsidRPr="00A96337">
        <w:t xml:space="preserve">Have enough financial and human resources been allocated to enable </w:t>
      </w:r>
      <w:r w:rsidR="009B58A0" w:rsidRPr="00A96337">
        <w:t>AMENCA 3</w:t>
      </w:r>
      <w:r w:rsidRPr="00A96337">
        <w:t xml:space="preserve"> to achieve its objectives?</w:t>
      </w:r>
      <w:bookmarkEnd w:id="274"/>
    </w:p>
    <w:p w14:paraId="316B78C6" w14:textId="5C0FB977" w:rsidR="002F4F42" w:rsidRPr="00A96337" w:rsidRDefault="009B58A0" w:rsidP="00E42BC8">
      <w:pPr>
        <w:pStyle w:val="BodyText"/>
        <w:rPr>
          <w:lang w:val="en-AU"/>
        </w:rPr>
      </w:pPr>
      <w:r w:rsidRPr="00A96337">
        <w:rPr>
          <w:lang w:val="en-AU"/>
        </w:rPr>
        <w:t>AMENCA 3</w:t>
      </w:r>
      <w:r w:rsidR="002F4F42" w:rsidRPr="00A96337">
        <w:rPr>
          <w:lang w:val="en-AU"/>
        </w:rPr>
        <w:t>’s original design, contracting and implementation arrangements innovatively, but loosely combined:</w:t>
      </w:r>
    </w:p>
    <w:p w14:paraId="030512E8" w14:textId="77777777" w:rsidR="002F4F42" w:rsidRPr="00A96337" w:rsidRDefault="002F4F42" w:rsidP="00E50F49">
      <w:pPr>
        <w:pStyle w:val="Dotpoint"/>
      </w:pPr>
      <w:r w:rsidRPr="00A96337">
        <w:t>the evolving principles of MSD</w:t>
      </w:r>
      <w:r w:rsidRPr="00A96337">
        <w:rPr>
          <w:rStyle w:val="FootnoteReference"/>
        </w:rPr>
        <w:footnoteReference w:id="11"/>
      </w:r>
      <w:r w:rsidRPr="00A96337">
        <w:t>;</w:t>
      </w:r>
    </w:p>
    <w:p w14:paraId="74B312FD" w14:textId="77777777" w:rsidR="002F4F42" w:rsidRPr="00A96337" w:rsidRDefault="002F4F42" w:rsidP="00E50F49">
      <w:pPr>
        <w:pStyle w:val="Dotpoint"/>
      </w:pPr>
      <w:r w:rsidRPr="00A96337">
        <w:t>the flexibility for NGOs to also continue with direct delivery paradigms;</w:t>
      </w:r>
    </w:p>
    <w:p w14:paraId="14EC6369" w14:textId="77777777" w:rsidR="002F4F42" w:rsidRPr="00A96337" w:rsidRDefault="002F4F42" w:rsidP="00E50F49">
      <w:pPr>
        <w:pStyle w:val="Dotpoint"/>
      </w:pPr>
      <w:r w:rsidRPr="00A96337">
        <w:t>contracts based on NGO ‘partnership’ principles; and</w:t>
      </w:r>
    </w:p>
    <w:p w14:paraId="4BAE6220" w14:textId="77777777" w:rsidR="002F4F42" w:rsidRPr="00A96337" w:rsidRDefault="002F4F42" w:rsidP="00E50F49">
      <w:pPr>
        <w:pStyle w:val="Dotpoint"/>
      </w:pPr>
      <w:r w:rsidRPr="00A96337">
        <w:t>the close integration of the Palestinian Authority in oversight.</w:t>
      </w:r>
    </w:p>
    <w:p w14:paraId="7BF73B31" w14:textId="70A8DADA" w:rsidR="002F4F42" w:rsidRPr="00A96337" w:rsidRDefault="002F4F42" w:rsidP="00E42BC8">
      <w:pPr>
        <w:pStyle w:val="BodyText"/>
        <w:rPr>
          <w:lang w:val="en-AU"/>
        </w:rPr>
      </w:pPr>
      <w:r w:rsidRPr="00A96337">
        <w:rPr>
          <w:lang w:val="en-AU"/>
        </w:rPr>
        <w:t>These were then used to test a new way of working in one of the world’s most politically charged ‘development’ contexts.</w:t>
      </w:r>
      <w:r w:rsidR="00E42BC8" w:rsidRPr="00A96337">
        <w:rPr>
          <w:lang w:val="en-AU"/>
        </w:rPr>
        <w:t xml:space="preserve"> </w:t>
      </w:r>
      <w:r w:rsidRPr="00A96337">
        <w:rPr>
          <w:lang w:val="en-AU"/>
        </w:rPr>
        <w:t xml:space="preserve">Hindsight shows that it was an ambitious undertaking and somewhat inevitably, </w:t>
      </w:r>
      <w:r w:rsidR="009B58A0" w:rsidRPr="00A96337">
        <w:rPr>
          <w:lang w:val="en-AU"/>
        </w:rPr>
        <w:t>AMENCA 3</w:t>
      </w:r>
      <w:r w:rsidRPr="00A96337">
        <w:rPr>
          <w:lang w:val="en-AU"/>
        </w:rPr>
        <w:t xml:space="preserve"> got off to a slow start due to:</w:t>
      </w:r>
    </w:p>
    <w:p w14:paraId="56A6B146" w14:textId="77777777" w:rsidR="002F4F42" w:rsidRPr="00A96337" w:rsidRDefault="002F4F42" w:rsidP="00E50F49">
      <w:pPr>
        <w:pStyle w:val="Dotpoint"/>
      </w:pPr>
      <w:r w:rsidRPr="00A96337">
        <w:t>the differing expectations of many stakeholders (particularly NGOs, advisers and Government),</w:t>
      </w:r>
    </w:p>
    <w:p w14:paraId="53EBA89D" w14:textId="4A2D6723" w:rsidR="002F4F42" w:rsidRPr="00A96337" w:rsidRDefault="002F4F42" w:rsidP="00E50F49">
      <w:pPr>
        <w:pStyle w:val="Dotpoint"/>
      </w:pPr>
      <w:r w:rsidRPr="00A96337">
        <w:t xml:space="preserve">poor relations between </w:t>
      </w:r>
      <w:r w:rsidR="00A62948" w:rsidRPr="00A96337">
        <w:t xml:space="preserve">some </w:t>
      </w:r>
      <w:r w:rsidRPr="00A96337">
        <w:t>advisors and the teams;</w:t>
      </w:r>
    </w:p>
    <w:p w14:paraId="12B0753E" w14:textId="77777777" w:rsidR="002F4F42" w:rsidRPr="00A96337" w:rsidRDefault="002F4F42" w:rsidP="00E50F49">
      <w:pPr>
        <w:pStyle w:val="Dotpoint"/>
      </w:pPr>
      <w:r w:rsidRPr="00A96337">
        <w:t>the unwieldy approvals process for interventions; and</w:t>
      </w:r>
    </w:p>
    <w:p w14:paraId="168E75B6" w14:textId="77777777" w:rsidR="002F4F42" w:rsidRPr="00A96337" w:rsidRDefault="002F4F42" w:rsidP="00E50F49">
      <w:pPr>
        <w:pStyle w:val="Dotpoint"/>
      </w:pPr>
      <w:r w:rsidRPr="00A96337">
        <w:t>the suspension of World Vision.</w:t>
      </w:r>
    </w:p>
    <w:p w14:paraId="724684B5" w14:textId="77777777" w:rsidR="002F4F42" w:rsidRPr="00A96337" w:rsidRDefault="002F4F42" w:rsidP="00E42BC8">
      <w:pPr>
        <w:pStyle w:val="BodyText"/>
        <w:rPr>
          <w:lang w:val="en-AU"/>
        </w:rPr>
      </w:pPr>
      <w:r w:rsidRPr="00A96337">
        <w:rPr>
          <w:lang w:val="en-AU"/>
        </w:rPr>
        <w:t>These delays had knock on effects for the approval and delivery of projects and budget expenditure.</w:t>
      </w:r>
    </w:p>
    <w:p w14:paraId="165DF96F" w14:textId="646D4EB4" w:rsidR="002F4F42" w:rsidRPr="00A96337" w:rsidRDefault="002F4F42" w:rsidP="00E42BC8">
      <w:pPr>
        <w:pStyle w:val="BodyText"/>
        <w:rPr>
          <w:lang w:val="en-AU"/>
        </w:rPr>
      </w:pPr>
      <w:r w:rsidRPr="00A96337">
        <w:rPr>
          <w:lang w:val="en-AU"/>
        </w:rPr>
        <w:t xml:space="preserve">Operational efficiency became such a concern for </w:t>
      </w:r>
      <w:r w:rsidR="009B58A0" w:rsidRPr="00A96337">
        <w:rPr>
          <w:lang w:val="en-AU"/>
        </w:rPr>
        <w:t>AMENCA 3</w:t>
      </w:r>
      <w:r w:rsidRPr="00A96337">
        <w:rPr>
          <w:lang w:val="en-AU"/>
        </w:rPr>
        <w:t xml:space="preserve"> that a </w:t>
      </w:r>
      <w:r w:rsidRPr="00A96337">
        <w:rPr>
          <w:i/>
          <w:lang w:val="en-AU"/>
        </w:rPr>
        <w:t>Rapid Management and Operations Review</w:t>
      </w:r>
      <w:r w:rsidRPr="00A96337">
        <w:rPr>
          <w:lang w:val="en-AU"/>
        </w:rPr>
        <w:t xml:space="preserve"> was commissioned by DFAT in 2017</w:t>
      </w:r>
      <w:sdt>
        <w:sdtPr>
          <w:rPr>
            <w:lang w:val="en-AU"/>
          </w:rPr>
          <w:id w:val="9347317"/>
          <w:citation/>
        </w:sdtPr>
        <w:sdtEndPr/>
        <w:sdtContent>
          <w:r w:rsidRPr="00A96337">
            <w:rPr>
              <w:lang w:val="en-AU"/>
            </w:rPr>
            <w:fldChar w:fldCharType="begin"/>
          </w:r>
          <w:r w:rsidRPr="00A96337">
            <w:rPr>
              <w:lang w:val="en-AU"/>
            </w:rPr>
            <w:instrText xml:space="preserve">CITATION Pil17 \l 5129 </w:instrText>
          </w:r>
          <w:r w:rsidRPr="00A96337">
            <w:rPr>
              <w:lang w:val="en-AU"/>
            </w:rPr>
            <w:fldChar w:fldCharType="separate"/>
          </w:r>
          <w:r w:rsidR="00593D9F">
            <w:rPr>
              <w:noProof/>
              <w:lang w:val="en-AU"/>
            </w:rPr>
            <w:t xml:space="preserve"> </w:t>
          </w:r>
          <w:r w:rsidR="00593D9F" w:rsidRPr="00593D9F">
            <w:rPr>
              <w:noProof/>
              <w:lang w:val="en-AU"/>
            </w:rPr>
            <w:t>(Pilbrow &amp; Forde, May 2017)</w:t>
          </w:r>
          <w:r w:rsidRPr="00A96337">
            <w:rPr>
              <w:lang w:val="en-AU"/>
            </w:rPr>
            <w:fldChar w:fldCharType="end"/>
          </w:r>
        </w:sdtContent>
      </w:sdt>
      <w:r w:rsidRPr="00A96337">
        <w:rPr>
          <w:lang w:val="en-AU"/>
        </w:rPr>
        <w:t>.</w:t>
      </w:r>
      <w:r w:rsidR="00E42BC8" w:rsidRPr="00A96337">
        <w:rPr>
          <w:lang w:val="en-AU"/>
        </w:rPr>
        <w:t xml:space="preserve"> </w:t>
      </w:r>
      <w:r w:rsidRPr="00A96337">
        <w:rPr>
          <w:lang w:val="en-AU"/>
        </w:rPr>
        <w:t>This looked at internal systems and processes, current functions, the role of advisers, DFAT management, and program oversight.</w:t>
      </w:r>
      <w:r w:rsidR="00E42BC8" w:rsidRPr="00A96337">
        <w:rPr>
          <w:lang w:val="en-AU"/>
        </w:rPr>
        <w:t xml:space="preserve"> </w:t>
      </w:r>
      <w:r w:rsidRPr="00A96337">
        <w:rPr>
          <w:lang w:val="en-AU"/>
        </w:rPr>
        <w:t xml:space="preserve">It recommended significant changes to </w:t>
      </w:r>
      <w:r w:rsidR="009B58A0" w:rsidRPr="00A96337">
        <w:rPr>
          <w:lang w:val="en-AU"/>
        </w:rPr>
        <w:t>AMENCA 3</w:t>
      </w:r>
      <w:r w:rsidRPr="00A96337">
        <w:rPr>
          <w:lang w:val="en-AU"/>
        </w:rPr>
        <w:t xml:space="preserve"> systems, primarily focused on greater autonomy for the NGOs and a less authoritarian role for the advisers.</w:t>
      </w:r>
      <w:r w:rsidR="00E42BC8" w:rsidRPr="00A96337">
        <w:rPr>
          <w:lang w:val="en-AU"/>
        </w:rPr>
        <w:t xml:space="preserve"> </w:t>
      </w:r>
      <w:r w:rsidRPr="00A96337">
        <w:rPr>
          <w:lang w:val="en-AU"/>
        </w:rPr>
        <w:t xml:space="preserve">There is little doubt that the Review’s findings have had generally positive impacts for </w:t>
      </w:r>
      <w:r w:rsidR="009B58A0" w:rsidRPr="00A96337">
        <w:rPr>
          <w:lang w:val="en-AU"/>
        </w:rPr>
        <w:t>AMENCA 3</w:t>
      </w:r>
      <w:r w:rsidRPr="00A96337">
        <w:rPr>
          <w:lang w:val="en-AU"/>
        </w:rPr>
        <w:t xml:space="preserve"> and that the program has now settled considerably.</w:t>
      </w:r>
      <w:r w:rsidR="00E42BC8" w:rsidRPr="00A96337">
        <w:rPr>
          <w:lang w:val="en-AU"/>
        </w:rPr>
        <w:t xml:space="preserve"> </w:t>
      </w:r>
      <w:r w:rsidRPr="00A96337">
        <w:rPr>
          <w:lang w:val="en-AU"/>
        </w:rPr>
        <w:t>The program has since caught up, and is delivering targets as intended.</w:t>
      </w:r>
      <w:r w:rsidR="00E42BC8" w:rsidRPr="00A96337">
        <w:rPr>
          <w:lang w:val="en-AU"/>
        </w:rPr>
        <w:t xml:space="preserve"> </w:t>
      </w:r>
      <w:r w:rsidRPr="00A96337">
        <w:rPr>
          <w:lang w:val="en-AU"/>
        </w:rPr>
        <w:t>However, it is not surprising that around 20% of the budget predicted for the first three years will remain unspent as of June 2019.</w:t>
      </w:r>
    </w:p>
    <w:p w14:paraId="2E36DD89" w14:textId="630E746A" w:rsidR="002F4F42" w:rsidRPr="00A96337" w:rsidRDefault="002F4F42" w:rsidP="00E42BC8">
      <w:pPr>
        <w:pStyle w:val="BodyText"/>
        <w:rPr>
          <w:lang w:val="en-AU"/>
        </w:rPr>
      </w:pPr>
      <w:r w:rsidRPr="00A96337">
        <w:rPr>
          <w:lang w:val="en-AU"/>
        </w:rPr>
        <w:t xml:space="preserve">In essence, the </w:t>
      </w:r>
      <w:r w:rsidRPr="00A96337">
        <w:rPr>
          <w:i/>
          <w:lang w:val="en-AU"/>
        </w:rPr>
        <w:t>Rapid Management Review</w:t>
      </w:r>
      <w:r w:rsidRPr="00A96337">
        <w:rPr>
          <w:lang w:val="en-AU"/>
        </w:rPr>
        <w:t xml:space="preserve"> re-established within </w:t>
      </w:r>
      <w:r w:rsidR="009B58A0" w:rsidRPr="00A96337">
        <w:rPr>
          <w:lang w:val="en-AU"/>
        </w:rPr>
        <w:t>AMENCA 3</w:t>
      </w:r>
      <w:r w:rsidRPr="00A96337">
        <w:rPr>
          <w:lang w:val="en-AU"/>
        </w:rPr>
        <w:t xml:space="preserve"> the primacy of the individual </w:t>
      </w:r>
      <w:r w:rsidRPr="00A96337">
        <w:rPr>
          <w:i/>
          <w:lang w:val="en-AU"/>
        </w:rPr>
        <w:t>Grant Agreements</w:t>
      </w:r>
      <w:r w:rsidRPr="00A96337">
        <w:rPr>
          <w:lang w:val="en-AU"/>
        </w:rPr>
        <w:t xml:space="preserve"> signed with each INGO – agreements which are based on the partnership principles established within the </w:t>
      </w:r>
      <w:r w:rsidRPr="00A96337">
        <w:rPr>
          <w:i/>
          <w:lang w:val="en-AU"/>
        </w:rPr>
        <w:t>Australian NGO Cooperation Program</w:t>
      </w:r>
      <w:r w:rsidRPr="00A96337">
        <w:rPr>
          <w:lang w:val="en-AU"/>
        </w:rPr>
        <w:t xml:space="preserve"> (ANCP) </w:t>
      </w:r>
      <w:sdt>
        <w:sdtPr>
          <w:rPr>
            <w:lang w:val="en-AU"/>
          </w:rPr>
          <w:id w:val="659513616"/>
          <w:citation/>
        </w:sdtPr>
        <w:sdtEndPr/>
        <w:sdtContent>
          <w:r w:rsidRPr="00A96337">
            <w:rPr>
              <w:lang w:val="en-AU"/>
            </w:rPr>
            <w:fldChar w:fldCharType="begin"/>
          </w:r>
          <w:r w:rsidRPr="00A96337">
            <w:rPr>
              <w:lang w:val="en-AU"/>
            </w:rPr>
            <w:instrText xml:space="preserve"> CITATION DFA191 \l 5129 </w:instrText>
          </w:r>
          <w:r w:rsidRPr="00A96337">
            <w:rPr>
              <w:lang w:val="en-AU"/>
            </w:rPr>
            <w:fldChar w:fldCharType="separate"/>
          </w:r>
          <w:r w:rsidR="00593D9F" w:rsidRPr="00593D9F">
            <w:rPr>
              <w:noProof/>
              <w:lang w:val="en-AU"/>
            </w:rPr>
            <w:t>(DFAT, March 2019)</w:t>
          </w:r>
          <w:r w:rsidRPr="00A96337">
            <w:rPr>
              <w:lang w:val="en-AU"/>
            </w:rPr>
            <w:fldChar w:fldCharType="end"/>
          </w:r>
        </w:sdtContent>
      </w:sdt>
      <w:r w:rsidRPr="00A96337">
        <w:rPr>
          <w:lang w:val="en-AU"/>
        </w:rPr>
        <w:t>.</w:t>
      </w:r>
      <w:r w:rsidR="00E42BC8" w:rsidRPr="00A96337">
        <w:rPr>
          <w:lang w:val="en-AU"/>
        </w:rPr>
        <w:t xml:space="preserve"> </w:t>
      </w:r>
      <w:r w:rsidRPr="00A96337">
        <w:rPr>
          <w:lang w:val="en-AU"/>
        </w:rPr>
        <w:t>However, in so doing, it de-emphasised some of the more loosely defined MSD principles, process and aspirations incorporated in the design.</w:t>
      </w:r>
      <w:r w:rsidR="00E42BC8" w:rsidRPr="00A96337">
        <w:rPr>
          <w:lang w:val="en-AU"/>
        </w:rPr>
        <w:t xml:space="preserve"> </w:t>
      </w:r>
      <w:r w:rsidRPr="00A96337">
        <w:rPr>
          <w:lang w:val="en-AU"/>
        </w:rPr>
        <w:t>Importantly:</w:t>
      </w:r>
    </w:p>
    <w:p w14:paraId="09DD8BD1" w14:textId="77777777" w:rsidR="002F4F42" w:rsidRPr="00A96337" w:rsidRDefault="002F4F42" w:rsidP="00F8335C">
      <w:pPr>
        <w:pStyle w:val="ListParagraph"/>
        <w:numPr>
          <w:ilvl w:val="0"/>
          <w:numId w:val="49"/>
        </w:numPr>
        <w:ind w:left="397" w:hanging="397"/>
      </w:pPr>
      <w:r w:rsidRPr="00A96337">
        <w:t>It saw the ‘hybrid’ approach as a pragmatic tool that allowed NGOs to choose between their traditional direct delivery paradigm and the MSD paradigm.</w:t>
      </w:r>
    </w:p>
    <w:p w14:paraId="13498980" w14:textId="77777777" w:rsidR="002F4F42" w:rsidRPr="00A96337" w:rsidRDefault="002F4F42" w:rsidP="00F8335C">
      <w:pPr>
        <w:pStyle w:val="ListParagraph"/>
        <w:numPr>
          <w:ilvl w:val="0"/>
          <w:numId w:val="49"/>
        </w:numPr>
        <w:ind w:left="397" w:hanging="397"/>
      </w:pPr>
      <w:r w:rsidRPr="00A96337">
        <w:t>It disbanded or de-emphasised tools that were there to build team-based learning such as ‘intervention plans’ and ‘thematic working groups’.</w:t>
      </w:r>
    </w:p>
    <w:p w14:paraId="072CAC4D" w14:textId="58320E11" w:rsidR="002F4F42" w:rsidRPr="00A96337" w:rsidRDefault="002F4F42" w:rsidP="00F8335C">
      <w:pPr>
        <w:pStyle w:val="ListParagraph"/>
        <w:numPr>
          <w:ilvl w:val="0"/>
          <w:numId w:val="49"/>
        </w:numPr>
        <w:ind w:left="397" w:hanging="397"/>
      </w:pPr>
      <w:r w:rsidRPr="00A96337">
        <w:t xml:space="preserve">It focused </w:t>
      </w:r>
      <w:r w:rsidR="009B58A0" w:rsidRPr="00A96337">
        <w:t>AMENCA 3</w:t>
      </w:r>
      <w:r w:rsidRPr="00A96337">
        <w:t>’s M&amp;E, six month and annual planning on ensuring accountability rather than driving internal learning.</w:t>
      </w:r>
    </w:p>
    <w:p w14:paraId="57DAAD4F" w14:textId="62016DDE" w:rsidR="002F4F42" w:rsidRPr="00A96337" w:rsidRDefault="002F4F42" w:rsidP="00F8335C">
      <w:pPr>
        <w:pStyle w:val="ListParagraph"/>
        <w:numPr>
          <w:ilvl w:val="0"/>
          <w:numId w:val="49"/>
        </w:numPr>
        <w:ind w:left="397" w:hanging="397"/>
      </w:pPr>
      <w:r w:rsidRPr="00A96337">
        <w:t xml:space="preserve">It relegated much of the cross-program advice to a responsive role, rather than one focused on ensuring </w:t>
      </w:r>
      <w:r w:rsidR="009B58A0" w:rsidRPr="00A96337">
        <w:t>AMENCA 3</w:t>
      </w:r>
      <w:r w:rsidRPr="00A96337">
        <w:t>’s overall strategic coherence.</w:t>
      </w:r>
    </w:p>
    <w:p w14:paraId="7B379766" w14:textId="59F3F3BB" w:rsidR="002F4F42" w:rsidRPr="00A96337" w:rsidRDefault="002F4F42" w:rsidP="00E42BC8">
      <w:pPr>
        <w:pStyle w:val="BodyText"/>
        <w:rPr>
          <w:lang w:val="en-AU"/>
        </w:rPr>
      </w:pPr>
      <w:r w:rsidRPr="00A96337">
        <w:rPr>
          <w:lang w:val="en-AU"/>
        </w:rPr>
        <w:t xml:space="preserve">In effect, this tended to return </w:t>
      </w:r>
      <w:r w:rsidR="009B58A0" w:rsidRPr="00A96337">
        <w:rPr>
          <w:lang w:val="en-AU"/>
        </w:rPr>
        <w:t>AMENCA 3</w:t>
      </w:r>
      <w:r w:rsidRPr="00A96337">
        <w:rPr>
          <w:lang w:val="en-AU"/>
        </w:rPr>
        <w:t xml:space="preserve"> to the operating frameworks used in AMENCA 1 and </w:t>
      </w:r>
      <w:r w:rsidRPr="00A96337">
        <w:rPr>
          <w:caps/>
          <w:lang w:val="en-AU"/>
        </w:rPr>
        <w:t>AMENCa 2.</w:t>
      </w:r>
      <w:r w:rsidR="00E42BC8" w:rsidRPr="00A96337">
        <w:rPr>
          <w:caps/>
          <w:lang w:val="en-AU"/>
        </w:rPr>
        <w:t xml:space="preserve"> </w:t>
      </w:r>
      <w:r w:rsidRPr="00A96337">
        <w:rPr>
          <w:lang w:val="en-AU"/>
        </w:rPr>
        <w:t>Despite this</w:t>
      </w:r>
      <w:r w:rsidRPr="00A96337">
        <w:rPr>
          <w:caps/>
          <w:lang w:val="en-AU"/>
        </w:rPr>
        <w:t>,</w:t>
      </w:r>
      <w:r w:rsidRPr="00A96337">
        <w:rPr>
          <w:lang w:val="en-AU"/>
        </w:rPr>
        <w:t xml:space="preserve"> NGO stakeholders still enthusiastically progressed their understanding of the markets-based approach.</w:t>
      </w:r>
      <w:r w:rsidR="00E42BC8" w:rsidRPr="00A96337">
        <w:rPr>
          <w:lang w:val="en-AU"/>
        </w:rPr>
        <w:t xml:space="preserve"> </w:t>
      </w:r>
      <w:r w:rsidRPr="00A96337">
        <w:rPr>
          <w:lang w:val="en-AU"/>
        </w:rPr>
        <w:t xml:space="preserve">Now that </w:t>
      </w:r>
      <w:r w:rsidR="009B58A0" w:rsidRPr="00A96337">
        <w:rPr>
          <w:lang w:val="en-AU"/>
        </w:rPr>
        <w:t>AMENCA 3</w:t>
      </w:r>
      <w:r w:rsidRPr="00A96337">
        <w:rPr>
          <w:lang w:val="en-AU"/>
        </w:rPr>
        <w:t xml:space="preserve"> has developed its market momentum, it is a useful time to take stock and consider re-introducing some of the MSD processes aimed at building internal debate, dialogue and cross program learning.</w:t>
      </w:r>
      <w:r w:rsidR="00E42BC8" w:rsidRPr="00A96337">
        <w:rPr>
          <w:lang w:val="en-AU"/>
        </w:rPr>
        <w:t xml:space="preserve"> </w:t>
      </w:r>
      <w:r w:rsidRPr="00A96337">
        <w:rPr>
          <w:lang w:val="en-AU"/>
        </w:rPr>
        <w:t>The MTR has already mentioned the need for more structured sector and intervention reviews and studies (Recommendations 1-7).</w:t>
      </w:r>
      <w:r w:rsidR="00E42BC8" w:rsidRPr="00A96337">
        <w:rPr>
          <w:lang w:val="en-AU"/>
        </w:rPr>
        <w:t xml:space="preserve"> </w:t>
      </w:r>
      <w:r w:rsidRPr="00A96337">
        <w:rPr>
          <w:lang w:val="en-AU"/>
        </w:rPr>
        <w:t xml:space="preserve">In addition, some other operational issues also need attention. </w:t>
      </w:r>
    </w:p>
    <w:p w14:paraId="1EB80CE2" w14:textId="77777777" w:rsidR="002F4F42" w:rsidRPr="00A96337" w:rsidRDefault="002F4F42" w:rsidP="00F05621">
      <w:pPr>
        <w:pStyle w:val="Heading3"/>
        <w:rPr>
          <w:lang w:val="en-AU"/>
        </w:rPr>
      </w:pPr>
      <w:bookmarkStart w:id="275" w:name="_Toc8978051"/>
      <w:bookmarkStart w:id="276" w:name="_Toc12364825"/>
      <w:r w:rsidRPr="00A96337">
        <w:rPr>
          <w:lang w:val="en-AU"/>
        </w:rPr>
        <w:t>DFAT resourcing</w:t>
      </w:r>
      <w:bookmarkEnd w:id="275"/>
      <w:bookmarkEnd w:id="276"/>
    </w:p>
    <w:p w14:paraId="15D2F213" w14:textId="497D5131" w:rsidR="002F4F42" w:rsidRPr="00A96337" w:rsidRDefault="009B58A0" w:rsidP="00E42BC8">
      <w:pPr>
        <w:pStyle w:val="BodyText"/>
        <w:rPr>
          <w:lang w:val="en-AU"/>
        </w:rPr>
      </w:pPr>
      <w:r w:rsidRPr="00A96337">
        <w:rPr>
          <w:lang w:val="en-AU"/>
        </w:rPr>
        <w:t>AMENCA 3</w:t>
      </w:r>
      <w:r w:rsidR="002F4F42" w:rsidRPr="00A96337">
        <w:rPr>
          <w:lang w:val="en-AU"/>
        </w:rPr>
        <w:t xml:space="preserve"> is managed by DFAT using the limited resources of the Australian Representative Office (ARO) in Ramallah as well as the Middle East Development Section (MDS) in Canberra.</w:t>
      </w:r>
      <w:r w:rsidR="00E42BC8" w:rsidRPr="00A96337">
        <w:rPr>
          <w:lang w:val="en-AU"/>
        </w:rPr>
        <w:t xml:space="preserve"> </w:t>
      </w:r>
      <w:r w:rsidR="002F4F42" w:rsidRPr="00A96337">
        <w:rPr>
          <w:lang w:val="en-AU"/>
        </w:rPr>
        <w:t>DFAT resources in both remain limited.</w:t>
      </w:r>
      <w:r w:rsidR="00E42BC8" w:rsidRPr="00A96337">
        <w:rPr>
          <w:lang w:val="en-AU"/>
        </w:rPr>
        <w:t xml:space="preserve"> </w:t>
      </w:r>
      <w:r w:rsidR="002F4F42" w:rsidRPr="00A96337">
        <w:rPr>
          <w:lang w:val="en-AU"/>
        </w:rPr>
        <w:t>Unlike most other development programs, these offices need to dedicate a significant amount of DFAT staff time to administering and managing the development, political and anti-terrorism dimensions of the aid program.</w:t>
      </w:r>
      <w:r w:rsidR="00E42BC8" w:rsidRPr="00A96337">
        <w:rPr>
          <w:lang w:val="en-AU"/>
        </w:rPr>
        <w:t xml:space="preserve"> </w:t>
      </w:r>
      <w:r w:rsidR="002F4F42" w:rsidRPr="00A96337">
        <w:rPr>
          <w:lang w:val="en-AU"/>
        </w:rPr>
        <w:t xml:space="preserve">As such, DFAT has internalised much of the management load for </w:t>
      </w:r>
      <w:r w:rsidRPr="00A96337">
        <w:rPr>
          <w:lang w:val="en-AU"/>
        </w:rPr>
        <w:t>AMENCA 3</w:t>
      </w:r>
      <w:r w:rsidR="002F4F42" w:rsidRPr="00A96337">
        <w:rPr>
          <w:lang w:val="en-AU"/>
        </w:rPr>
        <w:t>.</w:t>
      </w:r>
      <w:r w:rsidR="00E42BC8" w:rsidRPr="00A96337">
        <w:rPr>
          <w:lang w:val="en-AU"/>
        </w:rPr>
        <w:t xml:space="preserve"> </w:t>
      </w:r>
      <w:r w:rsidR="002F4F42" w:rsidRPr="00A96337">
        <w:rPr>
          <w:lang w:val="en-AU"/>
        </w:rPr>
        <w:t>The following snapshot outlines the range of issues that have consumed considerable management time over the last three years:</w:t>
      </w:r>
    </w:p>
    <w:p w14:paraId="1CC65893" w14:textId="77777777" w:rsidR="000E36E0" w:rsidRPr="00A96337" w:rsidRDefault="000E36E0" w:rsidP="00E50F49">
      <w:pPr>
        <w:pStyle w:val="Dotpoint"/>
      </w:pPr>
      <w:r w:rsidRPr="00A96337">
        <w:t>the ongoing scrutiny applied to programs in the Palestinian Territories given the political, security and anti-terrorism context;</w:t>
      </w:r>
    </w:p>
    <w:p w14:paraId="2FC42B85" w14:textId="77777777" w:rsidR="002F4F42" w:rsidRPr="00A96337" w:rsidRDefault="002F4F42" w:rsidP="00E50F49">
      <w:pPr>
        <w:pStyle w:val="Dotpoint"/>
      </w:pPr>
      <w:r w:rsidRPr="00A96337">
        <w:t>oversight of security and logistical concerns across the program;</w:t>
      </w:r>
    </w:p>
    <w:p w14:paraId="13C64BA9" w14:textId="17CA8D10" w:rsidR="002F4F42" w:rsidRPr="00A96337" w:rsidRDefault="002F4F42" w:rsidP="00E50F49">
      <w:pPr>
        <w:pStyle w:val="Dotpoint"/>
      </w:pPr>
      <w:r w:rsidRPr="00A96337">
        <w:t xml:space="preserve">management and resolution of uncertainties related to the role of advisers, and their relationship with NGO Consortiums during the first two years of </w:t>
      </w:r>
      <w:r w:rsidR="009B58A0" w:rsidRPr="00A96337">
        <w:t>AMENCA 3</w:t>
      </w:r>
      <w:r w:rsidRPr="00A96337">
        <w:t>;</w:t>
      </w:r>
    </w:p>
    <w:p w14:paraId="39514AAB" w14:textId="1B4011F8" w:rsidR="002F4F42" w:rsidRPr="00A96337" w:rsidRDefault="002F4F42" w:rsidP="00E50F49">
      <w:pPr>
        <w:pStyle w:val="Dotpoint"/>
      </w:pPr>
      <w:r w:rsidRPr="00A96337">
        <w:t xml:space="preserve">emerging tensions with the Ministry of Agriculture regarding </w:t>
      </w:r>
      <w:r w:rsidR="009B58A0" w:rsidRPr="00A96337">
        <w:t>AMENCA 3</w:t>
      </w:r>
      <w:r w:rsidRPr="00A96337">
        <w:t xml:space="preserve"> oversight and the related changes to the Steering Committee and formation of the AHLD;</w:t>
      </w:r>
    </w:p>
    <w:p w14:paraId="7EAA4567" w14:textId="436F9A25" w:rsidR="002F4F42" w:rsidRPr="00A96337" w:rsidRDefault="002F4F42" w:rsidP="00E50F49">
      <w:pPr>
        <w:pStyle w:val="Dotpoint"/>
      </w:pPr>
      <w:r w:rsidRPr="00A96337">
        <w:t xml:space="preserve">the suspension of two </w:t>
      </w:r>
      <w:r w:rsidR="009B58A0" w:rsidRPr="00A96337">
        <w:t>AMENCA 3</w:t>
      </w:r>
      <w:r w:rsidRPr="00A96337">
        <w:t xml:space="preserve"> Consortiums and the management of associated review and legal processes; and</w:t>
      </w:r>
    </w:p>
    <w:p w14:paraId="653584F7" w14:textId="77777777" w:rsidR="002F4F42" w:rsidRPr="00A96337" w:rsidRDefault="002F4F42" w:rsidP="00E50F49">
      <w:pPr>
        <w:pStyle w:val="Dotpoint"/>
      </w:pPr>
      <w:r w:rsidRPr="00A96337">
        <w:t>the need to carefully harmonise the work of AMENCA with other donor interventions in the Palestinian Territories.</w:t>
      </w:r>
    </w:p>
    <w:p w14:paraId="513ADE02" w14:textId="4BABFC88" w:rsidR="000E1846" w:rsidRPr="00A96337" w:rsidRDefault="002F4F42" w:rsidP="00E42BC8">
      <w:pPr>
        <w:pStyle w:val="BodyText"/>
        <w:rPr>
          <w:lang w:val="en-AU"/>
        </w:rPr>
      </w:pPr>
      <w:r w:rsidRPr="00A96337">
        <w:rPr>
          <w:lang w:val="en-AU"/>
        </w:rPr>
        <w:t>As can be seen considerable resources at the ARO and in Canberra are dedicated to risk mitigation, direction, management and oversight.</w:t>
      </w:r>
      <w:r w:rsidR="00E42BC8" w:rsidRPr="00A96337">
        <w:rPr>
          <w:lang w:val="en-AU"/>
        </w:rPr>
        <w:t xml:space="preserve"> </w:t>
      </w:r>
      <w:r w:rsidRPr="00A96337">
        <w:rPr>
          <w:lang w:val="en-AU"/>
        </w:rPr>
        <w:t>Resource constraints were raised in the internal DFAT review of ARO program management in 2016</w:t>
      </w:r>
      <w:sdt>
        <w:sdtPr>
          <w:rPr>
            <w:lang w:val="en-AU"/>
          </w:rPr>
          <w:id w:val="173311612"/>
          <w:citation/>
        </w:sdtPr>
        <w:sdtEndPr/>
        <w:sdtContent>
          <w:r w:rsidRPr="00A96337">
            <w:rPr>
              <w:lang w:val="en-AU"/>
            </w:rPr>
            <w:fldChar w:fldCharType="begin"/>
          </w:r>
          <w:r w:rsidRPr="00A96337">
            <w:rPr>
              <w:lang w:val="en-AU"/>
            </w:rPr>
            <w:instrText xml:space="preserve"> CITATION DFA17 \l 5129 </w:instrText>
          </w:r>
          <w:r w:rsidRPr="00A96337">
            <w:rPr>
              <w:lang w:val="en-AU"/>
            </w:rPr>
            <w:fldChar w:fldCharType="separate"/>
          </w:r>
          <w:r w:rsidR="00593D9F">
            <w:rPr>
              <w:noProof/>
              <w:lang w:val="en-AU"/>
            </w:rPr>
            <w:t xml:space="preserve"> </w:t>
          </w:r>
          <w:r w:rsidR="00593D9F" w:rsidRPr="00593D9F">
            <w:rPr>
              <w:noProof/>
              <w:lang w:val="en-AU"/>
            </w:rPr>
            <w:t>(DFAT, 2017)</w:t>
          </w:r>
          <w:r w:rsidRPr="00A96337">
            <w:rPr>
              <w:lang w:val="en-AU"/>
            </w:rPr>
            <w:fldChar w:fldCharType="end"/>
          </w:r>
        </w:sdtContent>
      </w:sdt>
      <w:r w:rsidRPr="00A96337">
        <w:rPr>
          <w:lang w:val="en-AU"/>
        </w:rPr>
        <w:t xml:space="preserve">, as well as the </w:t>
      </w:r>
      <w:r w:rsidR="009B58A0" w:rsidRPr="00A96337">
        <w:rPr>
          <w:lang w:val="en-AU"/>
        </w:rPr>
        <w:t>AMENCA 3</w:t>
      </w:r>
      <w:r w:rsidRPr="00A96337">
        <w:rPr>
          <w:lang w:val="en-AU"/>
        </w:rPr>
        <w:t xml:space="preserve"> </w:t>
      </w:r>
      <w:r w:rsidRPr="00A96337">
        <w:rPr>
          <w:i/>
          <w:lang w:val="en-AU"/>
        </w:rPr>
        <w:t>Rapid Management Review</w:t>
      </w:r>
      <w:r w:rsidRPr="00A96337">
        <w:rPr>
          <w:lang w:val="en-AU"/>
        </w:rPr>
        <w:t xml:space="preserve"> </w:t>
      </w:r>
      <w:sdt>
        <w:sdtPr>
          <w:rPr>
            <w:lang w:val="en-AU"/>
          </w:rPr>
          <w:id w:val="-1803691884"/>
          <w:citation/>
        </w:sdtPr>
        <w:sdtEndPr/>
        <w:sdtContent>
          <w:r w:rsidRPr="00A96337">
            <w:rPr>
              <w:lang w:val="en-AU"/>
            </w:rPr>
            <w:fldChar w:fldCharType="begin"/>
          </w:r>
          <w:r w:rsidRPr="00A96337">
            <w:rPr>
              <w:lang w:val="en-AU"/>
            </w:rPr>
            <w:instrText xml:space="preserve"> CITATION Pil17 \l 5129 </w:instrText>
          </w:r>
          <w:r w:rsidRPr="00A96337">
            <w:rPr>
              <w:lang w:val="en-AU"/>
            </w:rPr>
            <w:fldChar w:fldCharType="separate"/>
          </w:r>
          <w:r w:rsidR="00593D9F" w:rsidRPr="00593D9F">
            <w:rPr>
              <w:noProof/>
              <w:lang w:val="en-AU"/>
            </w:rPr>
            <w:t>(Pilbrow &amp; Forde, May 2017)</w:t>
          </w:r>
          <w:r w:rsidRPr="00A96337">
            <w:rPr>
              <w:lang w:val="en-AU"/>
            </w:rPr>
            <w:fldChar w:fldCharType="end"/>
          </w:r>
        </w:sdtContent>
      </w:sdt>
      <w:r w:rsidRPr="00A96337">
        <w:rPr>
          <w:lang w:val="en-AU"/>
        </w:rPr>
        <w:t>.</w:t>
      </w:r>
      <w:r w:rsidR="00E42BC8" w:rsidRPr="00A96337">
        <w:rPr>
          <w:lang w:val="en-AU"/>
        </w:rPr>
        <w:t xml:space="preserve"> </w:t>
      </w:r>
      <w:r w:rsidRPr="00A96337">
        <w:rPr>
          <w:lang w:val="en-AU"/>
        </w:rPr>
        <w:t>Changes have occurred and some have had impact.</w:t>
      </w:r>
      <w:r w:rsidR="00E42BC8" w:rsidRPr="00A96337">
        <w:rPr>
          <w:lang w:val="en-AU"/>
        </w:rPr>
        <w:t xml:space="preserve"> </w:t>
      </w:r>
      <w:r w:rsidRPr="00A96337">
        <w:rPr>
          <w:lang w:val="en-AU"/>
        </w:rPr>
        <w:t>Importantly the appointment of a full-time Program Coordinator, who is engaged through Cardno, has been seen by all stakeholders as a positive move.</w:t>
      </w:r>
      <w:r w:rsidR="00E42BC8" w:rsidRPr="00A96337">
        <w:rPr>
          <w:lang w:val="en-AU"/>
        </w:rPr>
        <w:t xml:space="preserve"> </w:t>
      </w:r>
      <w:r w:rsidRPr="00A96337">
        <w:rPr>
          <w:lang w:val="en-AU"/>
        </w:rPr>
        <w:t>There may be scope to further marginally increase the use of the Technical Advisers (especially the Program Coordinator and the M&amp;E Advisor) and also the use of internal DFAT advisers.</w:t>
      </w:r>
      <w:r w:rsidR="00E42BC8" w:rsidRPr="00A96337">
        <w:rPr>
          <w:lang w:val="en-AU"/>
        </w:rPr>
        <w:t xml:space="preserve"> </w:t>
      </w:r>
      <w:r w:rsidRPr="00A96337">
        <w:rPr>
          <w:lang w:val="en-AU"/>
        </w:rPr>
        <w:t xml:space="preserve">However, the reality remains that a large proportion of desk-based and posted resources are still taken up with managing </w:t>
      </w:r>
      <w:r w:rsidR="009B58A0" w:rsidRPr="00A96337">
        <w:rPr>
          <w:lang w:val="en-AU"/>
        </w:rPr>
        <w:t>AMENCA 3</w:t>
      </w:r>
      <w:r w:rsidRPr="00A96337">
        <w:rPr>
          <w:lang w:val="en-AU"/>
        </w:rPr>
        <w:t xml:space="preserve"> – this is the nature of the program.</w:t>
      </w:r>
    </w:p>
    <w:p w14:paraId="5A63CA3E" w14:textId="39A9E447" w:rsidR="002F4F42" w:rsidRPr="00A96337" w:rsidRDefault="002F4F42" w:rsidP="00F8335C">
      <w:pPr>
        <w:pStyle w:val="Heading2"/>
        <w:ind w:left="851" w:hanging="851"/>
      </w:pPr>
      <w:bookmarkStart w:id="277" w:name="_Ref8968577"/>
      <w:bookmarkStart w:id="278" w:name="_Toc8978052"/>
      <w:bookmarkStart w:id="279" w:name="_Toc12364826"/>
      <w:r w:rsidRPr="00A96337">
        <w:t xml:space="preserve">How are technical roles and advice best embedded within </w:t>
      </w:r>
      <w:r w:rsidR="009B58A0" w:rsidRPr="00A96337">
        <w:t>AMENCA 3</w:t>
      </w:r>
      <w:r w:rsidRPr="00A96337">
        <w:t>?</w:t>
      </w:r>
      <w:bookmarkEnd w:id="277"/>
      <w:bookmarkEnd w:id="278"/>
      <w:bookmarkEnd w:id="279"/>
    </w:p>
    <w:p w14:paraId="41528C5B" w14:textId="7A254B36" w:rsidR="002F4F42" w:rsidRPr="00A96337" w:rsidRDefault="002F4F42" w:rsidP="00E42BC8">
      <w:pPr>
        <w:pStyle w:val="BodyText"/>
        <w:rPr>
          <w:color w:val="000000" w:themeColor="text1"/>
          <w:szCs w:val="20"/>
          <w:lang w:val="en-AU"/>
        </w:rPr>
      </w:pPr>
      <w:r w:rsidRPr="00A96337">
        <w:rPr>
          <w:lang w:val="en-AU"/>
        </w:rPr>
        <w:t xml:space="preserve">The role of advisers was not clear at the commencement of </w:t>
      </w:r>
      <w:r w:rsidR="009B58A0" w:rsidRPr="00A96337">
        <w:rPr>
          <w:lang w:val="en-AU"/>
        </w:rPr>
        <w:t>AMENCA 3</w:t>
      </w:r>
      <w:r w:rsidRPr="00A96337">
        <w:rPr>
          <w:lang w:val="en-AU"/>
        </w:rPr>
        <w:t>.</w:t>
      </w:r>
      <w:r w:rsidR="00E42BC8" w:rsidRPr="00A96337">
        <w:rPr>
          <w:lang w:val="en-AU"/>
        </w:rPr>
        <w:t xml:space="preserve"> </w:t>
      </w:r>
      <w:r w:rsidRPr="00A96337">
        <w:rPr>
          <w:lang w:val="en-AU"/>
        </w:rPr>
        <w:t>This led to a disparate understanding of roles and responsibilities, and a breakdown in relationships, trust and cooperation during the program’s first two years.</w:t>
      </w:r>
      <w:r w:rsidR="00E42BC8" w:rsidRPr="00A96337">
        <w:rPr>
          <w:lang w:val="en-AU"/>
        </w:rPr>
        <w:t xml:space="preserve"> </w:t>
      </w:r>
      <w:r w:rsidRPr="00A96337">
        <w:rPr>
          <w:lang w:val="en-AU"/>
        </w:rPr>
        <w:t>Inevitably, implementation and progress were impeded.</w:t>
      </w:r>
      <w:r w:rsidR="00E42BC8" w:rsidRPr="00A96337">
        <w:rPr>
          <w:lang w:val="en-AU"/>
        </w:rPr>
        <w:t xml:space="preserve"> </w:t>
      </w:r>
      <w:r w:rsidRPr="00A96337">
        <w:rPr>
          <w:lang w:val="en-AU"/>
        </w:rPr>
        <w:t xml:space="preserve">This discord was, in fact, the principal reason behind the </w:t>
      </w:r>
      <w:r w:rsidRPr="00A96337">
        <w:rPr>
          <w:i/>
          <w:lang w:val="en-AU"/>
        </w:rPr>
        <w:t>Rapid Management and Operations Review</w:t>
      </w:r>
      <w:r w:rsidRPr="00A96337">
        <w:rPr>
          <w:lang w:val="en-AU"/>
        </w:rPr>
        <w:t xml:space="preserve"> commissioned by DFAT in 2017</w:t>
      </w:r>
      <w:sdt>
        <w:sdtPr>
          <w:rPr>
            <w:lang w:val="en-AU"/>
          </w:rPr>
          <w:id w:val="-1821724910"/>
          <w:citation/>
        </w:sdtPr>
        <w:sdtEndPr/>
        <w:sdtContent>
          <w:r w:rsidRPr="00A96337">
            <w:rPr>
              <w:lang w:val="en-AU"/>
            </w:rPr>
            <w:fldChar w:fldCharType="begin"/>
          </w:r>
          <w:r w:rsidRPr="00A96337">
            <w:rPr>
              <w:lang w:val="en-AU"/>
            </w:rPr>
            <w:instrText xml:space="preserve">CITATION Pil17 \l 5129 </w:instrText>
          </w:r>
          <w:r w:rsidRPr="00A96337">
            <w:rPr>
              <w:lang w:val="en-AU"/>
            </w:rPr>
            <w:fldChar w:fldCharType="separate"/>
          </w:r>
          <w:r w:rsidR="00593D9F">
            <w:rPr>
              <w:noProof/>
              <w:lang w:val="en-AU"/>
            </w:rPr>
            <w:t xml:space="preserve"> </w:t>
          </w:r>
          <w:r w:rsidR="00593D9F" w:rsidRPr="00593D9F">
            <w:rPr>
              <w:noProof/>
              <w:lang w:val="en-AU"/>
            </w:rPr>
            <w:t>(Pilbrow &amp; Forde, May 2017)</w:t>
          </w:r>
          <w:r w:rsidRPr="00A96337">
            <w:rPr>
              <w:lang w:val="en-AU"/>
            </w:rPr>
            <w:fldChar w:fldCharType="end"/>
          </w:r>
        </w:sdtContent>
      </w:sdt>
      <w:r w:rsidRPr="00A96337">
        <w:rPr>
          <w:lang w:val="en-AU"/>
        </w:rPr>
        <w:t>.</w:t>
      </w:r>
      <w:r w:rsidR="00E42BC8" w:rsidRPr="00A96337">
        <w:rPr>
          <w:lang w:val="en-AU"/>
        </w:rPr>
        <w:t xml:space="preserve"> </w:t>
      </w:r>
      <w:r w:rsidRPr="00A96337">
        <w:rPr>
          <w:lang w:val="en-AU"/>
        </w:rPr>
        <w:t>The result of this review, and of ongoing dialogue, is that the roles and relationships have now been agreed, adjusted, and stabilised, with all stakeholders now considering that the program’s advisory positions are generally adding value.</w:t>
      </w:r>
      <w:r w:rsidR="00E42BC8" w:rsidRPr="00A96337">
        <w:rPr>
          <w:lang w:val="en-AU"/>
        </w:rPr>
        <w:t xml:space="preserve"> </w:t>
      </w:r>
      <w:r w:rsidRPr="00A96337">
        <w:rPr>
          <w:lang w:val="en-AU"/>
        </w:rPr>
        <w:t xml:space="preserve">Currently, CARDNO provides a technical panel of four advisers for </w:t>
      </w:r>
      <w:r w:rsidR="009B58A0" w:rsidRPr="00A96337">
        <w:rPr>
          <w:lang w:val="en-AU"/>
        </w:rPr>
        <w:t>AMENCA 3</w:t>
      </w:r>
      <w:r w:rsidRPr="00A96337">
        <w:rPr>
          <w:color w:val="000000" w:themeColor="text1"/>
          <w:szCs w:val="20"/>
          <w:lang w:val="en-AU"/>
        </w:rPr>
        <w:t xml:space="preserve"> (</w:t>
      </w:r>
      <w:r w:rsidRPr="00A96337">
        <w:rPr>
          <w:color w:val="000000" w:themeColor="text1"/>
          <w:szCs w:val="20"/>
          <w:lang w:val="en-AU"/>
        </w:rPr>
        <w:fldChar w:fldCharType="begin"/>
      </w:r>
      <w:r w:rsidRPr="00A96337">
        <w:rPr>
          <w:color w:val="000000" w:themeColor="text1"/>
          <w:szCs w:val="20"/>
          <w:lang w:val="en-AU"/>
        </w:rPr>
        <w:instrText xml:space="preserve"> REF _Ref8464424 \h </w:instrText>
      </w:r>
      <w:r w:rsidR="0098416F" w:rsidRPr="00A96337">
        <w:rPr>
          <w:color w:val="000000" w:themeColor="text1"/>
          <w:szCs w:val="20"/>
          <w:lang w:val="en-AU"/>
        </w:rPr>
        <w:instrText xml:space="preserve"> \* MERGEFORMAT </w:instrText>
      </w:r>
      <w:r w:rsidRPr="00A96337">
        <w:rPr>
          <w:color w:val="000000" w:themeColor="text1"/>
          <w:szCs w:val="20"/>
          <w:lang w:val="en-AU"/>
        </w:rPr>
      </w:r>
      <w:r w:rsidRPr="00A96337">
        <w:rPr>
          <w:color w:val="000000" w:themeColor="text1"/>
          <w:szCs w:val="20"/>
          <w:lang w:val="en-AU"/>
        </w:rPr>
        <w:fldChar w:fldCharType="separate"/>
      </w:r>
      <w:r w:rsidR="00E06D4A" w:rsidRPr="00E06D4A">
        <w:rPr>
          <w:color w:val="000000" w:themeColor="text1"/>
          <w:szCs w:val="20"/>
          <w:lang w:val="en-AU"/>
        </w:rPr>
        <w:t xml:space="preserve">Table </w:t>
      </w:r>
      <w:r w:rsidR="00E06D4A" w:rsidRPr="00E06D4A">
        <w:rPr>
          <w:noProof/>
          <w:color w:val="000000" w:themeColor="text1"/>
          <w:szCs w:val="20"/>
          <w:lang w:val="en-AU"/>
        </w:rPr>
        <w:t>3</w:t>
      </w:r>
      <w:r w:rsidRPr="00A96337">
        <w:rPr>
          <w:color w:val="000000" w:themeColor="text1"/>
          <w:szCs w:val="20"/>
          <w:lang w:val="en-AU"/>
        </w:rPr>
        <w:fldChar w:fldCharType="end"/>
      </w:r>
      <w:r w:rsidRPr="00A96337">
        <w:rPr>
          <w:color w:val="000000" w:themeColor="text1"/>
          <w:szCs w:val="20"/>
          <w:lang w:val="en-AU"/>
        </w:rPr>
        <w:t>).</w:t>
      </w:r>
    </w:p>
    <w:p w14:paraId="16DF651D" w14:textId="23ECCBA6" w:rsidR="002F4F42" w:rsidRPr="00A96337" w:rsidRDefault="002F4F42" w:rsidP="006837B7">
      <w:pPr>
        <w:pStyle w:val="BodyText"/>
        <w:rPr>
          <w:lang w:val="en-AU"/>
        </w:rPr>
      </w:pPr>
      <w:r w:rsidRPr="00A96337">
        <w:rPr>
          <w:lang w:val="en-AU"/>
        </w:rPr>
        <w:t>Further refinement to the functioning of the advisory roles is, however, both possible and desirable.</w:t>
      </w:r>
      <w:r w:rsidR="00E42BC8" w:rsidRPr="00A96337">
        <w:rPr>
          <w:lang w:val="en-AU"/>
        </w:rPr>
        <w:t xml:space="preserve"> </w:t>
      </w:r>
      <w:r w:rsidRPr="00A96337">
        <w:rPr>
          <w:lang w:val="en-AU"/>
        </w:rPr>
        <w:t xml:space="preserve">Both the program’s advisers and its other stakeholders recognise there are opportunities across </w:t>
      </w:r>
      <w:r w:rsidR="009B58A0" w:rsidRPr="00A96337">
        <w:rPr>
          <w:lang w:val="en-AU"/>
        </w:rPr>
        <w:t>AMENCA 3</w:t>
      </w:r>
      <w:r w:rsidRPr="00A96337">
        <w:rPr>
          <w:lang w:val="en-AU"/>
        </w:rPr>
        <w:t xml:space="preserve"> to enhance the coherence and quality of these roles, to improve their efficiency and effectiveness, and to draw out important lessons including:</w:t>
      </w:r>
    </w:p>
    <w:p w14:paraId="1336CC26" w14:textId="77777777" w:rsidR="002F4F42" w:rsidRPr="00A96337" w:rsidRDefault="002F4F42" w:rsidP="00F8335C">
      <w:pPr>
        <w:pStyle w:val="ListParagraph"/>
        <w:numPr>
          <w:ilvl w:val="0"/>
          <w:numId w:val="48"/>
        </w:numPr>
        <w:ind w:left="397" w:hanging="397"/>
      </w:pPr>
      <w:r w:rsidRPr="00A96337">
        <w:t>The need to further unpack the portfolio of advisory tasks in order to achieve a better definition of each adviser’s duties and time inputs.</w:t>
      </w:r>
      <w:r w:rsidR="00E42BC8" w:rsidRPr="00A96337">
        <w:t xml:space="preserve"> </w:t>
      </w:r>
      <w:r w:rsidRPr="00A96337">
        <w:t>The M&amp;E Adviser and the national Program Coordinator are engaged with coordination, management, reporting and the accountability requirements of DFAT.</w:t>
      </w:r>
      <w:r w:rsidR="00E42BC8" w:rsidRPr="00A96337">
        <w:t xml:space="preserve"> </w:t>
      </w:r>
      <w:r w:rsidRPr="00A96337">
        <w:t>The MSD and Inclusion Advisers, on the other hand, are undertaking the more typical advisory roles associated with technical quality, and mentoring during implementation.</w:t>
      </w:r>
    </w:p>
    <w:p w14:paraId="384293A3" w14:textId="7A12BD85" w:rsidR="002F4F42" w:rsidRPr="00A96337" w:rsidRDefault="002F4F42" w:rsidP="00F8335C">
      <w:pPr>
        <w:pStyle w:val="ListParagraph"/>
        <w:numPr>
          <w:ilvl w:val="0"/>
          <w:numId w:val="48"/>
        </w:numPr>
        <w:ind w:left="397" w:hanging="397"/>
      </w:pPr>
      <w:r w:rsidRPr="00A96337">
        <w:t>Because adviser specialties - MSD, M&amp;E, and Inclusion - are not isolated but on a continuum, there is a need for careful coordination and cooperation across the advisory roles if a coherent vision is to be achieved.</w:t>
      </w:r>
      <w:r w:rsidR="00E42BC8" w:rsidRPr="00A96337">
        <w:t xml:space="preserve"> </w:t>
      </w:r>
      <w:r w:rsidRPr="00A96337">
        <w:t xml:space="preserve">It </w:t>
      </w:r>
      <w:r w:rsidR="00A62948" w:rsidRPr="00A96337">
        <w:t>seems,</w:t>
      </w:r>
      <w:r w:rsidRPr="00A96337">
        <w:t xml:space="preserve"> however, that at present there is little opportunity for this to effectively occur.</w:t>
      </w:r>
    </w:p>
    <w:p w14:paraId="6D26B924" w14:textId="77777777" w:rsidR="002F4F42" w:rsidRPr="00A96337" w:rsidRDefault="002F4F42" w:rsidP="00F8335C">
      <w:pPr>
        <w:pStyle w:val="ListParagraph"/>
        <w:numPr>
          <w:ilvl w:val="0"/>
          <w:numId w:val="48"/>
        </w:numPr>
        <w:ind w:left="397" w:hanging="397"/>
      </w:pPr>
      <w:r w:rsidRPr="00A96337">
        <w:t>The advisers appear to have become more involved in the program’s detail which, while important, has tended to be at the expense of their important, more strategic roles in maintaining the common agreed principles.</w:t>
      </w:r>
    </w:p>
    <w:p w14:paraId="01998D9F" w14:textId="3B1A97E6" w:rsidR="002F4F42" w:rsidRPr="00A96337" w:rsidRDefault="002F4F42" w:rsidP="00F8335C">
      <w:pPr>
        <w:pStyle w:val="ListParagraph"/>
        <w:numPr>
          <w:ilvl w:val="0"/>
          <w:numId w:val="48"/>
        </w:numPr>
        <w:ind w:left="397" w:hanging="397"/>
      </w:pPr>
      <w:r w:rsidRPr="00A96337">
        <w:t>There are important needs that the current advisory pool does not necessarily have the skills and experience to address.</w:t>
      </w:r>
      <w:r w:rsidR="00E42BC8" w:rsidRPr="00A96337">
        <w:t xml:space="preserve"> </w:t>
      </w:r>
      <w:r w:rsidRPr="00A96337">
        <w:t>Examples include:</w:t>
      </w:r>
    </w:p>
    <w:p w14:paraId="7ADAC3D5" w14:textId="77777777" w:rsidR="002F4F42" w:rsidRPr="00A96337" w:rsidRDefault="002F4F42" w:rsidP="00F8335C">
      <w:pPr>
        <w:pStyle w:val="ListParagraph"/>
        <w:numPr>
          <w:ilvl w:val="1"/>
          <w:numId w:val="48"/>
        </w:numPr>
        <w:ind w:left="794" w:hanging="397"/>
      </w:pPr>
      <w:r w:rsidRPr="00A96337">
        <w:t>The need for a deeper more unified understanding of the hybrid MSD approach, and a need to document the approach;</w:t>
      </w:r>
    </w:p>
    <w:p w14:paraId="3597AFA0" w14:textId="06422B6C" w:rsidR="002F4F42" w:rsidRPr="00A96337" w:rsidRDefault="002F4F42" w:rsidP="00F8335C">
      <w:pPr>
        <w:pStyle w:val="ListParagraph"/>
        <w:numPr>
          <w:ilvl w:val="1"/>
          <w:numId w:val="48"/>
        </w:numPr>
        <w:ind w:left="794" w:hanging="397"/>
      </w:pPr>
      <w:r w:rsidRPr="00A96337">
        <w:t>The need for more frequent and structured sector and intervention reviews to drive learning, adaptation, and portfolio planning, both across the program and within the NGOs;</w:t>
      </w:r>
    </w:p>
    <w:p w14:paraId="17396C10" w14:textId="752EE754" w:rsidR="002F4F42" w:rsidRPr="00A96337" w:rsidRDefault="002F4F42" w:rsidP="00F8335C">
      <w:pPr>
        <w:pStyle w:val="ListParagraph"/>
        <w:numPr>
          <w:ilvl w:val="1"/>
          <w:numId w:val="48"/>
        </w:numPr>
        <w:ind w:left="794" w:hanging="397"/>
      </w:pPr>
      <w:r w:rsidRPr="00A96337">
        <w:t xml:space="preserve">The need for a much stronger focus on monitoring and results measurement (MRM) at the intervention, sector and program levels, in order to more clearly define benefit flow, adaptively manage the interventions, clarify attribution, explore externalities, and measure emerging elements of systemic change (further discussed in Section </w:t>
      </w:r>
      <w:r w:rsidRPr="00A96337">
        <w:fldChar w:fldCharType="begin"/>
      </w:r>
      <w:r w:rsidRPr="00A96337">
        <w:instrText xml:space="preserve"> REF _Ref8706548 \r \h </w:instrText>
      </w:r>
      <w:r w:rsidRPr="00A96337">
        <w:fldChar w:fldCharType="separate"/>
      </w:r>
      <w:r w:rsidR="00E06D4A">
        <w:t>8</w:t>
      </w:r>
      <w:r w:rsidRPr="00A96337">
        <w:fldChar w:fldCharType="end"/>
      </w:r>
      <w:r w:rsidRPr="00A96337">
        <w:t>).</w:t>
      </w:r>
      <w:r w:rsidR="00E42BC8" w:rsidRPr="00A96337">
        <w:t xml:space="preserve"> </w:t>
      </w:r>
      <w:r w:rsidRPr="00A96337">
        <w:t xml:space="preserve">This needs moreover to be integrated with the current high-level M&amp;E system; </w:t>
      </w:r>
    </w:p>
    <w:p w14:paraId="10F35A9D" w14:textId="77777777" w:rsidR="002F4F42" w:rsidRPr="00A96337" w:rsidRDefault="002F4F42" w:rsidP="00F8335C">
      <w:pPr>
        <w:pStyle w:val="ListParagraph"/>
        <w:numPr>
          <w:ilvl w:val="1"/>
          <w:numId w:val="48"/>
        </w:numPr>
        <w:ind w:left="794" w:hanging="397"/>
      </w:pPr>
      <w:r w:rsidRPr="00A96337">
        <w:t>The need for a deeper awareness of the rich and quickly evolving thinking on the critical issues of women’s economic empowerment, and gender and social inclusion. A particular understanding is needed of how best to plan, integrate, implement and measure these within an MSD program.</w:t>
      </w:r>
    </w:p>
    <w:p w14:paraId="62E7E05F" w14:textId="0B95035E" w:rsidR="002F4F42" w:rsidRPr="00A96337" w:rsidRDefault="002F4F42" w:rsidP="00F8335C">
      <w:pPr>
        <w:pStyle w:val="ListParagraph"/>
        <w:numPr>
          <w:ilvl w:val="1"/>
          <w:numId w:val="48"/>
        </w:numPr>
        <w:ind w:left="794" w:hanging="397"/>
      </w:pPr>
      <w:r w:rsidRPr="00A96337">
        <w:t xml:space="preserve">The need for a more nuanced understanding of the poverty, exclusion, market access, culture and gender dynamic operating in the Palestinian Territories, </w:t>
      </w:r>
      <w:r w:rsidR="00A62948" w:rsidRPr="00A96337">
        <w:t xml:space="preserve">and </w:t>
      </w:r>
      <w:r w:rsidR="00AD1A84" w:rsidRPr="00A96337">
        <w:t xml:space="preserve">the difficult security and access issues. </w:t>
      </w:r>
      <w:r w:rsidRPr="00A96337">
        <w:t>This require</w:t>
      </w:r>
      <w:r w:rsidR="00AD1A84" w:rsidRPr="00A96337">
        <w:t>s</w:t>
      </w:r>
      <w:r w:rsidRPr="00A96337">
        <w:t xml:space="preserve"> a more tailored approach to advising than is currently the case.</w:t>
      </w:r>
    </w:p>
    <w:p w14:paraId="74978436" w14:textId="0AC06E0D" w:rsidR="002F4F42" w:rsidRPr="00A96337" w:rsidRDefault="002F4F42" w:rsidP="006837B7">
      <w:pPr>
        <w:pStyle w:val="BodyText"/>
        <w:rPr>
          <w:lang w:val="en-AU"/>
        </w:rPr>
      </w:pPr>
      <w:r w:rsidRPr="00A96337">
        <w:rPr>
          <w:lang w:val="en-AU"/>
        </w:rPr>
        <w:t xml:space="preserve">If these challenges are to be resolved, it is probably better to address them by carefully balancing and enhancing the resources across </w:t>
      </w:r>
      <w:r w:rsidR="009B58A0" w:rsidRPr="00A96337">
        <w:rPr>
          <w:lang w:val="en-AU"/>
        </w:rPr>
        <w:t>AMENCA 3</w:t>
      </w:r>
      <w:r w:rsidRPr="00A96337">
        <w:rPr>
          <w:lang w:val="en-AU"/>
        </w:rPr>
        <w:t>, rather than by simplistically expecting the program’s advisory services to address all needs.</w:t>
      </w:r>
      <w:r w:rsidR="00E42BC8" w:rsidRPr="00A96337">
        <w:rPr>
          <w:lang w:val="en-AU"/>
        </w:rPr>
        <w:t xml:space="preserve"> </w:t>
      </w:r>
      <w:r w:rsidRPr="00A96337">
        <w:rPr>
          <w:lang w:val="en-AU"/>
        </w:rPr>
        <w:t>Options to consider include:</w:t>
      </w:r>
    </w:p>
    <w:p w14:paraId="73B7F470" w14:textId="40A0AD7C" w:rsidR="002F4F42" w:rsidRPr="00A96337" w:rsidRDefault="002F4F42" w:rsidP="00F8335C">
      <w:pPr>
        <w:pStyle w:val="ListParagraph"/>
        <w:numPr>
          <w:ilvl w:val="0"/>
          <w:numId w:val="51"/>
        </w:numPr>
        <w:ind w:left="397" w:hanging="397"/>
      </w:pPr>
      <w:r w:rsidRPr="00A96337">
        <w:t>Retaining the M&amp;E Adviser in their current role focused on high-level Program reporting.</w:t>
      </w:r>
      <w:r w:rsidR="00E42BC8" w:rsidRPr="00A96337">
        <w:t xml:space="preserve"> </w:t>
      </w:r>
      <w:r w:rsidRPr="00A96337">
        <w:t xml:space="preserve">In this role the M&amp;E Adviser will continue to amalgamate the annual program-level aggregate results report using the 23 indicators defined in the </w:t>
      </w:r>
      <w:r w:rsidR="009B58A0" w:rsidRPr="00A96337">
        <w:t>AMENCA 3</w:t>
      </w:r>
      <w:r w:rsidRPr="00A96337">
        <w:t xml:space="preserve"> M&amp;E Framework </w:t>
      </w:r>
      <w:sdt>
        <w:sdtPr>
          <w:id w:val="1044718542"/>
          <w:citation/>
        </w:sdtPr>
        <w:sdtEndPr/>
        <w:sdtContent>
          <w:r w:rsidRPr="00A96337">
            <w:fldChar w:fldCharType="begin"/>
          </w:r>
          <w:r w:rsidRPr="00A96337">
            <w:instrText xml:space="preserve"> CITATION AME16 \l 5129 </w:instrText>
          </w:r>
          <w:r w:rsidRPr="00A96337">
            <w:fldChar w:fldCharType="separate"/>
          </w:r>
          <w:r w:rsidR="00593D9F">
            <w:rPr>
              <w:noProof/>
            </w:rPr>
            <w:t>(AMENCA 3, Dec 2016)</w:t>
          </w:r>
          <w:r w:rsidRPr="00A96337">
            <w:fldChar w:fldCharType="end"/>
          </w:r>
        </w:sdtContent>
      </w:sdt>
      <w:r w:rsidRPr="00A96337">
        <w:rPr>
          <w:rStyle w:val="FootnoteReference"/>
        </w:rPr>
        <w:footnoteReference w:id="12"/>
      </w:r>
      <w:r w:rsidRPr="00A96337">
        <w:t>;</w:t>
      </w:r>
    </w:p>
    <w:p w14:paraId="73297162" w14:textId="77777777" w:rsidR="002F4F42" w:rsidRPr="00A96337" w:rsidRDefault="002F4F42" w:rsidP="00F8335C">
      <w:pPr>
        <w:pStyle w:val="ListParagraph"/>
        <w:numPr>
          <w:ilvl w:val="0"/>
          <w:numId w:val="51"/>
        </w:numPr>
        <w:ind w:left="397" w:hanging="397"/>
      </w:pPr>
      <w:r w:rsidRPr="00A96337">
        <w:t>Expanding the current TOR and time inputs of the MSD adviser so that cross-program MRM processes</w:t>
      </w:r>
      <w:r w:rsidRPr="00A96337" w:rsidDel="004B4673">
        <w:t xml:space="preserve"> </w:t>
      </w:r>
      <w:r w:rsidRPr="00A96337">
        <w:t>can be developed, and MRM supported within each NGO;</w:t>
      </w:r>
    </w:p>
    <w:p w14:paraId="17EFB0D1" w14:textId="6F2C3B5F" w:rsidR="002F4F42" w:rsidRPr="00A96337" w:rsidRDefault="002F4F42" w:rsidP="00F8335C">
      <w:pPr>
        <w:pStyle w:val="ListParagraph"/>
        <w:numPr>
          <w:ilvl w:val="0"/>
          <w:numId w:val="51"/>
        </w:numPr>
        <w:ind w:left="397" w:hanging="397"/>
      </w:pPr>
      <w:r w:rsidRPr="00A96337">
        <w:t xml:space="preserve">Sponsoring NGO M&amp;E staff to attend specialist training in MSD and MRM principles at one of the many MRM training programs that are run each year (e.g. DFAT is supporting trainings such as </w:t>
      </w:r>
      <w:hyperlink r:id="rId32" w:history="1">
        <w:r w:rsidRPr="00A96337">
          <w:rPr>
            <w:rStyle w:val="Hyperlink"/>
          </w:rPr>
          <w:t>https://www.hposthumus.nl/upcoming-trainings</w:t>
        </w:r>
      </w:hyperlink>
      <w:r w:rsidRPr="00A96337">
        <w:t>);</w:t>
      </w:r>
    </w:p>
    <w:p w14:paraId="615F1146" w14:textId="77777777" w:rsidR="002F4F42" w:rsidRPr="00A96337" w:rsidRDefault="002F4F42" w:rsidP="00F8335C">
      <w:pPr>
        <w:pStyle w:val="ListParagraph"/>
        <w:numPr>
          <w:ilvl w:val="0"/>
          <w:numId w:val="51"/>
        </w:numPr>
        <w:ind w:left="397" w:hanging="397"/>
      </w:pPr>
      <w:r w:rsidRPr="00A96337">
        <w:t>Strengthening the internal processes for sector and intervention level reviews within each NGO as well as across the program.</w:t>
      </w:r>
    </w:p>
    <w:p w14:paraId="172691FC" w14:textId="77777777" w:rsidR="002F4F42" w:rsidRPr="00A96337" w:rsidRDefault="002F4F42" w:rsidP="00F8335C">
      <w:pPr>
        <w:pStyle w:val="ListParagraph"/>
        <w:numPr>
          <w:ilvl w:val="0"/>
          <w:numId w:val="51"/>
        </w:numPr>
        <w:ind w:left="397" w:hanging="397"/>
      </w:pPr>
      <w:r w:rsidRPr="00A96337">
        <w:t>Revising support to gender and inclusion by:</w:t>
      </w:r>
    </w:p>
    <w:p w14:paraId="3DBB2512" w14:textId="77777777" w:rsidR="002F4F42" w:rsidRPr="00A96337" w:rsidRDefault="002F4F42" w:rsidP="00F8335C">
      <w:pPr>
        <w:pStyle w:val="ListParagraph"/>
        <w:numPr>
          <w:ilvl w:val="1"/>
          <w:numId w:val="51"/>
        </w:numPr>
        <w:ind w:left="794" w:hanging="397"/>
      </w:pPr>
      <w:r w:rsidRPr="00A96337">
        <w:t>Appointing a local part-time GSI specialist to provide the program with general</w:t>
      </w:r>
      <w:r w:rsidRPr="00A96337" w:rsidDel="00785268">
        <w:t xml:space="preserve"> </w:t>
      </w:r>
      <w:r w:rsidRPr="00A96337">
        <w:t>support.</w:t>
      </w:r>
      <w:r w:rsidR="00E42BC8" w:rsidRPr="00A96337">
        <w:t xml:space="preserve"> </w:t>
      </w:r>
      <w:r w:rsidRPr="00A96337">
        <w:t>This position could perhaps be provided by one of the current NGOs;</w:t>
      </w:r>
    </w:p>
    <w:p w14:paraId="4F8A0A0A" w14:textId="77777777" w:rsidR="002F4F42" w:rsidRPr="00A96337" w:rsidRDefault="002F4F42" w:rsidP="00F8335C">
      <w:pPr>
        <w:pStyle w:val="ListParagraph"/>
        <w:numPr>
          <w:ilvl w:val="1"/>
          <w:numId w:val="51"/>
        </w:numPr>
        <w:ind w:left="794" w:hanging="397"/>
      </w:pPr>
      <w:r w:rsidRPr="00A96337">
        <w:t>Revising the necessary skills of the international advisor position to include a much deeper, more current appreciation of the ways in which MSD programs can incorporate/ address WEE issues, as well as ways to more effectively collaborate with the local GSI adviser and the NGO gender teams.</w:t>
      </w:r>
    </w:p>
    <w:p w14:paraId="7DB00E0D" w14:textId="77777777" w:rsidR="002F4F42" w:rsidRPr="00A96337" w:rsidRDefault="002F4F42" w:rsidP="00F8335C">
      <w:pPr>
        <w:pStyle w:val="ListParagraph"/>
        <w:numPr>
          <w:ilvl w:val="0"/>
          <w:numId w:val="51"/>
        </w:numPr>
        <w:ind w:left="397" w:hanging="397"/>
      </w:pPr>
      <w:r w:rsidRPr="00A96337">
        <w:t>More proactively using the flexible advisory fund.</w:t>
      </w:r>
      <w:r w:rsidR="00E42BC8" w:rsidRPr="00A96337">
        <w:t xml:space="preserve"> </w:t>
      </w:r>
      <w:r w:rsidRPr="00A96337">
        <w:t>No one adviser ever has the tools to meet all of a program’s needs, and the flexible advisory pool needs to be much more creatively used to address the gaps. In other words, the core advisors need to recommend additional short-term support in areas where they do not have the necessary skills.</w:t>
      </w:r>
      <w:r w:rsidR="00E42BC8" w:rsidRPr="00A96337">
        <w:t xml:space="preserve"> </w:t>
      </w:r>
      <w:r w:rsidRPr="00A96337">
        <w:t>This could include:</w:t>
      </w:r>
    </w:p>
    <w:p w14:paraId="6618028E" w14:textId="77777777" w:rsidR="002F4F42" w:rsidRPr="00A96337" w:rsidRDefault="002F4F42" w:rsidP="00F8335C">
      <w:pPr>
        <w:pStyle w:val="ListParagraph"/>
        <w:numPr>
          <w:ilvl w:val="1"/>
          <w:numId w:val="51"/>
        </w:numPr>
        <w:ind w:left="794" w:hanging="397"/>
      </w:pPr>
      <w:r w:rsidRPr="00A96337">
        <w:t>introducing specific skills to address specific needs; and/ or</w:t>
      </w:r>
    </w:p>
    <w:p w14:paraId="031B874A" w14:textId="54F86676" w:rsidR="001756BC" w:rsidRPr="00A96337" w:rsidRDefault="002F4F42" w:rsidP="00F8335C">
      <w:pPr>
        <w:pStyle w:val="ListParagraph"/>
        <w:numPr>
          <w:ilvl w:val="1"/>
          <w:numId w:val="51"/>
        </w:numPr>
        <w:spacing w:after="240"/>
        <w:ind w:left="794" w:hanging="397"/>
      </w:pPr>
      <w:r w:rsidRPr="00A96337">
        <w:t xml:space="preserve">undertaking specific surveys or case studies to draw out important results and delineate important lessons. </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1756BC" w:rsidRPr="00A96337" w14:paraId="064695B2" w14:textId="77777777" w:rsidTr="00450A35">
        <w:trPr>
          <w:trHeight w:val="271"/>
        </w:trPr>
        <w:tc>
          <w:tcPr>
            <w:tcW w:w="709" w:type="dxa"/>
          </w:tcPr>
          <w:p w14:paraId="78C08359" w14:textId="77777777" w:rsidR="00450A35" w:rsidRPr="00A96337" w:rsidRDefault="00450A35" w:rsidP="000E1846">
            <w:pPr>
              <w:pStyle w:val="IntenseQuote"/>
              <w:pBdr>
                <w:bottom w:val="none" w:sz="0" w:space="0" w:color="auto"/>
              </w:pBdr>
              <w:spacing w:before="120" w:after="120" w:line="259" w:lineRule="auto"/>
              <w:ind w:left="0" w:right="124"/>
              <w:rPr>
                <w:rFonts w:ascii="Arial" w:hAnsi="Arial" w:cs="Arial"/>
                <w:i w:val="0"/>
                <w:color w:val="5482AB"/>
              </w:rPr>
            </w:pPr>
            <w:r w:rsidRPr="00A96337">
              <w:rPr>
                <w:rFonts w:ascii="Arial" w:hAnsi="Arial" w:cs="Arial"/>
                <w:i w:val="0"/>
                <w:noProof/>
                <w:color w:val="5482AB"/>
                <w:lang w:eastAsia="en-AU"/>
              </w:rPr>
              <w:drawing>
                <wp:inline distT="0" distB="0" distL="0" distR="0" wp14:anchorId="5CE9900D" wp14:editId="07481A05">
                  <wp:extent cx="267419" cy="3308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307" w:type="dxa"/>
          </w:tcPr>
          <w:p w14:paraId="0C7BD928" w14:textId="47D16501" w:rsidR="00450A35" w:rsidRPr="00A96337" w:rsidRDefault="004F737B" w:rsidP="00F8335C">
            <w:pPr>
              <w:pStyle w:val="IntenseQuote"/>
              <w:numPr>
                <w:ilvl w:val="0"/>
                <w:numId w:val="30"/>
              </w:numPr>
              <w:pBdr>
                <w:bottom w:val="none" w:sz="0" w:space="0" w:color="auto"/>
              </w:pBdr>
              <w:spacing w:before="120" w:after="120" w:line="259" w:lineRule="auto"/>
              <w:ind w:left="0" w:right="0" w:firstLine="0"/>
              <w:rPr>
                <w:i w:val="0"/>
                <w:color w:val="5482AB"/>
              </w:rPr>
            </w:pPr>
            <w:bookmarkStart w:id="280" w:name="_Ref8898648"/>
            <w:r w:rsidRPr="00A96337">
              <w:rPr>
                <w:rFonts w:ascii="Arial" w:hAnsi="Arial" w:cs="Arial"/>
                <w:i w:val="0"/>
                <w:color w:val="5482AB"/>
              </w:rPr>
              <w:t xml:space="preserve">Adapt advisor arrangements: </w:t>
            </w:r>
            <w:r w:rsidRPr="00A96337">
              <w:rPr>
                <w:rFonts w:ascii="Arial" w:hAnsi="Arial" w:cs="Arial"/>
                <w:b w:val="0"/>
                <w:bCs w:val="0"/>
                <w:i w:val="0"/>
                <w:color w:val="5482AB"/>
              </w:rPr>
              <w:t xml:space="preserve">DFAT should update contracted advisory arrangements to fill technical gaps, </w:t>
            </w:r>
            <w:r w:rsidR="00216F54" w:rsidRPr="00A96337">
              <w:rPr>
                <w:rFonts w:ascii="Arial" w:hAnsi="Arial" w:cs="Arial"/>
                <w:b w:val="0"/>
                <w:bCs w:val="0"/>
                <w:i w:val="0"/>
                <w:color w:val="5482AB"/>
              </w:rPr>
              <w:t xml:space="preserve">and </w:t>
            </w:r>
            <w:r w:rsidRPr="00A96337">
              <w:rPr>
                <w:rFonts w:ascii="Arial" w:hAnsi="Arial" w:cs="Arial"/>
                <w:b w:val="0"/>
                <w:bCs w:val="0"/>
                <w:i w:val="0"/>
                <w:color w:val="5482AB"/>
              </w:rPr>
              <w:t>support NGOs to improve integration and responsiveness:</w:t>
            </w:r>
            <w:r w:rsidRPr="00A96337">
              <w:rPr>
                <w:rFonts w:ascii="Arial" w:hAnsi="Arial" w:cs="Arial"/>
                <w:b w:val="0"/>
                <w:bCs w:val="0"/>
                <w:i w:val="0"/>
                <w:color w:val="5482AB"/>
              </w:rPr>
              <w:br/>
              <w:t xml:space="preserve">(a) retain a cross-program coordination and report-writing function (ideally a single person who could also negotiate flexible advisory services); </w:t>
            </w:r>
            <w:r w:rsidRPr="00A96337">
              <w:rPr>
                <w:rFonts w:ascii="Arial" w:hAnsi="Arial" w:cs="Arial"/>
                <w:b w:val="0"/>
                <w:bCs w:val="0"/>
                <w:i w:val="0"/>
                <w:color w:val="5482AB"/>
              </w:rPr>
              <w:br/>
              <w:t>(b) localise the GESI advisor position and ensure they have sufficient poverty analysis skills;</w:t>
            </w:r>
            <w:r w:rsidRPr="00A96337">
              <w:rPr>
                <w:rFonts w:ascii="Arial" w:hAnsi="Arial" w:cs="Arial"/>
                <w:b w:val="0"/>
                <w:bCs w:val="0"/>
                <w:i w:val="0"/>
                <w:color w:val="5482AB"/>
              </w:rPr>
              <w:br/>
              <w:t xml:space="preserve">(c) add a fixed international Monitoring and Results Measurement (MRM) adviser to update consortia and </w:t>
            </w:r>
            <w:r w:rsidR="009B58A0" w:rsidRPr="00A96337">
              <w:rPr>
                <w:rFonts w:ascii="Arial" w:hAnsi="Arial" w:cs="Arial"/>
                <w:b w:val="0"/>
                <w:bCs w:val="0"/>
                <w:i w:val="0"/>
                <w:color w:val="5482AB"/>
              </w:rPr>
              <w:t>AMENCA 3</w:t>
            </w:r>
            <w:r w:rsidRPr="00A96337">
              <w:rPr>
                <w:rFonts w:ascii="Arial" w:hAnsi="Arial" w:cs="Arial"/>
                <w:b w:val="0"/>
                <w:bCs w:val="0"/>
                <w:i w:val="0"/>
                <w:color w:val="5482AB"/>
              </w:rPr>
              <w:t xml:space="preserve"> M&amp;E Frameworks to appropriately capture market systems results; and</w:t>
            </w:r>
            <w:r w:rsidRPr="00A96337">
              <w:rPr>
                <w:rFonts w:ascii="Arial" w:hAnsi="Arial" w:cs="Arial"/>
                <w:b w:val="0"/>
                <w:bCs w:val="0"/>
                <w:i w:val="0"/>
                <w:color w:val="5482AB"/>
              </w:rPr>
              <w:br/>
              <w:t>(d) introduce demand-driven flexible advisor services (contractor could use a panel arrangement) to complement these skills where necessary</w:t>
            </w:r>
            <w:r w:rsidR="00C12B00">
              <w:rPr>
                <w:rFonts w:ascii="Arial" w:hAnsi="Arial" w:cs="Arial"/>
                <w:b w:val="0"/>
                <w:bCs w:val="0"/>
                <w:i w:val="0"/>
                <w:color w:val="5482AB"/>
              </w:rPr>
              <w:br/>
            </w:r>
            <w:r w:rsidRPr="00A96337">
              <w:rPr>
                <w:rFonts w:ascii="Arial" w:hAnsi="Arial" w:cs="Arial"/>
                <w:b w:val="0"/>
                <w:bCs w:val="0"/>
                <w:i w:val="0"/>
                <w:color w:val="5482AB"/>
              </w:rPr>
              <w:br/>
              <w:t>To begin this adjustment, DFAT could task the advisory services contractor with proposing how it would go about this and other recommendations in this report</w:t>
            </w:r>
            <w:bookmarkEnd w:id="280"/>
            <w:r w:rsidR="00C12B00">
              <w:rPr>
                <w:rFonts w:ascii="Arial" w:hAnsi="Arial" w:cs="Arial"/>
                <w:b w:val="0"/>
                <w:bCs w:val="0"/>
                <w:i w:val="0"/>
                <w:color w:val="5482AB"/>
              </w:rPr>
              <w:t>.</w:t>
            </w:r>
          </w:p>
        </w:tc>
      </w:tr>
    </w:tbl>
    <w:p w14:paraId="572BC2C6" w14:textId="0235D552" w:rsidR="002F4F42" w:rsidRPr="00A96337" w:rsidRDefault="002F4F42" w:rsidP="000E1846">
      <w:pPr>
        <w:pStyle w:val="BodyText"/>
        <w:spacing w:before="240"/>
        <w:rPr>
          <w:lang w:val="en-AU"/>
        </w:rPr>
      </w:pPr>
      <w:r w:rsidRPr="00A96337">
        <w:rPr>
          <w:lang w:val="en-AU"/>
        </w:rPr>
        <w:t>Revising the skills sets of advisors to better meet what is needed now that the program is approaching maturity, and using the pool of advisors fund to complement the existing capacity and to fill the gaps, would help to shape approaches to M&amp;E</w:t>
      </w:r>
      <w:r w:rsidR="0063506C" w:rsidRPr="00A96337">
        <w:rPr>
          <w:lang w:val="en-AU"/>
        </w:rPr>
        <w:t>, gender</w:t>
      </w:r>
      <w:r w:rsidRPr="00A96337">
        <w:rPr>
          <w:lang w:val="en-AU"/>
        </w:rPr>
        <w:t xml:space="preserve"> and social inclusion that better deliver on the program’s mandate, and that take it to the next level.</w:t>
      </w:r>
    </w:p>
    <w:p w14:paraId="44DC113A" w14:textId="6FE9EF09" w:rsidR="002F4F42" w:rsidRPr="00A96337" w:rsidRDefault="00AE4CD8" w:rsidP="00F8335C">
      <w:pPr>
        <w:pStyle w:val="Heading2"/>
        <w:ind w:left="851" w:hanging="851"/>
      </w:pPr>
      <w:bookmarkStart w:id="281" w:name="_Toc8978053"/>
      <w:bookmarkStart w:id="282" w:name="_Ref11933067"/>
      <w:bookmarkStart w:id="283" w:name="_Toc12364827"/>
      <w:r w:rsidRPr="00A96337">
        <w:t xml:space="preserve">Does </w:t>
      </w:r>
      <w:r w:rsidR="009B58A0" w:rsidRPr="00A96337">
        <w:t>AMENCA 3</w:t>
      </w:r>
      <w:r w:rsidRPr="00A96337">
        <w:t xml:space="preserve"> represent good </w:t>
      </w:r>
      <w:r w:rsidR="00705CF4" w:rsidRPr="00A96337">
        <w:t>v</w:t>
      </w:r>
      <w:r w:rsidR="002F4F42" w:rsidRPr="00A96337">
        <w:t xml:space="preserve">alue for </w:t>
      </w:r>
      <w:r w:rsidR="00705CF4" w:rsidRPr="00A96337">
        <w:t>m</w:t>
      </w:r>
      <w:r w:rsidR="002F4F42" w:rsidRPr="00A96337">
        <w:t>oney</w:t>
      </w:r>
      <w:bookmarkEnd w:id="281"/>
      <w:bookmarkEnd w:id="282"/>
      <w:r w:rsidRPr="00A96337">
        <w:t>?</w:t>
      </w:r>
      <w:bookmarkEnd w:id="283"/>
    </w:p>
    <w:p w14:paraId="498DBC1B" w14:textId="41D67578" w:rsidR="002F4F42" w:rsidRPr="00A96337" w:rsidRDefault="002F4F42" w:rsidP="006837B7">
      <w:pPr>
        <w:pStyle w:val="BodyText"/>
        <w:rPr>
          <w:lang w:val="en-AU"/>
        </w:rPr>
      </w:pPr>
      <w:r w:rsidRPr="00A96337">
        <w:rPr>
          <w:lang w:val="en-AU"/>
        </w:rPr>
        <w:t xml:space="preserve">One of the frustrations that the Ministry of Agriculture raised was their perception that </w:t>
      </w:r>
      <w:r w:rsidR="009B58A0" w:rsidRPr="00A96337">
        <w:rPr>
          <w:lang w:val="en-AU"/>
        </w:rPr>
        <w:t>AMENCA 3</w:t>
      </w:r>
      <w:r w:rsidRPr="00A96337">
        <w:rPr>
          <w:lang w:val="en-AU"/>
        </w:rPr>
        <w:t xml:space="preserve"> funds were not being used to directly deliver goods and services to Palestinian farmers.</w:t>
      </w:r>
      <w:r w:rsidR="00E42BC8" w:rsidRPr="00A96337">
        <w:rPr>
          <w:lang w:val="en-AU"/>
        </w:rPr>
        <w:t xml:space="preserve"> </w:t>
      </w:r>
      <w:r w:rsidRPr="00A96337">
        <w:rPr>
          <w:lang w:val="en-AU"/>
        </w:rPr>
        <w:t>The expectation that ‘hand-outs’ are an important ‘deliverable’ and that the percentage of budget spent in this way should be a prime measure of success, not only reflects the growing donor dependency in the Palestinian Territories, but also a weak grasp of the way in which an MSD program works.</w:t>
      </w:r>
    </w:p>
    <w:p w14:paraId="5D763013" w14:textId="597554B6" w:rsidR="002F4F42" w:rsidRPr="00A96337" w:rsidRDefault="002F4F42" w:rsidP="006837B7">
      <w:pPr>
        <w:pStyle w:val="BodyText"/>
        <w:rPr>
          <w:lang w:val="en-AU"/>
        </w:rPr>
      </w:pPr>
      <w:r w:rsidRPr="00A96337">
        <w:rPr>
          <w:lang w:val="en-AU"/>
        </w:rPr>
        <w:t>MSD approaches depend on a strong investment in market mentoring, advice and analysis, but a very light touch, catalytic approach to co-investment.</w:t>
      </w:r>
      <w:r w:rsidR="00E42BC8" w:rsidRPr="00A96337">
        <w:rPr>
          <w:lang w:val="en-AU"/>
        </w:rPr>
        <w:t xml:space="preserve"> </w:t>
      </w:r>
      <w:r w:rsidRPr="00A96337">
        <w:rPr>
          <w:lang w:val="en-AU"/>
        </w:rPr>
        <w:t>Direct delivery and hand-outs to communities or the private sector, is counterproductive as it simply undermines ownership and sustainability.</w:t>
      </w:r>
      <w:r w:rsidR="00E42BC8" w:rsidRPr="00A96337">
        <w:rPr>
          <w:lang w:val="en-AU"/>
        </w:rPr>
        <w:t xml:space="preserve"> </w:t>
      </w:r>
      <w:r w:rsidRPr="00A96337">
        <w:rPr>
          <w:lang w:val="en-AU"/>
        </w:rPr>
        <w:t>Most MSD programs therefore spend upwards of 70% of their budget on the provision of highly skilled business advisors and inclusion professionals who work with partners to better plan, grow and expand their investments.</w:t>
      </w:r>
      <w:r w:rsidR="00E42BC8" w:rsidRPr="00A96337">
        <w:rPr>
          <w:lang w:val="en-AU"/>
        </w:rPr>
        <w:t xml:space="preserve"> </w:t>
      </w:r>
      <w:r w:rsidRPr="00A96337">
        <w:rPr>
          <w:lang w:val="en-AU"/>
        </w:rPr>
        <w:t xml:space="preserve">Any direct investment by </w:t>
      </w:r>
      <w:r w:rsidR="009B58A0" w:rsidRPr="00A96337">
        <w:rPr>
          <w:lang w:val="en-AU"/>
        </w:rPr>
        <w:t>AMENCA 3</w:t>
      </w:r>
      <w:r w:rsidRPr="00A96337">
        <w:rPr>
          <w:lang w:val="en-AU"/>
        </w:rPr>
        <w:t xml:space="preserve"> </w:t>
      </w:r>
      <w:r w:rsidR="001F2A4D" w:rsidRPr="00A96337">
        <w:rPr>
          <w:lang w:val="en-AU"/>
        </w:rPr>
        <w:t xml:space="preserve">should </w:t>
      </w:r>
      <w:r w:rsidR="00D972AC" w:rsidRPr="00A96337">
        <w:rPr>
          <w:lang w:val="en-AU"/>
        </w:rPr>
        <w:t>only occur</w:t>
      </w:r>
      <w:r w:rsidRPr="00A96337">
        <w:rPr>
          <w:lang w:val="en-AU"/>
        </w:rPr>
        <w:t xml:space="preserve"> where there is commitment</w:t>
      </w:r>
      <w:r w:rsidR="00D972AC" w:rsidRPr="00A96337">
        <w:rPr>
          <w:lang w:val="en-AU"/>
        </w:rPr>
        <w:t>, ownership</w:t>
      </w:r>
      <w:r w:rsidRPr="00A96337">
        <w:rPr>
          <w:lang w:val="en-AU"/>
        </w:rPr>
        <w:t xml:space="preserve"> and co-investment from market stakeholders.</w:t>
      </w:r>
    </w:p>
    <w:p w14:paraId="1A1F21B2" w14:textId="63117FEF" w:rsidR="002F4F42" w:rsidRPr="00A96337" w:rsidRDefault="002F4F42" w:rsidP="006837B7">
      <w:pPr>
        <w:pStyle w:val="BodyText"/>
        <w:rPr>
          <w:lang w:val="en-AU"/>
        </w:rPr>
      </w:pPr>
      <w:r w:rsidRPr="00A96337">
        <w:rPr>
          <w:lang w:val="en-AU"/>
        </w:rPr>
        <w:t xml:space="preserve">Many donors have found that pushing MSD programs to increase their expenditure has the unintended consequence of reducing the sustainability of the interventions </w:t>
      </w:r>
      <w:sdt>
        <w:sdtPr>
          <w:rPr>
            <w:lang w:val="en-AU"/>
          </w:rPr>
          <w:id w:val="-915322178"/>
          <w:citation/>
        </w:sdtPr>
        <w:sdtEndPr/>
        <w:sdtContent>
          <w:r w:rsidRPr="00A96337">
            <w:rPr>
              <w:lang w:val="en-AU"/>
            </w:rPr>
            <w:fldChar w:fldCharType="begin"/>
          </w:r>
          <w:r w:rsidRPr="00A96337">
            <w:rPr>
              <w:lang w:val="en-AU"/>
            </w:rPr>
            <w:instrText xml:space="preserve"> CITATION HEL16 \l 5129 </w:instrText>
          </w:r>
          <w:r w:rsidRPr="00A96337">
            <w:rPr>
              <w:lang w:val="en-AU"/>
            </w:rPr>
            <w:fldChar w:fldCharType="separate"/>
          </w:r>
          <w:r w:rsidR="00593D9F" w:rsidRPr="00593D9F">
            <w:rPr>
              <w:noProof/>
              <w:lang w:val="en-AU"/>
            </w:rPr>
            <w:t>(HELVITAS, May 2016)</w:t>
          </w:r>
          <w:r w:rsidRPr="00A96337">
            <w:rPr>
              <w:lang w:val="en-AU"/>
            </w:rPr>
            <w:fldChar w:fldCharType="end"/>
          </w:r>
        </w:sdtContent>
      </w:sdt>
      <w:r w:rsidRPr="00A96337">
        <w:rPr>
          <w:lang w:val="en-AU"/>
        </w:rPr>
        <w:t>.</w:t>
      </w:r>
      <w:r w:rsidR="00E42BC8" w:rsidRPr="00A96337">
        <w:rPr>
          <w:lang w:val="en-AU"/>
        </w:rPr>
        <w:t xml:space="preserve"> </w:t>
      </w:r>
      <w:r w:rsidRPr="00A96337">
        <w:rPr>
          <w:lang w:val="en-AU"/>
        </w:rPr>
        <w:t xml:space="preserve">When </w:t>
      </w:r>
      <w:r w:rsidR="009B58A0" w:rsidRPr="00A96337">
        <w:rPr>
          <w:lang w:val="en-AU"/>
        </w:rPr>
        <w:t>AMENCA 3</w:t>
      </w:r>
      <w:r w:rsidRPr="00A96337">
        <w:rPr>
          <w:lang w:val="en-AU"/>
        </w:rPr>
        <w:t xml:space="preserve"> was designed the budget allocated was in fact quite high when compared with similar MSD projects in similar sized economies.</w:t>
      </w:r>
      <w:r w:rsidR="00E42BC8" w:rsidRPr="00A96337">
        <w:rPr>
          <w:lang w:val="en-AU"/>
        </w:rPr>
        <w:t xml:space="preserve"> </w:t>
      </w:r>
      <w:r w:rsidRPr="00A96337">
        <w:rPr>
          <w:lang w:val="en-AU"/>
        </w:rPr>
        <w:t>Part of this was due to the expectations already created by previous phases of AMENCA that used a direct delivery model.</w:t>
      </w:r>
      <w:r w:rsidR="00E42BC8" w:rsidRPr="00A96337">
        <w:rPr>
          <w:lang w:val="en-AU"/>
        </w:rPr>
        <w:t xml:space="preserve"> </w:t>
      </w:r>
      <w:r w:rsidRPr="00A96337">
        <w:rPr>
          <w:lang w:val="en-AU"/>
        </w:rPr>
        <w:t>Part was also due to the understanding that the “hybrid’ MSD approach would invest in very specific areas that helped communities establish a better foundation to engage with markets (‘lift’).</w:t>
      </w:r>
      <w:r w:rsidR="00E42BC8" w:rsidRPr="00A96337">
        <w:rPr>
          <w:lang w:val="en-AU"/>
        </w:rPr>
        <w:t xml:space="preserve"> </w:t>
      </w:r>
      <w:r w:rsidRPr="00A96337">
        <w:rPr>
          <w:lang w:val="en-AU"/>
        </w:rPr>
        <w:t>Even</w:t>
      </w:r>
      <w:r w:rsidR="00AD1A84" w:rsidRPr="00A96337">
        <w:rPr>
          <w:lang w:val="en-AU"/>
        </w:rPr>
        <w:t xml:space="preserve"> </w:t>
      </w:r>
      <w:r w:rsidRPr="00A96337">
        <w:rPr>
          <w:lang w:val="en-AU"/>
        </w:rPr>
        <w:t xml:space="preserve">so, </w:t>
      </w:r>
      <w:r w:rsidR="00E47655" w:rsidRPr="00A96337">
        <w:rPr>
          <w:lang w:val="en-AU"/>
        </w:rPr>
        <w:t xml:space="preserve">the </w:t>
      </w:r>
      <w:r w:rsidR="00F2286D" w:rsidRPr="00A96337">
        <w:rPr>
          <w:lang w:val="en-AU"/>
        </w:rPr>
        <w:t xml:space="preserve">designed budget of </w:t>
      </w:r>
      <w:r w:rsidRPr="00A96337">
        <w:rPr>
          <w:lang w:val="en-AU"/>
        </w:rPr>
        <w:t>A</w:t>
      </w:r>
      <w:r w:rsidR="00575100">
        <w:rPr>
          <w:lang w:val="en-AU"/>
        </w:rPr>
        <w:t>UD</w:t>
      </w:r>
      <w:r w:rsidRPr="00A96337">
        <w:rPr>
          <w:lang w:val="en-AU"/>
        </w:rPr>
        <w:t>40</w:t>
      </w:r>
      <w:r w:rsidR="00C12B00">
        <w:rPr>
          <w:lang w:val="en-AU"/>
        </w:rPr>
        <w:t xml:space="preserve"> </w:t>
      </w:r>
      <w:r w:rsidRPr="00A96337">
        <w:rPr>
          <w:lang w:val="en-AU"/>
        </w:rPr>
        <w:t>m</w:t>
      </w:r>
      <w:r w:rsidR="00E47655" w:rsidRPr="00A96337">
        <w:rPr>
          <w:lang w:val="en-AU"/>
        </w:rPr>
        <w:t>illion</w:t>
      </w:r>
      <w:r w:rsidRPr="00A96337">
        <w:rPr>
          <w:lang w:val="en-AU"/>
        </w:rPr>
        <w:t xml:space="preserve"> for a five-year program was definitely at the high end of the range.</w:t>
      </w:r>
      <w:r w:rsidR="00E42BC8" w:rsidRPr="00A96337">
        <w:rPr>
          <w:lang w:val="en-AU"/>
        </w:rPr>
        <w:t xml:space="preserve"> </w:t>
      </w:r>
      <w:r w:rsidRPr="00A96337">
        <w:rPr>
          <w:lang w:val="en-AU"/>
        </w:rPr>
        <w:t>In reality, actual expenditure is well below this due largely to the suspension of program partners, but even so the lower expenditure should not be seen in any way as an indicator of poor performance.</w:t>
      </w:r>
    </w:p>
    <w:p w14:paraId="375C6682" w14:textId="70ACC50A" w:rsidR="002F4F42" w:rsidRPr="00A96337" w:rsidRDefault="002F4F42" w:rsidP="006837B7">
      <w:pPr>
        <w:pStyle w:val="BodyText"/>
        <w:rPr>
          <w:lang w:val="en-AU"/>
        </w:rPr>
      </w:pPr>
      <w:r w:rsidRPr="00A96337">
        <w:rPr>
          <w:lang w:val="en-AU"/>
        </w:rPr>
        <w:t>The MTR considers that the current expenditure levels achieved are in fact, well aligned with expectations for MSD projects.</w:t>
      </w:r>
      <w:r w:rsidR="00E42BC8" w:rsidRPr="00A96337">
        <w:rPr>
          <w:lang w:val="en-AU"/>
        </w:rPr>
        <w:t xml:space="preserve"> </w:t>
      </w:r>
      <w:r w:rsidRPr="00A96337">
        <w:rPr>
          <w:lang w:val="en-AU"/>
        </w:rPr>
        <w:t>As already discussed, the impacts being delivered, even at this early stage prove that the approach is on track to deliver excellent value for money.</w:t>
      </w:r>
    </w:p>
    <w:p w14:paraId="6ED54F95" w14:textId="51B029E8" w:rsidR="002F4F42" w:rsidRPr="00A96337" w:rsidRDefault="002F4F42" w:rsidP="00F8335C">
      <w:pPr>
        <w:pStyle w:val="Heading2"/>
        <w:ind w:left="851" w:hanging="851"/>
      </w:pPr>
      <w:bookmarkStart w:id="284" w:name="_Toc8978054"/>
      <w:bookmarkStart w:id="285" w:name="_Ref11941091"/>
      <w:bookmarkStart w:id="286" w:name="_Toc12364828"/>
      <w:r w:rsidRPr="00A96337">
        <w:t xml:space="preserve">Does </w:t>
      </w:r>
      <w:r w:rsidR="009B58A0" w:rsidRPr="00A96337">
        <w:t>AMENCA 3</w:t>
      </w:r>
      <w:r w:rsidRPr="00A96337">
        <w:t>’s governance remain valid or require changes?</w:t>
      </w:r>
      <w:bookmarkEnd w:id="284"/>
      <w:bookmarkEnd w:id="285"/>
      <w:bookmarkEnd w:id="286"/>
    </w:p>
    <w:p w14:paraId="6F3B546A" w14:textId="77777777" w:rsidR="009526B7" w:rsidRPr="00A96337" w:rsidRDefault="009526B7" w:rsidP="00F05621">
      <w:pPr>
        <w:pStyle w:val="Heading3"/>
        <w:rPr>
          <w:lang w:val="en-AU"/>
        </w:rPr>
      </w:pPr>
      <w:bookmarkStart w:id="287" w:name="_Toc12364829"/>
      <w:r w:rsidRPr="00A96337">
        <w:rPr>
          <w:lang w:val="en-AU"/>
        </w:rPr>
        <w:t>Engagement with the Palestinian Authority</w:t>
      </w:r>
      <w:bookmarkEnd w:id="287"/>
    </w:p>
    <w:p w14:paraId="085AF67A" w14:textId="1C6DB55E" w:rsidR="002F4F42" w:rsidRPr="00A96337" w:rsidRDefault="002F4F42" w:rsidP="006837B7">
      <w:pPr>
        <w:pStyle w:val="BodyText"/>
        <w:rPr>
          <w:lang w:val="en-AU"/>
        </w:rPr>
      </w:pPr>
      <w:r w:rsidRPr="00A96337">
        <w:rPr>
          <w:lang w:val="en-AU"/>
        </w:rPr>
        <w:t xml:space="preserve">Governance arrangements for </w:t>
      </w:r>
      <w:r w:rsidR="009B58A0" w:rsidRPr="00A96337">
        <w:rPr>
          <w:lang w:val="en-AU"/>
        </w:rPr>
        <w:t>AMENCA 3</w:t>
      </w:r>
      <w:r w:rsidRPr="00A96337">
        <w:rPr>
          <w:lang w:val="en-AU"/>
        </w:rPr>
        <w:t xml:space="preserve"> have changed markedly.</w:t>
      </w:r>
      <w:r w:rsidR="00E42BC8" w:rsidRPr="00A96337">
        <w:rPr>
          <w:lang w:val="en-AU"/>
        </w:rPr>
        <w:t xml:space="preserve"> </w:t>
      </w:r>
      <w:r w:rsidRPr="00A96337">
        <w:rPr>
          <w:lang w:val="en-AU"/>
        </w:rPr>
        <w:t xml:space="preserve">The program began with what could be considered an outsized role for the Palestinian Authority on the </w:t>
      </w:r>
      <w:r w:rsidRPr="00A96337">
        <w:rPr>
          <w:i/>
          <w:lang w:val="en-AU"/>
        </w:rPr>
        <w:t>Program Steering Committee</w:t>
      </w:r>
      <w:r w:rsidRPr="00A96337">
        <w:rPr>
          <w:lang w:val="en-AU"/>
        </w:rPr>
        <w:t xml:space="preserve"> (PSC), given the size and nature of </w:t>
      </w:r>
      <w:r w:rsidR="009B58A0" w:rsidRPr="00A96337">
        <w:rPr>
          <w:lang w:val="en-AU"/>
        </w:rPr>
        <w:t>AMENCA 3</w:t>
      </w:r>
      <w:r w:rsidRPr="00A96337">
        <w:rPr>
          <w:lang w:val="en-AU"/>
        </w:rPr>
        <w:t>.</w:t>
      </w:r>
      <w:r w:rsidR="00E42BC8" w:rsidRPr="00A96337">
        <w:rPr>
          <w:lang w:val="en-AU"/>
        </w:rPr>
        <w:t xml:space="preserve"> </w:t>
      </w:r>
      <w:r w:rsidRPr="00A96337">
        <w:rPr>
          <w:lang w:val="en-AU"/>
        </w:rPr>
        <w:t xml:space="preserve">While this demonstrated a strong level of enthusiasm for Palestinian Authority engagement with </w:t>
      </w:r>
      <w:r w:rsidR="009B58A0" w:rsidRPr="00A96337">
        <w:rPr>
          <w:lang w:val="en-AU"/>
        </w:rPr>
        <w:t>AMENCA 3</w:t>
      </w:r>
      <w:r w:rsidRPr="00A96337">
        <w:rPr>
          <w:lang w:val="en-AU"/>
        </w:rPr>
        <w:t>, directly engaging the Deputy Minister (assigned by the MoA) in a program that could not provide direct support to public administration functions, was an inefficient use of resources and led to an assumption that the program required high level Palestinian Authority oversight.</w:t>
      </w:r>
    </w:p>
    <w:p w14:paraId="24AE56CD" w14:textId="359ABBEF" w:rsidR="002F4F42" w:rsidRPr="00A96337" w:rsidRDefault="002F4F42" w:rsidP="006837B7">
      <w:pPr>
        <w:pStyle w:val="BodyText"/>
        <w:rPr>
          <w:lang w:val="en-AU"/>
        </w:rPr>
      </w:pPr>
      <w:r w:rsidRPr="00A96337">
        <w:rPr>
          <w:lang w:val="en-AU"/>
        </w:rPr>
        <w:t>As with all MSD programs, government needs to be considered as an important market actor, capable of influencing the ground rules and settings that either facilitate or impede growth of relevant markets.</w:t>
      </w:r>
      <w:r w:rsidR="00E42BC8" w:rsidRPr="00A96337">
        <w:rPr>
          <w:lang w:val="en-AU"/>
        </w:rPr>
        <w:t xml:space="preserve"> </w:t>
      </w:r>
      <w:r w:rsidRPr="00A96337">
        <w:rPr>
          <w:lang w:val="en-AU"/>
        </w:rPr>
        <w:t>They are one of many market actors that play a role, along with smallholders themselves, producer organisations, processors, input providers, buyers, traders, exporters and many others.</w:t>
      </w:r>
      <w:r w:rsidR="00E42BC8" w:rsidRPr="00A96337">
        <w:rPr>
          <w:lang w:val="en-AU"/>
        </w:rPr>
        <w:t xml:space="preserve"> </w:t>
      </w:r>
      <w:r w:rsidRPr="00A96337">
        <w:rPr>
          <w:lang w:val="en-AU"/>
        </w:rPr>
        <w:t>MSD programs often struggle to find the right balance of these stakeholders to guide and advise the program so it can explore missed opportunities and find new solutions when faced with new market failures.</w:t>
      </w:r>
      <w:r w:rsidR="00E42BC8" w:rsidRPr="00A96337">
        <w:rPr>
          <w:lang w:val="en-AU"/>
        </w:rPr>
        <w:t xml:space="preserve"> </w:t>
      </w:r>
      <w:r w:rsidRPr="00A96337">
        <w:rPr>
          <w:lang w:val="en-AU"/>
        </w:rPr>
        <w:t>As such, the outsized role for government was at odds not only with other DFAT MSD programs, but also quite different to governance of other donor MSD programs operating in the Palestinian Territories.</w:t>
      </w:r>
      <w:r w:rsidR="00E42BC8" w:rsidRPr="00A96337">
        <w:rPr>
          <w:lang w:val="en-AU"/>
        </w:rPr>
        <w:t xml:space="preserve"> </w:t>
      </w:r>
      <w:r w:rsidRPr="00A96337">
        <w:rPr>
          <w:lang w:val="en-AU"/>
        </w:rPr>
        <w:t>As such, the initial program governance arrangements inadvertently created unrealistic expectations that the Palestinian Authority could materially direct INGO investments.</w:t>
      </w:r>
      <w:r w:rsidR="00E42BC8" w:rsidRPr="00A96337">
        <w:rPr>
          <w:lang w:val="en-AU"/>
        </w:rPr>
        <w:t xml:space="preserve"> </w:t>
      </w:r>
      <w:r w:rsidRPr="00A96337">
        <w:rPr>
          <w:lang w:val="en-AU"/>
        </w:rPr>
        <w:t>This would have had disastrous consequences for a program that needs to be nimble, light touch and responsive to market signals from producers, input suppliers and traders.</w:t>
      </w:r>
    </w:p>
    <w:p w14:paraId="01A3B9FE" w14:textId="77777777" w:rsidR="00F2286D" w:rsidRPr="00A96337" w:rsidRDefault="002F4F42" w:rsidP="006837B7">
      <w:pPr>
        <w:pStyle w:val="BodyText"/>
        <w:rPr>
          <w:lang w:val="en-AU"/>
        </w:rPr>
      </w:pPr>
      <w:r w:rsidRPr="00A96337">
        <w:rPr>
          <w:lang w:val="en-AU"/>
        </w:rPr>
        <w:t>In DFAT’s MSD experience, this program stands out by having very high-level government representation but no representatives from other market actors on the initial governing body.</w:t>
      </w:r>
      <w:r w:rsidR="00E42BC8" w:rsidRPr="00A96337">
        <w:rPr>
          <w:lang w:val="en-AU"/>
        </w:rPr>
        <w:t xml:space="preserve"> </w:t>
      </w:r>
      <w:r w:rsidRPr="00A96337">
        <w:rPr>
          <w:lang w:val="en-AU"/>
        </w:rPr>
        <w:t xml:space="preserve">Drawing on the Rapid Management Review of May 2017, DFAT realised this was an initial error of design and changed direction, abolishing the PSC and replacing it with an </w:t>
      </w:r>
      <w:r w:rsidRPr="00A96337">
        <w:rPr>
          <w:i/>
          <w:lang w:val="en-AU"/>
        </w:rPr>
        <w:t>Annual High-Level Dialogue</w:t>
      </w:r>
      <w:r w:rsidRPr="00A96337">
        <w:rPr>
          <w:lang w:val="en-AU"/>
        </w:rPr>
        <w:t xml:space="preserve"> (AHLD).</w:t>
      </w:r>
      <w:r w:rsidR="00E42BC8" w:rsidRPr="00A96337">
        <w:rPr>
          <w:lang w:val="en-AU"/>
        </w:rPr>
        <w:t xml:space="preserve"> </w:t>
      </w:r>
      <w:r w:rsidRPr="00A96337">
        <w:rPr>
          <w:lang w:val="en-AU"/>
        </w:rPr>
        <w:t>Along with a number of other factors cited by the Deputy Minister (lack of transparency or influence over budgets, perceived inefficiency, suspension of NGOs), this step ultimately led to the suspension of engagement by the MoA in the program.</w:t>
      </w:r>
    </w:p>
    <w:p w14:paraId="4F44BDF4" w14:textId="4A6B62EF" w:rsidR="002F4F42" w:rsidRPr="00A96337" w:rsidRDefault="002F4F42" w:rsidP="006837B7">
      <w:pPr>
        <w:pStyle w:val="BodyText"/>
        <w:rPr>
          <w:lang w:val="en-AU"/>
        </w:rPr>
      </w:pPr>
      <w:r w:rsidRPr="00A96337">
        <w:rPr>
          <w:lang w:val="en-AU"/>
        </w:rPr>
        <w:t xml:space="preserve">Palestinian Authority dis-engagement does create some impediments to </w:t>
      </w:r>
      <w:r w:rsidR="009B58A0" w:rsidRPr="00A96337">
        <w:rPr>
          <w:lang w:val="en-AU"/>
        </w:rPr>
        <w:t>AMENCA 3</w:t>
      </w:r>
      <w:r w:rsidRPr="00A96337">
        <w:rPr>
          <w:lang w:val="en-AU"/>
        </w:rPr>
        <w:t xml:space="preserve"> success because the program cannot effectively work with the enabling environment rule-setter, nor with the provider of public extension, subsidies and support functions that influence smallholder market access.</w:t>
      </w:r>
      <w:r w:rsidR="00E42BC8" w:rsidRPr="00A96337">
        <w:rPr>
          <w:lang w:val="en-AU"/>
        </w:rPr>
        <w:t xml:space="preserve"> </w:t>
      </w:r>
      <w:r w:rsidRPr="00A96337">
        <w:rPr>
          <w:lang w:val="en-AU"/>
        </w:rPr>
        <w:t>Implementing INGOs reinforced to the MTR team their desire for the situation to improve.</w:t>
      </w:r>
    </w:p>
    <w:p w14:paraId="2FFA5BC2" w14:textId="7D9DAD44" w:rsidR="000D2251" w:rsidRPr="00A96337" w:rsidRDefault="000D2251" w:rsidP="00F05621">
      <w:pPr>
        <w:pStyle w:val="Heading3"/>
        <w:rPr>
          <w:lang w:val="en-AU"/>
        </w:rPr>
      </w:pPr>
      <w:bookmarkStart w:id="288" w:name="_Toc12364830"/>
      <w:r w:rsidRPr="00A96337">
        <w:rPr>
          <w:lang w:val="en-AU"/>
        </w:rPr>
        <w:t>Changing Governance roles</w:t>
      </w:r>
      <w:bookmarkEnd w:id="288"/>
    </w:p>
    <w:p w14:paraId="1B381E6C" w14:textId="3B7C70A6" w:rsidR="002F4F42" w:rsidRPr="00A96337" w:rsidRDefault="002F4F42" w:rsidP="006837B7">
      <w:pPr>
        <w:pStyle w:val="BodyText"/>
        <w:rPr>
          <w:lang w:val="en-AU"/>
        </w:rPr>
      </w:pPr>
      <w:r w:rsidRPr="00A96337">
        <w:rPr>
          <w:lang w:val="en-AU"/>
        </w:rPr>
        <w:t>The review team agrees that the governing body needed to change, but it’s clear that DFAT:</w:t>
      </w:r>
    </w:p>
    <w:p w14:paraId="52F3D479" w14:textId="77777777" w:rsidR="002F4F42" w:rsidRPr="00A96337" w:rsidRDefault="002F4F42" w:rsidP="00F8335C">
      <w:pPr>
        <w:pStyle w:val="ListParagraph"/>
        <w:numPr>
          <w:ilvl w:val="0"/>
          <w:numId w:val="52"/>
        </w:numPr>
        <w:ind w:left="397" w:hanging="397"/>
      </w:pPr>
      <w:r w:rsidRPr="00A96337">
        <w:t>should have noticed the anomaly in governance roles during the design stage;</w:t>
      </w:r>
    </w:p>
    <w:p w14:paraId="6F2B0B7B" w14:textId="77777777" w:rsidR="002F4F42" w:rsidRPr="00A96337" w:rsidRDefault="002F4F42" w:rsidP="00F8335C">
      <w:pPr>
        <w:pStyle w:val="ListParagraph"/>
        <w:numPr>
          <w:ilvl w:val="0"/>
          <w:numId w:val="52"/>
        </w:numPr>
        <w:ind w:left="397" w:hanging="397"/>
      </w:pPr>
      <w:r w:rsidRPr="00A96337">
        <w:t>managed the change process more effectively; and</w:t>
      </w:r>
    </w:p>
    <w:p w14:paraId="6164729B" w14:textId="77777777" w:rsidR="002F4F42" w:rsidRPr="00A96337" w:rsidRDefault="002F4F42" w:rsidP="00F8335C">
      <w:pPr>
        <w:pStyle w:val="ListParagraph"/>
        <w:numPr>
          <w:ilvl w:val="0"/>
          <w:numId w:val="52"/>
        </w:numPr>
        <w:ind w:left="397" w:hanging="397"/>
      </w:pPr>
      <w:r w:rsidRPr="00A96337">
        <w:t>should consider whether the now AHLD provides the right forum to guide the program.</w:t>
      </w:r>
    </w:p>
    <w:p w14:paraId="658D8723" w14:textId="77777777" w:rsidR="002F4F42" w:rsidRPr="00A96337" w:rsidRDefault="002F4F42" w:rsidP="006837B7">
      <w:pPr>
        <w:pStyle w:val="BodyText"/>
        <w:rPr>
          <w:lang w:val="en-AU"/>
        </w:rPr>
      </w:pPr>
      <w:r w:rsidRPr="00A96337">
        <w:rPr>
          <w:lang w:val="en-AU"/>
        </w:rPr>
        <w:t>The AHLD was held during the review mission and worked effectively as a mechanism which brings all implementing partners together to showcase existing activities.</w:t>
      </w:r>
      <w:r w:rsidR="00E42BC8" w:rsidRPr="00A96337">
        <w:rPr>
          <w:lang w:val="en-AU"/>
        </w:rPr>
        <w:t xml:space="preserve"> </w:t>
      </w:r>
      <w:r w:rsidRPr="00A96337">
        <w:rPr>
          <w:lang w:val="en-AU"/>
        </w:rPr>
        <w:t>The review team concluded that the AHLD plays an important role in sharing good MSD practice in the Palestinian Territories, highlighting stories of change, creating a market ‘buzz’ that encourages further investment in domestic smallholder markets, and facilitating new networks between producer organisations, NGOs and the private sector.</w:t>
      </w:r>
      <w:r w:rsidR="00E42BC8" w:rsidRPr="00A96337">
        <w:rPr>
          <w:lang w:val="en-AU"/>
        </w:rPr>
        <w:t xml:space="preserve"> </w:t>
      </w:r>
      <w:r w:rsidRPr="00A96337">
        <w:rPr>
          <w:lang w:val="en-AU"/>
        </w:rPr>
        <w:t>It does not however have an effective governance function, which limits the AHLD’s capacity to help the program progressively improve as a DFAT investment.</w:t>
      </w:r>
    </w:p>
    <w:p w14:paraId="018639F6" w14:textId="77777777" w:rsidR="002F4F42" w:rsidRPr="00A96337" w:rsidRDefault="002F4F42" w:rsidP="006837B7">
      <w:pPr>
        <w:pStyle w:val="BodyText"/>
        <w:rPr>
          <w:lang w:val="en-AU"/>
        </w:rPr>
      </w:pPr>
      <w:r w:rsidRPr="00A96337">
        <w:rPr>
          <w:lang w:val="en-AU"/>
        </w:rPr>
        <w:t xml:space="preserve">Other aspects related to program coordination/governance include the </w:t>
      </w:r>
      <w:r w:rsidRPr="00A96337">
        <w:rPr>
          <w:i/>
          <w:lang w:val="en-AU"/>
        </w:rPr>
        <w:t>Technical and Performance Advisory Group</w:t>
      </w:r>
      <w:r w:rsidRPr="00A96337">
        <w:rPr>
          <w:lang w:val="en-AU"/>
        </w:rPr>
        <w:t xml:space="preserve"> (TPAG) meetings.</w:t>
      </w:r>
      <w:r w:rsidR="00E42BC8" w:rsidRPr="00A96337">
        <w:rPr>
          <w:lang w:val="en-AU"/>
        </w:rPr>
        <w:t xml:space="preserve"> </w:t>
      </w:r>
      <w:r w:rsidRPr="00A96337">
        <w:rPr>
          <w:lang w:val="en-AU"/>
        </w:rPr>
        <w:t>These provide an effective forum for reviewing and improving technical progress and help boost strategic and operational cooperation among the implementing partners.</w:t>
      </w:r>
      <w:r w:rsidR="00E42BC8" w:rsidRPr="00A96337">
        <w:rPr>
          <w:lang w:val="en-AU"/>
        </w:rPr>
        <w:t xml:space="preserve"> </w:t>
      </w:r>
      <w:r w:rsidRPr="00A96337">
        <w:rPr>
          <w:lang w:val="en-AU"/>
        </w:rPr>
        <w:t>However, legacy issues of competition and low trust between partners, and historically with Technical Advisors, is taking some time to improve to a functional and working relationship where strategic program decisions are made.</w:t>
      </w:r>
      <w:r w:rsidR="00E42BC8" w:rsidRPr="00A96337">
        <w:rPr>
          <w:lang w:val="en-AU"/>
        </w:rPr>
        <w:t xml:space="preserve"> </w:t>
      </w:r>
      <w:r w:rsidRPr="00A96337">
        <w:rPr>
          <w:lang w:val="en-AU"/>
        </w:rPr>
        <w:t>The TPAG has limited capacity to improve coordination or deal with high level opportunities, threats or challenges.</w:t>
      </w:r>
      <w:r w:rsidR="00E42BC8" w:rsidRPr="00A96337">
        <w:rPr>
          <w:lang w:val="en-AU"/>
        </w:rPr>
        <w:t xml:space="preserve"> </w:t>
      </w:r>
    </w:p>
    <w:p w14:paraId="156A4998" w14:textId="088641C3" w:rsidR="002F4F42" w:rsidRPr="00A96337" w:rsidRDefault="002F4F42" w:rsidP="006837B7">
      <w:pPr>
        <w:pStyle w:val="BodyText"/>
        <w:rPr>
          <w:lang w:val="en-AU"/>
        </w:rPr>
      </w:pPr>
      <w:r w:rsidRPr="00A96337">
        <w:rPr>
          <w:lang w:val="en-AU"/>
        </w:rPr>
        <w:t xml:space="preserve">What does DFAT need from </w:t>
      </w:r>
      <w:r w:rsidR="009B58A0" w:rsidRPr="00A96337">
        <w:rPr>
          <w:lang w:val="en-AU"/>
        </w:rPr>
        <w:t>AMENCA 3</w:t>
      </w:r>
      <w:r w:rsidRPr="00A96337">
        <w:rPr>
          <w:lang w:val="en-AU"/>
        </w:rPr>
        <w:t xml:space="preserve"> governance arrangements?</w:t>
      </w:r>
    </w:p>
    <w:p w14:paraId="2995FAAD" w14:textId="77777777" w:rsidR="002F4F42" w:rsidRPr="00A96337" w:rsidRDefault="002F4F42" w:rsidP="00E50F49">
      <w:pPr>
        <w:pStyle w:val="Dotpoint"/>
      </w:pPr>
      <w:r w:rsidRPr="00A96337">
        <w:rPr>
          <w:b/>
          <w:bCs/>
        </w:rPr>
        <w:t>Engagement:</w:t>
      </w:r>
      <w:r w:rsidRPr="00A96337">
        <w:t xml:space="preserve"> a mechanism for engaging Palestinian Territory government, private sector and producer groups in the program.</w:t>
      </w:r>
    </w:p>
    <w:p w14:paraId="79BE9580" w14:textId="77777777" w:rsidR="002F4F42" w:rsidRPr="00A96337" w:rsidRDefault="002F4F42" w:rsidP="00E50F49">
      <w:pPr>
        <w:pStyle w:val="Dotpoint"/>
      </w:pPr>
      <w:r w:rsidRPr="00A96337">
        <w:rPr>
          <w:b/>
          <w:bCs/>
        </w:rPr>
        <w:t>Coordination:</w:t>
      </w:r>
      <w:r w:rsidRPr="00A96337">
        <w:t xml:space="preserve"> a way to help the implementing INGOs to work together to generate better results.</w:t>
      </w:r>
    </w:p>
    <w:p w14:paraId="2FD3CABF" w14:textId="77777777" w:rsidR="002F4F42" w:rsidRPr="00A96337" w:rsidRDefault="002F4F42" w:rsidP="00E50F49">
      <w:pPr>
        <w:pStyle w:val="Dotpoint"/>
      </w:pPr>
      <w:r w:rsidRPr="00A96337">
        <w:rPr>
          <w:b/>
          <w:bCs/>
        </w:rPr>
        <w:t>Environment scanning:</w:t>
      </w:r>
      <w:r w:rsidRPr="00A96337">
        <w:t xml:space="preserve"> consideration of emerging Palestinian Territory-wide opportunities, threats, challenges and risks that impact the program.</w:t>
      </w:r>
    </w:p>
    <w:p w14:paraId="6B15D65A" w14:textId="77777777" w:rsidR="002F4F42" w:rsidRPr="00A96337" w:rsidRDefault="002F4F42" w:rsidP="00E50F49">
      <w:pPr>
        <w:pStyle w:val="Dotpoint"/>
      </w:pPr>
      <w:r w:rsidRPr="00A96337">
        <w:rPr>
          <w:b/>
          <w:bCs/>
        </w:rPr>
        <w:t>Efficiency:</w:t>
      </w:r>
      <w:r w:rsidRPr="00A96337">
        <w:t xml:space="preserve"> how to streamline arrangements such as technical advice, reporting and communications.</w:t>
      </w:r>
    </w:p>
    <w:p w14:paraId="3FCD3A26" w14:textId="77777777" w:rsidR="002F4F42" w:rsidRPr="00A96337" w:rsidRDefault="002F4F42" w:rsidP="00E50F49">
      <w:pPr>
        <w:pStyle w:val="Dotpoint"/>
      </w:pPr>
      <w:r w:rsidRPr="00A96337">
        <w:rPr>
          <w:b/>
          <w:bCs/>
        </w:rPr>
        <w:t>Safeguards:</w:t>
      </w:r>
      <w:r w:rsidRPr="00A96337">
        <w:t xml:space="preserve"> ensuring INGOs have appropriate arrangements in place.</w:t>
      </w:r>
    </w:p>
    <w:p w14:paraId="3F3C9C98" w14:textId="004EBF46" w:rsidR="002F4F42" w:rsidRPr="00A96337" w:rsidRDefault="002F4F42" w:rsidP="00E50F49">
      <w:pPr>
        <w:pStyle w:val="Dotpoint"/>
      </w:pPr>
      <w:r w:rsidRPr="00A96337">
        <w:rPr>
          <w:b/>
          <w:bCs/>
        </w:rPr>
        <w:t>Reporting:</w:t>
      </w:r>
      <w:r w:rsidRPr="00A96337">
        <w:t xml:space="preserve"> </w:t>
      </w:r>
      <w:r w:rsidR="004302EA" w:rsidRPr="00A96337">
        <w:t>comment on</w:t>
      </w:r>
      <w:r w:rsidRPr="00A96337">
        <w:t xml:space="preserve"> INGO and </w:t>
      </w:r>
      <w:r w:rsidR="009B58A0" w:rsidRPr="00A96337">
        <w:t>AMENCA 3</w:t>
      </w:r>
      <w:r w:rsidRPr="00A96337">
        <w:t xml:space="preserve"> reports.</w:t>
      </w:r>
    </w:p>
    <w:p w14:paraId="472C81BE" w14:textId="68A1F342" w:rsidR="001756BC" w:rsidRPr="00A96337" w:rsidRDefault="002F4F42" w:rsidP="000F15FB">
      <w:pPr>
        <w:pStyle w:val="Dotpoint"/>
        <w:spacing w:after="240"/>
        <w:ind w:left="357" w:hanging="357"/>
      </w:pPr>
      <w:r w:rsidRPr="00A96337">
        <w:rPr>
          <w:b/>
          <w:bCs/>
        </w:rPr>
        <w:t>Planning:</w:t>
      </w:r>
      <w:r w:rsidRPr="00A96337">
        <w:t xml:space="preserve"> </w:t>
      </w:r>
      <w:r w:rsidR="000F15FB" w:rsidRPr="00A96337">
        <w:t>comment on</w:t>
      </w:r>
      <w:r w:rsidRPr="00A96337">
        <w:t xml:space="preserve"> INGO workplans (note: budgets envelopes for each INGO are pre-determined by DFAT).</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1756BC" w:rsidRPr="00A96337" w14:paraId="5AA9AD63" w14:textId="77777777" w:rsidTr="001756BC">
        <w:trPr>
          <w:trHeight w:val="1207"/>
        </w:trPr>
        <w:tc>
          <w:tcPr>
            <w:tcW w:w="709" w:type="dxa"/>
          </w:tcPr>
          <w:p w14:paraId="2B73A398" w14:textId="77777777" w:rsidR="00450A35" w:rsidRPr="00A96337" w:rsidRDefault="00450A35" w:rsidP="000E1846">
            <w:pPr>
              <w:pStyle w:val="IntenseQuote"/>
              <w:pBdr>
                <w:bottom w:val="none" w:sz="0" w:space="0" w:color="auto"/>
              </w:pBdr>
              <w:spacing w:before="120" w:after="120" w:line="259" w:lineRule="auto"/>
              <w:ind w:left="0" w:right="124"/>
              <w:rPr>
                <w:rFonts w:ascii="Arial" w:hAnsi="Arial" w:cs="Arial"/>
                <w:i w:val="0"/>
                <w:color w:val="5482AB"/>
              </w:rPr>
            </w:pPr>
            <w:r w:rsidRPr="00A96337">
              <w:rPr>
                <w:rFonts w:ascii="Arial" w:hAnsi="Arial" w:cs="Arial"/>
                <w:i w:val="0"/>
                <w:noProof/>
                <w:color w:val="5482AB"/>
                <w:lang w:eastAsia="en-AU"/>
              </w:rPr>
              <w:drawing>
                <wp:inline distT="0" distB="0" distL="0" distR="0" wp14:anchorId="3A6D9D43" wp14:editId="1A36D534">
                  <wp:extent cx="267419" cy="33084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307" w:type="dxa"/>
          </w:tcPr>
          <w:p w14:paraId="0E57D597" w14:textId="24B0A558" w:rsidR="00450A35" w:rsidRPr="00A96337" w:rsidRDefault="00393B70" w:rsidP="00F8335C">
            <w:pPr>
              <w:pStyle w:val="IntenseQuote"/>
              <w:numPr>
                <w:ilvl w:val="0"/>
                <w:numId w:val="30"/>
              </w:numPr>
              <w:pBdr>
                <w:bottom w:val="none" w:sz="0" w:space="0" w:color="auto"/>
              </w:pBdr>
              <w:spacing w:before="120" w:after="120" w:line="259" w:lineRule="auto"/>
              <w:ind w:left="0" w:right="0" w:firstLine="0"/>
              <w:rPr>
                <w:rFonts w:ascii="Arial" w:hAnsi="Arial" w:cs="Arial"/>
                <w:i w:val="0"/>
                <w:color w:val="5482AB"/>
              </w:rPr>
            </w:pPr>
            <w:bookmarkStart w:id="289" w:name="_Ref11933224"/>
            <w:r w:rsidRPr="00A96337">
              <w:rPr>
                <w:rFonts w:ascii="Arial" w:hAnsi="Arial" w:cs="Arial"/>
                <w:i w:val="0"/>
                <w:color w:val="5482AB"/>
              </w:rPr>
              <w:t>AHLD Key Stakeholder Group:</w:t>
            </w:r>
            <w:r w:rsidRPr="00A96337">
              <w:rPr>
                <w:rFonts w:ascii="Arial" w:hAnsi="Arial" w:cs="Arial"/>
                <w:b w:val="0"/>
                <w:bCs w:val="0"/>
                <w:i w:val="0"/>
                <w:color w:val="5482AB"/>
              </w:rPr>
              <w:t xml:space="preserve"> DFAT should adapt the AHLD format. DFAT should retain the conference and exposition format and add a formal half-day meeting of a select Key Stakeholder Group (comprised of appropriate representatives from DFAT, </w:t>
            </w:r>
            <w:r w:rsidR="0048350E" w:rsidRPr="00A96337">
              <w:rPr>
                <w:rFonts w:ascii="Arial" w:hAnsi="Arial" w:cs="Arial"/>
                <w:b w:val="0"/>
                <w:bCs w:val="0"/>
                <w:i w:val="0"/>
                <w:color w:val="5482AB"/>
              </w:rPr>
              <w:t>I</w:t>
            </w:r>
            <w:r w:rsidRPr="00A96337">
              <w:rPr>
                <w:rFonts w:ascii="Arial" w:hAnsi="Arial" w:cs="Arial"/>
                <w:b w:val="0"/>
                <w:bCs w:val="0"/>
                <w:i w:val="0"/>
                <w:color w:val="5482AB"/>
              </w:rPr>
              <w:t xml:space="preserve">NGOs, </w:t>
            </w:r>
            <w:r w:rsidR="0048350E" w:rsidRPr="00A96337">
              <w:rPr>
                <w:rFonts w:ascii="Arial" w:hAnsi="Arial" w:cs="Arial"/>
                <w:b w:val="0"/>
                <w:bCs w:val="0"/>
                <w:i w:val="0"/>
                <w:color w:val="5482AB"/>
              </w:rPr>
              <w:t>the Palestinian Authority</w:t>
            </w:r>
            <w:r w:rsidRPr="00A96337">
              <w:rPr>
                <w:rFonts w:ascii="Arial" w:hAnsi="Arial" w:cs="Arial"/>
                <w:b w:val="0"/>
                <w:bCs w:val="0"/>
                <w:i w:val="0"/>
                <w:color w:val="5482AB"/>
              </w:rPr>
              <w:t xml:space="preserve">, </w:t>
            </w:r>
            <w:r w:rsidR="003B3644" w:rsidRPr="00A96337">
              <w:rPr>
                <w:rFonts w:ascii="Arial" w:hAnsi="Arial" w:cs="Arial"/>
                <w:b w:val="0"/>
                <w:bCs w:val="0"/>
                <w:i w:val="0"/>
                <w:color w:val="5482AB"/>
              </w:rPr>
              <w:t xml:space="preserve">local </w:t>
            </w:r>
            <w:r w:rsidRPr="00A96337">
              <w:rPr>
                <w:rFonts w:ascii="Arial" w:hAnsi="Arial" w:cs="Arial"/>
                <w:b w:val="0"/>
                <w:bCs w:val="0"/>
                <w:i w:val="0"/>
                <w:color w:val="5482AB"/>
              </w:rPr>
              <w:t>NGOs</w:t>
            </w:r>
            <w:r w:rsidR="003B3644" w:rsidRPr="00A96337">
              <w:rPr>
                <w:rFonts w:ascii="Arial" w:hAnsi="Arial" w:cs="Arial"/>
                <w:b w:val="0"/>
                <w:bCs w:val="0"/>
                <w:i w:val="0"/>
                <w:color w:val="5482AB"/>
              </w:rPr>
              <w:t>, the</w:t>
            </w:r>
            <w:r w:rsidRPr="00A96337">
              <w:rPr>
                <w:rFonts w:ascii="Arial" w:hAnsi="Arial" w:cs="Arial"/>
                <w:b w:val="0"/>
                <w:bCs w:val="0"/>
                <w:i w:val="0"/>
                <w:color w:val="5482AB"/>
              </w:rPr>
              <w:t xml:space="preserve"> private </w:t>
            </w:r>
            <w:r w:rsidR="003B3644" w:rsidRPr="00A96337">
              <w:rPr>
                <w:rFonts w:ascii="Arial" w:hAnsi="Arial" w:cs="Arial"/>
                <w:b w:val="0"/>
                <w:bCs w:val="0"/>
                <w:i w:val="0"/>
                <w:color w:val="5482AB"/>
              </w:rPr>
              <w:t>sector</w:t>
            </w:r>
            <w:r w:rsidRPr="00A96337">
              <w:rPr>
                <w:rFonts w:ascii="Arial" w:hAnsi="Arial" w:cs="Arial"/>
                <w:b w:val="0"/>
                <w:bCs w:val="0"/>
                <w:i w:val="0"/>
                <w:color w:val="5482AB"/>
              </w:rPr>
              <w:t xml:space="preserve"> and producer associations).</w:t>
            </w:r>
            <w:bookmarkEnd w:id="289"/>
          </w:p>
        </w:tc>
      </w:tr>
    </w:tbl>
    <w:p w14:paraId="6A57D4FB" w14:textId="77777777" w:rsidR="002F4F42" w:rsidRPr="00A96337" w:rsidRDefault="002F4F42" w:rsidP="000E1846">
      <w:pPr>
        <w:pStyle w:val="BodyText"/>
        <w:spacing w:before="240"/>
        <w:rPr>
          <w:sz w:val="24"/>
          <w:szCs w:val="24"/>
          <w:lang w:val="en-AU"/>
        </w:rPr>
      </w:pPr>
      <w:r w:rsidRPr="00A96337">
        <w:rPr>
          <w:lang w:val="en-AU"/>
        </w:rPr>
        <w:t>The stakeholder group could include:</w:t>
      </w:r>
    </w:p>
    <w:p w14:paraId="46929E3D" w14:textId="77777777" w:rsidR="002F4F42" w:rsidRPr="00A96337" w:rsidRDefault="002F4F42" w:rsidP="00E50F49">
      <w:pPr>
        <w:pStyle w:val="Dotpoint"/>
      </w:pPr>
      <w:r w:rsidRPr="00A96337">
        <w:t xml:space="preserve">DFAT (program manager level) </w:t>
      </w:r>
    </w:p>
    <w:p w14:paraId="01CD6A13" w14:textId="77777777" w:rsidR="002F4F42" w:rsidRPr="00A96337" w:rsidRDefault="002F4F42" w:rsidP="00E50F49">
      <w:pPr>
        <w:pStyle w:val="Dotpoint"/>
      </w:pPr>
      <w:r w:rsidRPr="00A96337">
        <w:t>Representatives of each of the implementing NGOs</w:t>
      </w:r>
    </w:p>
    <w:p w14:paraId="406AFB32" w14:textId="77777777" w:rsidR="002F4F42" w:rsidRPr="00A96337" w:rsidRDefault="002F4F42" w:rsidP="00E50F49">
      <w:pPr>
        <w:pStyle w:val="Dotpoint"/>
      </w:pPr>
      <w:r w:rsidRPr="00A96337">
        <w:t>Representative from the Palestinian Authority (operational level)</w:t>
      </w:r>
    </w:p>
    <w:p w14:paraId="63339205" w14:textId="77777777" w:rsidR="002F4F42" w:rsidRPr="00A96337" w:rsidRDefault="002F4F42" w:rsidP="00E50F49">
      <w:pPr>
        <w:pStyle w:val="Dotpoint"/>
      </w:pPr>
      <w:r w:rsidRPr="00A96337">
        <w:t>Producer group representative (with no conflict of interest, e.g. from a cooperative peak body)</w:t>
      </w:r>
    </w:p>
    <w:p w14:paraId="4C75A707" w14:textId="77777777" w:rsidR="002F4F42" w:rsidRPr="00A96337" w:rsidRDefault="002F4F42" w:rsidP="00E50F49">
      <w:pPr>
        <w:pStyle w:val="Dotpoint"/>
      </w:pPr>
      <w:r w:rsidRPr="00A96337">
        <w:t>Representatives of the key categories of women and youth</w:t>
      </w:r>
    </w:p>
    <w:p w14:paraId="58958FE2" w14:textId="5DBA1634" w:rsidR="002F4F42" w:rsidRPr="00A96337" w:rsidRDefault="002F4F42" w:rsidP="00E50F49">
      <w:pPr>
        <w:pStyle w:val="Dotpoint"/>
      </w:pPr>
      <w:r w:rsidRPr="00A96337">
        <w:t>Private sector representative (with no conflict of interest, e.g. from a chamber of commerce or an agribusiness industry group)</w:t>
      </w:r>
    </w:p>
    <w:p w14:paraId="08100673" w14:textId="77777777" w:rsidR="00F5178F" w:rsidRPr="00A96337" w:rsidRDefault="00F5178F" w:rsidP="00F05621">
      <w:pPr>
        <w:pStyle w:val="Heading3"/>
        <w:rPr>
          <w:lang w:val="en-AU"/>
        </w:rPr>
      </w:pPr>
      <w:bookmarkStart w:id="290" w:name="_Toc12364831"/>
      <w:r w:rsidRPr="00A96337">
        <w:rPr>
          <w:lang w:val="en-AU"/>
        </w:rPr>
        <w:t>Cross-donor harmonisation</w:t>
      </w:r>
      <w:bookmarkEnd w:id="290"/>
    </w:p>
    <w:p w14:paraId="2A9F6030" w14:textId="08D0FD92" w:rsidR="006370C8" w:rsidRPr="00A96337" w:rsidRDefault="009B58A0" w:rsidP="006370C8">
      <w:pPr>
        <w:pStyle w:val="BodyText"/>
        <w:spacing w:before="240"/>
        <w:rPr>
          <w:lang w:val="en-AU"/>
        </w:rPr>
      </w:pPr>
      <w:r w:rsidRPr="00A96337">
        <w:rPr>
          <w:lang w:val="en-AU"/>
        </w:rPr>
        <w:t>AMENCA 3</w:t>
      </w:r>
      <w:r w:rsidR="002F4F42" w:rsidRPr="00A96337">
        <w:rPr>
          <w:lang w:val="en-AU"/>
        </w:rPr>
        <w:t xml:space="preserve"> undertook extensive consultation with all agriculture donors in early 2018.</w:t>
      </w:r>
      <w:r w:rsidR="00E42BC8" w:rsidRPr="00A96337">
        <w:rPr>
          <w:lang w:val="en-AU"/>
        </w:rPr>
        <w:t xml:space="preserve"> </w:t>
      </w:r>
      <w:r w:rsidR="002F4F42" w:rsidRPr="00A96337">
        <w:rPr>
          <w:lang w:val="en-AU"/>
        </w:rPr>
        <w:t xml:space="preserve">This not only revealed a disturbing lack of understanding between donors but also an enthusiasm for a donor consultation group focused on Market Systems Development </w:t>
      </w:r>
      <w:sdt>
        <w:sdtPr>
          <w:rPr>
            <w:lang w:val="en-AU"/>
          </w:rPr>
          <w:id w:val="1356929614"/>
          <w:citation/>
        </w:sdtPr>
        <w:sdtEndPr/>
        <w:sdtContent>
          <w:r w:rsidR="002F4F42" w:rsidRPr="00A96337">
            <w:rPr>
              <w:lang w:val="en-AU"/>
            </w:rPr>
            <w:fldChar w:fldCharType="begin"/>
          </w:r>
          <w:r w:rsidR="002F4F42" w:rsidRPr="00A96337">
            <w:rPr>
              <w:lang w:val="en-AU"/>
            </w:rPr>
            <w:instrText xml:space="preserve">CITATION Sha181 \l 5129 </w:instrText>
          </w:r>
          <w:r w:rsidR="002F4F42" w:rsidRPr="00A96337">
            <w:rPr>
              <w:lang w:val="en-AU"/>
            </w:rPr>
            <w:fldChar w:fldCharType="separate"/>
          </w:r>
          <w:r w:rsidR="00593D9F" w:rsidRPr="00593D9F">
            <w:rPr>
              <w:noProof/>
              <w:lang w:val="en-AU"/>
            </w:rPr>
            <w:t>(Shamieh, February 2018)</w:t>
          </w:r>
          <w:r w:rsidR="002F4F42" w:rsidRPr="00A96337">
            <w:rPr>
              <w:lang w:val="en-AU"/>
            </w:rPr>
            <w:fldChar w:fldCharType="end"/>
          </w:r>
        </w:sdtContent>
      </w:sdt>
      <w:r w:rsidR="002F4F42" w:rsidRPr="00A96337">
        <w:rPr>
          <w:lang w:val="en-AU"/>
        </w:rPr>
        <w:t>.</w:t>
      </w:r>
      <w:r w:rsidR="00E42BC8" w:rsidRPr="00A96337">
        <w:rPr>
          <w:lang w:val="en-AU"/>
        </w:rPr>
        <w:t xml:space="preserve"> </w:t>
      </w:r>
      <w:r w:rsidR="00B15C25" w:rsidRPr="00A96337">
        <w:rPr>
          <w:lang w:val="en-AU"/>
        </w:rPr>
        <w:t xml:space="preserve">Currently minimal formal mechanisms for engagement and interaction between </w:t>
      </w:r>
      <w:r w:rsidR="006370C8" w:rsidRPr="00A96337">
        <w:rPr>
          <w:lang w:val="en-AU"/>
        </w:rPr>
        <w:t>MSD</w:t>
      </w:r>
      <w:r w:rsidR="00B15C25" w:rsidRPr="00A96337">
        <w:rPr>
          <w:lang w:val="en-AU"/>
        </w:rPr>
        <w:t xml:space="preserve"> donors (Australia, CIDA, SDC and DANIDA) exist. </w:t>
      </w:r>
      <w:r w:rsidR="004B20BE" w:rsidRPr="00A96337">
        <w:rPr>
          <w:lang w:val="en-AU"/>
        </w:rPr>
        <w:t xml:space="preserve">This study also identified other actors using complementary approaches, including the FAO which is leading three agriculture initiatives that aspire to a value chain approach, although the activity so far has been largely based on direct intervention and humanitarian assistance </w:t>
      </w:r>
      <w:sdt>
        <w:sdtPr>
          <w:rPr>
            <w:lang w:val="en-AU"/>
          </w:rPr>
          <w:id w:val="1928840316"/>
          <w:citation/>
        </w:sdtPr>
        <w:sdtEndPr/>
        <w:sdtContent>
          <w:r w:rsidR="004B20BE" w:rsidRPr="00A96337">
            <w:rPr>
              <w:lang w:val="en-AU"/>
            </w:rPr>
            <w:fldChar w:fldCharType="begin"/>
          </w:r>
          <w:r w:rsidR="004B20BE" w:rsidRPr="00A96337">
            <w:rPr>
              <w:lang w:val="en-AU"/>
            </w:rPr>
            <w:instrText xml:space="preserve"> CITATION FAO17 \l 5129 </w:instrText>
          </w:r>
          <w:r w:rsidR="004B20BE" w:rsidRPr="00A96337">
            <w:rPr>
              <w:lang w:val="en-AU"/>
            </w:rPr>
            <w:fldChar w:fldCharType="separate"/>
          </w:r>
          <w:r w:rsidR="00593D9F" w:rsidRPr="00593D9F">
            <w:rPr>
              <w:noProof/>
              <w:lang w:val="en-AU"/>
            </w:rPr>
            <w:t>(FAO, August 2017)</w:t>
          </w:r>
          <w:r w:rsidR="004B20BE" w:rsidRPr="00A96337">
            <w:rPr>
              <w:lang w:val="en-AU"/>
            </w:rPr>
            <w:fldChar w:fldCharType="end"/>
          </w:r>
        </w:sdtContent>
      </w:sdt>
      <w:r w:rsidR="004B20BE" w:rsidRPr="00A96337">
        <w:rPr>
          <w:lang w:val="en-AU"/>
        </w:rPr>
        <w:t xml:space="preserve">.  </w:t>
      </w:r>
      <w:r w:rsidR="002F4F42" w:rsidRPr="00A96337">
        <w:rPr>
          <w:lang w:val="en-AU"/>
        </w:rPr>
        <w:t xml:space="preserve">While groups such as the </w:t>
      </w:r>
      <w:r w:rsidR="002F4F42" w:rsidRPr="00A96337">
        <w:rPr>
          <w:i/>
          <w:iCs/>
          <w:lang w:val="en-AU"/>
        </w:rPr>
        <w:t>Agriculture Sector Working Group</w:t>
      </w:r>
      <w:r w:rsidR="002F4F42" w:rsidRPr="00A96337">
        <w:rPr>
          <w:lang w:val="en-AU"/>
        </w:rPr>
        <w:t xml:space="preserve"> meet regularly, its mandate and membership </w:t>
      </w:r>
      <w:r w:rsidR="009B545A" w:rsidRPr="00A96337">
        <w:rPr>
          <w:lang w:val="en-AU"/>
        </w:rPr>
        <w:t>are</w:t>
      </w:r>
      <w:r w:rsidR="002F4F42" w:rsidRPr="00A96337">
        <w:rPr>
          <w:lang w:val="en-AU"/>
        </w:rPr>
        <w:t xml:space="preserve"> </w:t>
      </w:r>
      <w:r w:rsidR="006370C8" w:rsidRPr="00A96337">
        <w:rPr>
          <w:lang w:val="en-AU"/>
        </w:rPr>
        <w:t xml:space="preserve">too </w:t>
      </w:r>
      <w:r w:rsidR="003C38BB" w:rsidRPr="00A96337">
        <w:rPr>
          <w:lang w:val="en-AU"/>
        </w:rPr>
        <w:t>broad,</w:t>
      </w:r>
      <w:r w:rsidR="002F4F42" w:rsidRPr="00A96337">
        <w:rPr>
          <w:lang w:val="en-AU"/>
        </w:rPr>
        <w:t xml:space="preserve"> and its meetings are not necessarily effective.</w:t>
      </w:r>
      <w:r w:rsidR="00E42BC8" w:rsidRPr="00A96337">
        <w:rPr>
          <w:lang w:val="en-AU"/>
        </w:rPr>
        <w:t xml:space="preserve"> </w:t>
      </w:r>
    </w:p>
    <w:p w14:paraId="33B57E79" w14:textId="7B1D4E2C" w:rsidR="001756BC" w:rsidRPr="00A96337" w:rsidRDefault="002F4F42" w:rsidP="000E1846">
      <w:pPr>
        <w:pStyle w:val="BodyText"/>
        <w:spacing w:after="240"/>
        <w:rPr>
          <w:lang w:val="en-AU"/>
        </w:rPr>
      </w:pPr>
      <w:r w:rsidRPr="00A96337">
        <w:rPr>
          <w:lang w:val="en-AU"/>
        </w:rPr>
        <w:t xml:space="preserve">There appears to be </w:t>
      </w:r>
      <w:r w:rsidR="009E0893" w:rsidRPr="00A96337">
        <w:rPr>
          <w:lang w:val="en-AU"/>
        </w:rPr>
        <w:t>an</w:t>
      </w:r>
      <w:r w:rsidRPr="00A96337">
        <w:rPr>
          <w:lang w:val="en-AU"/>
        </w:rPr>
        <w:t xml:space="preserve"> opportunit</w:t>
      </w:r>
      <w:r w:rsidR="009E0893" w:rsidRPr="00A96337">
        <w:rPr>
          <w:lang w:val="en-AU"/>
        </w:rPr>
        <w:t>y</w:t>
      </w:r>
      <w:r w:rsidRPr="00A96337">
        <w:rPr>
          <w:lang w:val="en-AU"/>
        </w:rPr>
        <w:t xml:space="preserve"> </w:t>
      </w:r>
      <w:r w:rsidR="009E0893" w:rsidRPr="00A96337">
        <w:rPr>
          <w:lang w:val="en-AU"/>
        </w:rPr>
        <w:t xml:space="preserve">for like-minded MSD donors to </w:t>
      </w:r>
      <w:r w:rsidR="00D130B1" w:rsidRPr="00A96337">
        <w:rPr>
          <w:lang w:val="en-AU"/>
        </w:rPr>
        <w:t>work together</w:t>
      </w:r>
      <w:r w:rsidRPr="00A96337">
        <w:rPr>
          <w:lang w:val="en-AU"/>
        </w:rPr>
        <w:t xml:space="preserve"> to engage in meaningful policy dialogue with the Palestinian Authority</w:t>
      </w:r>
      <w:r w:rsidR="00D130B1" w:rsidRPr="00A96337">
        <w:rPr>
          <w:lang w:val="en-AU"/>
        </w:rPr>
        <w:t>,</w:t>
      </w:r>
      <w:r w:rsidRPr="00A96337">
        <w:rPr>
          <w:lang w:val="en-AU"/>
        </w:rPr>
        <w:t xml:space="preserve"> to influence outcomes</w:t>
      </w:r>
      <w:r w:rsidR="00D130B1" w:rsidRPr="00A96337">
        <w:rPr>
          <w:lang w:val="en-AU"/>
        </w:rPr>
        <w:t>,</w:t>
      </w:r>
      <w:r w:rsidRPr="00A96337">
        <w:rPr>
          <w:lang w:val="en-AU"/>
        </w:rPr>
        <w:t xml:space="preserve"> and to harmonise donor efforts. </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1756BC" w:rsidRPr="00A96337" w14:paraId="1738FF7A" w14:textId="77777777" w:rsidTr="006816A9">
        <w:trPr>
          <w:trHeight w:val="636"/>
        </w:trPr>
        <w:tc>
          <w:tcPr>
            <w:tcW w:w="709" w:type="dxa"/>
          </w:tcPr>
          <w:p w14:paraId="167DDC02" w14:textId="77777777" w:rsidR="00450A35" w:rsidRPr="00A96337" w:rsidRDefault="00450A35" w:rsidP="001756BC">
            <w:pPr>
              <w:pStyle w:val="IntenseQuote"/>
              <w:pBdr>
                <w:bottom w:val="none" w:sz="0" w:space="0" w:color="auto"/>
              </w:pBdr>
              <w:spacing w:before="120" w:after="120" w:line="259" w:lineRule="auto"/>
              <w:ind w:left="0" w:right="124"/>
              <w:rPr>
                <w:rFonts w:ascii="Arial" w:hAnsi="Arial" w:cs="Arial"/>
                <w:i w:val="0"/>
                <w:color w:val="5482AB"/>
              </w:rPr>
            </w:pPr>
            <w:r w:rsidRPr="00A96337">
              <w:rPr>
                <w:rFonts w:ascii="Arial" w:hAnsi="Arial" w:cs="Arial"/>
                <w:i w:val="0"/>
                <w:noProof/>
                <w:color w:val="5482AB"/>
                <w:lang w:eastAsia="en-AU"/>
              </w:rPr>
              <w:drawing>
                <wp:inline distT="0" distB="0" distL="0" distR="0" wp14:anchorId="00ADA47F" wp14:editId="208C3FF4">
                  <wp:extent cx="267419" cy="330844"/>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307" w:type="dxa"/>
          </w:tcPr>
          <w:p w14:paraId="756DFABC" w14:textId="68D8A6A0" w:rsidR="00450A35" w:rsidRPr="00A96337" w:rsidRDefault="005A02AA" w:rsidP="00F8335C">
            <w:pPr>
              <w:pStyle w:val="IntenseQuote"/>
              <w:numPr>
                <w:ilvl w:val="0"/>
                <w:numId w:val="30"/>
              </w:numPr>
              <w:pBdr>
                <w:bottom w:val="none" w:sz="0" w:space="0" w:color="auto"/>
              </w:pBdr>
              <w:spacing w:before="120" w:after="120" w:line="259" w:lineRule="auto"/>
              <w:ind w:left="0" w:right="0" w:firstLine="0"/>
              <w:rPr>
                <w:rFonts w:ascii="Arial" w:hAnsi="Arial" w:cs="Arial"/>
                <w:i w:val="0"/>
                <w:color w:val="5482AB"/>
              </w:rPr>
            </w:pPr>
            <w:bookmarkStart w:id="291" w:name="_Ref8898804"/>
            <w:r w:rsidRPr="00A96337">
              <w:rPr>
                <w:rFonts w:ascii="Arial" w:hAnsi="Arial" w:cs="Arial"/>
                <w:i w:val="0"/>
                <w:color w:val="5482AB"/>
              </w:rPr>
              <w:t xml:space="preserve">Community of Practice: </w:t>
            </w:r>
            <w:r w:rsidR="00C1667E" w:rsidRPr="00A96337">
              <w:rPr>
                <w:rFonts w:ascii="Arial" w:hAnsi="Arial"/>
                <w:b w:val="0"/>
                <w:i w:val="0"/>
                <w:color w:val="5482AB"/>
              </w:rPr>
              <w:t xml:space="preserve">Australia could work with other donors to form or strengthen a Market Systems Development working group or sub-group to harmonise donor efforts and share good practice across the development community </w:t>
            </w:r>
            <w:r w:rsidRPr="00A96337">
              <w:rPr>
                <w:rFonts w:ascii="Arial" w:hAnsi="Arial" w:cs="Arial"/>
                <w:b w:val="0"/>
                <w:i w:val="0"/>
                <w:color w:val="5482AB"/>
              </w:rPr>
              <w:t xml:space="preserve">in </w:t>
            </w:r>
            <w:r w:rsidR="00131407" w:rsidRPr="00A96337">
              <w:rPr>
                <w:rFonts w:ascii="Arial" w:hAnsi="Arial" w:cs="Arial"/>
                <w:b w:val="0"/>
                <w:i w:val="0"/>
                <w:color w:val="5482AB"/>
              </w:rPr>
              <w:t>the Palestinian Territories.</w:t>
            </w:r>
            <w:bookmarkEnd w:id="291"/>
          </w:p>
        </w:tc>
      </w:tr>
    </w:tbl>
    <w:p w14:paraId="2F7CB47F" w14:textId="77777777" w:rsidR="002F4F42" w:rsidRPr="00A96337" w:rsidRDefault="002F4F42" w:rsidP="00F8335C">
      <w:pPr>
        <w:pStyle w:val="Heading2"/>
        <w:ind w:left="851" w:hanging="851"/>
      </w:pPr>
      <w:bookmarkStart w:id="292" w:name="_Toc7238695"/>
      <w:bookmarkStart w:id="293" w:name="_Toc7238808"/>
      <w:bookmarkStart w:id="294" w:name="_Toc7959526"/>
      <w:bookmarkStart w:id="295" w:name="_Toc7959659"/>
      <w:bookmarkStart w:id="296" w:name="_Toc8130917"/>
      <w:bookmarkStart w:id="297" w:name="_Toc7238696"/>
      <w:bookmarkStart w:id="298" w:name="_Toc7238809"/>
      <w:bookmarkStart w:id="299" w:name="_Toc7959527"/>
      <w:bookmarkStart w:id="300" w:name="_Toc7959660"/>
      <w:bookmarkStart w:id="301" w:name="_Toc8130918"/>
      <w:bookmarkStart w:id="302" w:name="_Toc7238700"/>
      <w:bookmarkStart w:id="303" w:name="_Toc7238813"/>
      <w:bookmarkStart w:id="304" w:name="_Toc7959531"/>
      <w:bookmarkStart w:id="305" w:name="_Toc7959664"/>
      <w:bookmarkStart w:id="306" w:name="_Toc8130922"/>
      <w:bookmarkStart w:id="307" w:name="_Toc7238701"/>
      <w:bookmarkStart w:id="308" w:name="_Toc7238814"/>
      <w:bookmarkStart w:id="309" w:name="_Toc7959532"/>
      <w:bookmarkStart w:id="310" w:name="_Toc7959665"/>
      <w:bookmarkStart w:id="311" w:name="_Toc8130923"/>
      <w:bookmarkStart w:id="312" w:name="_Toc7238702"/>
      <w:bookmarkStart w:id="313" w:name="_Toc7238815"/>
      <w:bookmarkStart w:id="314" w:name="_Toc7959533"/>
      <w:bookmarkStart w:id="315" w:name="_Toc7959666"/>
      <w:bookmarkStart w:id="316" w:name="_Toc8130924"/>
      <w:bookmarkStart w:id="317" w:name="_Toc7238703"/>
      <w:bookmarkStart w:id="318" w:name="_Toc7238816"/>
      <w:bookmarkStart w:id="319" w:name="_Toc7959534"/>
      <w:bookmarkStart w:id="320" w:name="_Toc7959667"/>
      <w:bookmarkStart w:id="321" w:name="_Toc8130925"/>
      <w:bookmarkStart w:id="322" w:name="_Toc7238704"/>
      <w:bookmarkStart w:id="323" w:name="_Toc7238817"/>
      <w:bookmarkStart w:id="324" w:name="_Toc7959535"/>
      <w:bookmarkStart w:id="325" w:name="_Toc7959668"/>
      <w:bookmarkStart w:id="326" w:name="_Toc8130926"/>
      <w:bookmarkStart w:id="327" w:name="_Toc7238705"/>
      <w:bookmarkStart w:id="328" w:name="_Toc7238818"/>
      <w:bookmarkStart w:id="329" w:name="_Toc7959536"/>
      <w:bookmarkStart w:id="330" w:name="_Toc7959669"/>
      <w:bookmarkStart w:id="331" w:name="_Toc8130927"/>
      <w:bookmarkStart w:id="332" w:name="_Toc7238706"/>
      <w:bookmarkStart w:id="333" w:name="_Toc7238819"/>
      <w:bookmarkStart w:id="334" w:name="_Toc7959537"/>
      <w:bookmarkStart w:id="335" w:name="_Toc7959670"/>
      <w:bookmarkStart w:id="336" w:name="_Toc8130928"/>
      <w:bookmarkStart w:id="337" w:name="_Toc7238707"/>
      <w:bookmarkStart w:id="338" w:name="_Toc7238820"/>
      <w:bookmarkStart w:id="339" w:name="_Toc7959538"/>
      <w:bookmarkStart w:id="340" w:name="_Toc7959671"/>
      <w:bookmarkStart w:id="341" w:name="_Toc8130929"/>
      <w:bookmarkStart w:id="342" w:name="_Toc7238708"/>
      <w:bookmarkStart w:id="343" w:name="_Toc7238821"/>
      <w:bookmarkStart w:id="344" w:name="_Toc7959539"/>
      <w:bookmarkStart w:id="345" w:name="_Toc7959672"/>
      <w:bookmarkStart w:id="346" w:name="_Toc8130930"/>
      <w:bookmarkStart w:id="347" w:name="_Toc7238709"/>
      <w:bookmarkStart w:id="348" w:name="_Toc7238822"/>
      <w:bookmarkStart w:id="349" w:name="_Toc7959540"/>
      <w:bookmarkStart w:id="350" w:name="_Toc7959673"/>
      <w:bookmarkStart w:id="351" w:name="_Toc8130931"/>
      <w:bookmarkStart w:id="352" w:name="_Toc7238710"/>
      <w:bookmarkStart w:id="353" w:name="_Toc7238823"/>
      <w:bookmarkStart w:id="354" w:name="_Toc7959541"/>
      <w:bookmarkStart w:id="355" w:name="_Toc7959674"/>
      <w:bookmarkStart w:id="356" w:name="_Toc8130932"/>
      <w:bookmarkStart w:id="357" w:name="_Toc8978055"/>
      <w:bookmarkStart w:id="358" w:name="_Toc12364832"/>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A96337">
        <w:t>Communications and public diplomacy</w:t>
      </w:r>
      <w:bookmarkEnd w:id="357"/>
      <w:bookmarkEnd w:id="358"/>
    </w:p>
    <w:p w14:paraId="5E2527EE" w14:textId="21C0C308" w:rsidR="002F4F42" w:rsidRPr="00A96337" w:rsidRDefault="009B58A0" w:rsidP="006837B7">
      <w:pPr>
        <w:pStyle w:val="BodyText"/>
        <w:rPr>
          <w:lang w:val="en-AU"/>
        </w:rPr>
      </w:pPr>
      <w:r w:rsidRPr="00A96337">
        <w:rPr>
          <w:lang w:val="en-AU"/>
        </w:rPr>
        <w:t>AMENCA 3</w:t>
      </w:r>
      <w:r w:rsidR="002F4F42" w:rsidRPr="00A96337">
        <w:rPr>
          <w:lang w:val="en-AU"/>
        </w:rPr>
        <w:t xml:space="preserve"> has allowed each of the NGOs to badge their own projects.</w:t>
      </w:r>
      <w:r w:rsidR="00E42BC8" w:rsidRPr="00A96337">
        <w:rPr>
          <w:lang w:val="en-AU"/>
        </w:rPr>
        <w:t xml:space="preserve"> </w:t>
      </w:r>
      <w:r w:rsidR="002F4F42" w:rsidRPr="00A96337">
        <w:rPr>
          <w:lang w:val="en-AU"/>
        </w:rPr>
        <w:t>Hence there is reasonable brand recognition of CARE (Souqona), Oxfam (Tak</w:t>
      </w:r>
      <w:r w:rsidR="003677DF">
        <w:rPr>
          <w:lang w:val="en-AU"/>
        </w:rPr>
        <w:t>a</w:t>
      </w:r>
      <w:r w:rsidR="002F4F42" w:rsidRPr="00A96337">
        <w:rPr>
          <w:lang w:val="en-AU"/>
        </w:rPr>
        <w:t>mol), and APHEDA (Ghalleh).</w:t>
      </w:r>
      <w:r w:rsidR="00E42BC8" w:rsidRPr="00A96337">
        <w:rPr>
          <w:lang w:val="en-AU"/>
        </w:rPr>
        <w:t xml:space="preserve"> </w:t>
      </w:r>
      <w:r w:rsidR="002F4F42" w:rsidRPr="00A96337">
        <w:rPr>
          <w:lang w:val="en-AU"/>
        </w:rPr>
        <w:t>In addition, NGOs promote their involvement as part of their own portfolio of activities in the Palestinian Territories. For example, Oxfam’s Takamol project is promoted as part of Oxfam’s broader Economic Justice Program.</w:t>
      </w:r>
      <w:r w:rsidR="00E42BC8" w:rsidRPr="00A96337">
        <w:rPr>
          <w:lang w:val="en-AU"/>
        </w:rPr>
        <w:t xml:space="preserve"> </w:t>
      </w:r>
      <w:r w:rsidR="002F4F42" w:rsidRPr="00A96337">
        <w:rPr>
          <w:lang w:val="en-AU"/>
        </w:rPr>
        <w:t xml:space="preserve">Often the support received from Australia receives little or no mention in the documentation (e.g. a recent article on vegetable packhouses </w:t>
      </w:r>
      <w:sdt>
        <w:sdtPr>
          <w:rPr>
            <w:lang w:val="en-AU"/>
          </w:rPr>
          <w:id w:val="371967363"/>
          <w:citation/>
        </w:sdtPr>
        <w:sdtEndPr/>
        <w:sdtContent>
          <w:r w:rsidR="002F4F42" w:rsidRPr="00A96337">
            <w:rPr>
              <w:lang w:val="en-AU"/>
            </w:rPr>
            <w:fldChar w:fldCharType="begin"/>
          </w:r>
          <w:r w:rsidR="002F4F42" w:rsidRPr="00A96337">
            <w:rPr>
              <w:lang w:val="en-AU"/>
            </w:rPr>
            <w:instrText xml:space="preserve"> CITATION ElA19 \l 5129 </w:instrText>
          </w:r>
          <w:r w:rsidR="002F4F42" w:rsidRPr="00A96337">
            <w:rPr>
              <w:lang w:val="en-AU"/>
            </w:rPr>
            <w:fldChar w:fldCharType="separate"/>
          </w:r>
          <w:r w:rsidR="00593D9F" w:rsidRPr="00593D9F">
            <w:rPr>
              <w:noProof/>
              <w:lang w:val="en-AU"/>
            </w:rPr>
            <w:t>(El-Ahmend &amp; Nabris, January 2019)</w:t>
          </w:r>
          <w:r w:rsidR="002F4F42" w:rsidRPr="00A96337">
            <w:rPr>
              <w:lang w:val="en-AU"/>
            </w:rPr>
            <w:fldChar w:fldCharType="end"/>
          </w:r>
        </w:sdtContent>
      </w:sdt>
      <w:r w:rsidR="002F4F42" w:rsidRPr="00A96337">
        <w:rPr>
          <w:lang w:val="en-AU"/>
        </w:rPr>
        <w:t>).</w:t>
      </w:r>
      <w:r w:rsidR="00E42BC8" w:rsidRPr="00A96337">
        <w:rPr>
          <w:lang w:val="en-AU"/>
        </w:rPr>
        <w:t xml:space="preserve"> </w:t>
      </w:r>
      <w:r w:rsidR="002F4F42" w:rsidRPr="00A96337">
        <w:rPr>
          <w:lang w:val="en-AU"/>
        </w:rPr>
        <w:t xml:space="preserve">This approach properly elevates the NGO </w:t>
      </w:r>
      <w:r w:rsidR="003C38BB" w:rsidRPr="00A96337">
        <w:rPr>
          <w:lang w:val="en-AU"/>
        </w:rPr>
        <w:t>contribution,</w:t>
      </w:r>
      <w:r w:rsidR="002F4F42" w:rsidRPr="00A96337">
        <w:rPr>
          <w:lang w:val="en-AU"/>
        </w:rPr>
        <w:t xml:space="preserve"> </w:t>
      </w:r>
      <w:r w:rsidR="00AD1A84" w:rsidRPr="00A96337">
        <w:rPr>
          <w:lang w:val="en-AU"/>
        </w:rPr>
        <w:t xml:space="preserve">but </w:t>
      </w:r>
      <w:r w:rsidR="002F4F42" w:rsidRPr="00A96337">
        <w:rPr>
          <w:lang w:val="en-AU"/>
        </w:rPr>
        <w:t>it downgrades the important contribution that Australian aid is making.</w:t>
      </w:r>
    </w:p>
    <w:p w14:paraId="0FCB9174" w14:textId="0053C5DC" w:rsidR="001756BC" w:rsidRPr="00A96337" w:rsidRDefault="002F4F42" w:rsidP="000E1846">
      <w:pPr>
        <w:pStyle w:val="BodyText"/>
        <w:spacing w:after="240"/>
        <w:rPr>
          <w:lang w:val="en-AU"/>
        </w:rPr>
      </w:pPr>
      <w:r w:rsidRPr="00A96337">
        <w:rPr>
          <w:lang w:val="en-AU"/>
        </w:rPr>
        <w:t xml:space="preserve">The issue of communications and public diplomacy for the </w:t>
      </w:r>
      <w:r w:rsidR="009B58A0" w:rsidRPr="00A96337">
        <w:rPr>
          <w:lang w:val="en-AU"/>
        </w:rPr>
        <w:t>AMENCA 3</w:t>
      </w:r>
      <w:r w:rsidRPr="00A96337">
        <w:rPr>
          <w:lang w:val="en-AU"/>
        </w:rPr>
        <w:t xml:space="preserve"> program is somewhat complex.</w:t>
      </w:r>
      <w:r w:rsidR="00E42BC8" w:rsidRPr="00A96337">
        <w:rPr>
          <w:lang w:val="en-AU"/>
        </w:rPr>
        <w:t xml:space="preserve"> </w:t>
      </w:r>
      <w:r w:rsidRPr="00A96337">
        <w:rPr>
          <w:lang w:val="en-AU"/>
        </w:rPr>
        <w:t xml:space="preserve">There are many important case studies within </w:t>
      </w:r>
      <w:r w:rsidR="009B58A0" w:rsidRPr="00A96337">
        <w:rPr>
          <w:lang w:val="en-AU"/>
        </w:rPr>
        <w:t>AMENCA 3</w:t>
      </w:r>
      <w:r w:rsidRPr="00A96337">
        <w:rPr>
          <w:lang w:val="en-AU"/>
        </w:rPr>
        <w:t xml:space="preserve">, and its approach presents some important development </w:t>
      </w:r>
      <w:r w:rsidR="003C38BB" w:rsidRPr="00A96337">
        <w:rPr>
          <w:lang w:val="en-AU"/>
        </w:rPr>
        <w:t>lessons,</w:t>
      </w:r>
      <w:r w:rsidR="000A6C73" w:rsidRPr="00A96337">
        <w:rPr>
          <w:lang w:val="en-AU"/>
        </w:rPr>
        <w:t xml:space="preserve"> but the contested political context of this program is perhaps unique across Australia’s development cooperation engagements.  </w:t>
      </w:r>
      <w:r w:rsidR="003C38BB" w:rsidRPr="00A96337">
        <w:rPr>
          <w:lang w:val="en-AU"/>
        </w:rPr>
        <w:t>Therefore,</w:t>
      </w:r>
      <w:r w:rsidR="000A6C73" w:rsidRPr="00A96337">
        <w:rPr>
          <w:lang w:val="en-AU"/>
        </w:rPr>
        <w:t xml:space="preserve"> a </w:t>
      </w:r>
      <w:r w:rsidRPr="00A96337">
        <w:rPr>
          <w:lang w:val="en-AU"/>
        </w:rPr>
        <w:t>balanced approach that maintains a low public profile in Australia but elevates the program in the Palestinian Territories and promotes professional and development learning is seen as being very worthwhile.</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1756BC" w:rsidRPr="00A96337" w14:paraId="6B113815" w14:textId="77777777" w:rsidTr="002F6B9F">
        <w:trPr>
          <w:trHeight w:val="679"/>
        </w:trPr>
        <w:tc>
          <w:tcPr>
            <w:tcW w:w="709" w:type="dxa"/>
          </w:tcPr>
          <w:p w14:paraId="61F03366" w14:textId="77777777" w:rsidR="00450A35" w:rsidRPr="00A96337" w:rsidRDefault="00450A35" w:rsidP="000E1846">
            <w:pPr>
              <w:pStyle w:val="IntenseQuote"/>
              <w:pBdr>
                <w:bottom w:val="none" w:sz="0" w:space="0" w:color="auto"/>
              </w:pBdr>
              <w:spacing w:before="120" w:after="120" w:line="259" w:lineRule="auto"/>
              <w:ind w:left="0" w:right="124"/>
              <w:rPr>
                <w:rFonts w:ascii="Arial" w:hAnsi="Arial" w:cs="Arial"/>
                <w:i w:val="0"/>
                <w:color w:val="5482AB"/>
              </w:rPr>
            </w:pPr>
            <w:r w:rsidRPr="00A96337">
              <w:rPr>
                <w:rFonts w:ascii="Arial" w:hAnsi="Arial" w:cs="Arial"/>
                <w:i w:val="0"/>
                <w:noProof/>
                <w:color w:val="5482AB"/>
                <w:lang w:eastAsia="en-AU"/>
              </w:rPr>
              <w:drawing>
                <wp:inline distT="0" distB="0" distL="0" distR="0" wp14:anchorId="0EA17957" wp14:editId="63B8ADE2">
                  <wp:extent cx="267419" cy="33084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307" w:type="dxa"/>
          </w:tcPr>
          <w:p w14:paraId="56F0B309" w14:textId="0CAFDD84" w:rsidR="00450A35" w:rsidRPr="00A96337" w:rsidRDefault="002F6B9F" w:rsidP="00C12B00">
            <w:pPr>
              <w:pStyle w:val="IntenseQuote"/>
              <w:numPr>
                <w:ilvl w:val="0"/>
                <w:numId w:val="30"/>
              </w:numPr>
              <w:pBdr>
                <w:bottom w:val="none" w:sz="0" w:space="0" w:color="auto"/>
              </w:pBdr>
              <w:spacing w:before="120" w:after="120" w:line="259" w:lineRule="auto"/>
              <w:ind w:left="0" w:right="0" w:firstLine="0"/>
              <w:rPr>
                <w:rFonts w:ascii="Arial" w:hAnsi="Arial" w:cs="Arial"/>
                <w:i w:val="0"/>
                <w:color w:val="5482AB"/>
              </w:rPr>
            </w:pPr>
            <w:bookmarkStart w:id="359" w:name="_Ref11933298"/>
            <w:r w:rsidRPr="00A96337">
              <w:rPr>
                <w:rFonts w:ascii="Arial" w:hAnsi="Arial" w:cs="Arial"/>
                <w:i w:val="0"/>
                <w:color w:val="5482AB"/>
              </w:rPr>
              <w:t xml:space="preserve">Improve communications arrangements: </w:t>
            </w:r>
            <w:r w:rsidRPr="00A96337">
              <w:rPr>
                <w:rFonts w:ascii="Arial" w:hAnsi="Arial" w:cs="Arial"/>
                <w:b w:val="0"/>
                <w:bCs w:val="0"/>
                <w:i w:val="0"/>
                <w:color w:val="5482AB"/>
              </w:rPr>
              <w:t xml:space="preserve">NGO partners should ensure they follow DFAT’s communications and branding policies and processes to ensure cross program lessons and outcomes are properly communicated and that Australia’s contribution is appropriately acknowledged.  </w:t>
            </w:r>
            <w:r w:rsidR="006E375B" w:rsidRPr="00A96337">
              <w:rPr>
                <w:rFonts w:ascii="Arial" w:hAnsi="Arial" w:cs="Arial"/>
                <w:b w:val="0"/>
                <w:bCs w:val="0"/>
                <w:i w:val="0"/>
                <w:color w:val="5482AB"/>
              </w:rPr>
              <w:t>A</w:t>
            </w:r>
            <w:r w:rsidRPr="00A96337">
              <w:rPr>
                <w:rFonts w:ascii="Arial" w:hAnsi="Arial" w:cs="Arial"/>
                <w:b w:val="0"/>
                <w:bCs w:val="0"/>
                <w:i w:val="0"/>
                <w:color w:val="5482AB"/>
              </w:rPr>
              <w:t xml:space="preserve">ny </w:t>
            </w:r>
            <w:r w:rsidR="006E375B" w:rsidRPr="00A96337">
              <w:rPr>
                <w:rFonts w:ascii="Arial" w:hAnsi="Arial" w:cs="Arial"/>
                <w:b w:val="0"/>
                <w:bCs w:val="0"/>
                <w:i w:val="0"/>
                <w:color w:val="5482AB"/>
              </w:rPr>
              <w:t xml:space="preserve">future </w:t>
            </w:r>
            <w:r w:rsidRPr="00A96337">
              <w:rPr>
                <w:rFonts w:ascii="Arial" w:hAnsi="Arial" w:cs="Arial"/>
                <w:b w:val="0"/>
                <w:bCs w:val="0"/>
                <w:i w:val="0"/>
                <w:color w:val="5482AB"/>
              </w:rPr>
              <w:t xml:space="preserve">contract amendment with the </w:t>
            </w:r>
            <w:r w:rsidR="006E375B" w:rsidRPr="00A96337">
              <w:rPr>
                <w:rFonts w:ascii="Arial" w:hAnsi="Arial" w:cs="Arial"/>
                <w:b w:val="0"/>
                <w:bCs w:val="0"/>
                <w:i w:val="0"/>
                <w:color w:val="5482AB"/>
              </w:rPr>
              <w:t>I</w:t>
            </w:r>
            <w:r w:rsidRPr="00A96337">
              <w:rPr>
                <w:rFonts w:ascii="Arial" w:hAnsi="Arial" w:cs="Arial"/>
                <w:b w:val="0"/>
                <w:bCs w:val="0"/>
                <w:i w:val="0"/>
                <w:color w:val="5482AB"/>
              </w:rPr>
              <w:t xml:space="preserve">NGOs </w:t>
            </w:r>
            <w:r w:rsidR="006E375B" w:rsidRPr="00A96337">
              <w:rPr>
                <w:rFonts w:ascii="Arial" w:hAnsi="Arial" w:cs="Arial"/>
                <w:b w:val="0"/>
                <w:bCs w:val="0"/>
                <w:i w:val="0"/>
                <w:color w:val="5482AB"/>
              </w:rPr>
              <w:t xml:space="preserve">should </w:t>
            </w:r>
            <w:r w:rsidRPr="00A96337">
              <w:rPr>
                <w:rFonts w:ascii="Arial" w:hAnsi="Arial" w:cs="Arial"/>
                <w:b w:val="0"/>
                <w:bCs w:val="0"/>
                <w:i w:val="0"/>
                <w:color w:val="5482AB"/>
              </w:rPr>
              <w:t>include the provision of regular publishable social media or other communications content that exemplifies the strong results seen in the field.</w:t>
            </w:r>
            <w:bookmarkEnd w:id="359"/>
          </w:p>
        </w:tc>
      </w:tr>
    </w:tbl>
    <w:p w14:paraId="4638AAD5" w14:textId="25D9909A" w:rsidR="002F4F42" w:rsidRPr="00A96337" w:rsidRDefault="002F4F42" w:rsidP="007F6FE5">
      <w:pPr>
        <w:pStyle w:val="Heading1"/>
      </w:pPr>
      <w:bookmarkStart w:id="360" w:name="_Toc8978056"/>
      <w:bookmarkStart w:id="361" w:name="_Toc12364833"/>
      <w:r w:rsidRPr="00A96337">
        <w:t>Sustainability of results</w:t>
      </w:r>
      <w:bookmarkEnd w:id="360"/>
      <w:bookmarkEnd w:id="361"/>
    </w:p>
    <w:p w14:paraId="793D88FB" w14:textId="1B36E5BC" w:rsidR="000E1846" w:rsidRPr="00A96337" w:rsidRDefault="000E1846" w:rsidP="000E1846">
      <w:pPr>
        <w:pStyle w:val="BodyText"/>
        <w:rPr>
          <w:lang w:val="en-AU" w:eastAsia="en-AU"/>
        </w:rPr>
      </w:pPr>
      <w:r w:rsidRPr="00A96337">
        <w:rPr>
          <w:noProof/>
          <w:lang w:val="en-AU" w:eastAsia="en-AU"/>
        </w:rPr>
        <mc:AlternateContent>
          <mc:Choice Requires="wps">
            <w:drawing>
              <wp:inline distT="0" distB="0" distL="0" distR="0" wp14:anchorId="24181BA4" wp14:editId="2274C9BF">
                <wp:extent cx="5731510" cy="860709"/>
                <wp:effectExtent l="0" t="0" r="2540" b="0"/>
                <wp:docPr id="6" name="Text Box 6"/>
                <wp:cNvGraphicFramePr/>
                <a:graphic xmlns:a="http://schemas.openxmlformats.org/drawingml/2006/main">
                  <a:graphicData uri="http://schemas.microsoft.com/office/word/2010/wordprocessingShape">
                    <wps:wsp>
                      <wps:cNvSpPr txBox="1"/>
                      <wps:spPr>
                        <a:xfrm>
                          <a:off x="0" y="0"/>
                          <a:ext cx="5731510" cy="860709"/>
                        </a:xfrm>
                        <a:prstGeom prst="rect">
                          <a:avLst/>
                        </a:prstGeom>
                        <a:solidFill>
                          <a:schemeClr val="bg1">
                            <a:lumMod val="95000"/>
                          </a:schemeClr>
                        </a:solidFill>
                        <a:ln w="6350">
                          <a:noFill/>
                        </a:ln>
                        <a:effectLst/>
                      </wps:spPr>
                      <wps:txbx>
                        <w:txbxContent>
                          <w:p w14:paraId="37824251" w14:textId="3C83EA55" w:rsidR="00AE1954" w:rsidRPr="00CF7F1C" w:rsidRDefault="00AE1954" w:rsidP="000E1846">
                            <w:pPr>
                              <w:rPr>
                                <w:rFonts w:ascii="Arial" w:hAnsi="Arial" w:cs="Arial"/>
                                <w:color w:val="003478"/>
                              </w:rPr>
                            </w:pPr>
                            <w:r w:rsidRPr="00CF7F1C">
                              <w:rPr>
                                <w:rFonts w:ascii="Arial" w:hAnsi="Arial" w:cs="Arial"/>
                                <w:color w:val="003478"/>
                              </w:rPr>
                              <w:t xml:space="preserve">Sustainability of </w:t>
                            </w:r>
                            <w:r>
                              <w:rPr>
                                <w:rFonts w:ascii="Arial" w:hAnsi="Arial" w:cs="Arial"/>
                                <w:color w:val="003478"/>
                              </w:rPr>
                              <w:t>AMENCA 3</w:t>
                            </w:r>
                            <w:r w:rsidRPr="00CF7F1C">
                              <w:rPr>
                                <w:rFonts w:ascii="Arial" w:hAnsi="Arial" w:cs="Arial"/>
                                <w:color w:val="003478"/>
                              </w:rPr>
                              <w:t xml:space="preserve"> is well thought through as part of the MSD approach. Time is needed to embed new market functions and increase the potential for </w:t>
                            </w:r>
                            <w:r>
                              <w:rPr>
                                <w:rFonts w:ascii="Arial" w:hAnsi="Arial" w:cs="Arial"/>
                                <w:color w:val="003478"/>
                              </w:rPr>
                              <w:t>AMENCA 3</w:t>
                            </w:r>
                            <w:r w:rsidRPr="00CF7F1C">
                              <w:rPr>
                                <w:rFonts w:ascii="Arial" w:hAnsi="Arial" w:cs="Arial"/>
                                <w:color w:val="003478"/>
                              </w:rPr>
                              <w:t>’s wider advocacy and influence.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shape w14:anchorId="24181BA4" id="Text Box 6" o:spid="_x0000_s1031" type="#_x0000_t202" style="width:451.3pt;height:6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" fillcolor="#f2f2f2 [3052]" stroked="f" strokeweight=".5pt">
                <v:textbox inset="14.4pt,14.4pt,14.4pt,14.4pt">
                  <w:txbxContent>
                    <w:p w14:paraId="37824251" w14:textId="3C83EA55" w:rsidR="00AE1954" w:rsidRPr="00CF7F1C" w:rsidRDefault="00AE1954" w:rsidP="000E1846">
                      <w:pPr>
                        <w:rPr>
                          <w:rFonts w:ascii="Arial" w:hAnsi="Arial" w:cs="Arial"/>
                          <w:color w:val="003478"/>
                        </w:rPr>
                      </w:pPr>
                      <w:r w:rsidRPr="00CF7F1C">
                        <w:rPr>
                          <w:rFonts w:ascii="Arial" w:hAnsi="Arial" w:cs="Arial"/>
                          <w:color w:val="003478"/>
                        </w:rPr>
                        <w:t xml:space="preserve">Sustainability of </w:t>
                      </w:r>
                      <w:r>
                        <w:rPr>
                          <w:rFonts w:ascii="Arial" w:hAnsi="Arial" w:cs="Arial"/>
                          <w:color w:val="003478"/>
                        </w:rPr>
                        <w:t>AMENCA 3</w:t>
                      </w:r>
                      <w:r w:rsidRPr="00CF7F1C">
                        <w:rPr>
                          <w:rFonts w:ascii="Arial" w:hAnsi="Arial" w:cs="Arial"/>
                          <w:color w:val="003478"/>
                        </w:rPr>
                        <w:t xml:space="preserve"> is well thought through as part of the MSD approach. Time is needed to embed new market functions and increase the potential for </w:t>
                      </w:r>
                      <w:r>
                        <w:rPr>
                          <w:rFonts w:ascii="Arial" w:hAnsi="Arial" w:cs="Arial"/>
                          <w:color w:val="003478"/>
                        </w:rPr>
                        <w:t>AMENCA 3</w:t>
                      </w:r>
                      <w:r w:rsidRPr="00CF7F1C">
                        <w:rPr>
                          <w:rFonts w:ascii="Arial" w:hAnsi="Arial" w:cs="Arial"/>
                          <w:color w:val="003478"/>
                        </w:rPr>
                        <w:t>’s wider advocacy and influence.</w:t>
                      </w:r>
                    </w:p>
                  </w:txbxContent>
                </v:textbox>
                <w10:anchorlock/>
              </v:shape>
            </w:pict>
          </mc:Fallback>
        </mc:AlternateContent>
      </w:r>
    </w:p>
    <w:p w14:paraId="460066C0" w14:textId="136D23CF" w:rsidR="001C7E9B" w:rsidRPr="00A96337" w:rsidRDefault="001C7E9B" w:rsidP="00F8335C">
      <w:pPr>
        <w:pStyle w:val="Heading2"/>
        <w:ind w:left="851" w:hanging="851"/>
      </w:pPr>
      <w:bookmarkStart w:id="362" w:name="_Toc12364834"/>
      <w:r w:rsidRPr="00A96337">
        <w:t>What is the level of sustainability in the current NGO projects?</w:t>
      </w:r>
      <w:bookmarkEnd w:id="362"/>
    </w:p>
    <w:p w14:paraId="06FE87F9" w14:textId="077ACDBF" w:rsidR="002F4F42" w:rsidRPr="00A96337" w:rsidRDefault="002F4F42" w:rsidP="006837B7">
      <w:pPr>
        <w:pStyle w:val="BodyText"/>
        <w:rPr>
          <w:rFonts w:ascii="Calibri" w:eastAsia="Calibri" w:hAnsi="Calibri" w:cs="Times New Roman"/>
          <w:lang w:val="en-AU" w:eastAsia="en-AU"/>
        </w:rPr>
      </w:pPr>
      <w:r w:rsidRPr="00A96337">
        <w:rPr>
          <w:lang w:val="en-AU"/>
        </w:rPr>
        <w:t xml:space="preserve">There is good evidence that the issues surrounding the sustainability of </w:t>
      </w:r>
      <w:r w:rsidR="009B58A0" w:rsidRPr="00A96337">
        <w:rPr>
          <w:lang w:val="en-AU"/>
        </w:rPr>
        <w:t>AMENCA 3</w:t>
      </w:r>
      <w:r w:rsidRPr="00A96337">
        <w:rPr>
          <w:lang w:val="en-AU"/>
        </w:rPr>
        <w:t>’s specific interventions and intervention areas have been well thought through.</w:t>
      </w:r>
      <w:r w:rsidR="00E42BC8" w:rsidRPr="00A96337">
        <w:rPr>
          <w:lang w:val="en-AU"/>
        </w:rPr>
        <w:t xml:space="preserve"> </w:t>
      </w:r>
      <w:r w:rsidRPr="00A96337">
        <w:rPr>
          <w:lang w:val="en-AU"/>
        </w:rPr>
        <w:t>Market and community-based partners are now in place for most market functions, and the Consortium partners have (largely) refrained from inserting themselves as actors into their interventions</w:t>
      </w:r>
      <w:r w:rsidRPr="00A96337">
        <w:rPr>
          <w:rFonts w:ascii="Calibri" w:eastAsia="Calibri" w:hAnsi="Calibri" w:cs="Times New Roman"/>
          <w:lang w:val="en-AU" w:eastAsia="en-AU"/>
        </w:rPr>
        <w:t>.</w:t>
      </w:r>
    </w:p>
    <w:p w14:paraId="6DB2FFB8" w14:textId="19347709" w:rsidR="002F4F42" w:rsidRPr="00A96337" w:rsidRDefault="009B58A0" w:rsidP="006837B7">
      <w:pPr>
        <w:pStyle w:val="BodyText"/>
        <w:rPr>
          <w:lang w:val="en-AU"/>
        </w:rPr>
      </w:pPr>
      <w:r w:rsidRPr="00A96337">
        <w:rPr>
          <w:lang w:val="en-AU"/>
        </w:rPr>
        <w:t>AMENCA 3</w:t>
      </w:r>
      <w:r w:rsidR="002F4F42" w:rsidRPr="00A96337">
        <w:rPr>
          <w:lang w:val="en-AU"/>
        </w:rPr>
        <w:t xml:space="preserve"> has leveraged private sector investments, promoted new practices, and supported the organizational capacities of the service providers.</w:t>
      </w:r>
      <w:r w:rsidR="00E42BC8" w:rsidRPr="00A96337">
        <w:rPr>
          <w:lang w:val="en-AU"/>
        </w:rPr>
        <w:t xml:space="preserve"> </w:t>
      </w:r>
      <w:r w:rsidR="002F4F42" w:rsidRPr="00A96337">
        <w:rPr>
          <w:lang w:val="en-AU"/>
        </w:rPr>
        <w:t>By increasing the capabilities and satisfaction of the actors in these ways, it has enhanced their ability to continue beyond the term of the project’s support.</w:t>
      </w:r>
      <w:r w:rsidR="00E42BC8" w:rsidRPr="00A96337">
        <w:rPr>
          <w:lang w:val="en-AU"/>
        </w:rPr>
        <w:t xml:space="preserve"> </w:t>
      </w:r>
      <w:r w:rsidR="002F4F42" w:rsidRPr="00A96337">
        <w:rPr>
          <w:lang w:val="en-AU"/>
        </w:rPr>
        <w:t>It has also contributed to systemic change within markets, as well as to improvements in market coordination.</w:t>
      </w:r>
    </w:p>
    <w:p w14:paraId="44C2CEB7" w14:textId="54C1D46D" w:rsidR="00815EA9" w:rsidRPr="00A96337" w:rsidRDefault="00815EA9" w:rsidP="00F8335C">
      <w:pPr>
        <w:pStyle w:val="Heading2"/>
        <w:ind w:left="851" w:hanging="851"/>
      </w:pPr>
      <w:bookmarkStart w:id="363" w:name="_Toc12364835"/>
      <w:r w:rsidRPr="00A96337">
        <w:t xml:space="preserve">How can </w:t>
      </w:r>
      <w:r w:rsidR="009B58A0" w:rsidRPr="00A96337">
        <w:t>AMENCA 3</w:t>
      </w:r>
      <w:r w:rsidRPr="00A96337">
        <w:t xml:space="preserve"> strengthen the sustainability of the outcomes by the end of the NGO projects?</w:t>
      </w:r>
      <w:bookmarkEnd w:id="363"/>
    </w:p>
    <w:p w14:paraId="070932C1" w14:textId="2DEBA918" w:rsidR="002F4F42" w:rsidRPr="00A96337" w:rsidRDefault="002F4F42" w:rsidP="006837B7">
      <w:pPr>
        <w:pStyle w:val="BodyText"/>
        <w:rPr>
          <w:lang w:val="en-AU" w:eastAsia="en-AU"/>
        </w:rPr>
      </w:pPr>
      <w:r w:rsidRPr="00A96337">
        <w:rPr>
          <w:lang w:val="en-AU" w:eastAsia="en-AU"/>
        </w:rPr>
        <w:t>The program is, nevertheless, facing three external sustainability challenges that are much greater than is usually the case for a market program.</w:t>
      </w:r>
    </w:p>
    <w:p w14:paraId="06ECC1CD" w14:textId="0B4E7D8F" w:rsidR="002F4F42" w:rsidRPr="00A96337" w:rsidRDefault="002F4F42" w:rsidP="00F8335C">
      <w:pPr>
        <w:pStyle w:val="ListParagraph"/>
        <w:numPr>
          <w:ilvl w:val="0"/>
          <w:numId w:val="50"/>
        </w:numPr>
        <w:ind w:left="397" w:hanging="397"/>
      </w:pPr>
      <w:r w:rsidRPr="00A96337">
        <w:t xml:space="preserve">If DFAT decides to discontinue </w:t>
      </w:r>
      <w:r w:rsidR="009B58A0" w:rsidRPr="00A96337">
        <w:t>AMENCA 3</w:t>
      </w:r>
      <w:r w:rsidRPr="00A96337">
        <w:t xml:space="preserve"> at the upcoming stop/go point then many interventions, partners and beneficiaries will suffer.</w:t>
      </w:r>
      <w:r w:rsidR="00E42BC8" w:rsidRPr="00A96337">
        <w:t xml:space="preserve"> </w:t>
      </w:r>
      <w:r w:rsidRPr="00A96337">
        <w:t xml:space="preserve">While sustainability mechanisms are already in place for many of the interventions, the reality is that the systems, practices and capacity of the market players </w:t>
      </w:r>
      <w:r w:rsidRPr="00A96337">
        <w:rPr>
          <w:rFonts w:eastAsia="Calibri"/>
          <w:lang w:eastAsia="en-AU"/>
        </w:rPr>
        <w:t>have not yet reached a stage where they are ready to assume independent management.</w:t>
      </w:r>
      <w:r w:rsidR="00E42BC8" w:rsidRPr="00A96337">
        <w:rPr>
          <w:rFonts w:eastAsia="Calibri"/>
          <w:lang w:eastAsia="en-AU"/>
        </w:rPr>
        <w:t xml:space="preserve"> </w:t>
      </w:r>
      <w:r w:rsidRPr="00A96337">
        <w:rPr>
          <w:rFonts w:eastAsia="Calibri"/>
          <w:lang w:eastAsia="en-AU"/>
        </w:rPr>
        <w:t xml:space="preserve">Furthermore, in </w:t>
      </w:r>
      <w:r w:rsidRPr="00A96337">
        <w:t>many cases partner co-investment has been predicated on a longer timeframe.</w:t>
      </w:r>
      <w:r w:rsidR="00E42BC8" w:rsidRPr="00A96337">
        <w:t xml:space="preserve"> </w:t>
      </w:r>
      <w:r w:rsidRPr="00A96337">
        <w:rPr>
          <w:rFonts w:eastAsia="Calibri"/>
          <w:lang w:eastAsia="en-AU"/>
        </w:rPr>
        <w:t>The experience of the sudden suspension of APHEDA clearly demonstrated that withdrawal needs to be staged if the harm and exposure of beneficiaries and partners is to be reduced.</w:t>
      </w:r>
      <w:r w:rsidR="00E42BC8" w:rsidRPr="00A96337">
        <w:rPr>
          <w:rFonts w:eastAsia="Calibri"/>
          <w:lang w:eastAsia="en-AU"/>
        </w:rPr>
        <w:t xml:space="preserve"> </w:t>
      </w:r>
      <w:r w:rsidRPr="00A96337">
        <w:rPr>
          <w:rFonts w:eastAsia="Calibri"/>
          <w:lang w:eastAsia="en-AU"/>
        </w:rPr>
        <w:t>DFAT has already indicated that some form of exit strategy would be needed if ongoing funding is curtailed.</w:t>
      </w:r>
      <w:r w:rsidR="00E42BC8" w:rsidRPr="00A96337">
        <w:rPr>
          <w:rFonts w:eastAsia="Calibri"/>
          <w:lang w:eastAsia="en-AU"/>
        </w:rPr>
        <w:t xml:space="preserve"> </w:t>
      </w:r>
      <w:r w:rsidRPr="00A96337">
        <w:rPr>
          <w:rFonts w:eastAsia="Calibri"/>
          <w:lang w:eastAsia="en-AU"/>
        </w:rPr>
        <w:t>The MTR strongly supports this decision</w:t>
      </w:r>
      <w:r w:rsidRPr="00A96337">
        <w:t>.</w:t>
      </w:r>
    </w:p>
    <w:p w14:paraId="43D384FA" w14:textId="1D74C7B8" w:rsidR="002F4F42" w:rsidRPr="00A96337" w:rsidRDefault="002F4F42" w:rsidP="00F8335C">
      <w:pPr>
        <w:pStyle w:val="ListParagraph"/>
        <w:numPr>
          <w:ilvl w:val="0"/>
          <w:numId w:val="50"/>
        </w:numPr>
        <w:ind w:left="397" w:hanging="397"/>
      </w:pPr>
      <w:r w:rsidRPr="00A96337">
        <w:rPr>
          <w:lang w:eastAsia="en-AU"/>
        </w:rPr>
        <w:t xml:space="preserve">All the interventions of </w:t>
      </w:r>
      <w:r w:rsidR="009B58A0" w:rsidRPr="00A96337">
        <w:rPr>
          <w:lang w:eastAsia="en-AU"/>
        </w:rPr>
        <w:t>AMENCA 3</w:t>
      </w:r>
      <w:r w:rsidRPr="00A96337">
        <w:rPr>
          <w:lang w:eastAsia="en-AU"/>
        </w:rPr>
        <w:t xml:space="preserve"> depend for their ongoing sustainability on stability, peace, and at least a modicum of regulated market behaviour.</w:t>
      </w:r>
      <w:r w:rsidR="00E42BC8" w:rsidRPr="00A96337">
        <w:rPr>
          <w:lang w:eastAsia="en-AU"/>
        </w:rPr>
        <w:t xml:space="preserve"> </w:t>
      </w:r>
      <w:r w:rsidRPr="00A96337">
        <w:rPr>
          <w:lang w:eastAsia="en-AU"/>
        </w:rPr>
        <w:t>In the past, many Palestinian enterprises that have shown promise have struggled or entirely failed due to escalations in insecurity, or through the sudden imposition of antagonistic market practices, policies or regulations.</w:t>
      </w:r>
      <w:r w:rsidR="00E42BC8" w:rsidRPr="00A96337">
        <w:rPr>
          <w:lang w:eastAsia="en-AU"/>
        </w:rPr>
        <w:t xml:space="preserve"> </w:t>
      </w:r>
      <w:r w:rsidRPr="00A96337">
        <w:rPr>
          <w:lang w:eastAsia="en-AU"/>
        </w:rPr>
        <w:t>Nevertheless, the strengthening of Palestinian markets in spite of such risks, not only brings immediate benefits to the businesses, the workers, and the broader communities, but also provides some buffer to the severe impacts of market collapse.</w:t>
      </w:r>
    </w:p>
    <w:p w14:paraId="24A14ACE" w14:textId="1724062B" w:rsidR="002F4F42" w:rsidRPr="00A96337" w:rsidRDefault="002F4F42" w:rsidP="00F8335C">
      <w:pPr>
        <w:pStyle w:val="ListParagraph"/>
        <w:numPr>
          <w:ilvl w:val="0"/>
          <w:numId w:val="50"/>
        </w:numPr>
        <w:ind w:left="397" w:hanging="397"/>
      </w:pPr>
      <w:r w:rsidRPr="00A96337">
        <w:rPr>
          <w:lang w:eastAsia="en-AU"/>
        </w:rPr>
        <w:t xml:space="preserve">Lastly, the reengagement of the Ministry of Agriculture with </w:t>
      </w:r>
      <w:r w:rsidR="009B58A0" w:rsidRPr="00A96337">
        <w:rPr>
          <w:lang w:eastAsia="en-AU"/>
        </w:rPr>
        <w:t>AMENCA 3</w:t>
      </w:r>
      <w:r w:rsidRPr="00A96337">
        <w:rPr>
          <w:lang w:eastAsia="en-AU"/>
        </w:rPr>
        <w:t xml:space="preserve"> would be beneficial to sustainability.</w:t>
      </w:r>
      <w:r w:rsidR="00E42BC8" w:rsidRPr="00A96337">
        <w:rPr>
          <w:lang w:eastAsia="en-AU"/>
        </w:rPr>
        <w:t xml:space="preserve"> </w:t>
      </w:r>
      <w:r w:rsidRPr="00A96337">
        <w:rPr>
          <w:lang w:eastAsia="en-AU"/>
        </w:rPr>
        <w:t xml:space="preserve">If this occurred the most important impact could be for the Ministry itself. The Ministry’s current approach to agricultural support does not reflect emerging best practice </w:t>
      </w:r>
      <w:r w:rsidR="00536BB9" w:rsidRPr="00A96337">
        <w:rPr>
          <w:lang w:eastAsia="en-AU"/>
        </w:rPr>
        <w:t xml:space="preserve">given their inclination </w:t>
      </w:r>
      <w:r w:rsidRPr="00A96337">
        <w:rPr>
          <w:lang w:eastAsia="en-AU"/>
        </w:rPr>
        <w:t>to intervene in markets through subsidies, handouts and other market-distorting behaviour.</w:t>
      </w:r>
      <w:r w:rsidR="00E42BC8" w:rsidRPr="00A96337">
        <w:rPr>
          <w:lang w:eastAsia="en-AU"/>
        </w:rPr>
        <w:t xml:space="preserve"> </w:t>
      </w:r>
      <w:r w:rsidRPr="00A96337">
        <w:rPr>
          <w:lang w:eastAsia="en-AU"/>
        </w:rPr>
        <w:t xml:space="preserve">Re-engagement with </w:t>
      </w:r>
      <w:r w:rsidR="009B58A0" w:rsidRPr="00A96337">
        <w:rPr>
          <w:lang w:eastAsia="en-AU"/>
        </w:rPr>
        <w:t>AMENCA 3</w:t>
      </w:r>
      <w:r w:rsidRPr="00A96337">
        <w:rPr>
          <w:lang w:eastAsia="en-AU"/>
        </w:rPr>
        <w:t xml:space="preserve"> would not only expose </w:t>
      </w:r>
      <w:r w:rsidR="00536BB9" w:rsidRPr="00A96337">
        <w:rPr>
          <w:lang w:eastAsia="en-AU"/>
        </w:rPr>
        <w:t>the Ministry</w:t>
      </w:r>
      <w:r w:rsidRPr="00A96337">
        <w:rPr>
          <w:lang w:eastAsia="en-AU"/>
        </w:rPr>
        <w:t xml:space="preserve"> to a new way of working, but could inspire strategic and policy change within the organisation.</w:t>
      </w:r>
      <w:r w:rsidR="00E42BC8" w:rsidRPr="00A96337">
        <w:rPr>
          <w:lang w:eastAsia="en-AU"/>
        </w:rPr>
        <w:t xml:space="preserve"> </w:t>
      </w:r>
      <w:r w:rsidRPr="00A96337">
        <w:rPr>
          <w:lang w:eastAsia="en-AU"/>
        </w:rPr>
        <w:t xml:space="preserve">In addition, the field staff of the Ministry would be more familiar with the way in which </w:t>
      </w:r>
      <w:r w:rsidR="009B58A0" w:rsidRPr="00A96337">
        <w:rPr>
          <w:lang w:eastAsia="en-AU"/>
        </w:rPr>
        <w:t>AMENCA 3</w:t>
      </w:r>
      <w:r w:rsidRPr="00A96337">
        <w:rPr>
          <w:lang w:eastAsia="en-AU"/>
        </w:rPr>
        <w:t xml:space="preserve"> works and more able to both support its interventions and ensure that neither the Ministry itself, nor its development partners, create market distortions by directly intervening in market functions.</w:t>
      </w:r>
    </w:p>
    <w:p w14:paraId="544B6064" w14:textId="2B8671BA" w:rsidR="001756BC" w:rsidRPr="00A96337" w:rsidRDefault="002F4F42" w:rsidP="000E1846">
      <w:pPr>
        <w:pStyle w:val="BodyText"/>
        <w:spacing w:after="240"/>
        <w:rPr>
          <w:lang w:val="en-AU"/>
        </w:rPr>
      </w:pPr>
      <w:r w:rsidRPr="00A96337">
        <w:rPr>
          <w:lang w:val="en-AU"/>
        </w:rPr>
        <w:t xml:space="preserve">Sustainability is a central tenant of a market facilitation approach and current </w:t>
      </w:r>
      <w:r w:rsidR="009B58A0" w:rsidRPr="00A96337">
        <w:rPr>
          <w:lang w:val="en-AU"/>
        </w:rPr>
        <w:t>AMENCA 3</w:t>
      </w:r>
      <w:r w:rsidRPr="00A96337">
        <w:rPr>
          <w:lang w:val="en-AU"/>
        </w:rPr>
        <w:t xml:space="preserve"> interventions are clearly owned and run by its market stakeholders.</w:t>
      </w:r>
      <w:r w:rsidR="00E42BC8" w:rsidRPr="00A96337">
        <w:rPr>
          <w:lang w:val="en-AU"/>
        </w:rPr>
        <w:t xml:space="preserve"> </w:t>
      </w:r>
      <w:r w:rsidRPr="00A96337">
        <w:rPr>
          <w:lang w:val="en-AU"/>
        </w:rPr>
        <w:t>As such, most interventions are progressing appropriately.</w:t>
      </w:r>
      <w:r w:rsidR="00E42BC8" w:rsidRPr="00A96337">
        <w:rPr>
          <w:lang w:val="en-AU"/>
        </w:rPr>
        <w:t xml:space="preserve"> </w:t>
      </w:r>
      <w:r w:rsidRPr="00A96337">
        <w:rPr>
          <w:lang w:val="en-AU"/>
        </w:rPr>
        <w:t xml:space="preserve">However, changes are currently both seminal and early stage, and early termination of </w:t>
      </w:r>
      <w:r w:rsidR="009B58A0" w:rsidRPr="00A96337">
        <w:rPr>
          <w:lang w:val="en-AU"/>
        </w:rPr>
        <w:t>AMENCA 3</w:t>
      </w:r>
      <w:r w:rsidRPr="00A96337">
        <w:rPr>
          <w:lang w:val="en-AU"/>
        </w:rPr>
        <w:t>’s mentoring and collaboration would mean many of the changes would flounder, with the negative impacts concentrated on small scale producers who have recently entered new market segments but have little resources to sustain shocks.</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450A35" w:rsidRPr="00A96337" w14:paraId="5B079BAF" w14:textId="77777777" w:rsidTr="000F3EA4">
        <w:trPr>
          <w:trHeight w:val="1207"/>
        </w:trPr>
        <w:tc>
          <w:tcPr>
            <w:tcW w:w="761" w:type="dxa"/>
          </w:tcPr>
          <w:p w14:paraId="1E8692A8" w14:textId="77777777" w:rsidR="00450A35" w:rsidRPr="00A96337" w:rsidRDefault="00450A35" w:rsidP="000E1846">
            <w:pPr>
              <w:pStyle w:val="IntenseQuote"/>
              <w:pBdr>
                <w:bottom w:val="none" w:sz="0" w:space="0" w:color="auto"/>
              </w:pBdr>
              <w:spacing w:before="120" w:after="120" w:line="259" w:lineRule="auto"/>
              <w:ind w:left="0" w:right="124"/>
              <w:rPr>
                <w:rFonts w:ascii="Arial" w:hAnsi="Arial" w:cs="Arial"/>
                <w:i w:val="0"/>
              </w:rPr>
            </w:pPr>
            <w:r w:rsidRPr="00A96337">
              <w:rPr>
                <w:rFonts w:ascii="Arial" w:hAnsi="Arial" w:cs="Arial"/>
                <w:i w:val="0"/>
                <w:noProof/>
                <w:lang w:eastAsia="en-AU"/>
              </w:rPr>
              <w:drawing>
                <wp:inline distT="0" distB="0" distL="0" distR="0" wp14:anchorId="4DEC73A5" wp14:editId="031D7070">
                  <wp:extent cx="267419" cy="330844"/>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265" w:type="dxa"/>
          </w:tcPr>
          <w:p w14:paraId="2BB5082E" w14:textId="3FB30E34" w:rsidR="00450A35" w:rsidRPr="00A96337" w:rsidRDefault="00DE6604" w:rsidP="00F8335C">
            <w:pPr>
              <w:pStyle w:val="IntenseQuote"/>
              <w:numPr>
                <w:ilvl w:val="0"/>
                <w:numId w:val="30"/>
              </w:numPr>
              <w:pBdr>
                <w:bottom w:val="none" w:sz="0" w:space="0" w:color="auto"/>
              </w:pBdr>
              <w:spacing w:before="120" w:after="120" w:line="259" w:lineRule="auto"/>
              <w:ind w:left="0" w:right="0" w:firstLine="0"/>
              <w:rPr>
                <w:rFonts w:ascii="Arial" w:hAnsi="Arial" w:cs="Arial"/>
                <w:i w:val="0"/>
              </w:rPr>
            </w:pPr>
            <w:bookmarkStart w:id="364" w:name="_Ref8635358"/>
            <w:r w:rsidRPr="00A96337">
              <w:rPr>
                <w:rFonts w:ascii="Arial" w:hAnsi="Arial" w:cs="Arial"/>
                <w:i w:val="0"/>
                <w:color w:val="5482AB"/>
              </w:rPr>
              <w:t xml:space="preserve">Continue </w:t>
            </w:r>
            <w:r w:rsidR="009B58A0" w:rsidRPr="00A96337">
              <w:rPr>
                <w:rFonts w:ascii="Arial" w:hAnsi="Arial" w:cs="Arial"/>
                <w:i w:val="0"/>
                <w:color w:val="5482AB"/>
              </w:rPr>
              <w:t>AMENCA 3</w:t>
            </w:r>
            <w:r w:rsidRPr="00A96337">
              <w:rPr>
                <w:rFonts w:ascii="Arial" w:hAnsi="Arial" w:cs="Arial"/>
                <w:i w:val="0"/>
                <w:color w:val="5482AB"/>
              </w:rPr>
              <w:t xml:space="preserve">: </w:t>
            </w:r>
            <w:r w:rsidRPr="00A96337">
              <w:rPr>
                <w:rFonts w:ascii="Arial" w:hAnsi="Arial" w:cs="Arial"/>
                <w:b w:val="0"/>
                <w:bCs w:val="0"/>
                <w:i w:val="0"/>
                <w:color w:val="5482AB"/>
              </w:rPr>
              <w:t xml:space="preserve">Consider extending support for </w:t>
            </w:r>
            <w:r w:rsidR="009B58A0" w:rsidRPr="00A96337">
              <w:rPr>
                <w:rFonts w:ascii="Arial" w:hAnsi="Arial" w:cs="Arial"/>
                <w:b w:val="0"/>
                <w:bCs w:val="0"/>
                <w:i w:val="0"/>
                <w:color w:val="5482AB"/>
              </w:rPr>
              <w:t>AMENCA 3</w:t>
            </w:r>
            <w:r w:rsidRPr="00A96337">
              <w:rPr>
                <w:rFonts w:ascii="Arial" w:hAnsi="Arial" w:cs="Arial"/>
                <w:b w:val="0"/>
                <w:bCs w:val="0"/>
                <w:i w:val="0"/>
                <w:color w:val="5482AB"/>
              </w:rPr>
              <w:t xml:space="preserve"> for at least a further two years to embed current changes within markets and to reach impact at scale, noting that MSD programs typically implement for 5-10 years to reach sustainable results at scale</w:t>
            </w:r>
            <w:r w:rsidR="00B93DD3" w:rsidRPr="00A96337">
              <w:rPr>
                <w:b w:val="0"/>
                <w:bCs w:val="0"/>
              </w:rPr>
              <w:t>.</w:t>
            </w:r>
            <w:bookmarkEnd w:id="364"/>
          </w:p>
        </w:tc>
      </w:tr>
    </w:tbl>
    <w:p w14:paraId="1A3ADBF8" w14:textId="77777777" w:rsidR="000F3EA4" w:rsidRPr="00A96337" w:rsidRDefault="000F3EA4" w:rsidP="00F8335C">
      <w:pPr>
        <w:pStyle w:val="Heading2"/>
        <w:ind w:left="851" w:hanging="851"/>
      </w:pPr>
      <w:bookmarkStart w:id="365" w:name="_Toc12364836"/>
      <w:bookmarkStart w:id="366" w:name="_Toc8978057"/>
      <w:r w:rsidRPr="00A96337">
        <w:t>Natural Resource Management</w:t>
      </w:r>
      <w:bookmarkEnd w:id="365"/>
    </w:p>
    <w:p w14:paraId="282A0B36" w14:textId="0A6C8C7E" w:rsidR="00E86AF2" w:rsidRPr="00A96337" w:rsidRDefault="000F3EA4" w:rsidP="00E86AF2">
      <w:pPr>
        <w:pStyle w:val="BodyText"/>
        <w:rPr>
          <w:lang w:val="en-AU"/>
        </w:rPr>
      </w:pPr>
      <w:r w:rsidRPr="00A96337">
        <w:rPr>
          <w:lang w:val="en-AU"/>
        </w:rPr>
        <w:t>NGO partners must ensure all interventions and approaches are compliant with DFAT’s policies. All new activities will need to be designed and implemented in accordance with DFAT’s Environmental and Social Safeguards Policy</w:t>
      </w:r>
      <w:sdt>
        <w:sdtPr>
          <w:rPr>
            <w:lang w:val="en-AU"/>
          </w:rPr>
          <w:id w:val="-305477892"/>
          <w:citation/>
        </w:sdtPr>
        <w:sdtEndPr/>
        <w:sdtContent>
          <w:r w:rsidR="002F2DA2" w:rsidRPr="00A96337">
            <w:rPr>
              <w:lang w:val="en-AU"/>
            </w:rPr>
            <w:fldChar w:fldCharType="begin"/>
          </w:r>
          <w:r w:rsidR="002F2DA2" w:rsidRPr="00A96337">
            <w:rPr>
              <w:lang w:val="en-AU"/>
            </w:rPr>
            <w:instrText xml:space="preserve"> CITATION DFA192 \l 5129 </w:instrText>
          </w:r>
          <w:r w:rsidR="002F2DA2" w:rsidRPr="00A96337">
            <w:rPr>
              <w:lang w:val="en-AU"/>
            </w:rPr>
            <w:fldChar w:fldCharType="separate"/>
          </w:r>
          <w:r w:rsidR="00593D9F">
            <w:rPr>
              <w:noProof/>
              <w:lang w:val="en-AU"/>
            </w:rPr>
            <w:t xml:space="preserve"> </w:t>
          </w:r>
          <w:r w:rsidR="00593D9F" w:rsidRPr="00593D9F">
            <w:rPr>
              <w:noProof/>
              <w:lang w:val="en-AU"/>
            </w:rPr>
            <w:t>(DFAT, March 2019)</w:t>
          </w:r>
          <w:r w:rsidR="002F2DA2" w:rsidRPr="00A96337">
            <w:rPr>
              <w:lang w:val="en-AU"/>
            </w:rPr>
            <w:fldChar w:fldCharType="end"/>
          </w:r>
        </w:sdtContent>
      </w:sdt>
      <w:r w:rsidRPr="00A96337">
        <w:rPr>
          <w:lang w:val="en-AU"/>
        </w:rPr>
        <w:t xml:space="preserve">. Partners must comply with the </w:t>
      </w:r>
      <w:r w:rsidR="002F2468" w:rsidRPr="00A96337">
        <w:rPr>
          <w:lang w:val="en-AU"/>
        </w:rPr>
        <w:t>Palestinian Authority’s</w:t>
      </w:r>
      <w:r w:rsidRPr="00A96337">
        <w:rPr>
          <w:lang w:val="en-AU"/>
        </w:rPr>
        <w:t xml:space="preserve"> environmental regulations.  The Key Stakeholder Group (or similar) need to regularly review cumulative environmental, health and safety impacts of AMENCA3 across interventions, particularly in relation to water, livestock medicines, fertiliser run-off and pesticides. Risks associated with climate change should also be considered. DFAT’s environmental safeguards team are able to provide further advice on managing environmental risks and safeguard policy compliance.</w:t>
      </w:r>
    </w:p>
    <w:p w14:paraId="79B426CA" w14:textId="140BEA59" w:rsidR="002F4F42" w:rsidRPr="00A96337" w:rsidRDefault="002F4F42" w:rsidP="007F6FE5">
      <w:pPr>
        <w:pStyle w:val="Heading1"/>
      </w:pPr>
      <w:bookmarkStart w:id="367" w:name="_Toc12364837"/>
      <w:r w:rsidRPr="00A96337">
        <w:t>Building the evidence base: monitoring and evaluation</w:t>
      </w:r>
      <w:bookmarkEnd w:id="366"/>
      <w:bookmarkEnd w:id="367"/>
    </w:p>
    <w:p w14:paraId="6342D1DA" w14:textId="70ED7EC5" w:rsidR="002D1C1A" w:rsidRPr="00A96337" w:rsidRDefault="002D1C1A" w:rsidP="002D1C1A">
      <w:pPr>
        <w:pStyle w:val="BodyText"/>
        <w:rPr>
          <w:lang w:val="en-AU" w:eastAsia="en-AU"/>
        </w:rPr>
      </w:pPr>
      <w:r w:rsidRPr="00A96337">
        <w:rPr>
          <w:noProof/>
          <w:lang w:val="en-AU" w:eastAsia="en-AU"/>
        </w:rPr>
        <mc:AlternateContent>
          <mc:Choice Requires="wps">
            <w:drawing>
              <wp:inline distT="0" distB="0" distL="0" distR="0" wp14:anchorId="62254699" wp14:editId="2C1F6C94">
                <wp:extent cx="5731510" cy="972893"/>
                <wp:effectExtent l="0" t="0" r="2540" b="0"/>
                <wp:docPr id="8" name="Text Box 8"/>
                <wp:cNvGraphicFramePr/>
                <a:graphic xmlns:a="http://schemas.openxmlformats.org/drawingml/2006/main">
                  <a:graphicData uri="http://schemas.microsoft.com/office/word/2010/wordprocessingShape">
                    <wps:wsp>
                      <wps:cNvSpPr txBox="1"/>
                      <wps:spPr>
                        <a:xfrm>
                          <a:off x="0" y="0"/>
                          <a:ext cx="5731510" cy="972893"/>
                        </a:xfrm>
                        <a:prstGeom prst="rect">
                          <a:avLst/>
                        </a:prstGeom>
                        <a:solidFill>
                          <a:schemeClr val="bg1">
                            <a:lumMod val="95000"/>
                          </a:schemeClr>
                        </a:solidFill>
                        <a:ln w="6350">
                          <a:noFill/>
                        </a:ln>
                        <a:effectLst/>
                      </wps:spPr>
                      <wps:txbx>
                        <w:txbxContent>
                          <w:p w14:paraId="0FFCD113" w14:textId="77777777" w:rsidR="00AE1954" w:rsidRPr="00CF7F1C" w:rsidRDefault="00AE1954" w:rsidP="002D1C1A">
                            <w:pPr>
                              <w:rPr>
                                <w:rFonts w:ascii="Arial" w:hAnsi="Arial" w:cs="Arial"/>
                                <w:color w:val="003478"/>
                              </w:rPr>
                            </w:pPr>
                            <w:r w:rsidRPr="00CF7F1C">
                              <w:rPr>
                                <w:rFonts w:ascii="Arial" w:hAnsi="Arial" w:cs="Arial"/>
                                <w:color w:val="003478"/>
                              </w:rPr>
                              <w:t>Robust monitoring is in place at the Program and Project level and credible data does appear to be being generated. The MTR is confident that the projects know significantly more about the results the interventions are generating than is currently being reported. More of this needs to drive internal learning and adaptation.</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shape w14:anchorId="62254699" id="Text Box 8" o:spid="_x0000_s1032" type="#_x0000_t202" style="width:451.3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" fillcolor="#f2f2f2 [3052]" stroked="f" strokeweight=".5pt">
                <v:textbox inset="14.4pt,14.4pt,14.4pt,14.4pt">
                  <w:txbxContent>
                    <w:p w14:paraId="0FFCD113" w14:textId="77777777" w:rsidR="00AE1954" w:rsidRPr="00CF7F1C" w:rsidRDefault="00AE1954" w:rsidP="002D1C1A">
                      <w:pPr>
                        <w:rPr>
                          <w:rFonts w:ascii="Arial" w:hAnsi="Arial" w:cs="Arial"/>
                          <w:color w:val="003478"/>
                        </w:rPr>
                      </w:pPr>
                      <w:r w:rsidRPr="00CF7F1C">
                        <w:rPr>
                          <w:rFonts w:ascii="Arial" w:hAnsi="Arial" w:cs="Arial"/>
                          <w:color w:val="003478"/>
                        </w:rPr>
                        <w:t>Robust monitoring is in place at the Program and Project level and credible data does appear to be being generated. The MTR is confident that the projects know significantly more about the results the interventions are generating than is currently being reported. More of this needs to drive internal learning and adaptation.</w:t>
                      </w:r>
                    </w:p>
                  </w:txbxContent>
                </v:textbox>
                <w10:anchorlock/>
              </v:shape>
            </w:pict>
          </mc:Fallback>
        </mc:AlternateContent>
      </w:r>
    </w:p>
    <w:p w14:paraId="0F4111B7" w14:textId="38169964" w:rsidR="002F4F42" w:rsidRPr="00A96337" w:rsidRDefault="002F4F42" w:rsidP="006837B7">
      <w:pPr>
        <w:pStyle w:val="BodyText"/>
        <w:rPr>
          <w:lang w:val="en-AU"/>
        </w:rPr>
      </w:pPr>
      <w:r w:rsidRPr="00A96337">
        <w:rPr>
          <w:lang w:val="en-AU"/>
        </w:rPr>
        <w:t xml:space="preserve">Initial investigation by </w:t>
      </w:r>
      <w:bookmarkStart w:id="368" w:name="_Hlk7350822"/>
      <w:r w:rsidRPr="00A96337">
        <w:rPr>
          <w:lang w:val="en-AU"/>
        </w:rPr>
        <w:t xml:space="preserve">the MTR </w:t>
      </w:r>
      <w:bookmarkEnd w:id="368"/>
      <w:r w:rsidRPr="00A96337">
        <w:rPr>
          <w:lang w:val="en-AU"/>
        </w:rPr>
        <w:t xml:space="preserve">into the M&amp;E systems used </w:t>
      </w:r>
      <w:r w:rsidR="009D3AAE" w:rsidRPr="00A96337">
        <w:rPr>
          <w:lang w:val="en-AU"/>
        </w:rPr>
        <w:t>for reporting and learning within</w:t>
      </w:r>
      <w:r w:rsidRPr="00A96337">
        <w:rPr>
          <w:lang w:val="en-AU"/>
        </w:rPr>
        <w:t xml:space="preserve"> </w:t>
      </w:r>
      <w:r w:rsidR="009B58A0" w:rsidRPr="00A96337">
        <w:rPr>
          <w:lang w:val="en-AU"/>
        </w:rPr>
        <w:t>AMENCA 3</w:t>
      </w:r>
      <w:r w:rsidRPr="00A96337">
        <w:rPr>
          <w:lang w:val="en-AU"/>
        </w:rPr>
        <w:t xml:space="preserve"> indicate that:</w:t>
      </w:r>
    </w:p>
    <w:p w14:paraId="4E51568C" w14:textId="77777777" w:rsidR="002F4F42" w:rsidRPr="00A96337" w:rsidRDefault="002F4F42" w:rsidP="00E50F49">
      <w:pPr>
        <w:pStyle w:val="Dotpoint"/>
      </w:pPr>
      <w:r w:rsidRPr="00A96337">
        <w:t xml:space="preserve">Oxfam and CARE have a clear understanding of their own </w:t>
      </w:r>
      <w:bookmarkStart w:id="369" w:name="_Hlk7339461"/>
      <w:r w:rsidRPr="00A96337">
        <w:t>M&amp;E systems</w:t>
      </w:r>
      <w:bookmarkEnd w:id="369"/>
      <w:r w:rsidRPr="00A96337">
        <w:t>.</w:t>
      </w:r>
      <w:r w:rsidR="00E42BC8" w:rsidRPr="00A96337">
        <w:t xml:space="preserve"> </w:t>
      </w:r>
      <w:r w:rsidRPr="00A96337">
        <w:t>APHEDA’s M&amp;E systems could not be assessed, due to the curtailing of its operations.</w:t>
      </w:r>
      <w:r w:rsidR="00E42BC8" w:rsidRPr="00A96337">
        <w:t xml:space="preserve"> </w:t>
      </w:r>
      <w:r w:rsidRPr="00A96337">
        <w:t>However, its interventions are continuing to contribute to the overall program level results;</w:t>
      </w:r>
    </w:p>
    <w:p w14:paraId="21721420" w14:textId="727B0552" w:rsidR="002F4F42" w:rsidRPr="00A96337" w:rsidRDefault="00E056AE" w:rsidP="00E50F49">
      <w:pPr>
        <w:pStyle w:val="Dotpoint"/>
      </w:pPr>
      <w:r w:rsidRPr="00A96337">
        <w:t>there is a data validation process underway to ensure that the M&amp;E processes are as described.  In addition, s</w:t>
      </w:r>
      <w:r w:rsidR="002F4F42" w:rsidRPr="00A96337">
        <w:t xml:space="preserve">pot-checks and triangulation are being used </w:t>
      </w:r>
      <w:r w:rsidRPr="00A96337">
        <w:t>internally</w:t>
      </w:r>
      <w:r w:rsidR="00747C75" w:rsidRPr="00A96337">
        <w:t xml:space="preserve"> by the NGOs</w:t>
      </w:r>
      <w:r w:rsidRPr="00A96337">
        <w:t xml:space="preserve"> </w:t>
      </w:r>
      <w:r w:rsidR="002F4F42" w:rsidRPr="00A96337">
        <w:t>to ensure accuracy and independence;</w:t>
      </w:r>
    </w:p>
    <w:p w14:paraId="307ACC3E" w14:textId="71BBEF6D" w:rsidR="002F4F42" w:rsidRPr="00A96337" w:rsidRDefault="002F4F42" w:rsidP="00E50F49">
      <w:pPr>
        <w:pStyle w:val="Dotpoint"/>
      </w:pPr>
      <w:r w:rsidRPr="00A96337">
        <w:t xml:space="preserve">the M&amp;E systems are collecting far more data and depth of data than has been made available in the </w:t>
      </w:r>
      <w:r w:rsidR="009B58A0" w:rsidRPr="00A96337">
        <w:t>AMENCA 3</w:t>
      </w:r>
      <w:r w:rsidR="00270915" w:rsidRPr="00A96337">
        <w:t>’s</w:t>
      </w:r>
      <w:r w:rsidRPr="00A96337">
        <w:t xml:space="preserve"> </w:t>
      </w:r>
      <w:r w:rsidR="00270915" w:rsidRPr="00A96337">
        <w:t xml:space="preserve">Annual </w:t>
      </w:r>
      <w:r w:rsidRPr="00A96337">
        <w:t>report;</w:t>
      </w:r>
    </w:p>
    <w:p w14:paraId="71FA3E56" w14:textId="1398DCB5" w:rsidR="002F4F42" w:rsidRPr="00A96337" w:rsidRDefault="002F4F42" w:rsidP="00E50F49">
      <w:pPr>
        <w:pStyle w:val="Dotpoint"/>
      </w:pPr>
      <w:r w:rsidRPr="00A96337">
        <w:t>the program level M&amp;E system is primarily being used to inform aggregate development results rather than learning;</w:t>
      </w:r>
      <w:r w:rsidR="00E056AE" w:rsidRPr="00A96337">
        <w:t xml:space="preserve"> and</w:t>
      </w:r>
    </w:p>
    <w:p w14:paraId="283664F3" w14:textId="4B9330EA" w:rsidR="002F4F42" w:rsidRPr="00A96337" w:rsidRDefault="002F4F42" w:rsidP="00E50F49">
      <w:pPr>
        <w:pStyle w:val="Dotpoint"/>
      </w:pPr>
      <w:bookmarkStart w:id="370" w:name="_Hlk7342491"/>
      <w:r w:rsidRPr="00A96337">
        <w:t xml:space="preserve">the program level M&amp;E </w:t>
      </w:r>
      <w:bookmarkEnd w:id="370"/>
      <w:r w:rsidRPr="00A96337">
        <w:t>system seems not to be as tightly linked to the project-level results chains as one would expect</w:t>
      </w:r>
      <w:r w:rsidR="00E056AE" w:rsidRPr="00A96337">
        <w:t>.</w:t>
      </w:r>
    </w:p>
    <w:p w14:paraId="21F68FD1" w14:textId="42D26EC1" w:rsidR="002F4F42" w:rsidRPr="00A96337" w:rsidRDefault="002F4F42" w:rsidP="006837B7">
      <w:pPr>
        <w:pStyle w:val="BodyText"/>
        <w:rPr>
          <w:lang w:val="en-AU"/>
        </w:rPr>
      </w:pPr>
      <w:r w:rsidRPr="00A96337">
        <w:rPr>
          <w:lang w:val="en-AU"/>
        </w:rPr>
        <w:t>From this we see that significant work has gone into delivering a coherent results framework at the program level together with a process of data validation at the project level.</w:t>
      </w:r>
      <w:r w:rsidR="00E42BC8" w:rsidRPr="00A96337">
        <w:rPr>
          <w:lang w:val="en-AU"/>
        </w:rPr>
        <w:t xml:space="preserve"> </w:t>
      </w:r>
      <w:r w:rsidRPr="00A96337">
        <w:rPr>
          <w:lang w:val="en-AU"/>
        </w:rPr>
        <w:t>This has delivered credible data that ensures the project remains accountable for the targets originally set.</w:t>
      </w:r>
      <w:r w:rsidR="00E42BC8" w:rsidRPr="00A96337">
        <w:rPr>
          <w:lang w:val="en-AU"/>
        </w:rPr>
        <w:t xml:space="preserve"> </w:t>
      </w:r>
      <w:r w:rsidRPr="00A96337">
        <w:rPr>
          <w:lang w:val="en-AU"/>
        </w:rPr>
        <w:t xml:space="preserve">However, </w:t>
      </w:r>
      <w:r w:rsidR="009B58A0" w:rsidRPr="00A96337">
        <w:rPr>
          <w:lang w:val="en-AU"/>
        </w:rPr>
        <w:t>AMENCA 3</w:t>
      </w:r>
      <w:r w:rsidRPr="00A96337">
        <w:rPr>
          <w:lang w:val="en-AU"/>
        </w:rPr>
        <w:t xml:space="preserve">’s indicators are largely derived from DFAT’s </w:t>
      </w:r>
      <w:r w:rsidRPr="00A96337">
        <w:rPr>
          <w:i/>
          <w:iCs/>
          <w:lang w:val="en-AU"/>
        </w:rPr>
        <w:t>Aggregate Development Results</w:t>
      </w:r>
      <w:r w:rsidRPr="00A96337">
        <w:rPr>
          <w:lang w:val="en-AU"/>
        </w:rPr>
        <w:t xml:space="preserve"> (</w:t>
      </w:r>
      <w:r w:rsidR="009B58A0" w:rsidRPr="00A96337">
        <w:rPr>
          <w:lang w:val="en-AU"/>
        </w:rPr>
        <w:t>AMENCA 3</w:t>
      </w:r>
      <w:r w:rsidRPr="00A96337">
        <w:rPr>
          <w:lang w:val="en-AU"/>
        </w:rPr>
        <w:t>, Jan 2019).</w:t>
      </w:r>
      <w:r w:rsidR="00E42BC8" w:rsidRPr="00A96337">
        <w:rPr>
          <w:lang w:val="en-AU"/>
        </w:rPr>
        <w:t xml:space="preserve"> </w:t>
      </w:r>
      <w:r w:rsidRPr="00A96337">
        <w:rPr>
          <w:lang w:val="en-AU"/>
        </w:rPr>
        <w:t xml:space="preserve">While this provides program owners and external stakeholders with confidence about the high-level impact and return on investment of </w:t>
      </w:r>
      <w:r w:rsidR="009B58A0" w:rsidRPr="00A96337">
        <w:rPr>
          <w:lang w:val="en-AU"/>
        </w:rPr>
        <w:t>AMENCA 3</w:t>
      </w:r>
      <w:r w:rsidRPr="00A96337">
        <w:rPr>
          <w:lang w:val="en-AU"/>
        </w:rPr>
        <w:t xml:space="preserve"> (accountability), it provides very little data to help drive </w:t>
      </w:r>
      <w:r w:rsidR="009B58A0" w:rsidRPr="00A96337">
        <w:rPr>
          <w:lang w:val="en-AU"/>
        </w:rPr>
        <w:t>AMENCA 3</w:t>
      </w:r>
      <w:r w:rsidRPr="00A96337">
        <w:rPr>
          <w:lang w:val="en-AU"/>
        </w:rPr>
        <w:t xml:space="preserve"> learning and adaptation.</w:t>
      </w:r>
    </w:p>
    <w:p w14:paraId="0AF7F88E" w14:textId="7B3899A1" w:rsidR="002F4F42" w:rsidRPr="00A96337" w:rsidRDefault="002F4F42" w:rsidP="006837B7">
      <w:pPr>
        <w:pStyle w:val="BodyText"/>
        <w:rPr>
          <w:lang w:val="en-AU"/>
        </w:rPr>
      </w:pPr>
      <w:r w:rsidRPr="00A96337">
        <w:rPr>
          <w:lang w:val="en-AU"/>
        </w:rPr>
        <w:t>This focus on high-level accountability has caused the NGOs to give much more emphasis to quantitative outcomes than necessary.</w:t>
      </w:r>
      <w:r w:rsidR="00E42BC8" w:rsidRPr="00A96337">
        <w:rPr>
          <w:lang w:val="en-AU"/>
        </w:rPr>
        <w:t xml:space="preserve"> </w:t>
      </w:r>
      <w:r w:rsidRPr="00A96337">
        <w:rPr>
          <w:lang w:val="en-AU"/>
        </w:rPr>
        <w:t xml:space="preserve">Using high level quantitative indicators throughout can distort market selection and engagement by pushing NGOs to focus on </w:t>
      </w:r>
      <w:r w:rsidR="00047EF1" w:rsidRPr="00A96337">
        <w:rPr>
          <w:lang w:val="en-AU"/>
        </w:rPr>
        <w:t>interventions</w:t>
      </w:r>
      <w:r w:rsidRPr="00A96337">
        <w:rPr>
          <w:lang w:val="en-AU"/>
        </w:rPr>
        <w:t xml:space="preserve"> that deliver short-term quantitative impacts, and make it more difficult for programs to prioritise some of the more fundamental investments needed to establish critical market functions or to improve inclusion.</w:t>
      </w:r>
      <w:r w:rsidR="00E42BC8" w:rsidRPr="00A96337">
        <w:rPr>
          <w:lang w:val="en-AU"/>
        </w:rPr>
        <w:t xml:space="preserve"> </w:t>
      </w:r>
      <w:r w:rsidRPr="00A96337">
        <w:rPr>
          <w:lang w:val="en-AU"/>
        </w:rPr>
        <w:t>For example, helping missing or fragile market functions to establish and work better can be an essential but longer-term contribution to market performance.</w:t>
      </w:r>
    </w:p>
    <w:p w14:paraId="4D30752F" w14:textId="77777777" w:rsidR="009905E6" w:rsidRPr="00A96337" w:rsidRDefault="002F4F42" w:rsidP="00E86AF2">
      <w:pPr>
        <w:pStyle w:val="BodyText"/>
        <w:rPr>
          <w:lang w:val="en-AU"/>
        </w:rPr>
      </w:pPr>
      <w:r w:rsidRPr="00A96337">
        <w:rPr>
          <w:lang w:val="en-AU"/>
        </w:rPr>
        <w:t>Hence, both accountability and learning are essential and must be carefully balanced in an MSD program. The MTR could clearly see that each of the projects know significantly more about the “quality” of results that the interventions are generating than is currently being reported.</w:t>
      </w:r>
      <w:r w:rsidR="00E42BC8" w:rsidRPr="00A96337">
        <w:rPr>
          <w:lang w:val="en-AU"/>
        </w:rPr>
        <w:t xml:space="preserve"> </w:t>
      </w:r>
      <w:r w:rsidRPr="00A96337">
        <w:rPr>
          <w:lang w:val="en-AU"/>
        </w:rPr>
        <w:t>Given the emphasis that the current program level M&amp;E and reporting system gives to accountability, there are numerous ‘hidden results’ in the program.</w:t>
      </w:r>
    </w:p>
    <w:p w14:paraId="660718D4" w14:textId="10A5B5D8" w:rsidR="002F4F42" w:rsidRPr="00A96337" w:rsidRDefault="009905E6" w:rsidP="00047EF1">
      <w:pPr>
        <w:pStyle w:val="BodyText"/>
        <w:spacing w:after="240"/>
        <w:rPr>
          <w:lang w:val="en-AU"/>
        </w:rPr>
      </w:pPr>
      <w:r w:rsidRPr="00A96337">
        <w:rPr>
          <w:lang w:val="en-AU"/>
        </w:rPr>
        <w:t xml:space="preserve">This process may also result in </w:t>
      </w:r>
      <w:r w:rsidR="009B58A0" w:rsidRPr="00A96337">
        <w:rPr>
          <w:lang w:val="en-AU"/>
        </w:rPr>
        <w:t>AMENCA 3</w:t>
      </w:r>
      <w:r w:rsidRPr="00A96337">
        <w:rPr>
          <w:lang w:val="en-AU"/>
        </w:rPr>
        <w:t xml:space="preserve"> updating its high-level indicators to better reflect market and social outcomes, including differences in outcomes for men and women in communities. The number and type of indicators, as well as a review of the targets, would benefit from further rationalisation to ensure the right mix of indicators are being used to best reflect meaningful changes to market systems in addition to differentiated results for different stakeholders.</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450A35" w:rsidRPr="00A96337" w14:paraId="4406648E" w14:textId="77777777" w:rsidTr="000E1846">
        <w:trPr>
          <w:trHeight w:val="1207"/>
        </w:trPr>
        <w:tc>
          <w:tcPr>
            <w:tcW w:w="709" w:type="dxa"/>
          </w:tcPr>
          <w:p w14:paraId="40AAE31C" w14:textId="77777777" w:rsidR="00450A35" w:rsidRPr="00A96337" w:rsidRDefault="00450A35" w:rsidP="000E1846">
            <w:pPr>
              <w:pStyle w:val="IntenseQuote"/>
              <w:pBdr>
                <w:bottom w:val="none" w:sz="0" w:space="0" w:color="auto"/>
              </w:pBdr>
              <w:spacing w:before="120" w:after="120" w:line="259" w:lineRule="auto"/>
              <w:ind w:left="0" w:right="124"/>
              <w:rPr>
                <w:rFonts w:ascii="Arial" w:hAnsi="Arial" w:cs="Arial"/>
                <w:i w:val="0"/>
              </w:rPr>
            </w:pPr>
            <w:r w:rsidRPr="00A96337">
              <w:rPr>
                <w:rFonts w:ascii="Arial" w:hAnsi="Arial" w:cs="Arial"/>
                <w:i w:val="0"/>
                <w:noProof/>
                <w:lang w:eastAsia="en-AU"/>
              </w:rPr>
              <w:drawing>
                <wp:inline distT="0" distB="0" distL="0" distR="0" wp14:anchorId="444C80D0" wp14:editId="45F6949D">
                  <wp:extent cx="267419" cy="330844"/>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307" w:type="dxa"/>
          </w:tcPr>
          <w:p w14:paraId="76D77DEA" w14:textId="14792010" w:rsidR="00450A35" w:rsidRPr="00A96337" w:rsidRDefault="000D5438" w:rsidP="00F8335C">
            <w:pPr>
              <w:pStyle w:val="IntenseQuote"/>
              <w:numPr>
                <w:ilvl w:val="0"/>
                <w:numId w:val="30"/>
              </w:numPr>
              <w:pBdr>
                <w:bottom w:val="none" w:sz="0" w:space="0" w:color="auto"/>
              </w:pBdr>
              <w:spacing w:before="120" w:after="120" w:line="259" w:lineRule="auto"/>
              <w:ind w:left="0" w:right="0" w:firstLine="0"/>
              <w:rPr>
                <w:rFonts w:ascii="Arial" w:hAnsi="Arial" w:cs="Arial"/>
                <w:i w:val="0"/>
                <w:color w:val="5482AB"/>
              </w:rPr>
            </w:pPr>
            <w:bookmarkStart w:id="371" w:name="_Ref11933403"/>
            <w:r w:rsidRPr="00A96337">
              <w:rPr>
                <w:rFonts w:ascii="Arial" w:hAnsi="Arial" w:cs="Arial"/>
                <w:i w:val="0"/>
                <w:color w:val="5482AB"/>
              </w:rPr>
              <w:t>Better capture results:</w:t>
            </w:r>
            <w:r w:rsidRPr="00A96337">
              <w:rPr>
                <w:rFonts w:ascii="Arial" w:hAnsi="Arial" w:cs="Arial"/>
                <w:b w:val="0"/>
                <w:bCs w:val="0"/>
                <w:i w:val="0"/>
                <w:color w:val="5482AB"/>
              </w:rPr>
              <w:t xml:space="preserve"> </w:t>
            </w:r>
            <w:r w:rsidR="00AD6774" w:rsidRPr="00A96337">
              <w:rPr>
                <w:rFonts w:ascii="Arial" w:hAnsi="Arial" w:cs="Arial"/>
                <w:b w:val="0"/>
                <w:bCs w:val="0"/>
                <w:i w:val="0"/>
                <w:color w:val="5482AB"/>
              </w:rPr>
              <w:t xml:space="preserve"> </w:t>
            </w:r>
            <w:r w:rsidRPr="00A96337">
              <w:rPr>
                <w:rFonts w:ascii="Arial" w:hAnsi="Arial" w:cs="Arial"/>
                <w:b w:val="0"/>
                <w:bCs w:val="0"/>
                <w:i w:val="0"/>
                <w:color w:val="5482AB"/>
              </w:rPr>
              <w:t xml:space="preserve">Complement the current high-level aggregate results reporting with a deeper emphasis on </w:t>
            </w:r>
            <w:r w:rsidR="00747C75" w:rsidRPr="00A96337">
              <w:rPr>
                <w:rFonts w:ascii="Arial" w:hAnsi="Arial" w:cs="Arial"/>
                <w:b w:val="0"/>
                <w:bCs w:val="0"/>
                <w:i w:val="0"/>
                <w:color w:val="5482AB"/>
              </w:rPr>
              <w:t xml:space="preserve">monitoring and results measurement (MRM) including </w:t>
            </w:r>
            <w:r w:rsidR="00215A72" w:rsidRPr="00A96337">
              <w:rPr>
                <w:rFonts w:ascii="Arial" w:hAnsi="Arial" w:cs="Arial"/>
                <w:b w:val="0"/>
                <w:bCs w:val="0"/>
                <w:i w:val="0"/>
                <w:color w:val="5482AB"/>
              </w:rPr>
              <w:t xml:space="preserve">processes for </w:t>
            </w:r>
            <w:r w:rsidRPr="00A96337">
              <w:rPr>
                <w:rFonts w:ascii="Arial" w:hAnsi="Arial" w:cs="Arial"/>
                <w:b w:val="0"/>
                <w:bCs w:val="0"/>
                <w:i w:val="0"/>
                <w:color w:val="5482AB"/>
              </w:rPr>
              <w:t xml:space="preserve">formal review, reflection, learning and adaptation. </w:t>
            </w:r>
            <w:r w:rsidR="009B58A0" w:rsidRPr="00A96337">
              <w:rPr>
                <w:rFonts w:ascii="Arial" w:hAnsi="Arial" w:cs="Arial"/>
                <w:b w:val="0"/>
                <w:bCs w:val="0"/>
                <w:i w:val="0"/>
                <w:color w:val="5482AB"/>
              </w:rPr>
              <w:t>AMENCA 3</w:t>
            </w:r>
            <w:r w:rsidRPr="00A96337">
              <w:rPr>
                <w:rFonts w:ascii="Arial" w:hAnsi="Arial" w:cs="Arial"/>
                <w:b w:val="0"/>
                <w:bCs w:val="0"/>
                <w:i w:val="0"/>
                <w:color w:val="5482AB"/>
              </w:rPr>
              <w:t xml:space="preserve"> should enhance the </w:t>
            </w:r>
            <w:r w:rsidR="00223DA3" w:rsidRPr="00A96337">
              <w:rPr>
                <w:rFonts w:ascii="Arial" w:hAnsi="Arial" w:cs="Arial"/>
                <w:b w:val="0"/>
                <w:bCs w:val="0"/>
                <w:i w:val="0"/>
                <w:color w:val="5482AB"/>
              </w:rPr>
              <w:t xml:space="preserve">capacity and </w:t>
            </w:r>
            <w:r w:rsidRPr="00A96337">
              <w:rPr>
                <w:rFonts w:ascii="Arial" w:hAnsi="Arial" w:cs="Arial"/>
                <w:b w:val="0"/>
                <w:bCs w:val="0"/>
                <w:i w:val="0"/>
                <w:color w:val="5482AB"/>
              </w:rPr>
              <w:t xml:space="preserve">consistency with which </w:t>
            </w:r>
            <w:r w:rsidR="00215A72" w:rsidRPr="00A96337">
              <w:rPr>
                <w:rFonts w:ascii="Arial" w:hAnsi="Arial" w:cs="Arial"/>
                <w:b w:val="0"/>
                <w:bCs w:val="0"/>
                <w:i w:val="0"/>
                <w:color w:val="5482AB"/>
              </w:rPr>
              <w:t xml:space="preserve">MRM </w:t>
            </w:r>
            <w:r w:rsidRPr="00A96337">
              <w:rPr>
                <w:rFonts w:ascii="Arial" w:hAnsi="Arial" w:cs="Arial"/>
                <w:b w:val="0"/>
                <w:bCs w:val="0"/>
                <w:i w:val="0"/>
                <w:color w:val="5482AB"/>
              </w:rPr>
              <w:t xml:space="preserve">is used across the program.  </w:t>
            </w:r>
            <w:r w:rsidR="009B58A0" w:rsidRPr="00A96337">
              <w:rPr>
                <w:rFonts w:ascii="Arial" w:hAnsi="Arial" w:cs="Arial"/>
                <w:b w:val="0"/>
                <w:bCs w:val="0"/>
                <w:i w:val="0"/>
                <w:color w:val="5482AB"/>
              </w:rPr>
              <w:t>AMENCA 3</w:t>
            </w:r>
            <w:r w:rsidRPr="00A96337">
              <w:rPr>
                <w:rFonts w:ascii="Arial" w:hAnsi="Arial" w:cs="Arial"/>
                <w:b w:val="0"/>
                <w:bCs w:val="0"/>
                <w:i w:val="0"/>
                <w:color w:val="5482AB"/>
              </w:rPr>
              <w:t xml:space="preserve">’s </w:t>
            </w:r>
            <w:r w:rsidR="00A97F31" w:rsidRPr="00A96337">
              <w:rPr>
                <w:rFonts w:ascii="Arial" w:hAnsi="Arial" w:cs="Arial"/>
                <w:b w:val="0"/>
                <w:bCs w:val="0"/>
                <w:i w:val="0"/>
                <w:color w:val="5482AB"/>
              </w:rPr>
              <w:t>current M&amp;E Advisor</w:t>
            </w:r>
            <w:r w:rsidR="006C2C47" w:rsidRPr="00A96337">
              <w:rPr>
                <w:rFonts w:ascii="Arial" w:hAnsi="Arial" w:cs="Arial"/>
                <w:b w:val="0"/>
                <w:bCs w:val="0"/>
                <w:i w:val="0"/>
                <w:color w:val="5482AB"/>
              </w:rPr>
              <w:t xml:space="preserve"> </w:t>
            </w:r>
            <w:r w:rsidRPr="00A96337">
              <w:rPr>
                <w:rFonts w:ascii="Arial" w:hAnsi="Arial" w:cs="Arial"/>
                <w:b w:val="0"/>
                <w:bCs w:val="0"/>
                <w:i w:val="0"/>
                <w:color w:val="5482AB"/>
              </w:rPr>
              <w:t xml:space="preserve">should be </w:t>
            </w:r>
            <w:r w:rsidR="00A86AD2" w:rsidRPr="00A96337">
              <w:rPr>
                <w:rFonts w:ascii="Arial" w:hAnsi="Arial" w:cs="Arial"/>
                <w:b w:val="0"/>
                <w:bCs w:val="0"/>
                <w:i w:val="0"/>
                <w:color w:val="5482AB"/>
              </w:rPr>
              <w:t xml:space="preserve">complemented with </w:t>
            </w:r>
            <w:r w:rsidR="00D631AE" w:rsidRPr="00A96337">
              <w:rPr>
                <w:rFonts w:ascii="Arial" w:hAnsi="Arial" w:cs="Arial"/>
                <w:b w:val="0"/>
                <w:bCs w:val="0"/>
                <w:i w:val="0"/>
                <w:color w:val="5482AB"/>
              </w:rPr>
              <w:t xml:space="preserve">enhanced </w:t>
            </w:r>
            <w:r w:rsidR="006C2C47" w:rsidRPr="00A96337">
              <w:rPr>
                <w:rFonts w:ascii="Arial" w:hAnsi="Arial" w:cs="Arial"/>
                <w:b w:val="0"/>
                <w:bCs w:val="0"/>
                <w:i w:val="0"/>
                <w:color w:val="5482AB"/>
              </w:rPr>
              <w:t xml:space="preserve">inputs from an MRM </w:t>
            </w:r>
            <w:r w:rsidR="00FF6CE7" w:rsidRPr="00A96337">
              <w:rPr>
                <w:rFonts w:ascii="Arial" w:hAnsi="Arial" w:cs="Arial"/>
                <w:b w:val="0"/>
                <w:bCs w:val="0"/>
                <w:i w:val="0"/>
                <w:color w:val="5482AB"/>
              </w:rPr>
              <w:t>specialist</w:t>
            </w:r>
            <w:r w:rsidRPr="00A96337">
              <w:rPr>
                <w:rFonts w:ascii="Arial" w:hAnsi="Arial" w:cs="Arial"/>
                <w:b w:val="0"/>
                <w:bCs w:val="0"/>
                <w:i w:val="0"/>
                <w:color w:val="5482AB"/>
              </w:rPr>
              <w:t xml:space="preserve"> </w:t>
            </w:r>
            <w:r w:rsidR="00FF6CE7" w:rsidRPr="00A96337">
              <w:rPr>
                <w:rFonts w:ascii="Arial" w:hAnsi="Arial" w:cs="Arial"/>
                <w:b w:val="0"/>
                <w:bCs w:val="0"/>
                <w:i w:val="0"/>
                <w:color w:val="5482AB"/>
              </w:rPr>
              <w:t>to</w:t>
            </w:r>
            <w:r w:rsidRPr="00A96337">
              <w:rPr>
                <w:rFonts w:ascii="Arial" w:hAnsi="Arial" w:cs="Arial"/>
                <w:b w:val="0"/>
                <w:bCs w:val="0"/>
                <w:i w:val="0"/>
                <w:color w:val="5482AB"/>
              </w:rPr>
              <w:t xml:space="preserve"> </w:t>
            </w:r>
            <w:r w:rsidR="00223DA3" w:rsidRPr="00A96337">
              <w:rPr>
                <w:rFonts w:ascii="Arial" w:hAnsi="Arial" w:cs="Arial"/>
                <w:b w:val="0"/>
                <w:bCs w:val="0"/>
                <w:i w:val="0"/>
                <w:color w:val="5482AB"/>
              </w:rPr>
              <w:t xml:space="preserve">help the projects and the program </w:t>
            </w:r>
            <w:r w:rsidRPr="00A96337">
              <w:rPr>
                <w:rFonts w:ascii="Arial" w:hAnsi="Arial" w:cs="Arial"/>
                <w:b w:val="0"/>
                <w:bCs w:val="0"/>
                <w:i w:val="0"/>
                <w:color w:val="5482AB"/>
              </w:rPr>
              <w:t>capture results pertaining to ‘indirect’ market systems impacts (such as copying and crowding), women’s economic empowerment and agency, civil society strengthening and – to the degree possible – system</w:t>
            </w:r>
            <w:r w:rsidR="00223DA3" w:rsidRPr="00A96337">
              <w:rPr>
                <w:rFonts w:ascii="Arial" w:hAnsi="Arial" w:cs="Arial"/>
                <w:b w:val="0"/>
                <w:bCs w:val="0"/>
                <w:i w:val="0"/>
                <w:color w:val="5482AB"/>
              </w:rPr>
              <w:t>ic</w:t>
            </w:r>
            <w:r w:rsidRPr="00A96337">
              <w:rPr>
                <w:rFonts w:ascii="Arial" w:hAnsi="Arial" w:cs="Arial"/>
                <w:b w:val="0"/>
                <w:bCs w:val="0"/>
                <w:i w:val="0"/>
                <w:color w:val="5482AB"/>
              </w:rPr>
              <w:t xml:space="preserve"> change.  </w:t>
            </w:r>
            <w:r w:rsidR="009B58A0" w:rsidRPr="00A96337">
              <w:rPr>
                <w:rFonts w:ascii="Arial" w:hAnsi="Arial" w:cs="Arial"/>
                <w:b w:val="0"/>
                <w:bCs w:val="0"/>
                <w:i w:val="0"/>
                <w:color w:val="5482AB"/>
              </w:rPr>
              <w:t>AMENCA 3</w:t>
            </w:r>
            <w:r w:rsidRPr="00A96337">
              <w:rPr>
                <w:rFonts w:ascii="Arial" w:hAnsi="Arial" w:cs="Arial"/>
                <w:b w:val="0"/>
                <w:bCs w:val="0"/>
                <w:i w:val="0"/>
                <w:color w:val="5482AB"/>
              </w:rPr>
              <w:t xml:space="preserve"> should revise its program level targets and indicators to better monitor and understand social outcomes, including differences in outcomes for men and women in communities.</w:t>
            </w:r>
            <w:bookmarkEnd w:id="371"/>
          </w:p>
        </w:tc>
      </w:tr>
    </w:tbl>
    <w:p w14:paraId="5E932E04" w14:textId="3C0A9686" w:rsidR="002F4F42" w:rsidRPr="00A96337" w:rsidRDefault="002F4F42" w:rsidP="00BC3241">
      <w:pPr>
        <w:pStyle w:val="BodyText"/>
        <w:spacing w:before="240" w:after="240"/>
        <w:rPr>
          <w:lang w:val="en-AU"/>
        </w:rPr>
      </w:pPr>
      <w:r w:rsidRPr="00A96337">
        <w:rPr>
          <w:lang w:val="en-AU"/>
        </w:rPr>
        <w:t>Without this perspective, there may be an incomplete understanding of the nature of market change, inclusion, attribution, and the underlying relationships.</w:t>
      </w:r>
      <w:r w:rsidR="00E42BC8" w:rsidRPr="00A96337">
        <w:rPr>
          <w:lang w:val="en-AU"/>
        </w:rPr>
        <w:t xml:space="preserve"> </w:t>
      </w:r>
      <w:r w:rsidRPr="00A96337">
        <w:rPr>
          <w:lang w:val="en-AU"/>
        </w:rPr>
        <w:t>Overall more formal and cross program use of the principles and processes of MRM will improve stakeholder understanding of the significant changes occurring.</w:t>
      </w:r>
      <w:r w:rsidR="00E42BC8" w:rsidRPr="00A96337">
        <w:rPr>
          <w:lang w:val="en-AU"/>
        </w:rPr>
        <w:t xml:space="preserve"> </w:t>
      </w:r>
      <w:r w:rsidRPr="00A96337">
        <w:rPr>
          <w:lang w:val="en-AU"/>
        </w:rPr>
        <w:t xml:space="preserve">Related to this, the MTR has also proposed some changes be made across </w:t>
      </w:r>
      <w:r w:rsidR="009B58A0" w:rsidRPr="00A96337">
        <w:rPr>
          <w:lang w:val="en-AU"/>
        </w:rPr>
        <w:t>AMENCA 3</w:t>
      </w:r>
      <w:r w:rsidRPr="00A96337">
        <w:rPr>
          <w:lang w:val="en-AU"/>
        </w:rPr>
        <w:t xml:space="preserve"> including to the advisory services, internal NGO capacity, and the formal processes of reflection and review (see Section </w:t>
      </w:r>
      <w:r w:rsidRPr="00A96337">
        <w:rPr>
          <w:lang w:val="en-AU"/>
        </w:rPr>
        <w:fldChar w:fldCharType="begin"/>
      </w:r>
      <w:r w:rsidRPr="00A96337">
        <w:rPr>
          <w:lang w:val="en-AU"/>
        </w:rPr>
        <w:instrText xml:space="preserve"> REF _Ref8968577 \r \h </w:instrText>
      </w:r>
      <w:r w:rsidRPr="00A96337">
        <w:rPr>
          <w:lang w:val="en-AU"/>
        </w:rPr>
      </w:r>
      <w:r w:rsidRPr="00A96337">
        <w:rPr>
          <w:lang w:val="en-AU"/>
        </w:rPr>
        <w:fldChar w:fldCharType="separate"/>
      </w:r>
      <w:r w:rsidR="00E06D4A">
        <w:rPr>
          <w:lang w:val="en-AU"/>
        </w:rPr>
        <w:t>9.2</w:t>
      </w:r>
      <w:r w:rsidRPr="00A96337">
        <w:rPr>
          <w:lang w:val="en-AU"/>
        </w:rPr>
        <w:fldChar w:fldCharType="end"/>
      </w:r>
      <w:r w:rsidRPr="00A96337">
        <w:rPr>
          <w:lang w:val="en-AU"/>
        </w:rPr>
        <w:t xml:space="preserve"> and Recommendations 3</w:t>
      </w:r>
      <w:r w:rsidR="00556DF9" w:rsidRPr="00A96337">
        <w:rPr>
          <w:lang w:val="en-AU"/>
        </w:rPr>
        <w:t>,</w:t>
      </w:r>
      <w:r w:rsidRPr="00A96337">
        <w:rPr>
          <w:lang w:val="en-AU"/>
        </w:rPr>
        <w:t xml:space="preserve"> 5</w:t>
      </w:r>
      <w:r w:rsidR="00E9495F" w:rsidRPr="00A96337">
        <w:rPr>
          <w:lang w:val="en-AU"/>
        </w:rPr>
        <w:t xml:space="preserve"> and 6</w:t>
      </w:r>
      <w:r w:rsidRPr="00A96337">
        <w:rPr>
          <w:lang w:val="en-AU"/>
        </w:rPr>
        <w:t>).</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5D0945" w:rsidRPr="00A96337" w14:paraId="1C90A41F" w14:textId="77777777" w:rsidTr="009B58A0">
        <w:trPr>
          <w:trHeight w:val="1207"/>
        </w:trPr>
        <w:tc>
          <w:tcPr>
            <w:tcW w:w="709" w:type="dxa"/>
          </w:tcPr>
          <w:p w14:paraId="6A2DD149" w14:textId="77777777" w:rsidR="005D0945" w:rsidRPr="00A96337" w:rsidRDefault="005D0945" w:rsidP="009B58A0">
            <w:pPr>
              <w:pStyle w:val="IntenseQuote"/>
              <w:pBdr>
                <w:bottom w:val="none" w:sz="0" w:space="0" w:color="auto"/>
              </w:pBdr>
              <w:spacing w:before="120" w:after="120" w:line="259" w:lineRule="auto"/>
              <w:ind w:left="0" w:right="124"/>
              <w:rPr>
                <w:rFonts w:ascii="Arial" w:hAnsi="Arial" w:cs="Arial"/>
                <w:i w:val="0"/>
                <w:color w:val="5482AB"/>
              </w:rPr>
            </w:pPr>
            <w:r w:rsidRPr="00A96337">
              <w:rPr>
                <w:rFonts w:ascii="Arial" w:hAnsi="Arial" w:cs="Arial"/>
                <w:i w:val="0"/>
                <w:noProof/>
                <w:color w:val="5482AB"/>
                <w:lang w:eastAsia="en-AU"/>
              </w:rPr>
              <w:drawing>
                <wp:inline distT="0" distB="0" distL="0" distR="0" wp14:anchorId="73F4EEFC" wp14:editId="16811C74">
                  <wp:extent cx="267419" cy="330844"/>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307" w:type="dxa"/>
          </w:tcPr>
          <w:p w14:paraId="7AC2C1C5" w14:textId="3212031D" w:rsidR="005D0945" w:rsidRPr="00A96337" w:rsidRDefault="005D0945" w:rsidP="00F8335C">
            <w:pPr>
              <w:pStyle w:val="IntenseQuote"/>
              <w:numPr>
                <w:ilvl w:val="0"/>
                <w:numId w:val="30"/>
              </w:numPr>
              <w:pBdr>
                <w:bottom w:val="none" w:sz="0" w:space="0" w:color="auto"/>
              </w:pBdr>
              <w:spacing w:before="120" w:after="120" w:line="259" w:lineRule="auto"/>
              <w:ind w:left="0" w:right="0" w:firstLine="0"/>
              <w:rPr>
                <w:rFonts w:ascii="Arial" w:hAnsi="Arial" w:cs="Arial"/>
                <w:color w:val="5482AB"/>
              </w:rPr>
            </w:pPr>
            <w:bookmarkStart w:id="372" w:name="_Ref11933565"/>
            <w:r w:rsidRPr="00A96337">
              <w:rPr>
                <w:rFonts w:ascii="Arial" w:hAnsi="Arial" w:cs="Arial"/>
                <w:i w:val="0"/>
                <w:color w:val="5482AB"/>
              </w:rPr>
              <w:t>Revise high level targets:</w:t>
            </w:r>
            <w:r w:rsidRPr="00A96337">
              <w:rPr>
                <w:rFonts w:ascii="Arial" w:hAnsi="Arial" w:cs="Arial"/>
                <w:b w:val="0"/>
                <w:bCs w:val="0"/>
                <w:i w:val="0"/>
                <w:color w:val="5482AB"/>
              </w:rPr>
              <w:t xml:space="preserve">  Considering the high level of overperformance compared with initial targets, continuation for a further two years should be based on a collective revision of targets to reflect positive progress to date and provide appropriate performance incentives across </w:t>
            </w:r>
            <w:r w:rsidR="009B58A0" w:rsidRPr="00A96337">
              <w:rPr>
                <w:rFonts w:ascii="Arial" w:hAnsi="Arial" w:cs="Arial"/>
                <w:b w:val="0"/>
                <w:bCs w:val="0"/>
                <w:i w:val="0"/>
                <w:color w:val="5482AB"/>
              </w:rPr>
              <w:t>AMENCA 3</w:t>
            </w:r>
            <w:r w:rsidRPr="00A96337">
              <w:rPr>
                <w:rFonts w:ascii="Arial" w:hAnsi="Arial" w:cs="Arial"/>
                <w:b w:val="0"/>
                <w:bCs w:val="0"/>
                <w:i w:val="0"/>
                <w:color w:val="5482AB"/>
              </w:rPr>
              <w:t>.  This will require recommended updates from the MRM and Reporting/Coordination advisers which would then be workshopped with DFAT and Consortia and the AHLD Key Stakeholder Group.</w:t>
            </w:r>
            <w:bookmarkEnd w:id="372"/>
          </w:p>
        </w:tc>
      </w:tr>
    </w:tbl>
    <w:p w14:paraId="5647E249" w14:textId="77777777" w:rsidR="005D0945" w:rsidRPr="00A96337" w:rsidRDefault="002F4F42" w:rsidP="00003959">
      <w:pPr>
        <w:pStyle w:val="BodyText"/>
        <w:spacing w:before="240" w:after="240"/>
        <w:rPr>
          <w:lang w:val="en-AU"/>
        </w:rPr>
      </w:pPr>
      <w:r w:rsidRPr="00A96337">
        <w:rPr>
          <w:lang w:val="en-AU"/>
        </w:rPr>
        <w:t>The ongoing M&amp;E Working Group meetings were observed to be effective forums in which to ensure coherence between projects and sharing of information on key indicators and data of interest.</w:t>
      </w:r>
      <w:r w:rsidR="00E42BC8" w:rsidRPr="00A96337">
        <w:rPr>
          <w:lang w:val="en-AU"/>
        </w:rPr>
        <w:t xml:space="preserve"> </w:t>
      </w:r>
      <w:r w:rsidRPr="00A96337">
        <w:rPr>
          <w:lang w:val="en-AU"/>
        </w:rPr>
        <w:t>There is strong appetite by NGOs to continue to learn, improve and adapt their M&amp;E systems to strengthen reporting and how M&amp;E can support an MSD approach.</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5D0945" w:rsidRPr="00A96337" w14:paraId="47976B80" w14:textId="77777777" w:rsidTr="009B58A0">
        <w:trPr>
          <w:trHeight w:val="679"/>
        </w:trPr>
        <w:tc>
          <w:tcPr>
            <w:tcW w:w="761" w:type="dxa"/>
          </w:tcPr>
          <w:p w14:paraId="1EC0E6D5" w14:textId="77777777" w:rsidR="005D0945" w:rsidRPr="00A96337" w:rsidRDefault="005D0945" w:rsidP="009B58A0">
            <w:pPr>
              <w:pStyle w:val="IntenseQuote"/>
              <w:pBdr>
                <w:bottom w:val="none" w:sz="0" w:space="0" w:color="auto"/>
              </w:pBdr>
              <w:spacing w:before="120" w:after="120" w:line="259" w:lineRule="auto"/>
              <w:ind w:left="0" w:right="124"/>
              <w:rPr>
                <w:rFonts w:ascii="Arial" w:hAnsi="Arial" w:cs="Arial"/>
                <w:i w:val="0"/>
                <w:color w:val="5482AB"/>
              </w:rPr>
            </w:pPr>
            <w:r w:rsidRPr="00A96337">
              <w:rPr>
                <w:rFonts w:ascii="Arial" w:hAnsi="Arial" w:cs="Arial"/>
                <w:i w:val="0"/>
                <w:noProof/>
                <w:color w:val="5482AB"/>
                <w:lang w:eastAsia="en-AU"/>
              </w:rPr>
              <w:drawing>
                <wp:inline distT="0" distB="0" distL="0" distR="0" wp14:anchorId="1703E817" wp14:editId="0BEB84FD">
                  <wp:extent cx="267419" cy="330844"/>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265" w:type="dxa"/>
          </w:tcPr>
          <w:p w14:paraId="69644AD3" w14:textId="77777777" w:rsidR="005D0945" w:rsidRPr="00A96337" w:rsidRDefault="005D0945" w:rsidP="00F8335C">
            <w:pPr>
              <w:pStyle w:val="IntenseQuote"/>
              <w:numPr>
                <w:ilvl w:val="0"/>
                <w:numId w:val="30"/>
              </w:numPr>
              <w:pBdr>
                <w:bottom w:val="none" w:sz="0" w:space="0" w:color="auto"/>
              </w:pBdr>
              <w:spacing w:before="120" w:after="120" w:line="259" w:lineRule="auto"/>
              <w:ind w:left="0" w:right="0" w:firstLine="0"/>
              <w:rPr>
                <w:rFonts w:ascii="Arial" w:hAnsi="Arial" w:cs="Arial"/>
                <w:i w:val="0"/>
                <w:color w:val="5482AB"/>
              </w:rPr>
            </w:pPr>
            <w:bookmarkStart w:id="373" w:name="_Ref11932915"/>
            <w:r w:rsidRPr="00A96337">
              <w:rPr>
                <w:rFonts w:ascii="Arial" w:hAnsi="Arial" w:cs="Arial"/>
                <w:i w:val="0"/>
                <w:color w:val="5482AB"/>
              </w:rPr>
              <w:t xml:space="preserve">Impact evaluation: </w:t>
            </w:r>
            <w:r w:rsidRPr="00A96337">
              <w:rPr>
                <w:rFonts w:ascii="Arial" w:hAnsi="Arial" w:cs="Arial"/>
                <w:b w:val="0"/>
                <w:bCs w:val="0"/>
                <w:i w:val="0"/>
                <w:color w:val="5482AB"/>
              </w:rPr>
              <w:t>Consider undertaking a formal DFAT-funded independent impact evaluation to address under-reporting to date and to capture:</w:t>
            </w:r>
            <w:r w:rsidRPr="00A96337">
              <w:rPr>
                <w:rFonts w:ascii="Arial" w:hAnsi="Arial" w:cs="Arial"/>
                <w:b w:val="0"/>
                <w:bCs w:val="0"/>
                <w:i w:val="0"/>
                <w:color w:val="5482AB"/>
              </w:rPr>
              <w:br/>
              <w:t>a) indirect impacts not currently being considered by the reporting framework (e.g. from establishing missing market functions, crowding, copying and monopoly disruption);</w:t>
            </w:r>
            <w:r w:rsidRPr="00A96337">
              <w:rPr>
                <w:rFonts w:ascii="Arial" w:hAnsi="Arial" w:cs="Arial"/>
                <w:b w:val="0"/>
                <w:bCs w:val="0"/>
                <w:i w:val="0"/>
                <w:color w:val="5482AB"/>
              </w:rPr>
              <w:br/>
              <w:t>b) ongoing impacts from AMENCA 2 (e.g. seed banks, nurseries);</w:t>
            </w:r>
            <w:r w:rsidRPr="00A96337">
              <w:rPr>
                <w:rFonts w:ascii="Arial" w:hAnsi="Arial" w:cs="Arial"/>
                <w:b w:val="0"/>
                <w:bCs w:val="0"/>
                <w:i w:val="0"/>
                <w:color w:val="5482AB"/>
              </w:rPr>
              <w:br/>
              <w:t>c) cross-partner impacts across a sector (e.g. sheep dairy sector where multiple partners are contributing to transformation).</w:t>
            </w:r>
            <w:bookmarkEnd w:id="373"/>
          </w:p>
        </w:tc>
      </w:tr>
    </w:tbl>
    <w:p w14:paraId="0AD992FF" w14:textId="0523C24E" w:rsidR="00CB015A" w:rsidRPr="00A96337" w:rsidRDefault="00246478" w:rsidP="007F6FE5">
      <w:pPr>
        <w:pStyle w:val="Heading1"/>
      </w:pPr>
      <w:bookmarkStart w:id="374" w:name="_Toc7959545"/>
      <w:bookmarkStart w:id="375" w:name="_Toc7959678"/>
      <w:bookmarkStart w:id="376" w:name="_Toc8130937"/>
      <w:bookmarkStart w:id="377" w:name="_Toc7959546"/>
      <w:bookmarkStart w:id="378" w:name="_Toc7959679"/>
      <w:bookmarkStart w:id="379" w:name="_Toc8130938"/>
      <w:bookmarkStart w:id="380" w:name="_Toc7959547"/>
      <w:bookmarkStart w:id="381" w:name="_Toc7959680"/>
      <w:bookmarkStart w:id="382" w:name="_Toc8130939"/>
      <w:bookmarkStart w:id="383" w:name="_Toc7959548"/>
      <w:bookmarkStart w:id="384" w:name="_Toc7959681"/>
      <w:bookmarkStart w:id="385" w:name="_Toc8130940"/>
      <w:bookmarkStart w:id="386" w:name="_Toc7959549"/>
      <w:bookmarkStart w:id="387" w:name="_Toc7959682"/>
      <w:bookmarkStart w:id="388" w:name="_Toc8130941"/>
      <w:bookmarkStart w:id="389" w:name="_Toc7959550"/>
      <w:bookmarkStart w:id="390" w:name="_Toc7959683"/>
      <w:bookmarkStart w:id="391" w:name="_Toc8130942"/>
      <w:bookmarkStart w:id="392" w:name="_Toc7959551"/>
      <w:bookmarkStart w:id="393" w:name="_Toc7959684"/>
      <w:bookmarkStart w:id="394" w:name="_Toc8130943"/>
      <w:bookmarkStart w:id="395" w:name="_Toc7959552"/>
      <w:bookmarkStart w:id="396" w:name="_Toc7959685"/>
      <w:bookmarkStart w:id="397" w:name="_Toc8130944"/>
      <w:bookmarkStart w:id="398" w:name="_Toc7959553"/>
      <w:bookmarkStart w:id="399" w:name="_Toc7959686"/>
      <w:bookmarkStart w:id="400" w:name="_Toc8130945"/>
      <w:bookmarkStart w:id="401" w:name="_Toc7959554"/>
      <w:bookmarkStart w:id="402" w:name="_Toc7959687"/>
      <w:bookmarkStart w:id="403" w:name="_Toc8130946"/>
      <w:bookmarkStart w:id="404" w:name="_Toc7959555"/>
      <w:bookmarkStart w:id="405" w:name="_Toc7959688"/>
      <w:bookmarkStart w:id="406" w:name="_Toc8130947"/>
      <w:bookmarkStart w:id="407" w:name="_Toc7959556"/>
      <w:bookmarkStart w:id="408" w:name="_Toc7959689"/>
      <w:bookmarkStart w:id="409" w:name="_Toc8130948"/>
      <w:bookmarkStart w:id="410" w:name="_Toc7959557"/>
      <w:bookmarkStart w:id="411" w:name="_Toc7959690"/>
      <w:bookmarkStart w:id="412" w:name="_Toc8130949"/>
      <w:bookmarkStart w:id="413" w:name="_Toc7959558"/>
      <w:bookmarkStart w:id="414" w:name="_Toc7959691"/>
      <w:bookmarkStart w:id="415" w:name="_Toc8130950"/>
      <w:bookmarkStart w:id="416" w:name="_Toc7959559"/>
      <w:bookmarkStart w:id="417" w:name="_Toc7959692"/>
      <w:bookmarkStart w:id="418" w:name="_Toc8130951"/>
      <w:bookmarkStart w:id="419" w:name="_Toc7238714"/>
      <w:bookmarkStart w:id="420" w:name="_Toc7238827"/>
      <w:bookmarkStart w:id="421" w:name="_Toc7959560"/>
      <w:bookmarkStart w:id="422" w:name="_Toc7959693"/>
      <w:bookmarkStart w:id="423" w:name="_Toc8130952"/>
      <w:bookmarkStart w:id="424" w:name="_Toc7238715"/>
      <w:bookmarkStart w:id="425" w:name="_Toc7238828"/>
      <w:bookmarkStart w:id="426" w:name="_Toc7959561"/>
      <w:bookmarkStart w:id="427" w:name="_Toc7959694"/>
      <w:bookmarkStart w:id="428" w:name="_Toc8130953"/>
      <w:bookmarkStart w:id="429" w:name="_Toc7238716"/>
      <w:bookmarkStart w:id="430" w:name="_Toc7238829"/>
      <w:bookmarkStart w:id="431" w:name="_Toc7959562"/>
      <w:bookmarkStart w:id="432" w:name="_Toc7959695"/>
      <w:bookmarkStart w:id="433" w:name="_Toc8130954"/>
      <w:bookmarkStart w:id="434" w:name="_Toc7238717"/>
      <w:bookmarkStart w:id="435" w:name="_Toc7238830"/>
      <w:bookmarkStart w:id="436" w:name="_Toc7959563"/>
      <w:bookmarkStart w:id="437" w:name="_Toc7959696"/>
      <w:bookmarkStart w:id="438" w:name="_Toc8130955"/>
      <w:bookmarkStart w:id="439" w:name="_Toc12364838"/>
      <w:bookmarkStart w:id="440" w:name="_Toc8978058"/>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A96337">
        <w:t xml:space="preserve">Economic and </w:t>
      </w:r>
      <w:r w:rsidR="00544613" w:rsidRPr="00A96337">
        <w:t>s</w:t>
      </w:r>
      <w:r w:rsidR="002F4F42" w:rsidRPr="00A96337">
        <w:t xml:space="preserve">ocial </w:t>
      </w:r>
      <w:r w:rsidR="00544613" w:rsidRPr="00A96337">
        <w:t>i</w:t>
      </w:r>
      <w:r w:rsidR="002F4F42" w:rsidRPr="00A96337">
        <w:t>nclusion</w:t>
      </w:r>
      <w:bookmarkEnd w:id="439"/>
    </w:p>
    <w:bookmarkEnd w:id="440"/>
    <w:p w14:paraId="194B8BA3" w14:textId="3DE02C10" w:rsidR="002D1C1A" w:rsidRPr="00A96337" w:rsidRDefault="002D1C1A" w:rsidP="002D1C1A">
      <w:pPr>
        <w:pStyle w:val="BodyText"/>
        <w:rPr>
          <w:lang w:val="en-AU" w:eastAsia="en-AU"/>
        </w:rPr>
      </w:pPr>
      <w:r w:rsidRPr="00A96337">
        <w:rPr>
          <w:noProof/>
          <w:lang w:val="en-AU" w:eastAsia="en-AU"/>
        </w:rPr>
        <mc:AlternateContent>
          <mc:Choice Requires="wps">
            <w:drawing>
              <wp:inline distT="0" distB="0" distL="0" distR="0" wp14:anchorId="5C07344F" wp14:editId="1B3EF586">
                <wp:extent cx="5731510" cy="1253634"/>
                <wp:effectExtent l="0" t="0" r="2540" b="3810"/>
                <wp:docPr id="16" name="Text Box 16"/>
                <wp:cNvGraphicFramePr/>
                <a:graphic xmlns:a="http://schemas.openxmlformats.org/drawingml/2006/main">
                  <a:graphicData uri="http://schemas.microsoft.com/office/word/2010/wordprocessingShape">
                    <wps:wsp>
                      <wps:cNvSpPr txBox="1"/>
                      <wps:spPr>
                        <a:xfrm>
                          <a:off x="0" y="0"/>
                          <a:ext cx="5731510" cy="1253634"/>
                        </a:xfrm>
                        <a:prstGeom prst="rect">
                          <a:avLst/>
                        </a:prstGeom>
                        <a:solidFill>
                          <a:schemeClr val="bg1">
                            <a:lumMod val="95000"/>
                          </a:schemeClr>
                        </a:solidFill>
                        <a:ln w="6350">
                          <a:noFill/>
                        </a:ln>
                        <a:effectLst/>
                      </wps:spPr>
                      <wps:txbx>
                        <w:txbxContent>
                          <w:p w14:paraId="041F3FD3" w14:textId="3A88B97C" w:rsidR="00AE1954" w:rsidRPr="00CF7F1C" w:rsidRDefault="00AE1954" w:rsidP="002D1C1A">
                            <w:pPr>
                              <w:rPr>
                                <w:rFonts w:ascii="Arial" w:hAnsi="Arial" w:cs="Arial"/>
                                <w:color w:val="003478"/>
                              </w:rPr>
                            </w:pPr>
                            <w:r w:rsidRPr="00CF7F1C">
                              <w:rPr>
                                <w:rFonts w:ascii="Arial" w:hAnsi="Arial" w:cs="Arial"/>
                                <w:color w:val="003478"/>
                              </w:rPr>
                              <w:t xml:space="preserve">Inclusion in market systems is absolutely essential and requires a careful assessment of </w:t>
                            </w:r>
                            <w:r>
                              <w:rPr>
                                <w:rFonts w:ascii="Arial" w:hAnsi="Arial" w:cs="Arial"/>
                                <w:color w:val="003478"/>
                              </w:rPr>
                              <w:t xml:space="preserve">the drivers of poverty and </w:t>
                            </w:r>
                            <w:r w:rsidRPr="00CF7F1C">
                              <w:rPr>
                                <w:rFonts w:ascii="Arial" w:hAnsi="Arial" w:cs="Arial"/>
                                <w:color w:val="003478"/>
                              </w:rPr>
                              <w:t>exclusion</w:t>
                            </w:r>
                            <w:r>
                              <w:rPr>
                                <w:rFonts w:ascii="Arial" w:hAnsi="Arial" w:cs="Arial"/>
                                <w:color w:val="003478"/>
                              </w:rPr>
                              <w:t>.  These drivers can relate to biases based on</w:t>
                            </w:r>
                            <w:r w:rsidRPr="00CF7F1C">
                              <w:rPr>
                                <w:rFonts w:ascii="Arial" w:hAnsi="Arial" w:cs="Arial"/>
                                <w:color w:val="003478"/>
                              </w:rPr>
                              <w:t xml:space="preserve"> gender, age, ethnicity, </w:t>
                            </w:r>
                            <w:r>
                              <w:rPr>
                                <w:rFonts w:ascii="Arial" w:hAnsi="Arial" w:cs="Arial"/>
                                <w:color w:val="003478"/>
                              </w:rPr>
                              <w:t>isolation</w:t>
                            </w:r>
                            <w:r w:rsidRPr="00CF7F1C">
                              <w:rPr>
                                <w:rFonts w:ascii="Arial" w:hAnsi="Arial" w:cs="Arial"/>
                                <w:color w:val="003478"/>
                              </w:rPr>
                              <w:t xml:space="preserve"> or disability. The usual approach is to </w:t>
                            </w:r>
                            <w:r>
                              <w:rPr>
                                <w:rFonts w:ascii="Arial" w:hAnsi="Arial" w:cs="Arial"/>
                                <w:color w:val="003478"/>
                              </w:rPr>
                              <w:t>conduct</w:t>
                            </w:r>
                            <w:r w:rsidRPr="00CF7F1C">
                              <w:rPr>
                                <w:rFonts w:ascii="Arial" w:hAnsi="Arial" w:cs="Arial"/>
                                <w:color w:val="003478"/>
                              </w:rPr>
                              <w:t xml:space="preserve"> a household level analysis of exclusion and </w:t>
                            </w:r>
                            <w:r>
                              <w:rPr>
                                <w:rFonts w:ascii="Arial" w:hAnsi="Arial" w:cs="Arial"/>
                                <w:color w:val="003478"/>
                              </w:rPr>
                              <w:t>poverty</w:t>
                            </w:r>
                            <w:r w:rsidRPr="00CF7F1C">
                              <w:rPr>
                                <w:rFonts w:ascii="Arial" w:hAnsi="Arial" w:cs="Arial"/>
                                <w:color w:val="003478"/>
                              </w:rPr>
                              <w:t xml:space="preserve"> and to then focus most effort on the major </w:t>
                            </w:r>
                            <w:r>
                              <w:rPr>
                                <w:rFonts w:ascii="Arial" w:hAnsi="Arial" w:cs="Arial"/>
                                <w:color w:val="003478"/>
                              </w:rPr>
                              <w:t>issues identified</w:t>
                            </w:r>
                            <w:r w:rsidRPr="00CF7F1C">
                              <w:rPr>
                                <w:rFonts w:ascii="Arial" w:hAnsi="Arial" w:cs="Arial"/>
                                <w:color w:val="003478"/>
                              </w:rPr>
                              <w:t xml:space="preserve">. Together, the </w:t>
                            </w:r>
                            <w:r>
                              <w:rPr>
                                <w:rFonts w:ascii="Arial" w:hAnsi="Arial" w:cs="Arial"/>
                                <w:color w:val="003478"/>
                              </w:rPr>
                              <w:t>AMENCA 3</w:t>
                            </w:r>
                            <w:r w:rsidRPr="00CF7F1C">
                              <w:rPr>
                                <w:rFonts w:ascii="Arial" w:hAnsi="Arial" w:cs="Arial"/>
                                <w:color w:val="003478"/>
                              </w:rPr>
                              <w:t xml:space="preserve"> investments are only partially meeting these expectations and those expressed in DFAT’s Gender Equality and Women’s Empowerment Strategy and DFAT’s Disability Action Strategy 2017-2020.</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shape w14:anchorId="5C07344F" id="Text Box 16" o:spid="_x0000_s1033" type="#_x0000_t202" style="width:451.3pt;height:9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" fillcolor="#f2f2f2 [3052]" stroked="f" strokeweight=".5pt">
                <v:textbox inset="14.4pt,14.4pt,14.4pt,14.4pt">
                  <w:txbxContent>
                    <w:p w14:paraId="041F3FD3" w14:textId="3A88B97C" w:rsidR="00AE1954" w:rsidRPr="00CF7F1C" w:rsidRDefault="00AE1954" w:rsidP="002D1C1A">
                      <w:pPr>
                        <w:rPr>
                          <w:rFonts w:ascii="Arial" w:hAnsi="Arial" w:cs="Arial"/>
                          <w:color w:val="003478"/>
                        </w:rPr>
                      </w:pPr>
                      <w:r w:rsidRPr="00CF7F1C">
                        <w:rPr>
                          <w:rFonts w:ascii="Arial" w:hAnsi="Arial" w:cs="Arial"/>
                          <w:color w:val="003478"/>
                        </w:rPr>
                        <w:t xml:space="preserve">Inclusion in market systems is absolutely essential and requires a careful assessment of </w:t>
                      </w:r>
                      <w:r>
                        <w:rPr>
                          <w:rFonts w:ascii="Arial" w:hAnsi="Arial" w:cs="Arial"/>
                          <w:color w:val="003478"/>
                        </w:rPr>
                        <w:t xml:space="preserve">the drivers of poverty and </w:t>
                      </w:r>
                      <w:r w:rsidRPr="00CF7F1C">
                        <w:rPr>
                          <w:rFonts w:ascii="Arial" w:hAnsi="Arial" w:cs="Arial"/>
                          <w:color w:val="003478"/>
                        </w:rPr>
                        <w:t>exclusion</w:t>
                      </w:r>
                      <w:r>
                        <w:rPr>
                          <w:rFonts w:ascii="Arial" w:hAnsi="Arial" w:cs="Arial"/>
                          <w:color w:val="003478"/>
                        </w:rPr>
                        <w:t>.  These drivers can relate to biases based on</w:t>
                      </w:r>
                      <w:r w:rsidRPr="00CF7F1C">
                        <w:rPr>
                          <w:rFonts w:ascii="Arial" w:hAnsi="Arial" w:cs="Arial"/>
                          <w:color w:val="003478"/>
                        </w:rPr>
                        <w:t xml:space="preserve"> gender, age, ethnicity, </w:t>
                      </w:r>
                      <w:r>
                        <w:rPr>
                          <w:rFonts w:ascii="Arial" w:hAnsi="Arial" w:cs="Arial"/>
                          <w:color w:val="003478"/>
                        </w:rPr>
                        <w:t>isolation</w:t>
                      </w:r>
                      <w:r w:rsidRPr="00CF7F1C">
                        <w:rPr>
                          <w:rFonts w:ascii="Arial" w:hAnsi="Arial" w:cs="Arial"/>
                          <w:color w:val="003478"/>
                        </w:rPr>
                        <w:t xml:space="preserve"> or disability. The usual approach is to </w:t>
                      </w:r>
                      <w:r>
                        <w:rPr>
                          <w:rFonts w:ascii="Arial" w:hAnsi="Arial" w:cs="Arial"/>
                          <w:color w:val="003478"/>
                        </w:rPr>
                        <w:t>conduct</w:t>
                      </w:r>
                      <w:r w:rsidRPr="00CF7F1C">
                        <w:rPr>
                          <w:rFonts w:ascii="Arial" w:hAnsi="Arial" w:cs="Arial"/>
                          <w:color w:val="003478"/>
                        </w:rPr>
                        <w:t xml:space="preserve"> a household level analysis of exclusion and </w:t>
                      </w:r>
                      <w:r>
                        <w:rPr>
                          <w:rFonts w:ascii="Arial" w:hAnsi="Arial" w:cs="Arial"/>
                          <w:color w:val="003478"/>
                        </w:rPr>
                        <w:t>poverty</w:t>
                      </w:r>
                      <w:r w:rsidRPr="00CF7F1C">
                        <w:rPr>
                          <w:rFonts w:ascii="Arial" w:hAnsi="Arial" w:cs="Arial"/>
                          <w:color w:val="003478"/>
                        </w:rPr>
                        <w:t xml:space="preserve"> and to then focus most effort on the major </w:t>
                      </w:r>
                      <w:r>
                        <w:rPr>
                          <w:rFonts w:ascii="Arial" w:hAnsi="Arial" w:cs="Arial"/>
                          <w:color w:val="003478"/>
                        </w:rPr>
                        <w:t>issues identified</w:t>
                      </w:r>
                      <w:r w:rsidRPr="00CF7F1C">
                        <w:rPr>
                          <w:rFonts w:ascii="Arial" w:hAnsi="Arial" w:cs="Arial"/>
                          <w:color w:val="003478"/>
                        </w:rPr>
                        <w:t xml:space="preserve">. Together, the </w:t>
                      </w:r>
                      <w:r>
                        <w:rPr>
                          <w:rFonts w:ascii="Arial" w:hAnsi="Arial" w:cs="Arial"/>
                          <w:color w:val="003478"/>
                        </w:rPr>
                        <w:t>AMENCA 3</w:t>
                      </w:r>
                      <w:r w:rsidRPr="00CF7F1C">
                        <w:rPr>
                          <w:rFonts w:ascii="Arial" w:hAnsi="Arial" w:cs="Arial"/>
                          <w:color w:val="003478"/>
                        </w:rPr>
                        <w:t xml:space="preserve"> investments are only partially meeting these expectations and those expressed in DFAT’s Gender Equality and Women’s Empowerment Strategy and DFAT’s Disability Action Strategy 2017-2020.</w:t>
                      </w:r>
                    </w:p>
                  </w:txbxContent>
                </v:textbox>
                <w10:anchorlock/>
              </v:shape>
            </w:pict>
          </mc:Fallback>
        </mc:AlternateContent>
      </w:r>
    </w:p>
    <w:p w14:paraId="44D8DCEE" w14:textId="6D4019D0" w:rsidR="00CB015A" w:rsidRPr="00A96337" w:rsidRDefault="00CB015A" w:rsidP="00F8335C">
      <w:pPr>
        <w:pStyle w:val="Heading2"/>
        <w:ind w:left="851" w:hanging="851"/>
      </w:pPr>
      <w:bookmarkStart w:id="441" w:name="_Toc12364839"/>
      <w:bookmarkStart w:id="442" w:name="_Toc8978059"/>
      <w:r w:rsidRPr="00A96337">
        <w:t>How effective are the NGO projects in improving the economic and social position of women and youth?</w:t>
      </w:r>
      <w:bookmarkEnd w:id="441"/>
    </w:p>
    <w:bookmarkEnd w:id="442"/>
    <w:p w14:paraId="789411F2" w14:textId="0135264B" w:rsidR="002F4F42" w:rsidRPr="00A96337" w:rsidRDefault="00D93A1E" w:rsidP="006837B7">
      <w:pPr>
        <w:pStyle w:val="BodyText"/>
        <w:rPr>
          <w:lang w:val="en-AU"/>
        </w:rPr>
      </w:pPr>
      <w:r w:rsidRPr="00A96337">
        <w:rPr>
          <w:lang w:val="en-AU"/>
        </w:rPr>
        <w:t>As mentioned</w:t>
      </w:r>
      <w:r w:rsidR="00B46F5B" w:rsidRPr="00A96337">
        <w:rPr>
          <w:lang w:val="en-AU"/>
        </w:rPr>
        <w:t xml:space="preserve">, </w:t>
      </w:r>
      <w:r w:rsidR="009B58A0" w:rsidRPr="00A96337">
        <w:rPr>
          <w:lang w:val="en-AU"/>
        </w:rPr>
        <w:t>AMENCA 3</w:t>
      </w:r>
      <w:r w:rsidR="002F4F42" w:rsidRPr="00A96337">
        <w:rPr>
          <w:lang w:val="en-AU"/>
        </w:rPr>
        <w:t xml:space="preserve"> has met or exceeded all of the 2018 income targets for farmers and especially for </w:t>
      </w:r>
      <w:r w:rsidR="002F4F42" w:rsidRPr="00E6218D">
        <w:rPr>
          <w:lang w:val="en-AU"/>
        </w:rPr>
        <w:t>women (</w:t>
      </w:r>
      <w:r w:rsidR="00E6218D" w:rsidRPr="00E6218D">
        <w:rPr>
          <w:lang w:val="en-AU"/>
        </w:rPr>
        <w:fldChar w:fldCharType="begin"/>
      </w:r>
      <w:r w:rsidR="00E6218D" w:rsidRPr="00E6218D">
        <w:rPr>
          <w:lang w:val="en-AU"/>
        </w:rPr>
        <w:instrText xml:space="preserve"> REF _Ref12255529 \h </w:instrText>
      </w:r>
      <w:r w:rsidR="00E6218D">
        <w:rPr>
          <w:lang w:val="en-AU"/>
        </w:rPr>
        <w:instrText xml:space="preserve"> \* MERGEFORMAT </w:instrText>
      </w:r>
      <w:r w:rsidR="00E6218D" w:rsidRPr="00E6218D">
        <w:rPr>
          <w:lang w:val="en-AU"/>
        </w:rPr>
      </w:r>
      <w:r w:rsidR="00E6218D" w:rsidRPr="00E6218D">
        <w:rPr>
          <w:lang w:val="en-AU"/>
        </w:rPr>
        <w:fldChar w:fldCharType="separate"/>
      </w:r>
      <w:r w:rsidR="00E06D4A" w:rsidRPr="00E06D4A">
        <w:rPr>
          <w:lang w:val="en-AU"/>
        </w:rPr>
        <w:t>Figure 7</w:t>
      </w:r>
      <w:r w:rsidR="00E6218D" w:rsidRPr="00E6218D">
        <w:rPr>
          <w:lang w:val="en-AU"/>
        </w:rPr>
        <w:fldChar w:fldCharType="end"/>
      </w:r>
      <w:r w:rsidR="002F4F42" w:rsidRPr="00E6218D">
        <w:rPr>
          <w:lang w:val="en-AU"/>
        </w:rPr>
        <w:t>)</w:t>
      </w:r>
      <w:r w:rsidR="00B46F5B" w:rsidRPr="00E6218D">
        <w:rPr>
          <w:lang w:val="en-AU"/>
        </w:rPr>
        <w:t xml:space="preserve"> and is</w:t>
      </w:r>
      <w:r w:rsidR="002F4F42" w:rsidRPr="00A96337">
        <w:rPr>
          <w:lang w:val="en-AU"/>
        </w:rPr>
        <w:t xml:space="preserve"> on track to achieve </w:t>
      </w:r>
      <w:r w:rsidR="0099016C" w:rsidRPr="00A96337">
        <w:rPr>
          <w:lang w:val="en-AU"/>
        </w:rPr>
        <w:t>its</w:t>
      </w:r>
      <w:r w:rsidR="002F4F42" w:rsidRPr="00A96337">
        <w:rPr>
          <w:lang w:val="en-AU"/>
        </w:rPr>
        <w:t xml:space="preserve"> 2020</w:t>
      </w:r>
      <w:r w:rsidR="00BF7630" w:rsidRPr="00A96337">
        <w:rPr>
          <w:lang w:val="en-AU"/>
        </w:rPr>
        <w:t xml:space="preserve"> </w:t>
      </w:r>
      <w:r w:rsidR="002F4F42" w:rsidRPr="00A96337">
        <w:rPr>
          <w:lang w:val="en-AU"/>
        </w:rPr>
        <w:t>targets.</w:t>
      </w:r>
    </w:p>
    <w:p w14:paraId="54C5335C" w14:textId="02074345" w:rsidR="002764C7" w:rsidRPr="00A96337" w:rsidRDefault="002764C7" w:rsidP="002764C7">
      <w:pPr>
        <w:pStyle w:val="Caption"/>
        <w:rPr>
          <w:color w:val="808080" w:themeColor="background1" w:themeShade="80"/>
          <w:sz w:val="18"/>
          <w:lang w:val="en-AU"/>
        </w:rPr>
      </w:pPr>
      <w:bookmarkStart w:id="443" w:name="_Ref12255529"/>
      <w:r w:rsidRPr="002764C7">
        <w:rPr>
          <w:color w:val="808080" w:themeColor="background1" w:themeShade="80"/>
          <w:sz w:val="18"/>
          <w:lang w:val="en-AU"/>
        </w:rPr>
        <w:t xml:space="preserve">Figure </w:t>
      </w:r>
      <w:r w:rsidRPr="002764C7">
        <w:rPr>
          <w:color w:val="808080" w:themeColor="background1" w:themeShade="80"/>
          <w:sz w:val="18"/>
          <w:lang w:val="en-AU"/>
        </w:rPr>
        <w:fldChar w:fldCharType="begin"/>
      </w:r>
      <w:r w:rsidRPr="002764C7">
        <w:rPr>
          <w:color w:val="808080" w:themeColor="background1" w:themeShade="80"/>
          <w:sz w:val="18"/>
          <w:lang w:val="en-AU"/>
        </w:rPr>
        <w:instrText xml:space="preserve"> SEQ Figure \* ARABIC </w:instrText>
      </w:r>
      <w:r w:rsidRPr="002764C7">
        <w:rPr>
          <w:color w:val="808080" w:themeColor="background1" w:themeShade="80"/>
          <w:sz w:val="18"/>
          <w:lang w:val="en-AU"/>
        </w:rPr>
        <w:fldChar w:fldCharType="separate"/>
      </w:r>
      <w:r w:rsidR="00E06D4A">
        <w:rPr>
          <w:noProof/>
          <w:color w:val="808080" w:themeColor="background1" w:themeShade="80"/>
          <w:sz w:val="18"/>
          <w:lang w:val="en-AU"/>
        </w:rPr>
        <w:t>7</w:t>
      </w:r>
      <w:r w:rsidRPr="002764C7">
        <w:rPr>
          <w:color w:val="808080" w:themeColor="background1" w:themeShade="80"/>
          <w:sz w:val="18"/>
          <w:lang w:val="en-AU"/>
        </w:rPr>
        <w:fldChar w:fldCharType="end"/>
      </w:r>
      <w:bookmarkEnd w:id="443"/>
      <w:r w:rsidR="00D863CB">
        <w:rPr>
          <w:color w:val="808080" w:themeColor="background1" w:themeShade="80"/>
          <w:sz w:val="18"/>
          <w:lang w:val="en-AU"/>
        </w:rPr>
        <w:t>:</w:t>
      </w:r>
      <w:r w:rsidRPr="00A96337">
        <w:rPr>
          <w:color w:val="808080" w:themeColor="background1" w:themeShade="80"/>
          <w:sz w:val="18"/>
          <w:lang w:val="en-AU"/>
        </w:rPr>
        <w:t xml:space="preserve"> AMENCA 3 inclusion results </w:t>
      </w:r>
      <w:sdt>
        <w:sdtPr>
          <w:rPr>
            <w:color w:val="808080" w:themeColor="background1" w:themeShade="80"/>
            <w:sz w:val="18"/>
            <w:lang w:val="en-AU"/>
          </w:rPr>
          <w:id w:val="935099100"/>
          <w:citation/>
        </w:sdtPr>
        <w:sdtEndPr/>
        <w:sdtContent>
          <w:r w:rsidRPr="00A96337">
            <w:rPr>
              <w:color w:val="808080" w:themeColor="background1" w:themeShade="80"/>
              <w:sz w:val="18"/>
              <w:lang w:val="en-AU"/>
            </w:rPr>
            <w:fldChar w:fldCharType="begin"/>
          </w:r>
          <w:r w:rsidRPr="00A96337">
            <w:rPr>
              <w:color w:val="808080" w:themeColor="background1" w:themeShade="80"/>
              <w:sz w:val="18"/>
              <w:lang w:val="en-AU"/>
            </w:rPr>
            <w:instrText xml:space="preserve"> CITATION AME19 \l 5129 </w:instrText>
          </w:r>
          <w:r w:rsidRPr="00A96337">
            <w:rPr>
              <w:color w:val="808080" w:themeColor="background1" w:themeShade="80"/>
              <w:sz w:val="18"/>
              <w:lang w:val="en-AU"/>
            </w:rPr>
            <w:fldChar w:fldCharType="separate"/>
          </w:r>
          <w:r w:rsidR="00593D9F" w:rsidRPr="00593D9F">
            <w:rPr>
              <w:noProof/>
              <w:color w:val="808080" w:themeColor="background1" w:themeShade="80"/>
              <w:sz w:val="18"/>
              <w:lang w:val="en-AU"/>
            </w:rPr>
            <w:t>(AMENCA 3, March 2019)</w:t>
          </w:r>
          <w:r w:rsidRPr="00A96337">
            <w:rPr>
              <w:color w:val="808080" w:themeColor="background1" w:themeShade="80"/>
              <w:sz w:val="18"/>
              <w:lang w:val="en-AU"/>
            </w:rPr>
            <w:fldChar w:fldCharType="end"/>
          </w:r>
        </w:sdtContent>
      </w:sdt>
    </w:p>
    <w:p w14:paraId="746525AE" w14:textId="77777777" w:rsidR="002F4F42" w:rsidRPr="00A96337" w:rsidRDefault="002F4F42" w:rsidP="002F4F42">
      <w:r w:rsidRPr="00A96337">
        <w:rPr>
          <w:noProof/>
          <w:lang w:eastAsia="en-AU"/>
        </w:rPr>
        <w:drawing>
          <wp:inline distT="0" distB="0" distL="0" distR="0" wp14:anchorId="33F343FF" wp14:editId="56B6602C">
            <wp:extent cx="3924300" cy="2219325"/>
            <wp:effectExtent l="0" t="0" r="0" b="9525"/>
            <wp:docPr id="15" name="Chart 15">
              <a:extLst xmlns:a="http://schemas.openxmlformats.org/drawingml/2006/main">
                <a:ext uri="{FF2B5EF4-FFF2-40B4-BE49-F238E27FC236}">
                  <a16:creationId xmlns:a16="http://schemas.microsoft.com/office/drawing/2014/main" id="{E65D50A3-8700-4671-9984-ADF1F1FCF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A96337">
        <w:t xml:space="preserve"> </w:t>
      </w:r>
    </w:p>
    <w:p w14:paraId="676372F4" w14:textId="44357EA9" w:rsidR="002F4F42" w:rsidRPr="00A96337" w:rsidRDefault="002F4F42" w:rsidP="006837B7">
      <w:pPr>
        <w:pStyle w:val="BodyText"/>
        <w:rPr>
          <w:lang w:val="en-AU"/>
        </w:rPr>
      </w:pPr>
      <w:r w:rsidRPr="00A96337">
        <w:rPr>
          <w:lang w:val="en-AU"/>
        </w:rPr>
        <w:t>Women have notably benefitted from increasing income in the last year.</w:t>
      </w:r>
      <w:r w:rsidR="00E42BC8" w:rsidRPr="00A96337">
        <w:rPr>
          <w:lang w:val="en-AU"/>
        </w:rPr>
        <w:t xml:space="preserve"> </w:t>
      </w:r>
      <w:r w:rsidRPr="00A96337">
        <w:rPr>
          <w:lang w:val="en-AU"/>
        </w:rPr>
        <w:t>CARE reports significant cost savings in input supply</w:t>
      </w:r>
      <w:r w:rsidR="0058663D" w:rsidRPr="00A96337">
        <w:rPr>
          <w:lang w:val="en-AU"/>
        </w:rPr>
        <w:t xml:space="preserve"> and</w:t>
      </w:r>
      <w:r w:rsidRPr="00A96337">
        <w:rPr>
          <w:lang w:val="en-AU"/>
        </w:rPr>
        <w:t xml:space="preserve"> production improvements </w:t>
      </w:r>
      <w:r w:rsidR="00EF6F94" w:rsidRPr="00A96337">
        <w:rPr>
          <w:lang w:val="en-AU"/>
        </w:rPr>
        <w:t>such as the</w:t>
      </w:r>
      <w:r w:rsidRPr="00A96337">
        <w:rPr>
          <w:lang w:val="en-AU"/>
        </w:rPr>
        <w:t xml:space="preserve"> use of high protein rations, silage and the feeding of milk powder to </w:t>
      </w:r>
      <w:r w:rsidR="00E146DD" w:rsidRPr="00A96337">
        <w:rPr>
          <w:lang w:val="en-AU"/>
        </w:rPr>
        <w:t>kids and lambs</w:t>
      </w:r>
      <w:r w:rsidRPr="00A96337">
        <w:rPr>
          <w:lang w:val="en-AU"/>
        </w:rPr>
        <w:t>.</w:t>
      </w:r>
      <w:r w:rsidR="00E42BC8" w:rsidRPr="00A96337">
        <w:rPr>
          <w:lang w:val="en-AU"/>
        </w:rPr>
        <w:t xml:space="preserve"> </w:t>
      </w:r>
      <w:r w:rsidRPr="00A96337">
        <w:rPr>
          <w:lang w:val="en-AU"/>
        </w:rPr>
        <w:t>Women have benefitted from increased production and sales of a variety of pickling vegetables (APHEDA) and in the high value fruit, small ruminant and women focused small scale food processing value chains as promoted by Oxfam.</w:t>
      </w:r>
    </w:p>
    <w:p w14:paraId="1207765C" w14:textId="5E18DDEC" w:rsidR="002F4F42" w:rsidRPr="00A96337" w:rsidRDefault="002F4F42" w:rsidP="00CB5CD1">
      <w:pPr>
        <w:pStyle w:val="BodyText"/>
        <w:rPr>
          <w:lang w:val="en-AU"/>
        </w:rPr>
      </w:pPr>
      <w:r w:rsidRPr="00A96337">
        <w:rPr>
          <w:lang w:val="en-AU"/>
        </w:rPr>
        <w:t>Over the life of the program the response of youth to interventions has increased significantly.</w:t>
      </w:r>
      <w:r w:rsidRPr="00A96337">
        <w:rPr>
          <w:b/>
          <w:lang w:val="en-AU"/>
        </w:rPr>
        <w:t xml:space="preserve"> </w:t>
      </w:r>
      <w:r w:rsidRPr="00A96337">
        <w:rPr>
          <w:lang w:val="en-AU"/>
        </w:rPr>
        <w:t xml:space="preserve">In 2018 results show that an increasing number of </w:t>
      </w:r>
      <w:r w:rsidR="00452575" w:rsidRPr="00A96337">
        <w:rPr>
          <w:lang w:val="en-AU"/>
        </w:rPr>
        <w:t>youths</w:t>
      </w:r>
      <w:r w:rsidRPr="00A96337">
        <w:rPr>
          <w:lang w:val="en-AU"/>
        </w:rPr>
        <w:t xml:space="preserve"> were reporting income improvements – in fact </w:t>
      </w:r>
      <w:r w:rsidR="009B58A0" w:rsidRPr="00A96337">
        <w:rPr>
          <w:lang w:val="en-AU"/>
        </w:rPr>
        <w:t>AMENCA 3</w:t>
      </w:r>
      <w:r w:rsidRPr="00A96337">
        <w:rPr>
          <w:lang w:val="en-AU"/>
        </w:rPr>
        <w:t xml:space="preserve"> has already exceeded its youth income target for 2019.</w:t>
      </w:r>
      <w:r w:rsidR="00E42BC8" w:rsidRPr="00A96337">
        <w:rPr>
          <w:lang w:val="en-AU"/>
        </w:rPr>
        <w:t xml:space="preserve"> </w:t>
      </w:r>
      <w:r w:rsidRPr="00A96337">
        <w:rPr>
          <w:lang w:val="en-AU"/>
        </w:rPr>
        <w:t xml:space="preserve">Youth enjoyed particular income success from </w:t>
      </w:r>
      <w:r w:rsidR="00E146DD" w:rsidRPr="00A96337">
        <w:rPr>
          <w:lang w:val="en-AU"/>
        </w:rPr>
        <w:t>gherkin</w:t>
      </w:r>
      <w:r w:rsidRPr="00A96337">
        <w:rPr>
          <w:lang w:val="en-AU"/>
        </w:rPr>
        <w:t xml:space="preserve"> production (APHEDA and CARE), high value fruits (Oxfam), and in managing small ruminant herds (Oxfam and CARE).</w:t>
      </w:r>
      <w:r w:rsidR="00E42BC8" w:rsidRPr="00A96337">
        <w:rPr>
          <w:lang w:val="en-AU"/>
        </w:rPr>
        <w:t xml:space="preserve"> </w:t>
      </w:r>
      <w:r w:rsidRPr="00A96337">
        <w:rPr>
          <w:lang w:val="en-AU"/>
        </w:rPr>
        <w:t>Youth are also becoming more engaged in the milk collection hubs encouraged by CARE.</w:t>
      </w:r>
    </w:p>
    <w:p w14:paraId="1885E054" w14:textId="74222380" w:rsidR="002F4F42" w:rsidRPr="00A96337" w:rsidRDefault="002F4F42" w:rsidP="006837B7">
      <w:pPr>
        <w:pStyle w:val="BodyText"/>
        <w:rPr>
          <w:lang w:val="en-AU"/>
        </w:rPr>
      </w:pPr>
      <w:r w:rsidRPr="00A96337">
        <w:rPr>
          <w:lang w:val="en-AU"/>
        </w:rPr>
        <w:t xml:space="preserve">Where </w:t>
      </w:r>
      <w:r w:rsidR="009B58A0" w:rsidRPr="00A96337">
        <w:rPr>
          <w:lang w:val="en-AU"/>
        </w:rPr>
        <w:t>AMENCA 3</w:t>
      </w:r>
      <w:r w:rsidRPr="00A96337">
        <w:rPr>
          <w:lang w:val="en-AU"/>
        </w:rPr>
        <w:t xml:space="preserve"> has supported women’s businesses to develop, it has been encouraging to see communities, consumers and companies overcoming their traditional </w:t>
      </w:r>
      <w:r w:rsidR="00FB1979" w:rsidRPr="00A96337">
        <w:rPr>
          <w:lang w:val="en-AU"/>
        </w:rPr>
        <w:t>gender bias</w:t>
      </w:r>
      <w:r w:rsidRPr="00A96337">
        <w:rPr>
          <w:lang w:val="en-AU"/>
        </w:rPr>
        <w:t xml:space="preserve"> somewhat faster than anticipated. However, traditional prejudices are reportedly still slow to change - despite encouraging shifts in community acceptance of women and youth run businesses, there is clearly still significant progress to make in this area. The consortia are making headway in innovative ways in meeting these challenges, notably through demonstrations and peer communication.</w:t>
      </w:r>
    </w:p>
    <w:p w14:paraId="62FBC2B7" w14:textId="5773A69F" w:rsidR="002F4F42" w:rsidRPr="00A96337" w:rsidRDefault="002F4F42" w:rsidP="006837B7">
      <w:pPr>
        <w:pStyle w:val="BodyText"/>
        <w:rPr>
          <w:lang w:val="en-AU"/>
        </w:rPr>
      </w:pPr>
      <w:r w:rsidRPr="00A96337">
        <w:rPr>
          <w:lang w:val="en-AU"/>
        </w:rPr>
        <w:t>Other promising initiatives include women taking significant roles in the establishment and leadership of cooperatives or CBO</w:t>
      </w:r>
      <w:r w:rsidR="00FB1979" w:rsidRPr="00A96337">
        <w:rPr>
          <w:lang w:val="en-AU"/>
        </w:rPr>
        <w:t>s</w:t>
      </w:r>
      <w:r w:rsidRPr="00A96337">
        <w:rPr>
          <w:lang w:val="en-AU"/>
        </w:rPr>
        <w:t xml:space="preserve"> (for example the Beit Fourik dairy hub).</w:t>
      </w:r>
      <w:r w:rsidR="00E42BC8" w:rsidRPr="00A96337">
        <w:rPr>
          <w:lang w:val="en-AU"/>
        </w:rPr>
        <w:t xml:space="preserve"> </w:t>
      </w:r>
      <w:r w:rsidRPr="00A96337">
        <w:rPr>
          <w:lang w:val="en-AU"/>
        </w:rPr>
        <w:t xml:space="preserve">CARE notes that for one road intervention the local authority has strongly encouraged local landowners to provide lenient land rental terms for any enterprises run by women and youth. APHEDA prior to their suspension had also </w:t>
      </w:r>
      <w:r w:rsidR="00A62948" w:rsidRPr="00A96337">
        <w:rPr>
          <w:lang w:val="en-AU"/>
        </w:rPr>
        <w:t xml:space="preserve">undertaken </w:t>
      </w:r>
      <w:r w:rsidRPr="00A96337">
        <w:rPr>
          <w:lang w:val="en-AU"/>
        </w:rPr>
        <w:t>a women’s land inheritance intervention which sought to raise awareness of inheritance rights and legal processes for women to inherit their family lands.</w:t>
      </w:r>
      <w:r w:rsidR="00987028" w:rsidRPr="00A96337">
        <w:rPr>
          <w:rFonts w:asciiTheme="minorHAnsi" w:eastAsiaTheme="minorHAnsi" w:hAnsiTheme="minorHAnsi" w:cstheme="minorBidi"/>
          <w:szCs w:val="20"/>
          <w:vertAlign w:val="superscript"/>
          <w:lang w:val="en-AU"/>
        </w:rPr>
        <w:t xml:space="preserve"> </w:t>
      </w:r>
      <w:r w:rsidR="00987028" w:rsidRPr="00A96337">
        <w:rPr>
          <w:rFonts w:asciiTheme="minorHAnsi" w:eastAsiaTheme="minorHAnsi" w:hAnsiTheme="minorHAnsi" w:cstheme="minorBidi"/>
          <w:szCs w:val="20"/>
          <w:vertAlign w:val="superscript"/>
          <w:lang w:val="en-AU"/>
        </w:rPr>
        <w:footnoteReference w:id="13"/>
      </w:r>
      <w:r w:rsidR="00987028" w:rsidRPr="00A96337">
        <w:rPr>
          <w:rFonts w:asciiTheme="minorHAnsi" w:eastAsiaTheme="minorHAnsi" w:hAnsiTheme="minorHAnsi" w:cstheme="minorBidi"/>
          <w:szCs w:val="20"/>
          <w:lang w:val="en-AU"/>
        </w:rPr>
        <w:t>.</w:t>
      </w:r>
    </w:p>
    <w:tbl>
      <w:tblPr>
        <w:tblStyle w:val="TableGrid"/>
        <w:tblpPr w:leftFromText="180" w:rightFromText="180" w:vertAnchor="text" w:horzAnchor="margin" w:tblpY="247"/>
        <w:tblW w:w="8504" w:type="dxa"/>
        <w:tblInd w:w="0" w:type="dxa"/>
        <w:tblBorders>
          <w:top w:val="none" w:sz="0" w:space="0" w:color="auto"/>
          <w:left w:val="single" w:sz="24" w:space="0" w:color="B3995D"/>
          <w:bottom w:val="none" w:sz="0" w:space="0" w:color="auto"/>
          <w:right w:val="none" w:sz="0" w:space="0" w:color="auto"/>
          <w:insideH w:val="none" w:sz="0" w:space="0" w:color="auto"/>
        </w:tblBorders>
        <w:tblLook w:val="04A0" w:firstRow="1" w:lastRow="0" w:firstColumn="1" w:lastColumn="0" w:noHBand="0" w:noVBand="1"/>
      </w:tblPr>
      <w:tblGrid>
        <w:gridCol w:w="8504"/>
      </w:tblGrid>
      <w:tr w:rsidR="00227479" w:rsidRPr="00A96337" w14:paraId="21D6964C" w14:textId="77777777" w:rsidTr="00746C5A">
        <w:trPr>
          <w:trHeight w:val="7937"/>
        </w:trPr>
        <w:tc>
          <w:tcPr>
            <w:tcW w:w="8504" w:type="dxa"/>
          </w:tcPr>
          <w:p w14:paraId="11C2EFBC" w14:textId="77777777" w:rsidR="00227479" w:rsidRPr="00A96337" w:rsidRDefault="00227479" w:rsidP="00CB3CB7">
            <w:pPr>
              <w:spacing w:after="240"/>
              <w:rPr>
                <w:rFonts w:ascii="Arial" w:eastAsiaTheme="majorEastAsia" w:hAnsi="Arial" w:cs="Arial"/>
                <w:b/>
                <w:caps/>
                <w:color w:val="B3995D"/>
                <w:sz w:val="28"/>
                <w:szCs w:val="36"/>
              </w:rPr>
            </w:pPr>
            <w:r w:rsidRPr="00A96337">
              <w:rPr>
                <w:rFonts w:ascii="Arial" w:eastAsiaTheme="majorEastAsia" w:hAnsi="Arial" w:cs="Arial"/>
                <w:b/>
                <w:color w:val="B3995D"/>
                <w:sz w:val="28"/>
                <w:szCs w:val="36"/>
              </w:rPr>
              <w:t>Empowering Women to Act in the Value Chain</w:t>
            </w:r>
          </w:p>
          <w:p w14:paraId="7E73B1A5" w14:textId="77777777" w:rsidR="00227479" w:rsidRPr="00A96337" w:rsidRDefault="00227479" w:rsidP="00CB3CB7">
            <w:pPr>
              <w:rPr>
                <w:rFonts w:ascii="Arial" w:hAnsi="Arial" w:cs="Arial"/>
                <w:color w:val="808080" w:themeColor="background1" w:themeShade="80"/>
                <w:sz w:val="18"/>
              </w:rPr>
            </w:pPr>
            <w:r w:rsidRPr="00A96337">
              <w:rPr>
                <w:rFonts w:ascii="Arial" w:hAnsi="Arial" w:cs="Arial"/>
                <w:color w:val="808080" w:themeColor="background1" w:themeShade="80"/>
                <w:sz w:val="18"/>
              </w:rPr>
              <w:t>The challenge that faced the Souqona team (and female farmers) in Beit Fourik was to make sure that the inclusive business model was designed to put women at the core of the intervention in a way that corresponded to the complicated multi-level combination of socio-economic constraints that face women in Palestine (West Bank). The team used human centred design tools and made sure that selected activities were layered according to each stage of the value chain and that used economic empowerment as the main entry point to catalyse social change on different levels.</w:t>
            </w:r>
          </w:p>
          <w:p w14:paraId="5341E40D" w14:textId="382D3FE1" w:rsidR="00227479" w:rsidRPr="00A96337" w:rsidRDefault="00690AB3" w:rsidP="00746C5A">
            <w:pPr>
              <w:rPr>
                <w:b/>
                <w:noProof/>
              </w:rPr>
            </w:pPr>
            <w:r w:rsidRPr="00A96337">
              <w:rPr>
                <w:noProof/>
                <w:lang w:eastAsia="en-AU"/>
              </w:rPr>
              <w:drawing>
                <wp:anchor distT="0" distB="0" distL="114300" distR="114300" simplePos="0" relativeHeight="251673600" behindDoc="0" locked="0" layoutInCell="1" allowOverlap="1" wp14:anchorId="7FA7F2A1" wp14:editId="0BD44A00">
                  <wp:simplePos x="0" y="0"/>
                  <wp:positionH relativeFrom="column">
                    <wp:posOffset>1236345</wp:posOffset>
                  </wp:positionH>
                  <wp:positionV relativeFrom="paragraph">
                    <wp:posOffset>1263015</wp:posOffset>
                  </wp:positionV>
                  <wp:extent cx="3886200" cy="228854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205.JPG"/>
                          <pic:cNvPicPr/>
                        </pic:nvPicPr>
                        <pic:blipFill rotWithShape="1">
                          <a:blip r:embed="rId34"/>
                          <a:srcRect t="21464"/>
                          <a:stretch/>
                        </pic:blipFill>
                        <pic:spPr bwMode="auto">
                          <a:xfrm>
                            <a:off x="0" y="0"/>
                            <a:ext cx="3886200" cy="2288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75648" behindDoc="0" locked="0" layoutInCell="1" allowOverlap="1" wp14:anchorId="364607CA" wp14:editId="7CB45EAC">
                      <wp:simplePos x="0" y="0"/>
                      <wp:positionH relativeFrom="column">
                        <wp:posOffset>1236345</wp:posOffset>
                      </wp:positionH>
                      <wp:positionV relativeFrom="paragraph">
                        <wp:posOffset>986790</wp:posOffset>
                      </wp:positionV>
                      <wp:extent cx="3888740" cy="2762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3888740" cy="276225"/>
                              </a:xfrm>
                              <a:prstGeom prst="rect">
                                <a:avLst/>
                              </a:prstGeom>
                              <a:solidFill>
                                <a:prstClr val="white"/>
                              </a:solidFill>
                              <a:ln>
                                <a:noFill/>
                              </a:ln>
                            </wps:spPr>
                            <wps:txbx>
                              <w:txbxContent>
                                <w:p w14:paraId="6D4E8395" w14:textId="779CDD17" w:rsidR="00AE1954" w:rsidRPr="002764C7" w:rsidRDefault="00AE1954" w:rsidP="00690AB3">
                                  <w:pPr>
                                    <w:pStyle w:val="Caption"/>
                                    <w:spacing w:before="120"/>
                                    <w:rPr>
                                      <w:b w:val="0"/>
                                      <w:color w:val="808080" w:themeColor="background1" w:themeShade="80"/>
                                      <w:sz w:val="18"/>
                                    </w:rPr>
                                  </w:pPr>
                                  <w:r w:rsidRPr="002764C7">
                                    <w:rPr>
                                      <w:b w:val="0"/>
                                      <w:color w:val="808080" w:themeColor="background1" w:themeShade="80"/>
                                      <w:sz w:val="18"/>
                                    </w:rPr>
                                    <w:t xml:space="preserve">Figure </w:t>
                                  </w:r>
                                  <w:r w:rsidRPr="002764C7">
                                    <w:rPr>
                                      <w:b w:val="0"/>
                                      <w:color w:val="808080" w:themeColor="background1" w:themeShade="80"/>
                                      <w:sz w:val="18"/>
                                    </w:rPr>
                                    <w:fldChar w:fldCharType="begin"/>
                                  </w:r>
                                  <w:r w:rsidRPr="002764C7">
                                    <w:rPr>
                                      <w:b w:val="0"/>
                                      <w:color w:val="808080" w:themeColor="background1" w:themeShade="80"/>
                                      <w:sz w:val="18"/>
                                    </w:rPr>
                                    <w:instrText xml:space="preserve"> SEQ Figure \* ARABIC </w:instrText>
                                  </w:r>
                                  <w:r w:rsidRPr="002764C7">
                                    <w:rPr>
                                      <w:b w:val="0"/>
                                      <w:color w:val="808080" w:themeColor="background1" w:themeShade="80"/>
                                      <w:sz w:val="18"/>
                                    </w:rPr>
                                    <w:fldChar w:fldCharType="separate"/>
                                  </w:r>
                                  <w:r w:rsidR="00E06D4A">
                                    <w:rPr>
                                      <w:b w:val="0"/>
                                      <w:noProof/>
                                      <w:color w:val="808080" w:themeColor="background1" w:themeShade="80"/>
                                      <w:sz w:val="18"/>
                                    </w:rPr>
                                    <w:t>8</w:t>
                                  </w:r>
                                  <w:r w:rsidRPr="002764C7">
                                    <w:rPr>
                                      <w:b w:val="0"/>
                                      <w:color w:val="808080" w:themeColor="background1" w:themeShade="80"/>
                                      <w:sz w:val="18"/>
                                    </w:rPr>
                                    <w:fldChar w:fldCharType="end"/>
                                  </w:r>
                                  <w:r w:rsidRPr="002764C7">
                                    <w:rPr>
                                      <w:b w:val="0"/>
                                      <w:color w:val="808080" w:themeColor="background1" w:themeShade="80"/>
                                      <w:sz w:val="18"/>
                                    </w:rPr>
                                    <w:t>: Changing women’s lives in Beit Fourik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607CA" id="Text Box 2" o:spid="_x0000_s1034" type="#_x0000_t202" style="position:absolute;margin-left:97.35pt;margin-top:77.7pt;width:306.2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" stroked="f">
                      <v:textbox inset="0,0,0,0">
                        <w:txbxContent>
                          <w:p w14:paraId="6D4E8395" w14:textId="779CDD17" w:rsidR="00AE1954" w:rsidRPr="002764C7" w:rsidRDefault="00AE1954" w:rsidP="00690AB3">
                            <w:pPr>
                              <w:pStyle w:val="Caption"/>
                              <w:spacing w:before="120"/>
                              <w:rPr>
                                <w:b w:val="0"/>
                                <w:color w:val="808080" w:themeColor="background1" w:themeShade="80"/>
                                <w:sz w:val="18"/>
                              </w:rPr>
                            </w:pPr>
                            <w:r w:rsidRPr="002764C7">
                              <w:rPr>
                                <w:b w:val="0"/>
                                <w:color w:val="808080" w:themeColor="background1" w:themeShade="80"/>
                                <w:sz w:val="18"/>
                              </w:rPr>
                              <w:t xml:space="preserve">Figure </w:t>
                            </w:r>
                            <w:r w:rsidRPr="002764C7">
                              <w:rPr>
                                <w:b w:val="0"/>
                                <w:color w:val="808080" w:themeColor="background1" w:themeShade="80"/>
                                <w:sz w:val="18"/>
                              </w:rPr>
                              <w:fldChar w:fldCharType="begin"/>
                            </w:r>
                            <w:r w:rsidRPr="002764C7">
                              <w:rPr>
                                <w:b w:val="0"/>
                                <w:color w:val="808080" w:themeColor="background1" w:themeShade="80"/>
                                <w:sz w:val="18"/>
                              </w:rPr>
                              <w:instrText xml:space="preserve"> SEQ Figure \* ARABIC </w:instrText>
                            </w:r>
                            <w:r w:rsidRPr="002764C7">
                              <w:rPr>
                                <w:b w:val="0"/>
                                <w:color w:val="808080" w:themeColor="background1" w:themeShade="80"/>
                                <w:sz w:val="18"/>
                              </w:rPr>
                              <w:fldChar w:fldCharType="separate"/>
                            </w:r>
                            <w:r w:rsidR="00E06D4A">
                              <w:rPr>
                                <w:b w:val="0"/>
                                <w:noProof/>
                                <w:color w:val="808080" w:themeColor="background1" w:themeShade="80"/>
                                <w:sz w:val="18"/>
                              </w:rPr>
                              <w:t>8</w:t>
                            </w:r>
                            <w:r w:rsidRPr="002764C7">
                              <w:rPr>
                                <w:b w:val="0"/>
                                <w:color w:val="808080" w:themeColor="background1" w:themeShade="80"/>
                                <w:sz w:val="18"/>
                              </w:rPr>
                              <w:fldChar w:fldCharType="end"/>
                            </w:r>
                            <w:r w:rsidRPr="002764C7">
                              <w:rPr>
                                <w:b w:val="0"/>
                                <w:color w:val="808080" w:themeColor="background1" w:themeShade="80"/>
                                <w:sz w:val="18"/>
                              </w:rPr>
                              <w:t>: Changing women’s lives in Beit Fourik</w:t>
                            </w:r>
                          </w:p>
                        </w:txbxContent>
                      </v:textbox>
                      <w10:wrap type="square"/>
                    </v:shape>
                  </w:pict>
                </mc:Fallback>
              </mc:AlternateContent>
            </w:r>
            <w:r w:rsidR="00227479" w:rsidRPr="00A96337">
              <w:rPr>
                <w:rFonts w:ascii="Arial" w:hAnsi="Arial" w:cs="Arial"/>
                <w:color w:val="808080" w:themeColor="background1" w:themeShade="80"/>
                <w:spacing w:val="-2"/>
                <w:sz w:val="18"/>
              </w:rPr>
              <w:t xml:space="preserve">Coupled with technical trainings on animal husbandry and business management (for women who run the milk collection hub unit), the project provided agency training sessions for women focusing on life skills, aspirations and dealing with other actors. Part of these capacity building activities promoted women’s role in modelling and profiling successful women playing non-traditional roles in the value chain as aggregators, dealers and not only as workers at the early stages of the value chain. The training was not done in isolation of the community. It </w:t>
            </w:r>
            <w:r w:rsidR="00452575" w:rsidRPr="00A96337">
              <w:rPr>
                <w:rFonts w:ascii="Arial" w:hAnsi="Arial" w:cs="Arial"/>
                <w:color w:val="808080" w:themeColor="background1" w:themeShade="80"/>
                <w:spacing w:val="-2"/>
                <w:sz w:val="18"/>
              </w:rPr>
              <w:t>considered</w:t>
            </w:r>
            <w:r w:rsidR="00227479" w:rsidRPr="00A96337">
              <w:rPr>
                <w:rFonts w:ascii="Arial" w:hAnsi="Arial" w:cs="Arial"/>
                <w:color w:val="808080" w:themeColor="background1" w:themeShade="80"/>
                <w:spacing w:val="-2"/>
                <w:sz w:val="18"/>
              </w:rPr>
              <w:t xml:space="preserve"> potential back lash from male members and made sure that they were engaged in parallel activities (community awareness raising sessions on women’s right, roles, and access). They were also consulted in the design of the agency capacity building sessions for women, the selection of the topics, and even the methodology of delivery. Getting males and mothers-in-law buy in facilitated women’s access to these sessions that </w:t>
            </w:r>
            <w:r w:rsidR="00227479" w:rsidRPr="00A96337">
              <w:rPr>
                <w:rFonts w:ascii="Arial" w:hAnsi="Arial" w:cs="Arial"/>
                <w:color w:val="808080" w:themeColor="background1" w:themeShade="80"/>
                <w:sz w:val="18"/>
              </w:rPr>
              <w:t>had previously been considered as taboo in conservative communities (like Beit Fourik).</w:t>
            </w:r>
          </w:p>
        </w:tc>
      </w:tr>
    </w:tbl>
    <w:p w14:paraId="01A71F68" w14:textId="635DE821" w:rsidR="00145825" w:rsidRPr="00A96337" w:rsidRDefault="002F4F42" w:rsidP="00145825">
      <w:pPr>
        <w:pStyle w:val="BodyText"/>
        <w:rPr>
          <w:lang w:val="en-AU"/>
        </w:rPr>
      </w:pPr>
      <w:r w:rsidRPr="00A96337">
        <w:rPr>
          <w:lang w:val="en-AU"/>
        </w:rPr>
        <w:t xml:space="preserve">While these are promising examples, assessment of a number of intervention strategies highlighted that </w:t>
      </w:r>
      <w:r w:rsidR="009B58A0" w:rsidRPr="00A96337">
        <w:rPr>
          <w:lang w:val="en-AU"/>
        </w:rPr>
        <w:t>AMENCA 3</w:t>
      </w:r>
      <w:r w:rsidRPr="00A96337">
        <w:rPr>
          <w:lang w:val="en-AU"/>
        </w:rPr>
        <w:t xml:space="preserve"> </w:t>
      </w:r>
      <w:r w:rsidR="00FB1979" w:rsidRPr="00A96337">
        <w:rPr>
          <w:lang w:val="en-AU"/>
        </w:rPr>
        <w:t>could be more consistent in</w:t>
      </w:r>
      <w:r w:rsidRPr="00A96337">
        <w:rPr>
          <w:lang w:val="en-AU"/>
        </w:rPr>
        <w:t xml:space="preserve"> challeng</w:t>
      </w:r>
      <w:r w:rsidR="00FB1979" w:rsidRPr="00A96337">
        <w:rPr>
          <w:lang w:val="en-AU"/>
        </w:rPr>
        <w:t>ing</w:t>
      </w:r>
      <w:r w:rsidRPr="00A96337">
        <w:rPr>
          <w:lang w:val="en-AU"/>
        </w:rPr>
        <w:t xml:space="preserve"> gender related barriers despite the </w:t>
      </w:r>
      <w:r w:rsidR="00452575" w:rsidRPr="00A96337">
        <w:rPr>
          <w:lang w:val="en-AU"/>
        </w:rPr>
        <w:t>often-central</w:t>
      </w:r>
      <w:r w:rsidRPr="00A96337">
        <w:rPr>
          <w:lang w:val="en-AU"/>
        </w:rPr>
        <w:t xml:space="preserve"> focus on women in the design of the program.</w:t>
      </w:r>
      <w:r w:rsidR="00E42BC8" w:rsidRPr="00A96337">
        <w:rPr>
          <w:lang w:val="en-AU"/>
        </w:rPr>
        <w:t xml:space="preserve"> </w:t>
      </w:r>
      <w:r w:rsidRPr="00A96337">
        <w:rPr>
          <w:lang w:val="en-AU"/>
        </w:rPr>
        <w:t xml:space="preserve">In addition, it was observed that some activities including women are in fact peripheral to the main value chain and market interventions, for example the female led cooperative </w:t>
      </w:r>
      <w:r w:rsidR="00145825" w:rsidRPr="00A96337">
        <w:rPr>
          <w:lang w:val="en-AU"/>
        </w:rPr>
        <w:t>bakehouse</w:t>
      </w:r>
      <w:r w:rsidRPr="00A96337">
        <w:rPr>
          <w:lang w:val="en-AU"/>
        </w:rPr>
        <w:t xml:space="preserve"> in Hebron. </w:t>
      </w:r>
      <w:r w:rsidR="00145825" w:rsidRPr="00A96337">
        <w:rPr>
          <w:lang w:val="en-AU"/>
        </w:rPr>
        <w:t xml:space="preserve">While specific gender focused activities are part of an effective approach to the promotion of gender equality, there is still scope for the program </w:t>
      </w:r>
      <w:r w:rsidR="00FB1979" w:rsidRPr="00A96337">
        <w:rPr>
          <w:lang w:val="en-AU"/>
        </w:rPr>
        <w:t xml:space="preserve">to </w:t>
      </w:r>
      <w:r w:rsidR="00145825" w:rsidRPr="00A96337">
        <w:rPr>
          <w:lang w:val="en-AU"/>
        </w:rPr>
        <w:t xml:space="preserve">strengthen its focus on gender in </w:t>
      </w:r>
      <w:r w:rsidR="00FB1979" w:rsidRPr="00A96337">
        <w:rPr>
          <w:lang w:val="en-AU"/>
        </w:rPr>
        <w:t xml:space="preserve">its </w:t>
      </w:r>
      <w:r w:rsidR="00145825" w:rsidRPr="00A96337">
        <w:rPr>
          <w:lang w:val="en-AU"/>
        </w:rPr>
        <w:t>mainstream activities.</w:t>
      </w:r>
    </w:p>
    <w:tbl>
      <w:tblPr>
        <w:tblStyle w:val="TableGrid"/>
        <w:tblpPr w:leftFromText="180" w:rightFromText="180" w:vertAnchor="text" w:horzAnchor="margin" w:tblpY="82"/>
        <w:tblW w:w="9071" w:type="dxa"/>
        <w:tblInd w:w="0" w:type="dxa"/>
        <w:tblBorders>
          <w:top w:val="none" w:sz="0" w:space="0" w:color="auto"/>
          <w:left w:val="single" w:sz="24" w:space="0" w:color="B3995D"/>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5C5067" w:rsidRPr="00A96337" w14:paraId="669EDD88" w14:textId="77777777" w:rsidTr="005C5067">
        <w:trPr>
          <w:trHeight w:val="9354"/>
        </w:trPr>
        <w:tc>
          <w:tcPr>
            <w:tcW w:w="9071" w:type="dxa"/>
          </w:tcPr>
          <w:p w14:paraId="128C32C4" w14:textId="77777777" w:rsidR="005D0945" w:rsidRPr="00A96337" w:rsidRDefault="005D0945" w:rsidP="005C5067">
            <w:pPr>
              <w:spacing w:after="240"/>
              <w:rPr>
                <w:rFonts w:ascii="Arial" w:eastAsiaTheme="majorEastAsia" w:hAnsi="Arial" w:cs="Arial"/>
                <w:b/>
                <w:caps/>
                <w:color w:val="B3995D"/>
                <w:sz w:val="28"/>
                <w:szCs w:val="36"/>
              </w:rPr>
            </w:pPr>
            <w:r w:rsidRPr="00A96337">
              <w:rPr>
                <w:rFonts w:ascii="Arial" w:eastAsiaTheme="majorEastAsia" w:hAnsi="Arial" w:cs="Arial"/>
                <w:b/>
                <w:color w:val="B3995D"/>
                <w:sz w:val="28"/>
                <w:szCs w:val="36"/>
              </w:rPr>
              <w:t>Challenging Social Norms and Realising Transformational Shifts in Women’s Rights and Roles</w:t>
            </w:r>
          </w:p>
          <w:p w14:paraId="278456C1" w14:textId="6277D689" w:rsidR="005D0945" w:rsidRPr="00A96337" w:rsidRDefault="0010327D" w:rsidP="005C5067">
            <w:pPr>
              <w:rPr>
                <w:rFonts w:ascii="Arial" w:hAnsi="Arial" w:cs="Arial"/>
                <w:color w:val="808080" w:themeColor="background1" w:themeShade="80"/>
                <w:sz w:val="18"/>
              </w:rPr>
            </w:pPr>
            <w:r>
              <w:rPr>
                <w:rFonts w:ascii="Arial" w:hAnsi="Arial" w:cs="Arial"/>
                <w:color w:val="808080" w:themeColor="background1" w:themeShade="80"/>
                <w:sz w:val="18"/>
              </w:rPr>
              <w:t>AMENCA3 has been challenging social norms and shifting gender dynamics.  Traditionally in conservative families in some areas where the program operates, i</w:t>
            </w:r>
            <w:r w:rsidR="005D0945" w:rsidRPr="00A96337">
              <w:rPr>
                <w:rFonts w:ascii="Arial" w:hAnsi="Arial" w:cs="Arial"/>
                <w:color w:val="808080" w:themeColor="background1" w:themeShade="80"/>
                <w:sz w:val="18"/>
              </w:rPr>
              <w:t xml:space="preserve">t is the mother in law’s role to supervise other women in the family and </w:t>
            </w:r>
            <w:r>
              <w:rPr>
                <w:rFonts w:ascii="Arial" w:hAnsi="Arial" w:cs="Arial"/>
                <w:color w:val="808080" w:themeColor="background1" w:themeShade="80"/>
                <w:sz w:val="18"/>
              </w:rPr>
              <w:t>can be</w:t>
            </w:r>
            <w:r w:rsidR="005D0945" w:rsidRPr="00A96337">
              <w:rPr>
                <w:rFonts w:ascii="Arial" w:hAnsi="Arial" w:cs="Arial"/>
                <w:color w:val="808080" w:themeColor="background1" w:themeShade="80"/>
                <w:sz w:val="18"/>
              </w:rPr>
              <w:t xml:space="preserve"> considered a “crime” for the women and girls of the family to “go out” unaccompanied. </w:t>
            </w:r>
          </w:p>
          <w:p w14:paraId="1B0103E1" w14:textId="639A19C5" w:rsidR="005D0945" w:rsidRPr="00A96337" w:rsidRDefault="005D0945" w:rsidP="005C5067">
            <w:pPr>
              <w:rPr>
                <w:rFonts w:ascii="Arial" w:hAnsi="Arial" w:cs="Arial"/>
                <w:color w:val="808080" w:themeColor="background1" w:themeShade="80"/>
                <w:sz w:val="18"/>
              </w:rPr>
            </w:pPr>
            <w:r w:rsidRPr="00A96337">
              <w:rPr>
                <w:rFonts w:ascii="Arial" w:hAnsi="Arial" w:cs="Arial"/>
                <w:color w:val="808080" w:themeColor="background1" w:themeShade="80"/>
                <w:sz w:val="18"/>
              </w:rPr>
              <w:t xml:space="preserve">Within this environment </w:t>
            </w:r>
            <w:r w:rsidR="0010327D">
              <w:rPr>
                <w:rFonts w:ascii="Arial" w:hAnsi="Arial" w:cs="Arial"/>
                <w:color w:val="808080" w:themeColor="background1" w:themeShade="80"/>
                <w:sz w:val="18"/>
              </w:rPr>
              <w:t>a number of women have</w:t>
            </w:r>
            <w:r w:rsidRPr="00A96337">
              <w:rPr>
                <w:rFonts w:ascii="Arial" w:hAnsi="Arial" w:cs="Arial"/>
                <w:color w:val="808080" w:themeColor="background1" w:themeShade="80"/>
                <w:sz w:val="18"/>
              </w:rPr>
              <w:t xml:space="preserve"> never had a chance to go out of the house – to the doctor for example - without having a companion. </w:t>
            </w:r>
            <w:r w:rsidR="0010327D">
              <w:rPr>
                <w:rFonts w:ascii="Arial" w:hAnsi="Arial" w:cs="Arial"/>
                <w:color w:val="808080" w:themeColor="background1" w:themeShade="80"/>
                <w:sz w:val="18"/>
              </w:rPr>
              <w:t>One such woman became an animator for the Souqona project and</w:t>
            </w:r>
            <w:r w:rsidRPr="00A96337">
              <w:rPr>
                <w:rFonts w:ascii="Arial" w:hAnsi="Arial" w:cs="Arial"/>
                <w:color w:val="808080" w:themeColor="background1" w:themeShade="80"/>
                <w:sz w:val="18"/>
              </w:rPr>
              <w:t xml:space="preserve"> believes that whilst</w:t>
            </w:r>
            <w:r w:rsidR="0010327D">
              <w:rPr>
                <w:rFonts w:ascii="Arial" w:hAnsi="Arial" w:cs="Arial"/>
                <w:color w:val="808080" w:themeColor="background1" w:themeShade="80"/>
                <w:sz w:val="18"/>
              </w:rPr>
              <w:t xml:space="preserve"> she is</w:t>
            </w:r>
            <w:r w:rsidRPr="00A96337">
              <w:rPr>
                <w:rFonts w:ascii="Arial" w:hAnsi="Arial" w:cs="Arial"/>
                <w:color w:val="808080" w:themeColor="background1" w:themeShade="80"/>
                <w:sz w:val="18"/>
              </w:rPr>
              <w:t xml:space="preserve"> not rebellious she was simply courageous enough to claim her right to go out. Her husband initially refused this idea on the grounds that it would mean leaving their son and the household chores unfinished. Using the negotiation skills she had learned in a CARE training session on communication and negotiation, </w:t>
            </w:r>
            <w:r w:rsidR="0010327D">
              <w:rPr>
                <w:rFonts w:ascii="Arial" w:hAnsi="Arial" w:cs="Arial"/>
                <w:color w:val="808080" w:themeColor="background1" w:themeShade="80"/>
                <w:sz w:val="18"/>
              </w:rPr>
              <w:t>she</w:t>
            </w:r>
            <w:r w:rsidRPr="00A96337">
              <w:rPr>
                <w:rFonts w:ascii="Arial" w:hAnsi="Arial" w:cs="Arial"/>
                <w:color w:val="808080" w:themeColor="background1" w:themeShade="80"/>
                <w:sz w:val="18"/>
              </w:rPr>
              <w:t xml:space="preserve"> convinced her husband to give her one month to trial being an animator and demonstrate that she could still meet her family responsibilities.</w:t>
            </w:r>
          </w:p>
          <w:p w14:paraId="10FE9972" w14:textId="6D34F8C8" w:rsidR="005D0945" w:rsidRPr="00A96337" w:rsidRDefault="005D0945" w:rsidP="005C5067">
            <w:pPr>
              <w:rPr>
                <w:rFonts w:ascii="Arial" w:hAnsi="Arial" w:cs="Arial"/>
                <w:color w:val="808080" w:themeColor="background1" w:themeShade="80"/>
                <w:sz w:val="18"/>
              </w:rPr>
            </w:pPr>
            <w:r w:rsidRPr="00A96337">
              <w:rPr>
                <w:rFonts w:ascii="Arial" w:hAnsi="Arial" w:cs="Arial"/>
                <w:color w:val="808080" w:themeColor="background1" w:themeShade="80"/>
                <w:sz w:val="18"/>
              </w:rPr>
              <w:t xml:space="preserve">As an animator </w:t>
            </w:r>
            <w:r w:rsidR="0010327D">
              <w:rPr>
                <w:rFonts w:ascii="Arial" w:hAnsi="Arial" w:cs="Arial"/>
                <w:color w:val="808080" w:themeColor="background1" w:themeShade="80"/>
                <w:sz w:val="18"/>
              </w:rPr>
              <w:t>she</w:t>
            </w:r>
            <w:r w:rsidRPr="00A96337">
              <w:rPr>
                <w:rFonts w:ascii="Arial" w:hAnsi="Arial" w:cs="Arial"/>
                <w:color w:val="808080" w:themeColor="background1" w:themeShade="80"/>
                <w:sz w:val="18"/>
              </w:rPr>
              <w:t xml:space="preserve"> communicates with female farmers and supports and encourages their attendance at workshops on barn management, before and after birth related work, newborn care, cleaning, milking, watering, and home-based milk processing.</w:t>
            </w:r>
          </w:p>
          <w:p w14:paraId="12516190" w14:textId="3AEE37FB" w:rsidR="005D0945" w:rsidRPr="00A96337" w:rsidRDefault="005D0945" w:rsidP="005C5067">
            <w:pPr>
              <w:rPr>
                <w:rFonts w:ascii="Arial" w:hAnsi="Arial" w:cs="Arial"/>
                <w:color w:val="808080" w:themeColor="background1" w:themeShade="80"/>
                <w:sz w:val="18"/>
              </w:rPr>
            </w:pPr>
            <w:r w:rsidRPr="00A96337">
              <w:rPr>
                <w:rFonts w:ascii="Arial" w:hAnsi="Arial" w:cs="Arial"/>
                <w:color w:val="808080" w:themeColor="background1" w:themeShade="80"/>
                <w:sz w:val="18"/>
              </w:rPr>
              <w:t xml:space="preserve">This has transformed </w:t>
            </w:r>
            <w:r w:rsidR="0010327D">
              <w:rPr>
                <w:rFonts w:ascii="Arial" w:hAnsi="Arial" w:cs="Arial"/>
                <w:color w:val="808080" w:themeColor="background1" w:themeShade="80"/>
                <w:sz w:val="18"/>
              </w:rPr>
              <w:t xml:space="preserve">this </w:t>
            </w:r>
            <w:r w:rsidR="00C12B00">
              <w:rPr>
                <w:rFonts w:ascii="Arial" w:hAnsi="Arial" w:cs="Arial"/>
                <w:color w:val="808080" w:themeColor="background1" w:themeShade="80"/>
                <w:sz w:val="18"/>
              </w:rPr>
              <w:t>woman’s</w:t>
            </w:r>
            <w:r w:rsidRPr="00A96337">
              <w:rPr>
                <w:rFonts w:ascii="Arial" w:hAnsi="Arial" w:cs="Arial"/>
                <w:color w:val="808080" w:themeColor="background1" w:themeShade="80"/>
                <w:sz w:val="18"/>
              </w:rPr>
              <w:t xml:space="preserve"> life – both within the community and within her home. Her relationship with her mother in law has changed as the family has come to realise the impact and influence </w:t>
            </w:r>
            <w:r w:rsidR="0010327D">
              <w:rPr>
                <w:rFonts w:ascii="Arial" w:hAnsi="Arial" w:cs="Arial"/>
                <w:color w:val="808080" w:themeColor="background1" w:themeShade="80"/>
                <w:sz w:val="18"/>
              </w:rPr>
              <w:t>she</w:t>
            </w:r>
            <w:r w:rsidRPr="00A96337">
              <w:rPr>
                <w:rFonts w:ascii="Arial" w:hAnsi="Arial" w:cs="Arial"/>
                <w:color w:val="808080" w:themeColor="background1" w:themeShade="80"/>
                <w:sz w:val="18"/>
              </w:rPr>
              <w:t xml:space="preserve"> has in their community. Her mother in law takes an active interest in her participation, asks when her meetings with CARE are, and tells </w:t>
            </w:r>
            <w:r w:rsidR="0010327D">
              <w:rPr>
                <w:rFonts w:ascii="Arial" w:hAnsi="Arial" w:cs="Arial"/>
                <w:color w:val="808080" w:themeColor="background1" w:themeShade="80"/>
                <w:sz w:val="18"/>
              </w:rPr>
              <w:t>her</w:t>
            </w:r>
            <w:r w:rsidRPr="00A96337">
              <w:rPr>
                <w:rFonts w:ascii="Arial" w:hAnsi="Arial" w:cs="Arial"/>
                <w:color w:val="808080" w:themeColor="background1" w:themeShade="80"/>
                <w:sz w:val="18"/>
              </w:rPr>
              <w:t xml:space="preserve"> to “pay attention” during these meetings. </w:t>
            </w:r>
            <w:r w:rsidR="0010327D">
              <w:rPr>
                <w:rFonts w:ascii="Arial" w:hAnsi="Arial" w:cs="Arial"/>
                <w:color w:val="808080" w:themeColor="background1" w:themeShade="80"/>
                <w:sz w:val="18"/>
              </w:rPr>
              <w:t>Her</w:t>
            </w:r>
            <w:r w:rsidRPr="00A96337">
              <w:rPr>
                <w:rFonts w:ascii="Arial" w:hAnsi="Arial" w:cs="Arial"/>
                <w:color w:val="808080" w:themeColor="background1" w:themeShade="80"/>
                <w:sz w:val="18"/>
              </w:rPr>
              <w:t xml:space="preserve"> son now drives her to work, helps around the house and prepares meals for her upon her return home from work.</w:t>
            </w:r>
          </w:p>
          <w:p w14:paraId="57189F29" w14:textId="20A45BE1" w:rsidR="005D0945" w:rsidRPr="00A96337" w:rsidRDefault="00CB3CB7" w:rsidP="005C5067">
            <w:pPr>
              <w:spacing w:after="240"/>
              <w:rPr>
                <w:b/>
                <w:noProof/>
              </w:rPr>
            </w:pPr>
            <w:r w:rsidRPr="00A96337">
              <w:rPr>
                <w:noProof/>
                <w:lang w:eastAsia="en-AU"/>
              </w:rPr>
              <mc:AlternateContent>
                <mc:Choice Requires="wps">
                  <w:drawing>
                    <wp:anchor distT="0" distB="0" distL="114300" distR="114300" simplePos="0" relativeHeight="251672576" behindDoc="0" locked="0" layoutInCell="1" allowOverlap="1" wp14:anchorId="242E1F80" wp14:editId="567BD577">
                      <wp:simplePos x="0" y="0"/>
                      <wp:positionH relativeFrom="column">
                        <wp:posOffset>2060575</wp:posOffset>
                      </wp:positionH>
                      <wp:positionV relativeFrom="paragraph">
                        <wp:posOffset>66040</wp:posOffset>
                      </wp:positionV>
                      <wp:extent cx="3526155"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526155" cy="457200"/>
                              </a:xfrm>
                              <a:prstGeom prst="rect">
                                <a:avLst/>
                              </a:prstGeom>
                              <a:solidFill>
                                <a:prstClr val="white"/>
                              </a:solidFill>
                              <a:ln>
                                <a:noFill/>
                              </a:ln>
                            </wps:spPr>
                            <wps:txbx>
                              <w:txbxContent>
                                <w:p w14:paraId="3DEEF079" w14:textId="549E51FA" w:rsidR="00AE1954" w:rsidRPr="000630FF" w:rsidRDefault="00AE1954" w:rsidP="005D0945">
                                  <w:pPr>
                                    <w:pStyle w:val="Caption"/>
                                    <w:rPr>
                                      <w:noProof/>
                                      <w:szCs w:val="20"/>
                                      <w:lang w:val="en-AU" w:eastAsia="en-AU"/>
                                    </w:rPr>
                                  </w:pPr>
                                  <w:r w:rsidRPr="009161CA">
                                    <w:rPr>
                                      <w:b w:val="0"/>
                                      <w:color w:val="808080" w:themeColor="background1" w:themeShade="80"/>
                                      <w:sz w:val="18"/>
                                    </w:rPr>
                                    <w:t xml:space="preserve">Figure </w:t>
                                  </w:r>
                                  <w:r>
                                    <w:rPr>
                                      <w:b w:val="0"/>
                                      <w:color w:val="808080" w:themeColor="background1" w:themeShade="80"/>
                                      <w:sz w:val="18"/>
                                    </w:rPr>
                                    <w:fldChar w:fldCharType="begin"/>
                                  </w:r>
                                  <w:r>
                                    <w:rPr>
                                      <w:b w:val="0"/>
                                      <w:color w:val="808080" w:themeColor="background1" w:themeShade="80"/>
                                      <w:sz w:val="18"/>
                                    </w:rPr>
                                    <w:instrText xml:space="preserve"> SEQ Figure \* ARABIC </w:instrText>
                                  </w:r>
                                  <w:r>
                                    <w:rPr>
                                      <w:b w:val="0"/>
                                      <w:color w:val="808080" w:themeColor="background1" w:themeShade="80"/>
                                      <w:sz w:val="18"/>
                                    </w:rPr>
                                    <w:fldChar w:fldCharType="separate"/>
                                  </w:r>
                                  <w:r w:rsidR="00E06D4A">
                                    <w:rPr>
                                      <w:b w:val="0"/>
                                      <w:noProof/>
                                      <w:color w:val="808080" w:themeColor="background1" w:themeShade="80"/>
                                      <w:sz w:val="18"/>
                                    </w:rPr>
                                    <w:t>9</w:t>
                                  </w:r>
                                  <w:r>
                                    <w:rPr>
                                      <w:b w:val="0"/>
                                      <w:color w:val="808080" w:themeColor="background1" w:themeShade="80"/>
                                      <w:sz w:val="18"/>
                                    </w:rPr>
                                    <w:fldChar w:fldCharType="end"/>
                                  </w:r>
                                  <w:r>
                                    <w:rPr>
                                      <w:b w:val="0"/>
                                      <w:color w:val="808080" w:themeColor="background1" w:themeShade="80"/>
                                      <w:sz w:val="18"/>
                                    </w:rPr>
                                    <w:t xml:space="preserve">: </w:t>
                                  </w:r>
                                  <w:r w:rsidRPr="00BB242B">
                                    <w:rPr>
                                      <w:b w:val="0"/>
                                      <w:color w:val="808080" w:themeColor="background1" w:themeShade="80"/>
                                      <w:sz w:val="18"/>
                                    </w:rPr>
                                    <w:t>Gender transformative results in Beit Fourik milk collection hub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2E1F80" id="Text Box 1" o:spid="_x0000_s1035" type="#_x0000_t202" style="position:absolute;margin-left:162.25pt;margin-top:5.2pt;width:277.6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" stroked="f">
                      <v:textbox inset="0,0,0,0">
                        <w:txbxContent>
                          <w:p w14:paraId="3DEEF079" w14:textId="549E51FA" w:rsidR="00AE1954" w:rsidRPr="000630FF" w:rsidRDefault="00AE1954" w:rsidP="005D0945">
                            <w:pPr>
                              <w:pStyle w:val="Caption"/>
                              <w:rPr>
                                <w:noProof/>
                                <w:szCs w:val="20"/>
                                <w:lang w:val="en-AU" w:eastAsia="en-AU"/>
                              </w:rPr>
                            </w:pPr>
                            <w:r w:rsidRPr="009161CA">
                              <w:rPr>
                                <w:b w:val="0"/>
                                <w:color w:val="808080" w:themeColor="background1" w:themeShade="80"/>
                                <w:sz w:val="18"/>
                              </w:rPr>
                              <w:t xml:space="preserve">Figure </w:t>
                            </w:r>
                            <w:r>
                              <w:rPr>
                                <w:b w:val="0"/>
                                <w:color w:val="808080" w:themeColor="background1" w:themeShade="80"/>
                                <w:sz w:val="18"/>
                              </w:rPr>
                              <w:fldChar w:fldCharType="begin"/>
                            </w:r>
                            <w:r>
                              <w:rPr>
                                <w:b w:val="0"/>
                                <w:color w:val="808080" w:themeColor="background1" w:themeShade="80"/>
                                <w:sz w:val="18"/>
                              </w:rPr>
                              <w:instrText xml:space="preserve"> SEQ Figure \* ARABIC </w:instrText>
                            </w:r>
                            <w:r>
                              <w:rPr>
                                <w:b w:val="0"/>
                                <w:color w:val="808080" w:themeColor="background1" w:themeShade="80"/>
                                <w:sz w:val="18"/>
                              </w:rPr>
                              <w:fldChar w:fldCharType="separate"/>
                            </w:r>
                            <w:r w:rsidR="00E06D4A">
                              <w:rPr>
                                <w:b w:val="0"/>
                                <w:noProof/>
                                <w:color w:val="808080" w:themeColor="background1" w:themeShade="80"/>
                                <w:sz w:val="18"/>
                              </w:rPr>
                              <w:t>9</w:t>
                            </w:r>
                            <w:r>
                              <w:rPr>
                                <w:b w:val="0"/>
                                <w:color w:val="808080" w:themeColor="background1" w:themeShade="80"/>
                                <w:sz w:val="18"/>
                              </w:rPr>
                              <w:fldChar w:fldCharType="end"/>
                            </w:r>
                            <w:r>
                              <w:rPr>
                                <w:b w:val="0"/>
                                <w:color w:val="808080" w:themeColor="background1" w:themeShade="80"/>
                                <w:sz w:val="18"/>
                              </w:rPr>
                              <w:t xml:space="preserve">: </w:t>
                            </w:r>
                            <w:r w:rsidRPr="00BB242B">
                              <w:rPr>
                                <w:b w:val="0"/>
                                <w:color w:val="808080" w:themeColor="background1" w:themeShade="80"/>
                                <w:sz w:val="18"/>
                              </w:rPr>
                              <w:t>Gender transformative results in Beit Fourik milk collection hub</w:t>
                            </w:r>
                          </w:p>
                        </w:txbxContent>
                      </v:textbox>
                      <w10:wrap type="square"/>
                    </v:shape>
                  </w:pict>
                </mc:Fallback>
              </mc:AlternateContent>
            </w:r>
            <w:r w:rsidR="005D0945" w:rsidRPr="00A96337">
              <w:rPr>
                <w:b/>
                <w:noProof/>
                <w:lang w:eastAsia="en-AU"/>
              </w:rPr>
              <w:drawing>
                <wp:anchor distT="0" distB="0" distL="114300" distR="114300" simplePos="0" relativeHeight="251671552" behindDoc="0" locked="0" layoutInCell="1" allowOverlap="1" wp14:anchorId="77A58AFC" wp14:editId="4F796260">
                  <wp:simplePos x="0" y="0"/>
                  <wp:positionH relativeFrom="column">
                    <wp:posOffset>2060575</wp:posOffset>
                  </wp:positionH>
                  <wp:positionV relativeFrom="paragraph">
                    <wp:posOffset>570865</wp:posOffset>
                  </wp:positionV>
                  <wp:extent cx="3526155" cy="1824990"/>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228.JPG"/>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3526155" cy="182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0945" w:rsidRPr="00A96337">
              <w:rPr>
                <w:rFonts w:ascii="Arial" w:hAnsi="Arial" w:cs="Arial"/>
                <w:color w:val="808080" w:themeColor="background1" w:themeShade="80"/>
                <w:sz w:val="18"/>
              </w:rPr>
              <w:t xml:space="preserve">Added to this </w:t>
            </w:r>
            <w:r w:rsidR="0010327D">
              <w:rPr>
                <w:rFonts w:ascii="Arial" w:hAnsi="Arial" w:cs="Arial"/>
                <w:color w:val="808080" w:themeColor="background1" w:themeShade="80"/>
                <w:sz w:val="18"/>
              </w:rPr>
              <w:t>she has also</w:t>
            </w:r>
            <w:r w:rsidR="005D0945" w:rsidRPr="00A96337">
              <w:rPr>
                <w:rFonts w:ascii="Arial" w:hAnsi="Arial" w:cs="Arial"/>
                <w:color w:val="808080" w:themeColor="background1" w:themeShade="80"/>
                <w:sz w:val="18"/>
              </w:rPr>
              <w:t xml:space="preserve"> proved her value within the community and overcame significant social barriers also related to the fact she wears a </w:t>
            </w:r>
            <w:r w:rsidR="00F33231" w:rsidRPr="00A96337">
              <w:rPr>
                <w:rFonts w:ascii="Arial" w:hAnsi="Arial" w:cs="Arial"/>
                <w:color w:val="808080" w:themeColor="background1" w:themeShade="80"/>
                <w:sz w:val="18"/>
              </w:rPr>
              <w:t>full-face</w:t>
            </w:r>
            <w:r w:rsidR="005D0945" w:rsidRPr="00A96337">
              <w:rPr>
                <w:rFonts w:ascii="Arial" w:hAnsi="Arial" w:cs="Arial"/>
                <w:color w:val="808080" w:themeColor="background1" w:themeShade="80"/>
                <w:sz w:val="18"/>
              </w:rPr>
              <w:t xml:space="preserve"> veil. Initially this was problematic in the community and </w:t>
            </w:r>
            <w:r w:rsidR="0010327D">
              <w:rPr>
                <w:rFonts w:ascii="Arial" w:hAnsi="Arial" w:cs="Arial"/>
                <w:color w:val="808080" w:themeColor="background1" w:themeShade="80"/>
                <w:sz w:val="18"/>
              </w:rPr>
              <w:t>this animator</w:t>
            </w:r>
            <w:r w:rsidR="005D0945" w:rsidRPr="00A96337">
              <w:rPr>
                <w:rFonts w:ascii="Arial" w:hAnsi="Arial" w:cs="Arial"/>
                <w:color w:val="808080" w:themeColor="background1" w:themeShade="80"/>
                <w:sz w:val="18"/>
              </w:rPr>
              <w:t xml:space="preserve"> recounted that people did not want to deal with her because of her face being veiled/obscured. However, CARE increased her confidence and provided her with the tools to engage with the community and now she is famous in town with many people asking for her assistance, asking CARE to “bring the girl with the face veil”. The challenge for women to prove themselves in the community is very important and </w:t>
            </w:r>
            <w:r w:rsidR="0010327D">
              <w:rPr>
                <w:rFonts w:ascii="Arial" w:hAnsi="Arial" w:cs="Arial"/>
                <w:color w:val="808080" w:themeColor="background1" w:themeShade="80"/>
                <w:sz w:val="18"/>
              </w:rPr>
              <w:t>this animator</w:t>
            </w:r>
            <w:r w:rsidR="005D0945" w:rsidRPr="00A96337">
              <w:rPr>
                <w:rFonts w:ascii="Arial" w:hAnsi="Arial" w:cs="Arial"/>
                <w:color w:val="808080" w:themeColor="background1" w:themeShade="80"/>
                <w:sz w:val="18"/>
              </w:rPr>
              <w:t xml:space="preserve"> wants to be an exemplar model to enable and challenge other women.</w:t>
            </w:r>
          </w:p>
        </w:tc>
      </w:tr>
    </w:tbl>
    <w:p w14:paraId="4B340B39" w14:textId="6017CE0E" w:rsidR="002F4F42" w:rsidRPr="00A96337" w:rsidRDefault="002F4F42" w:rsidP="006837B7">
      <w:pPr>
        <w:pStyle w:val="BodyText"/>
        <w:rPr>
          <w:lang w:val="en-AU"/>
        </w:rPr>
      </w:pPr>
      <w:r w:rsidRPr="00A96337">
        <w:rPr>
          <w:lang w:val="en-AU"/>
        </w:rPr>
        <w:t>On CARE’s part their organisational commitment to gender transformative approaches has resulted in clear evidence of a strategic and targeted approach to inclusion of gender and youth in their market interventions underpinned by sound analysis.</w:t>
      </w:r>
      <w:r w:rsidR="00E42BC8" w:rsidRPr="00A96337">
        <w:rPr>
          <w:lang w:val="en-AU"/>
        </w:rPr>
        <w:t xml:space="preserve"> </w:t>
      </w:r>
      <w:r w:rsidRPr="00A96337">
        <w:rPr>
          <w:lang w:val="en-AU"/>
        </w:rPr>
        <w:t>CARE’s support, particularly in the dairy value chain and animator program, extends beyond economic empowerment issues, addressing gender norms and issues of gender inequality creating powerful impacts. The evidence presented at the AHLD in March demonstrated a clearly targeted and inclusive approach to assessing the status quo along the value chains of interest and identifying opportunities to enhance and introduce women into meaningful roles, prior to developing their intervention strategies. Outcomes and reported backlashes against men and women are being carefully monitored by CARE staff enabling the right support and adaptation of programming as appropriate in relation to issues of safety and business viability. A clear example of this is where the female led cooperative dairy hub in Beit Fourik was experiencing direct opposition by male cooperatives in the area.</w:t>
      </w:r>
      <w:r w:rsidR="00E42BC8" w:rsidRPr="00A96337">
        <w:rPr>
          <w:lang w:val="en-AU"/>
        </w:rPr>
        <w:t xml:space="preserve"> </w:t>
      </w:r>
      <w:r w:rsidRPr="00A96337">
        <w:rPr>
          <w:lang w:val="en-AU"/>
        </w:rPr>
        <w:t>CARE continued to support the cooperative through market linkages to ensure their ongoing survival and acceptance in the community.</w:t>
      </w:r>
      <w:r w:rsidR="00E42BC8" w:rsidRPr="00A96337">
        <w:rPr>
          <w:lang w:val="en-AU"/>
        </w:rPr>
        <w:t xml:space="preserve"> </w:t>
      </w:r>
      <w:r w:rsidRPr="00A96337">
        <w:rPr>
          <w:lang w:val="en-AU"/>
        </w:rPr>
        <w:t xml:space="preserve">Following this sustained </w:t>
      </w:r>
      <w:r w:rsidR="00F33231" w:rsidRPr="00A96337">
        <w:rPr>
          <w:lang w:val="en-AU"/>
        </w:rPr>
        <w:t>support,</w:t>
      </w:r>
      <w:r w:rsidRPr="00A96337">
        <w:rPr>
          <w:lang w:val="en-AU"/>
        </w:rPr>
        <w:t xml:space="preserve"> the cooperative is now well accepted by the community and provides advice to male (and female) farmers in the area.</w:t>
      </w:r>
    </w:p>
    <w:p w14:paraId="269F608D" w14:textId="6EE2D860" w:rsidR="002F4F42" w:rsidRPr="00A96337" w:rsidRDefault="002F4F42" w:rsidP="006837B7">
      <w:pPr>
        <w:pStyle w:val="BodyText"/>
        <w:rPr>
          <w:lang w:val="en-AU"/>
        </w:rPr>
      </w:pPr>
      <w:r w:rsidRPr="00A96337">
        <w:rPr>
          <w:lang w:val="en-AU"/>
        </w:rPr>
        <w:t>The selection of some value chains that can disproportionately benefit women farmers is a promising strategy that should be pursued further.</w:t>
      </w:r>
      <w:r w:rsidR="00E42BC8" w:rsidRPr="00A96337">
        <w:rPr>
          <w:lang w:val="en-AU"/>
        </w:rPr>
        <w:t xml:space="preserve"> </w:t>
      </w:r>
      <w:r w:rsidRPr="00A96337">
        <w:rPr>
          <w:lang w:val="en-AU"/>
        </w:rPr>
        <w:t>Such interventions have enabled women to demonstrate they can perform effectively as market actors in the cash economy despite inter-generational preconceptions.</w:t>
      </w:r>
      <w:r w:rsidR="00E42BC8" w:rsidRPr="00A96337">
        <w:rPr>
          <w:lang w:val="en-AU"/>
        </w:rPr>
        <w:t xml:space="preserve"> </w:t>
      </w:r>
      <w:r w:rsidRPr="00A96337">
        <w:rPr>
          <w:lang w:val="en-AU"/>
        </w:rPr>
        <w:t>Much transformation is taking place, but again is relatively poorly conveyed in program reporting.</w:t>
      </w:r>
      <w:r w:rsidR="00E42BC8" w:rsidRPr="00A96337">
        <w:rPr>
          <w:lang w:val="en-AU"/>
        </w:rPr>
        <w:t xml:space="preserve"> </w:t>
      </w:r>
      <w:r w:rsidRPr="00A96337">
        <w:rPr>
          <w:lang w:val="en-AU"/>
        </w:rPr>
        <w:t xml:space="preserve">It should be remembered, that </w:t>
      </w:r>
      <w:r w:rsidR="009B58A0" w:rsidRPr="00A96337">
        <w:rPr>
          <w:lang w:val="en-AU"/>
        </w:rPr>
        <w:t>AMENCA 3</w:t>
      </w:r>
      <w:r w:rsidRPr="00A96337">
        <w:rPr>
          <w:lang w:val="en-AU"/>
        </w:rPr>
        <w:t xml:space="preserve"> is </w:t>
      </w:r>
      <w:r w:rsidR="00530182" w:rsidRPr="00A96337">
        <w:rPr>
          <w:lang w:val="en-AU"/>
        </w:rPr>
        <w:t>focused</w:t>
      </w:r>
      <w:r w:rsidRPr="00A96337">
        <w:rPr>
          <w:lang w:val="en-AU"/>
        </w:rPr>
        <w:t xml:space="preserve"> on economic empowerment as one (critical) aspect of a broader effort to achieve gender equity and equality.</w:t>
      </w:r>
    </w:p>
    <w:p w14:paraId="4B47C8B4" w14:textId="77777777" w:rsidR="002F4F42" w:rsidRPr="00A96337" w:rsidRDefault="002F4F42" w:rsidP="006837B7">
      <w:pPr>
        <w:pStyle w:val="BodyText"/>
        <w:rPr>
          <w:lang w:val="en-AU"/>
        </w:rPr>
      </w:pPr>
      <w:r w:rsidRPr="00A96337">
        <w:rPr>
          <w:lang w:val="en-AU"/>
        </w:rPr>
        <w:t>With Oxfam, however, there has been a lack of detailed market level analysis of these exclusion issues, in addition to analysis of specific agendas such as gender-based violence (GBV) and disability.</w:t>
      </w:r>
      <w:r w:rsidR="00E42BC8" w:rsidRPr="00A96337">
        <w:rPr>
          <w:lang w:val="en-AU"/>
        </w:rPr>
        <w:t xml:space="preserve"> </w:t>
      </w:r>
      <w:r w:rsidRPr="00A96337">
        <w:rPr>
          <w:lang w:val="en-AU"/>
        </w:rPr>
        <w:t>This has resulted in a lack of identification of risks together with approaches to appropriately address these in market interventions.</w:t>
      </w:r>
      <w:r w:rsidR="00E42BC8" w:rsidRPr="00A96337">
        <w:rPr>
          <w:lang w:val="en-AU"/>
        </w:rPr>
        <w:t xml:space="preserve"> </w:t>
      </w:r>
      <w:r w:rsidRPr="00A96337">
        <w:rPr>
          <w:lang w:val="en-AU"/>
        </w:rPr>
        <w:t>Oxfam are working currently to address these gaps, for example, they are currently in discussions and formulating a relationship with a Disabled Persons Organisation (DPO) and exploring what future market opportunities look like.</w:t>
      </w:r>
    </w:p>
    <w:p w14:paraId="1F66842E" w14:textId="77777777" w:rsidR="007B1490" w:rsidRPr="00A96337" w:rsidRDefault="007B1490" w:rsidP="00113D28">
      <w:pPr>
        <w:pStyle w:val="Heading3"/>
        <w:rPr>
          <w:lang w:val="en-AU"/>
        </w:rPr>
      </w:pPr>
      <w:bookmarkStart w:id="444" w:name="_Ref12168855"/>
      <w:bookmarkStart w:id="445" w:name="_Toc12364840"/>
      <w:r w:rsidRPr="00A96337">
        <w:rPr>
          <w:lang w:val="en-AU"/>
        </w:rPr>
        <w:t>Poverty and economic exclusion</w:t>
      </w:r>
      <w:bookmarkEnd w:id="444"/>
      <w:bookmarkEnd w:id="445"/>
    </w:p>
    <w:p w14:paraId="287CADB5" w14:textId="75E0EF4D" w:rsidR="001A0834" w:rsidRPr="00A96337" w:rsidRDefault="001A0834" w:rsidP="001A0834">
      <w:pPr>
        <w:autoSpaceDE w:val="0"/>
        <w:autoSpaceDN w:val="0"/>
        <w:adjustRightInd w:val="0"/>
        <w:spacing w:before="120" w:after="240" w:line="260" w:lineRule="atLeast"/>
        <w:rPr>
          <w:rFonts w:ascii="Arial" w:eastAsia="Arial" w:hAnsi="Arial" w:cs="Arial"/>
          <w:szCs w:val="19"/>
        </w:rPr>
      </w:pPr>
      <w:r w:rsidRPr="00A96337">
        <w:rPr>
          <w:rFonts w:ascii="Arial" w:eastAsia="Arial" w:hAnsi="Arial" w:cs="Arial"/>
          <w:szCs w:val="19"/>
        </w:rPr>
        <w:t xml:space="preserve">The MTR also raised questions as to whether or not </w:t>
      </w:r>
      <w:r w:rsidR="009B58A0" w:rsidRPr="00A96337">
        <w:rPr>
          <w:rFonts w:ascii="Arial" w:eastAsia="Arial" w:hAnsi="Arial" w:cs="Arial"/>
          <w:szCs w:val="19"/>
        </w:rPr>
        <w:t>AMENCA 3</w:t>
      </w:r>
      <w:r w:rsidRPr="00A96337">
        <w:rPr>
          <w:rFonts w:ascii="Arial" w:eastAsia="Arial" w:hAnsi="Arial" w:cs="Arial"/>
          <w:szCs w:val="19"/>
        </w:rPr>
        <w:t xml:space="preserve"> was in fact reaching the poor under its ambit to alleviate poverty. A core objective of market-based development approaches is to increase productivity and trade, and, ultimately, economic returns for small producers and businesses </w:t>
      </w:r>
      <w:sdt>
        <w:sdtPr>
          <w:rPr>
            <w:rFonts w:ascii="Arial" w:eastAsia="Arial" w:hAnsi="Arial" w:cs="Arial"/>
            <w:szCs w:val="19"/>
          </w:rPr>
          <w:id w:val="955904115"/>
          <w:citation/>
        </w:sdtPr>
        <w:sdtEndPr/>
        <w:sdtContent>
          <w:r w:rsidRPr="00A96337">
            <w:rPr>
              <w:rFonts w:ascii="Arial" w:eastAsia="Arial" w:hAnsi="Arial" w:cs="Arial"/>
              <w:szCs w:val="19"/>
            </w:rPr>
            <w:fldChar w:fldCharType="begin"/>
          </w:r>
          <w:r w:rsidRPr="00A96337">
            <w:rPr>
              <w:rFonts w:ascii="Arial" w:eastAsia="Arial" w:hAnsi="Arial" w:cs="Arial"/>
              <w:szCs w:val="19"/>
            </w:rPr>
            <w:instrText xml:space="preserve">CITATION Nor12 \l 3081 </w:instrText>
          </w:r>
          <w:r w:rsidRPr="00A96337">
            <w:rPr>
              <w:rFonts w:ascii="Arial" w:eastAsia="Arial" w:hAnsi="Arial" w:cs="Arial"/>
              <w:szCs w:val="19"/>
            </w:rPr>
            <w:fldChar w:fldCharType="separate"/>
          </w:r>
          <w:r w:rsidR="00593D9F" w:rsidRPr="00593D9F">
            <w:rPr>
              <w:rFonts w:ascii="Arial" w:eastAsia="Arial" w:hAnsi="Arial" w:cs="Arial"/>
              <w:noProof/>
              <w:szCs w:val="19"/>
            </w:rPr>
            <w:t>(Norell, 2012)</w:t>
          </w:r>
          <w:r w:rsidRPr="00A96337">
            <w:rPr>
              <w:rFonts w:ascii="Arial" w:eastAsia="Arial" w:hAnsi="Arial" w:cs="Arial"/>
              <w:szCs w:val="19"/>
            </w:rPr>
            <w:fldChar w:fldCharType="end"/>
          </w:r>
        </w:sdtContent>
      </w:sdt>
      <w:r w:rsidRPr="00A96337">
        <w:rPr>
          <w:rFonts w:ascii="Arial" w:eastAsia="Arial" w:hAnsi="Arial" w:cs="Arial"/>
          <w:szCs w:val="19"/>
        </w:rPr>
        <w:t xml:space="preserve">. However, the MTR Team observed that in </w:t>
      </w:r>
      <w:r w:rsidR="009B58A0" w:rsidRPr="00A96337">
        <w:rPr>
          <w:rFonts w:ascii="Arial" w:eastAsia="Arial" w:hAnsi="Arial" w:cs="Arial"/>
          <w:szCs w:val="19"/>
        </w:rPr>
        <w:t>AMENCA 3</w:t>
      </w:r>
      <w:r w:rsidR="00F40E07">
        <w:rPr>
          <w:rFonts w:ascii="Arial" w:eastAsia="Arial" w:hAnsi="Arial" w:cs="Arial"/>
          <w:szCs w:val="19"/>
        </w:rPr>
        <w:t>’s</w:t>
      </w:r>
      <w:r w:rsidRPr="00A96337">
        <w:rPr>
          <w:rFonts w:ascii="Arial" w:eastAsia="Arial" w:hAnsi="Arial" w:cs="Arial"/>
          <w:szCs w:val="19"/>
        </w:rPr>
        <w:t xml:space="preserve"> </w:t>
      </w:r>
      <w:r w:rsidR="00F40E07">
        <w:rPr>
          <w:rFonts w:ascii="Arial" w:eastAsia="Arial" w:hAnsi="Arial" w:cs="Arial"/>
          <w:szCs w:val="19"/>
        </w:rPr>
        <w:t>interventions</w:t>
      </w:r>
      <w:r w:rsidRPr="00A96337">
        <w:rPr>
          <w:rFonts w:ascii="Arial" w:eastAsia="Arial" w:hAnsi="Arial" w:cs="Arial"/>
          <w:szCs w:val="19"/>
        </w:rPr>
        <w:t xml:space="preserve"> did not </w:t>
      </w:r>
      <w:r w:rsidR="00D7320E" w:rsidRPr="00A96337">
        <w:rPr>
          <w:rFonts w:ascii="Arial" w:eastAsia="Arial" w:hAnsi="Arial" w:cs="Arial"/>
          <w:szCs w:val="19"/>
        </w:rPr>
        <w:t>have a clear idea of the poverty impact of the program and was not</w:t>
      </w:r>
      <w:r w:rsidRPr="00A96337">
        <w:rPr>
          <w:rFonts w:ascii="Arial" w:eastAsia="Arial" w:hAnsi="Arial" w:cs="Arial"/>
          <w:szCs w:val="19"/>
        </w:rPr>
        <w:t xml:space="preserve"> disaggregating direct impact by poverty levels. </w:t>
      </w:r>
    </w:p>
    <w:p w14:paraId="363B97C2" w14:textId="4744FD18" w:rsidR="00FD3A0F" w:rsidRPr="00A96337" w:rsidRDefault="00FD3A0F" w:rsidP="00FD3A0F">
      <w:pPr>
        <w:pStyle w:val="BodyText"/>
        <w:spacing w:before="240"/>
        <w:rPr>
          <w:lang w:val="en-AU"/>
        </w:rPr>
      </w:pPr>
      <w:r w:rsidRPr="00A96337">
        <w:rPr>
          <w:lang w:val="en-AU"/>
        </w:rPr>
        <w:t xml:space="preserve">Adapting MSD models to engage smallholder farmers in market-based development requires an understanding of the specific characteristics of this target group. Most of the world’s poor—over one billion people—are ‘necessity entrepreneurs’: microbusiness owners who engage in marginal and temporary economic activity, usually for survival </w:t>
      </w:r>
      <w:sdt>
        <w:sdtPr>
          <w:rPr>
            <w:lang w:val="en-AU"/>
          </w:rPr>
          <w:id w:val="1990978652"/>
          <w:citation/>
        </w:sdtPr>
        <w:sdtEndPr/>
        <w:sdtContent>
          <w:r w:rsidRPr="00A96337">
            <w:rPr>
              <w:lang w:val="en-AU"/>
            </w:rPr>
            <w:fldChar w:fldCharType="begin"/>
          </w:r>
          <w:r w:rsidRPr="00A96337">
            <w:rPr>
              <w:lang w:val="en-AU"/>
            </w:rPr>
            <w:instrText xml:space="preserve"> CITATION Bre14 \l 3081 </w:instrText>
          </w:r>
          <w:r w:rsidRPr="00A96337">
            <w:rPr>
              <w:lang w:val="en-AU"/>
            </w:rPr>
            <w:fldChar w:fldCharType="separate"/>
          </w:r>
          <w:r w:rsidR="00593D9F">
            <w:rPr>
              <w:noProof/>
              <w:lang w:val="en-AU"/>
            </w:rPr>
            <w:t>(Brewer, 2014)</w:t>
          </w:r>
          <w:r w:rsidRPr="00A96337">
            <w:rPr>
              <w:lang w:val="en-AU"/>
            </w:rPr>
            <w:fldChar w:fldCharType="end"/>
          </w:r>
        </w:sdtContent>
      </w:sdt>
      <w:r w:rsidRPr="00A96337">
        <w:rPr>
          <w:lang w:val="en-AU"/>
        </w:rPr>
        <w:t xml:space="preserve">. They have low levels of access to capital, skills and technology, and their microbusiness strategies usually consist of maximising income security by smoothing consumption and diversifying activities. Because they are embedded in family and kinship networks, necessity entrepreneurs often have an obligation to share rather than accumulate wealth, and can become trapped in ‘communities of the poor’ </w:t>
      </w:r>
      <w:sdt>
        <w:sdtPr>
          <w:rPr>
            <w:lang w:val="en-AU"/>
          </w:rPr>
          <w:id w:val="-37123459"/>
          <w:citation/>
        </w:sdtPr>
        <w:sdtEndPr/>
        <w:sdtContent>
          <w:r w:rsidRPr="00A96337">
            <w:rPr>
              <w:lang w:val="en-AU"/>
            </w:rPr>
            <w:fldChar w:fldCharType="begin"/>
          </w:r>
          <w:r w:rsidRPr="00A96337">
            <w:rPr>
              <w:lang w:val="en-AU"/>
            </w:rPr>
            <w:instrText xml:space="preserve"> CITATION Ber12 \l 3081 </w:instrText>
          </w:r>
          <w:r w:rsidRPr="00A96337">
            <w:rPr>
              <w:lang w:val="en-AU"/>
            </w:rPr>
            <w:fldChar w:fldCharType="separate"/>
          </w:r>
          <w:r w:rsidR="00593D9F">
            <w:rPr>
              <w:noProof/>
              <w:lang w:val="en-AU"/>
            </w:rPr>
            <w:t>(Berner, 2012)</w:t>
          </w:r>
          <w:r w:rsidRPr="00A96337">
            <w:rPr>
              <w:lang w:val="en-AU"/>
            </w:rPr>
            <w:fldChar w:fldCharType="end"/>
          </w:r>
        </w:sdtContent>
      </w:sdt>
      <w:r w:rsidRPr="00A96337">
        <w:rPr>
          <w:lang w:val="en-AU"/>
        </w:rPr>
        <w:t xml:space="preserve">. For these reasons, necessity entrepreneurs face limitations to their inclusion in MSD initiatives, and require targeted strategies for engagement that reflect their unique circumstances. It was unclear from the analysis underpinning the intervention strategies and the results as reported whether or not </w:t>
      </w:r>
      <w:r w:rsidR="009B58A0" w:rsidRPr="00A96337">
        <w:rPr>
          <w:lang w:val="en-AU"/>
        </w:rPr>
        <w:t>AMENCA 3</w:t>
      </w:r>
      <w:r w:rsidRPr="00A96337">
        <w:rPr>
          <w:lang w:val="en-AU"/>
        </w:rPr>
        <w:t xml:space="preserve"> is benefitting the poor and what the exact strategies for engaging this group are – it appeared that some interventions are successfully reaching small holders, however, that many other interventions are falling short.</w:t>
      </w:r>
    </w:p>
    <w:p w14:paraId="3583ED0C" w14:textId="77FF0352" w:rsidR="004564C2" w:rsidRPr="00A96337" w:rsidRDefault="00106D97" w:rsidP="004564C2">
      <w:pPr>
        <w:pStyle w:val="BodyText"/>
        <w:rPr>
          <w:lang w:val="en-AU"/>
        </w:rPr>
      </w:pPr>
      <w:r w:rsidRPr="00A96337">
        <w:rPr>
          <w:lang w:val="en-AU"/>
        </w:rPr>
        <w:t xml:space="preserve">As </w:t>
      </w:r>
      <w:r w:rsidR="00D30978" w:rsidRPr="00A96337">
        <w:rPr>
          <w:lang w:val="en-AU"/>
        </w:rPr>
        <w:t>suc</w:t>
      </w:r>
      <w:r w:rsidR="00E442C2" w:rsidRPr="00A96337">
        <w:rPr>
          <w:lang w:val="en-AU"/>
        </w:rPr>
        <w:t>h</w:t>
      </w:r>
      <w:r w:rsidR="00D30978" w:rsidRPr="00A96337">
        <w:rPr>
          <w:lang w:val="en-AU"/>
        </w:rPr>
        <w:t xml:space="preserve">, </w:t>
      </w:r>
      <w:r w:rsidR="004564C2" w:rsidRPr="00A96337">
        <w:rPr>
          <w:lang w:val="en-AU"/>
        </w:rPr>
        <w:t>additional poverty</w:t>
      </w:r>
      <w:r w:rsidR="003D2CEE" w:rsidRPr="00A96337">
        <w:rPr>
          <w:lang w:val="en-AU"/>
        </w:rPr>
        <w:t>,</w:t>
      </w:r>
      <w:r w:rsidR="004564C2" w:rsidRPr="00A96337">
        <w:rPr>
          <w:lang w:val="en-AU"/>
        </w:rPr>
        <w:t xml:space="preserve"> </w:t>
      </w:r>
      <w:r w:rsidR="003D2CEE" w:rsidRPr="00A96337">
        <w:rPr>
          <w:lang w:val="en-AU"/>
        </w:rPr>
        <w:t xml:space="preserve">gender and inclusion </w:t>
      </w:r>
      <w:r w:rsidR="004564C2" w:rsidRPr="00A96337">
        <w:rPr>
          <w:lang w:val="en-AU"/>
        </w:rPr>
        <w:t xml:space="preserve">analysis is needed so that </w:t>
      </w:r>
      <w:r w:rsidR="009B58A0" w:rsidRPr="00A96337">
        <w:rPr>
          <w:lang w:val="en-AU"/>
        </w:rPr>
        <w:t>AMENCA 3</w:t>
      </w:r>
      <w:r w:rsidR="004564C2" w:rsidRPr="00A96337">
        <w:rPr>
          <w:lang w:val="en-AU"/>
        </w:rPr>
        <w:t xml:space="preserve"> can more explicitly support interventions that value equitable social</w:t>
      </w:r>
      <w:r w:rsidR="004252B8" w:rsidRPr="00A96337">
        <w:rPr>
          <w:lang w:val="en-AU"/>
        </w:rPr>
        <w:t xml:space="preserve"> and economic</w:t>
      </w:r>
      <w:r w:rsidR="004564C2" w:rsidRPr="00A96337">
        <w:rPr>
          <w:lang w:val="en-AU"/>
        </w:rPr>
        <w:t xml:space="preserve"> change through market system development (such is the intention of its Gender and Inclusion Strategy). </w:t>
      </w:r>
      <w:r w:rsidR="00784A35" w:rsidRPr="00A96337">
        <w:rPr>
          <w:lang w:val="en-AU"/>
        </w:rPr>
        <w:t>Po</w:t>
      </w:r>
      <w:r w:rsidR="004564C2" w:rsidRPr="00A96337">
        <w:rPr>
          <w:lang w:val="en-AU"/>
        </w:rPr>
        <w:t>verty</w:t>
      </w:r>
      <w:r w:rsidR="00784A35" w:rsidRPr="00A96337">
        <w:rPr>
          <w:lang w:val="en-AU"/>
        </w:rPr>
        <w:t xml:space="preserve">, gender and inclusion </w:t>
      </w:r>
      <w:r w:rsidR="004564C2" w:rsidRPr="00A96337">
        <w:rPr>
          <w:lang w:val="en-AU"/>
        </w:rPr>
        <w:t xml:space="preserve">analysis as part of the market sector review will support </w:t>
      </w:r>
      <w:r w:rsidR="009B58A0" w:rsidRPr="00A96337">
        <w:rPr>
          <w:lang w:val="en-AU"/>
        </w:rPr>
        <w:t>AMENCA 3</w:t>
      </w:r>
      <w:r w:rsidR="004564C2" w:rsidRPr="00A96337">
        <w:rPr>
          <w:lang w:val="en-AU"/>
        </w:rPr>
        <w:t xml:space="preserve"> to more effectively:</w:t>
      </w:r>
    </w:p>
    <w:p w14:paraId="2129BAC8" w14:textId="77777777" w:rsidR="004564C2" w:rsidRPr="00A96337" w:rsidRDefault="004564C2" w:rsidP="004564C2">
      <w:pPr>
        <w:pStyle w:val="Dotpoint"/>
      </w:pPr>
      <w:r w:rsidRPr="00A96337">
        <w:t>identify what gender, inclusion and poverty patterns shape the success of the market;</w:t>
      </w:r>
    </w:p>
    <w:p w14:paraId="58EF40D4" w14:textId="77777777" w:rsidR="004564C2" w:rsidRPr="00A96337" w:rsidRDefault="004564C2" w:rsidP="004564C2">
      <w:pPr>
        <w:pStyle w:val="Dotpoint"/>
      </w:pPr>
      <w:r w:rsidRPr="00A96337">
        <w:t>identify where to intervene to affect systematic market changes that address poverty, gender equality or inclusion;</w:t>
      </w:r>
    </w:p>
    <w:p w14:paraId="6D96EB5D" w14:textId="77777777" w:rsidR="004564C2" w:rsidRPr="00A96337" w:rsidRDefault="004564C2" w:rsidP="004564C2">
      <w:pPr>
        <w:pStyle w:val="Dotpoint"/>
      </w:pPr>
      <w:r w:rsidRPr="00A96337">
        <w:t xml:space="preserve">determine how specific interventions can be directed toward creating outcomes that improve the lives of women and youth; </w:t>
      </w:r>
    </w:p>
    <w:p w14:paraId="51D053A2" w14:textId="77777777" w:rsidR="004564C2" w:rsidRPr="00A96337" w:rsidRDefault="004564C2" w:rsidP="004564C2">
      <w:pPr>
        <w:pStyle w:val="Dotpoint"/>
      </w:pPr>
      <w:r w:rsidRPr="00A96337">
        <w:t>ensure women and youth have access to appropriate capital and other support; and</w:t>
      </w:r>
    </w:p>
    <w:p w14:paraId="402549A4" w14:textId="77777777" w:rsidR="004564C2" w:rsidRPr="00A96337" w:rsidRDefault="004564C2" w:rsidP="00D7320E">
      <w:pPr>
        <w:pStyle w:val="Dotpoint"/>
        <w:spacing w:after="240"/>
        <w:ind w:left="357" w:hanging="357"/>
      </w:pPr>
      <w:r w:rsidRPr="00A96337">
        <w:t>work with companies to inspire and improve their gender and inclusion practices by demonstrating win/win benefits.</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1756BC" w:rsidRPr="00A96337" w14:paraId="0BC87B65" w14:textId="77777777" w:rsidTr="004564C2">
        <w:trPr>
          <w:trHeight w:val="750"/>
        </w:trPr>
        <w:tc>
          <w:tcPr>
            <w:tcW w:w="761" w:type="dxa"/>
          </w:tcPr>
          <w:p w14:paraId="69860298" w14:textId="77777777" w:rsidR="00450A35" w:rsidRPr="00A96337" w:rsidRDefault="00450A35" w:rsidP="001756BC">
            <w:pPr>
              <w:pStyle w:val="IntenseQuote"/>
              <w:pBdr>
                <w:bottom w:val="none" w:sz="0" w:space="0" w:color="auto"/>
              </w:pBdr>
              <w:spacing w:before="120" w:after="120" w:line="259" w:lineRule="auto"/>
              <w:ind w:left="0" w:right="124"/>
              <w:rPr>
                <w:rFonts w:ascii="Arial" w:hAnsi="Arial" w:cs="Arial"/>
                <w:i w:val="0"/>
                <w:color w:val="5482AB"/>
              </w:rPr>
            </w:pPr>
            <w:r w:rsidRPr="00A96337">
              <w:rPr>
                <w:rFonts w:ascii="Arial" w:hAnsi="Arial" w:cs="Arial"/>
                <w:i w:val="0"/>
                <w:noProof/>
                <w:color w:val="5482AB"/>
                <w:lang w:eastAsia="en-AU"/>
              </w:rPr>
              <w:drawing>
                <wp:inline distT="0" distB="0" distL="0" distR="0" wp14:anchorId="2532979A" wp14:editId="20EEB47B">
                  <wp:extent cx="267419" cy="330844"/>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265" w:type="dxa"/>
          </w:tcPr>
          <w:p w14:paraId="551E7056" w14:textId="01298692" w:rsidR="00450A35" w:rsidRPr="00A96337" w:rsidRDefault="008B31D9" w:rsidP="00F8335C">
            <w:pPr>
              <w:pStyle w:val="IntenseQuote"/>
              <w:numPr>
                <w:ilvl w:val="0"/>
                <w:numId w:val="30"/>
              </w:numPr>
              <w:pBdr>
                <w:bottom w:val="none" w:sz="0" w:space="0" w:color="auto"/>
              </w:pBdr>
              <w:spacing w:before="120" w:after="120" w:line="259" w:lineRule="auto"/>
              <w:ind w:left="0" w:right="0" w:firstLine="0"/>
              <w:rPr>
                <w:rFonts w:ascii="Arial" w:hAnsi="Arial" w:cs="Arial"/>
                <w:i w:val="0"/>
                <w:color w:val="5482AB"/>
              </w:rPr>
            </w:pPr>
            <w:bookmarkStart w:id="446" w:name="_Ref8903058"/>
            <w:r w:rsidRPr="00A96337">
              <w:rPr>
                <w:rFonts w:ascii="Arial" w:hAnsi="Arial" w:cs="Arial"/>
                <w:i w:val="0"/>
                <w:color w:val="5482AB"/>
              </w:rPr>
              <w:t xml:space="preserve">Consistent poverty and gender analysis to inform interventions: </w:t>
            </w:r>
            <w:r w:rsidR="00C908F3" w:rsidRPr="00A96337">
              <w:rPr>
                <w:rFonts w:ascii="Arial" w:hAnsi="Arial" w:cs="Arial"/>
                <w:b w:val="0"/>
                <w:i w:val="0"/>
                <w:color w:val="5482AB"/>
              </w:rPr>
              <w:t>Enhance</w:t>
            </w:r>
            <w:r w:rsidRPr="00A96337">
              <w:rPr>
                <w:rFonts w:ascii="Arial" w:hAnsi="Arial" w:cs="Arial"/>
                <w:b w:val="0"/>
                <w:i w:val="0"/>
                <w:color w:val="5482AB"/>
              </w:rPr>
              <w:t xml:space="preserve"> GESI </w:t>
            </w:r>
            <w:r w:rsidR="00C908F3" w:rsidRPr="00A96337">
              <w:rPr>
                <w:rFonts w:ascii="Arial" w:hAnsi="Arial" w:cs="Arial"/>
                <w:b w:val="0"/>
                <w:i w:val="0"/>
                <w:color w:val="5482AB"/>
              </w:rPr>
              <w:t>advisory skills</w:t>
            </w:r>
            <w:r w:rsidRPr="00A96337">
              <w:rPr>
                <w:rFonts w:ascii="Arial" w:hAnsi="Arial" w:cs="Arial"/>
                <w:b w:val="0"/>
                <w:i w:val="0"/>
                <w:color w:val="5482AB"/>
              </w:rPr>
              <w:t xml:space="preserve"> to work with the </w:t>
            </w:r>
            <w:r w:rsidR="00C908F3" w:rsidRPr="00A96337">
              <w:rPr>
                <w:rFonts w:ascii="Arial" w:hAnsi="Arial" w:cs="Arial"/>
                <w:b w:val="0"/>
                <w:i w:val="0"/>
                <w:color w:val="5482AB"/>
              </w:rPr>
              <w:t>I</w:t>
            </w:r>
            <w:r w:rsidRPr="00A96337">
              <w:rPr>
                <w:rFonts w:ascii="Arial" w:hAnsi="Arial" w:cs="Arial"/>
                <w:b w:val="0"/>
                <w:i w:val="0"/>
                <w:color w:val="5482AB"/>
              </w:rPr>
              <w:t>NGO partners to undertake a rigorous poverty and gender analysis for all existing and future interventions, to ensure that at least 50% of beneficiaries in each intervention are poor and/or small-scale producers and that gender norms and risks are explicit and visible in market studies and the design of interventions. Gender analysis should be more holistic and focus on identifying and valuing gender patterns within the market in addition to counting women’s participation.</w:t>
            </w:r>
            <w:bookmarkEnd w:id="446"/>
          </w:p>
        </w:tc>
      </w:tr>
    </w:tbl>
    <w:p w14:paraId="6F6DE5A2" w14:textId="6EE0A3F3" w:rsidR="002F4F42" w:rsidRPr="00A96337" w:rsidRDefault="002F4F42" w:rsidP="00003959">
      <w:pPr>
        <w:pStyle w:val="BodyText"/>
        <w:spacing w:before="240" w:line="259" w:lineRule="auto"/>
        <w:rPr>
          <w:lang w:val="en-AU"/>
        </w:rPr>
      </w:pPr>
      <w:r w:rsidRPr="00A96337">
        <w:rPr>
          <w:lang w:val="en-AU"/>
        </w:rPr>
        <w:t xml:space="preserve">To address this gap, agencies such as </w:t>
      </w:r>
      <w:r w:rsidR="009161CA" w:rsidRPr="00A96337">
        <w:rPr>
          <w:lang w:val="en-AU"/>
        </w:rPr>
        <w:t>BEAM Exchange</w:t>
      </w:r>
      <w:r w:rsidR="009161CA" w:rsidRPr="00003959">
        <w:footnoteReference w:id="14"/>
      </w:r>
      <w:r w:rsidRPr="00A96337">
        <w:rPr>
          <w:lang w:val="en-AU"/>
        </w:rPr>
        <w:t xml:space="preserve"> have published resources to assist implementing agencies to identify the unique barriers faced by the </w:t>
      </w:r>
      <w:r w:rsidR="009161CA" w:rsidRPr="00A96337">
        <w:rPr>
          <w:lang w:val="en-AU"/>
        </w:rPr>
        <w:t>poor</w:t>
      </w:r>
      <w:r w:rsidR="00A52814" w:rsidRPr="00A96337">
        <w:rPr>
          <w:lang w:val="en-AU"/>
        </w:rPr>
        <w:t xml:space="preserve"> (especially women and youth)</w:t>
      </w:r>
      <w:r w:rsidRPr="00A96337">
        <w:rPr>
          <w:lang w:val="en-AU"/>
        </w:rPr>
        <w:t xml:space="preserve">, and better equip them to design and implement </w:t>
      </w:r>
      <w:r w:rsidR="009161CA" w:rsidRPr="00A96337">
        <w:rPr>
          <w:lang w:val="en-AU"/>
        </w:rPr>
        <w:t>MSD</w:t>
      </w:r>
      <w:r w:rsidRPr="00A96337">
        <w:rPr>
          <w:lang w:val="en-AU"/>
        </w:rPr>
        <w:t xml:space="preserve"> programs that reflect the constraints faced. These </w:t>
      </w:r>
      <w:r w:rsidR="00E97AAC" w:rsidRPr="00A96337">
        <w:rPr>
          <w:lang w:val="en-AU"/>
        </w:rPr>
        <w:t>resources demonstrate</w:t>
      </w:r>
      <w:r w:rsidRPr="00A96337">
        <w:rPr>
          <w:lang w:val="en-AU"/>
        </w:rPr>
        <w:t xml:space="preserve"> the potential to adapt </w:t>
      </w:r>
      <w:r w:rsidR="009161CA" w:rsidRPr="00A96337">
        <w:rPr>
          <w:lang w:val="en-AU"/>
        </w:rPr>
        <w:t>MSD</w:t>
      </w:r>
      <w:r w:rsidRPr="00A96337">
        <w:rPr>
          <w:lang w:val="en-AU"/>
        </w:rPr>
        <w:t xml:space="preserve"> approaches to include marginalised groups and poor producers in profitable value chains</w:t>
      </w:r>
      <w:r w:rsidR="005F2F6E" w:rsidRPr="00A96337">
        <w:rPr>
          <w:lang w:val="en-AU"/>
        </w:rPr>
        <w:t xml:space="preserve"> -</w:t>
      </w:r>
      <w:r w:rsidRPr="00A96337">
        <w:rPr>
          <w:lang w:val="en-AU"/>
        </w:rPr>
        <w:t xml:space="preserve"> approaches which </w:t>
      </w:r>
      <w:r w:rsidR="009B58A0" w:rsidRPr="00A96337">
        <w:rPr>
          <w:lang w:val="en-AU"/>
        </w:rPr>
        <w:t>AMENCA 3</w:t>
      </w:r>
      <w:r w:rsidRPr="00A96337">
        <w:rPr>
          <w:lang w:val="en-AU"/>
        </w:rPr>
        <w:t xml:space="preserve"> could benefit exploring and/or adopting going forward.</w:t>
      </w:r>
    </w:p>
    <w:p w14:paraId="4CB997FE" w14:textId="0C24FFFC" w:rsidR="009972BE" w:rsidRPr="00A96337" w:rsidRDefault="009972BE" w:rsidP="00F8335C">
      <w:pPr>
        <w:pStyle w:val="Heading2"/>
        <w:ind w:left="851" w:hanging="851"/>
      </w:pPr>
      <w:bookmarkStart w:id="447" w:name="_Toc12364841"/>
      <w:bookmarkStart w:id="448" w:name="_Toc8978061"/>
      <w:r w:rsidRPr="00A96337">
        <w:t xml:space="preserve">What are the factors that contribute </w:t>
      </w:r>
      <w:r w:rsidR="009161CA" w:rsidRPr="00A96337">
        <w:t xml:space="preserve">to </w:t>
      </w:r>
      <w:r w:rsidRPr="00A96337">
        <w:t>and / or hinder successful approaches?</w:t>
      </w:r>
      <w:bookmarkEnd w:id="447"/>
    </w:p>
    <w:p w14:paraId="78F0D4AD" w14:textId="3D5819A2" w:rsidR="002F4F42" w:rsidRPr="00A96337" w:rsidRDefault="002F4F42" w:rsidP="00F05621">
      <w:pPr>
        <w:pStyle w:val="Heading3"/>
        <w:rPr>
          <w:lang w:val="en-AU"/>
        </w:rPr>
      </w:pPr>
      <w:bookmarkStart w:id="449" w:name="_Toc12364842"/>
      <w:r w:rsidRPr="00A96337">
        <w:rPr>
          <w:lang w:val="en-AU"/>
        </w:rPr>
        <w:t xml:space="preserve">Design </w:t>
      </w:r>
      <w:r w:rsidR="00544613" w:rsidRPr="00A96337">
        <w:rPr>
          <w:lang w:val="en-AU"/>
        </w:rPr>
        <w:t>m</w:t>
      </w:r>
      <w:r w:rsidRPr="00A96337">
        <w:rPr>
          <w:lang w:val="en-AU"/>
        </w:rPr>
        <w:t>atters</w:t>
      </w:r>
      <w:bookmarkEnd w:id="448"/>
      <w:bookmarkEnd w:id="449"/>
    </w:p>
    <w:p w14:paraId="4A1BF0D3" w14:textId="5235C381" w:rsidR="002F4F42" w:rsidRPr="00A96337" w:rsidRDefault="002F4F42" w:rsidP="001756BC">
      <w:pPr>
        <w:pStyle w:val="BodyText"/>
        <w:spacing w:line="259" w:lineRule="auto"/>
        <w:rPr>
          <w:lang w:val="en-AU"/>
        </w:rPr>
      </w:pPr>
      <w:r w:rsidRPr="00A96337">
        <w:rPr>
          <w:lang w:val="en-AU"/>
        </w:rPr>
        <w:t xml:space="preserve">One of the key components of </w:t>
      </w:r>
      <w:r w:rsidR="009B58A0" w:rsidRPr="00A96337">
        <w:rPr>
          <w:lang w:val="en-AU"/>
        </w:rPr>
        <w:t>AMENCA 3</w:t>
      </w:r>
      <w:r w:rsidRPr="00A96337">
        <w:rPr>
          <w:lang w:val="en-AU"/>
        </w:rPr>
        <w:t xml:space="preserve"> and the hybrid MSD model is its ability to empower people, especially farmers and SMEs. Within this concept lies an explicitly strong commitment to youth, gender equality and women’s empowerment and an opportunity to alleviate poverty for women who are at a disadvantage in the domestic, regional and global trade market due to attitudinal and structural barriers that impact on their ability to benefit from trade. However, how this is prosecuted by the various consortia reflects their own understanding and application of good practice approaches to inclusion in addition to their internal resourcing capacity. </w:t>
      </w:r>
    </w:p>
    <w:p w14:paraId="2CF2B1C9" w14:textId="7ABF0F2F" w:rsidR="002F4F42" w:rsidRPr="00A96337" w:rsidRDefault="002F4F42" w:rsidP="001756BC">
      <w:pPr>
        <w:pStyle w:val="BodyText"/>
        <w:spacing w:line="259" w:lineRule="auto"/>
        <w:rPr>
          <w:lang w:val="en-AU"/>
        </w:rPr>
      </w:pPr>
      <w:r w:rsidRPr="00A96337">
        <w:rPr>
          <w:lang w:val="en-AU"/>
        </w:rPr>
        <w:t xml:space="preserve">There does not appear to be a robust gender analysis underpinning the original design of the </w:t>
      </w:r>
      <w:r w:rsidR="009B58A0" w:rsidRPr="00A96337">
        <w:rPr>
          <w:lang w:val="en-AU"/>
        </w:rPr>
        <w:t>AMENCA 3</w:t>
      </w:r>
      <w:r w:rsidRPr="00A96337">
        <w:rPr>
          <w:lang w:val="en-AU"/>
        </w:rPr>
        <w:t xml:space="preserve"> program to understand the explicit linkages between the context and how the central focus on women and youth in the program design came about. A clear gender analysis in the design document could have provided some ongoing guidance for the consortia on the expectations on how to execute an inclusive MSD program. Nevertheless, the program has developed relevant strategies to interpret and guide the work going forward which are sufficiently robust. </w:t>
      </w:r>
    </w:p>
    <w:p w14:paraId="63E47A10" w14:textId="08738E6D" w:rsidR="005D0B67" w:rsidRPr="00A96337" w:rsidRDefault="002F4F42" w:rsidP="005D0B67">
      <w:pPr>
        <w:pStyle w:val="BodyText"/>
        <w:spacing w:line="259" w:lineRule="auto"/>
        <w:rPr>
          <w:lang w:val="en-AU"/>
        </w:rPr>
      </w:pPr>
      <w:r w:rsidRPr="00A96337">
        <w:rPr>
          <w:lang w:val="en-AU"/>
        </w:rPr>
        <w:t xml:space="preserve">To date, gender analysis has not been systematically included prior to developing the intervention strategies, and so there is limited evidence to fully understand how </w:t>
      </w:r>
      <w:r w:rsidR="009B58A0" w:rsidRPr="00A96337">
        <w:rPr>
          <w:lang w:val="en-AU"/>
        </w:rPr>
        <w:t>AMENCA 3</w:t>
      </w:r>
      <w:r w:rsidRPr="00A96337">
        <w:rPr>
          <w:lang w:val="en-AU"/>
        </w:rPr>
        <w:t xml:space="preserve"> is impacting on women and girls in comparison to men and boys </w:t>
      </w:r>
      <w:r w:rsidRPr="00A96337">
        <w:rPr>
          <w:i/>
          <w:lang w:val="en-AU"/>
        </w:rPr>
        <w:t>consistently</w:t>
      </w:r>
      <w:r w:rsidRPr="00A96337">
        <w:rPr>
          <w:lang w:val="en-AU"/>
        </w:rPr>
        <w:t xml:space="preserve"> across all of the projects and activities. </w:t>
      </w:r>
    </w:p>
    <w:p w14:paraId="4F2B9FAA" w14:textId="77777777" w:rsidR="005D0B67" w:rsidRPr="00A96337" w:rsidRDefault="005D0B67" w:rsidP="005D0B67">
      <w:pPr>
        <w:autoSpaceDE w:val="0"/>
        <w:autoSpaceDN w:val="0"/>
        <w:adjustRightInd w:val="0"/>
        <w:spacing w:before="120" w:after="120" w:line="260" w:lineRule="atLeast"/>
        <w:rPr>
          <w:rFonts w:ascii="Arial" w:eastAsia="Arial" w:hAnsi="Arial" w:cs="Arial"/>
          <w:szCs w:val="19"/>
        </w:rPr>
      </w:pPr>
      <w:r w:rsidRPr="00A96337">
        <w:rPr>
          <w:rFonts w:ascii="Arial" w:eastAsia="Arial" w:hAnsi="Arial" w:cs="Arial"/>
          <w:szCs w:val="19"/>
        </w:rPr>
        <w:t xml:space="preserve">In those cases where gender analysis has been included, there’s a strong focus on counting women and their participation in the value chain with less analysis of broader gender roles and patterns related to the market.  </w:t>
      </w:r>
    </w:p>
    <w:p w14:paraId="3168F9BA" w14:textId="0DD423DA" w:rsidR="005D0B67" w:rsidRPr="00A96337" w:rsidRDefault="005D0B67" w:rsidP="005D0B67">
      <w:pPr>
        <w:pStyle w:val="BodyText"/>
        <w:spacing w:line="259" w:lineRule="auto"/>
        <w:rPr>
          <w:lang w:val="en-AU"/>
        </w:rPr>
      </w:pPr>
      <w:r w:rsidRPr="00A96337">
        <w:rPr>
          <w:lang w:val="en-AU"/>
        </w:rPr>
        <w:t>Both the selection criteria for the value chain and the results chains reinforce a focus on gender as the number of women, rather than gender as integral to understanding market systems. Yet when done holistically, gender analysis helps to</w:t>
      </w:r>
      <w:r w:rsidR="00063EB2" w:rsidRPr="00A96337">
        <w:rPr>
          <w:lang w:val="en-AU"/>
        </w:rPr>
        <w:t xml:space="preserve"> </w:t>
      </w:r>
      <w:r w:rsidRPr="00A96337">
        <w:rPr>
          <w:lang w:val="en-AU"/>
        </w:rPr>
        <w:t>identify power dynamics and inequities. NGO partners can then seek to change how support is structured or how relationships such as cooperative groups are organized in order to shift power dynamics. This could mean introducing a different institutional partner or exploring a different financial instrument or shifting the terms named within the financial documents and contracts (such as contracts with dairy farmers) to create more equitable terms and documents.</w:t>
      </w:r>
    </w:p>
    <w:p w14:paraId="759B2B68" w14:textId="27AAD747" w:rsidR="002F4F42" w:rsidRPr="00A96337" w:rsidRDefault="002F4F42" w:rsidP="001756BC">
      <w:pPr>
        <w:pStyle w:val="BodyText"/>
        <w:spacing w:line="259" w:lineRule="auto"/>
        <w:rPr>
          <w:lang w:val="en-AU"/>
        </w:rPr>
      </w:pPr>
      <w:r w:rsidRPr="00A96337">
        <w:rPr>
          <w:lang w:val="en-AU"/>
        </w:rPr>
        <w:t xml:space="preserve">Of those projects and intervention strategies where gender analysis has been undertaken, several have shown that </w:t>
      </w:r>
      <w:r w:rsidR="009B58A0" w:rsidRPr="00A96337">
        <w:rPr>
          <w:lang w:val="en-AU"/>
        </w:rPr>
        <w:t>AMENCA 3</w:t>
      </w:r>
      <w:r w:rsidRPr="00A96337">
        <w:rPr>
          <w:lang w:val="en-AU"/>
        </w:rPr>
        <w:t xml:space="preserve"> does bring positive benefits to women, for example by increasing their economic opportunities, including production of export crops; by enhancing their participation in cooperatives and CBOs; and by investing in infrastructure and hardware projects at the community level such as milk.</w:t>
      </w:r>
    </w:p>
    <w:p w14:paraId="32589DEA" w14:textId="4735260C" w:rsidR="008B29C6" w:rsidRPr="00A96337" w:rsidRDefault="002F4F42" w:rsidP="00FC4BBF">
      <w:pPr>
        <w:pStyle w:val="BodyText"/>
        <w:rPr>
          <w:lang w:val="en-AU"/>
        </w:rPr>
      </w:pPr>
      <w:r w:rsidRPr="00A96337">
        <w:rPr>
          <w:lang w:val="en-AU"/>
        </w:rPr>
        <w:t xml:space="preserve">The </w:t>
      </w:r>
      <w:r w:rsidR="009B58A0" w:rsidRPr="00A96337">
        <w:rPr>
          <w:lang w:val="en-AU"/>
        </w:rPr>
        <w:t>AMENCA 3</w:t>
      </w:r>
      <w:r w:rsidRPr="00A96337">
        <w:rPr>
          <w:lang w:val="en-AU"/>
        </w:rPr>
        <w:t xml:space="preserve"> social inclusion strategy is reasonably strong and provides a guide to ensure youth inclusion, gender equality and women’s empowerment are systematically addressed in </w:t>
      </w:r>
      <w:r w:rsidR="009B58A0" w:rsidRPr="00A96337">
        <w:rPr>
          <w:lang w:val="en-AU"/>
        </w:rPr>
        <w:t>AMENCA 3</w:t>
      </w:r>
      <w:r w:rsidRPr="00A96337">
        <w:rPr>
          <w:lang w:val="en-AU"/>
        </w:rPr>
        <w:t xml:space="preserve"> interventions. Its approach seeks to tackle unequal power relations in order to promote gender equality and women’s empowerment and is guided by the </w:t>
      </w:r>
      <w:r w:rsidR="009B58A0" w:rsidRPr="00A96337">
        <w:rPr>
          <w:lang w:val="en-AU"/>
        </w:rPr>
        <w:t>AMENCA 3</w:t>
      </w:r>
      <w:r w:rsidRPr="00A96337">
        <w:rPr>
          <w:lang w:val="en-AU"/>
        </w:rPr>
        <w:t xml:space="preserve"> Theory of Change: that farming communities participate more effectively in markets</w:t>
      </w:r>
      <w:r w:rsidR="008B29C6" w:rsidRPr="00A96337">
        <w:rPr>
          <w:lang w:val="en-AU"/>
        </w:rPr>
        <w:t xml:space="preserve">. However, in the absence of more gender analysis the </w:t>
      </w:r>
      <w:r w:rsidR="009B58A0" w:rsidRPr="00A96337">
        <w:rPr>
          <w:lang w:val="en-AU"/>
        </w:rPr>
        <w:t>AMENCA 3</w:t>
      </w:r>
      <w:r w:rsidR="008B29C6" w:rsidRPr="00A96337">
        <w:rPr>
          <w:lang w:val="en-AU"/>
        </w:rPr>
        <w:t xml:space="preserve"> Gender Strategy, has not yet translated fully in implementation.</w:t>
      </w:r>
    </w:p>
    <w:p w14:paraId="0CAEDFB2" w14:textId="6E40BAB3" w:rsidR="008B29C6" w:rsidRPr="00A96337" w:rsidRDefault="008B29C6" w:rsidP="00003959">
      <w:pPr>
        <w:autoSpaceDE w:val="0"/>
        <w:autoSpaceDN w:val="0"/>
        <w:adjustRightInd w:val="0"/>
        <w:spacing w:before="120" w:after="240" w:line="260" w:lineRule="atLeast"/>
        <w:rPr>
          <w:rFonts w:ascii="Arial" w:eastAsia="Arial" w:hAnsi="Arial" w:cs="Arial"/>
          <w:szCs w:val="19"/>
        </w:rPr>
      </w:pPr>
      <w:r w:rsidRPr="00A96337">
        <w:rPr>
          <w:rFonts w:ascii="Arial" w:eastAsia="Arial" w:hAnsi="Arial" w:cs="Arial"/>
          <w:szCs w:val="19"/>
        </w:rPr>
        <w:t xml:space="preserve">Issues of inclusion must always be addressed if market systems are to function fairly and effectively. Gender should be viewed holistically and could seek to draw on approaches being implemented by other DFAT Programs such as </w:t>
      </w:r>
      <w:r w:rsidR="00063EB2" w:rsidRPr="00A96337">
        <w:rPr>
          <w:rFonts w:ascii="Arial" w:eastAsia="Arial" w:hAnsi="Arial" w:cs="Arial"/>
          <w:szCs w:val="19"/>
        </w:rPr>
        <w:t xml:space="preserve">MDF and </w:t>
      </w:r>
      <w:r w:rsidRPr="00A96337">
        <w:rPr>
          <w:rFonts w:ascii="Arial" w:eastAsia="Arial" w:hAnsi="Arial" w:cs="Arial"/>
          <w:szCs w:val="19"/>
        </w:rPr>
        <w:t xml:space="preserve">Pacific RISE and </w:t>
      </w:r>
      <w:r w:rsidR="00063EB2" w:rsidRPr="00A96337">
        <w:rPr>
          <w:rFonts w:ascii="Arial" w:eastAsia="Arial" w:hAnsi="Arial" w:cs="Arial"/>
          <w:szCs w:val="19"/>
        </w:rPr>
        <w:t>their</w:t>
      </w:r>
      <w:r w:rsidRPr="00A96337">
        <w:rPr>
          <w:rFonts w:ascii="Arial" w:eastAsia="Arial" w:hAnsi="Arial" w:cs="Arial"/>
          <w:szCs w:val="19"/>
        </w:rPr>
        <w:t xml:space="preserve"> gender lens investing approach.</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1756BC" w:rsidRPr="00A96337" w14:paraId="14FA2B79" w14:textId="77777777" w:rsidTr="001756BC">
        <w:trPr>
          <w:trHeight w:val="44"/>
        </w:trPr>
        <w:tc>
          <w:tcPr>
            <w:tcW w:w="709" w:type="dxa"/>
          </w:tcPr>
          <w:p w14:paraId="73964893" w14:textId="77777777" w:rsidR="00450A35" w:rsidRPr="00A96337" w:rsidRDefault="00450A35" w:rsidP="000E1846">
            <w:pPr>
              <w:pStyle w:val="IntenseQuote"/>
              <w:pBdr>
                <w:bottom w:val="none" w:sz="0" w:space="0" w:color="auto"/>
              </w:pBdr>
              <w:spacing w:before="120" w:after="120" w:line="259" w:lineRule="auto"/>
              <w:ind w:left="0" w:right="124"/>
              <w:rPr>
                <w:rFonts w:ascii="Arial" w:hAnsi="Arial" w:cs="Arial"/>
                <w:i w:val="0"/>
                <w:color w:val="5482AB"/>
              </w:rPr>
            </w:pPr>
            <w:r w:rsidRPr="00A96337">
              <w:rPr>
                <w:rFonts w:ascii="Arial" w:hAnsi="Arial" w:cs="Arial"/>
                <w:i w:val="0"/>
                <w:noProof/>
                <w:color w:val="5482AB"/>
                <w:lang w:eastAsia="en-AU"/>
              </w:rPr>
              <w:drawing>
                <wp:inline distT="0" distB="0" distL="0" distR="0" wp14:anchorId="5C6286F0" wp14:editId="4ADF980D">
                  <wp:extent cx="267419" cy="330844"/>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307" w:type="dxa"/>
          </w:tcPr>
          <w:p w14:paraId="676B2869" w14:textId="1CDA6D8C" w:rsidR="00450A35" w:rsidRPr="00A96337" w:rsidRDefault="00FE6147" w:rsidP="00C12B00">
            <w:pPr>
              <w:pStyle w:val="IntenseQuote"/>
              <w:numPr>
                <w:ilvl w:val="0"/>
                <w:numId w:val="30"/>
              </w:numPr>
              <w:pBdr>
                <w:bottom w:val="none" w:sz="0" w:space="0" w:color="auto"/>
              </w:pBdr>
              <w:spacing w:before="120" w:after="120" w:line="259" w:lineRule="auto"/>
              <w:ind w:left="0" w:right="864" w:firstLine="0"/>
              <w:rPr>
                <w:rFonts w:ascii="Arial" w:hAnsi="Arial" w:cs="Arial"/>
                <w:i w:val="0"/>
                <w:color w:val="5482AB"/>
              </w:rPr>
            </w:pPr>
            <w:bookmarkStart w:id="450" w:name="_Ref11933451"/>
            <w:r w:rsidRPr="00A96337">
              <w:rPr>
                <w:rFonts w:ascii="Arial" w:hAnsi="Arial" w:cs="Arial"/>
                <w:i w:val="0"/>
                <w:color w:val="5482AB"/>
              </w:rPr>
              <w:t>Address exclusion:</w:t>
            </w:r>
            <w:r w:rsidR="00AD6774" w:rsidRPr="00A96337">
              <w:rPr>
                <w:rFonts w:ascii="Arial" w:hAnsi="Arial" w:cs="Arial"/>
                <w:b w:val="0"/>
                <w:bCs w:val="0"/>
                <w:i w:val="0"/>
                <w:color w:val="5482AB"/>
              </w:rPr>
              <w:t xml:space="preserve">  </w:t>
            </w:r>
            <w:r w:rsidR="002854EC" w:rsidRPr="00A96337">
              <w:rPr>
                <w:rFonts w:ascii="Arial" w:hAnsi="Arial" w:cs="Arial"/>
                <w:b w:val="0"/>
                <w:bCs w:val="0"/>
                <w:i w:val="0"/>
                <w:color w:val="5482AB"/>
              </w:rPr>
              <w:t xml:space="preserve">New GESI adviser to work with NGOs to conduct consistent and careful assessments of who is being excluded from markets because of gender, age, ethnicity, disability, or cultural reasons by undertaking household level analysis, followed by a focus of efforts on removing barriers and finding ways of fostering culturally sensitive ways for more inclusive and equitable markets.  </w:t>
            </w:r>
            <w:r w:rsidR="00200020" w:rsidRPr="00A96337">
              <w:rPr>
                <w:rFonts w:ascii="Arial" w:hAnsi="Arial" w:cs="Arial"/>
                <w:b w:val="0"/>
                <w:bCs w:val="0"/>
                <w:i w:val="0"/>
                <w:color w:val="5482AB"/>
              </w:rPr>
              <w:t>Monitoring should also consider how gender norms and patterns are a risk to effective value chain and market effectiveness.</w:t>
            </w:r>
            <w:bookmarkEnd w:id="450"/>
          </w:p>
        </w:tc>
      </w:tr>
    </w:tbl>
    <w:p w14:paraId="31314BF2" w14:textId="21C7B3D3" w:rsidR="002F4F42" w:rsidRPr="00A96337" w:rsidRDefault="002F4F42" w:rsidP="00003959">
      <w:pPr>
        <w:pStyle w:val="BodyText"/>
        <w:spacing w:before="240" w:line="259" w:lineRule="auto"/>
        <w:rPr>
          <w:lang w:val="en-AU"/>
        </w:rPr>
      </w:pPr>
      <w:r w:rsidRPr="00A96337">
        <w:rPr>
          <w:lang w:val="en-AU"/>
        </w:rPr>
        <w:t>A number of changes could be made to improve inclusive performance of the program, including:</w:t>
      </w:r>
    </w:p>
    <w:p w14:paraId="4B3B3FE8" w14:textId="114C5BF4" w:rsidR="002F4F42" w:rsidRPr="00A96337" w:rsidRDefault="002F4F42" w:rsidP="00E50F49">
      <w:pPr>
        <w:pStyle w:val="Dotpoint"/>
      </w:pPr>
      <w:r w:rsidRPr="00A96337">
        <w:t>systematic consideration of the degree to which smallholders, women and youth are benefiting sufficiently from sector growth;</w:t>
      </w:r>
      <w:r w:rsidR="00063EB2" w:rsidRPr="00A96337">
        <w:t xml:space="preserve"> and</w:t>
      </w:r>
    </w:p>
    <w:p w14:paraId="25ECDD6F" w14:textId="3970518C" w:rsidR="00D5288F" w:rsidRPr="00A96337" w:rsidRDefault="00D5288F" w:rsidP="00E50F49">
      <w:pPr>
        <w:pStyle w:val="Dotpoint"/>
      </w:pPr>
      <w:r w:rsidRPr="00A96337">
        <w:t>more holistic gender analysis including an assessment of the way gender patterns and norms impact on value chain/market performance</w:t>
      </w:r>
      <w:r w:rsidR="00063EB2" w:rsidRPr="00A96337">
        <w:t>.</w:t>
      </w:r>
    </w:p>
    <w:p w14:paraId="3B0F7B94" w14:textId="3114BFEF" w:rsidR="002F4F42" w:rsidRPr="00A96337" w:rsidRDefault="00C12B00" w:rsidP="00063EB2">
      <w:pPr>
        <w:pStyle w:val="Dotpoint"/>
        <w:numPr>
          <w:ilvl w:val="0"/>
          <w:numId w:val="0"/>
        </w:numPr>
      </w:pPr>
      <w:r>
        <w:t>I</w:t>
      </w:r>
      <w:r w:rsidR="002F4F42" w:rsidRPr="00A96337">
        <w:t xml:space="preserve">nternational research also highlights the unmet potential to draw on female consumers to promote gender equality in </w:t>
      </w:r>
      <w:r w:rsidR="009B58A0" w:rsidRPr="00A96337">
        <w:t>AMENCA 3</w:t>
      </w:r>
      <w:r w:rsidR="002F4F42" w:rsidRPr="00A96337">
        <w:t xml:space="preserve"> communities. Women as consumers tend to be more aware and active in shopping, and therefore play an important role in advancing the sustainability and buy-local agenda. Compared to men, women are more likely to be buyers of local products, and woman-to-woman connections could add a competitive advantage to </w:t>
      </w:r>
      <w:r w:rsidR="009B58A0" w:rsidRPr="00A96337">
        <w:t>AMENCA 3</w:t>
      </w:r>
      <w:r w:rsidR="002F4F42" w:rsidRPr="00A96337">
        <w:t xml:space="preserve">’s positioning in the domestic </w:t>
      </w:r>
      <w:r w:rsidR="00F33231" w:rsidRPr="00A96337">
        <w:t>market.</w:t>
      </w:r>
    </w:p>
    <w:p w14:paraId="5C049D81" w14:textId="05BED942" w:rsidR="002F4F42" w:rsidRPr="00A96337" w:rsidRDefault="00063EB2" w:rsidP="00063EB2">
      <w:pPr>
        <w:pStyle w:val="Dotpoint"/>
        <w:numPr>
          <w:ilvl w:val="0"/>
          <w:numId w:val="0"/>
        </w:numPr>
      </w:pPr>
      <w:r w:rsidRPr="00A96337">
        <w:t>D</w:t>
      </w:r>
      <w:r w:rsidR="002F4F42" w:rsidRPr="00A96337">
        <w:t>isability inclusion has not been directly explored as part of this review, a point that highlights the lack of attention to it within programming and management overall.</w:t>
      </w:r>
      <w:r w:rsidR="00E42BC8" w:rsidRPr="00A96337">
        <w:t xml:space="preserve"> </w:t>
      </w:r>
      <w:r w:rsidR="002F4F42" w:rsidRPr="00A96337">
        <w:t>There is scope to pay more attention to it overall as part of a strengthened approach to inclusion and exclusion overall within the program.</w:t>
      </w:r>
    </w:p>
    <w:p w14:paraId="381B354E" w14:textId="77777777" w:rsidR="002F4F42" w:rsidRPr="00A96337" w:rsidRDefault="002F4F42" w:rsidP="00F05621">
      <w:pPr>
        <w:pStyle w:val="Heading3"/>
        <w:rPr>
          <w:lang w:val="en-AU"/>
        </w:rPr>
      </w:pPr>
      <w:bookmarkStart w:id="451" w:name="_Toc8978062"/>
      <w:bookmarkStart w:id="452" w:name="_Toc12364843"/>
      <w:r w:rsidRPr="00A96337">
        <w:rPr>
          <w:lang w:val="en-AU"/>
        </w:rPr>
        <w:t>Resourcing and requisite expertise</w:t>
      </w:r>
      <w:bookmarkEnd w:id="451"/>
      <w:bookmarkEnd w:id="452"/>
    </w:p>
    <w:p w14:paraId="06D8CA34" w14:textId="7C953C92" w:rsidR="002F4F42" w:rsidRPr="00A96337" w:rsidRDefault="002F4F42" w:rsidP="001756BC">
      <w:pPr>
        <w:pStyle w:val="BodyText"/>
        <w:spacing w:line="259" w:lineRule="auto"/>
        <w:rPr>
          <w:lang w:val="en-AU"/>
        </w:rPr>
      </w:pPr>
      <w:r w:rsidRPr="00A96337">
        <w:rPr>
          <w:lang w:val="en-AU"/>
        </w:rPr>
        <w:t xml:space="preserve">Cardno provides a social inclusion technical advisor who works with the NGO project staff to provide guidance across the </w:t>
      </w:r>
      <w:r w:rsidR="009B58A0" w:rsidRPr="00A96337">
        <w:rPr>
          <w:lang w:val="en-AU"/>
        </w:rPr>
        <w:t>AMENCA 3</w:t>
      </w:r>
      <w:r w:rsidRPr="00A96337">
        <w:rPr>
          <w:lang w:val="en-AU"/>
        </w:rPr>
        <w:t xml:space="preserve"> program to operationalise the policies and strategies in each intervention, recognising that each intervention strategy needs to develop context specific approaches. This support is not as effective as it could have been given the turnover of advisors and the skill sets of advisors that have been supporting the program. The social inclusion </w:t>
      </w:r>
      <w:r w:rsidR="005D0945" w:rsidRPr="00A96337">
        <w:rPr>
          <w:lang w:val="en-AU"/>
        </w:rPr>
        <w:t>has</w:t>
      </w:r>
      <w:r w:rsidRPr="00A96337">
        <w:rPr>
          <w:lang w:val="en-AU"/>
        </w:rPr>
        <w:t xml:space="preserve"> not previously worked on MSD programs and therefore do not bring the combined experience necessary to elevate and challenge the NGOs sufficiently to extend and expand their approaches. </w:t>
      </w:r>
    </w:p>
    <w:p w14:paraId="45D1F0B3" w14:textId="40350683" w:rsidR="002F4F42" w:rsidRPr="00A96337" w:rsidRDefault="002F4F42" w:rsidP="001756BC">
      <w:pPr>
        <w:pStyle w:val="BodyText"/>
        <w:spacing w:line="259" w:lineRule="auto"/>
        <w:rPr>
          <w:lang w:val="en-AU"/>
        </w:rPr>
      </w:pPr>
      <w:r w:rsidRPr="00A96337">
        <w:rPr>
          <w:lang w:val="en-AU"/>
        </w:rPr>
        <w:t xml:space="preserve">The NGOs have also been building their resources to address gender on the ground. CARE works closely with their Regional Gender Advisor, </w:t>
      </w:r>
      <w:r w:rsidR="0043629E">
        <w:rPr>
          <w:lang w:val="en-AU"/>
        </w:rPr>
        <w:t xml:space="preserve">while </w:t>
      </w:r>
      <w:r w:rsidRPr="00A96337">
        <w:rPr>
          <w:lang w:val="en-AU"/>
        </w:rPr>
        <w:t>Oxfam has just lost their full-time staff member (to CARE). The resourcing capacity within APHEDA prior to their suspension is unclear.</w:t>
      </w:r>
    </w:p>
    <w:p w14:paraId="220BEBA1" w14:textId="77777777" w:rsidR="002F4F42" w:rsidRPr="00A96337" w:rsidRDefault="002F4F42" w:rsidP="00F05621">
      <w:pPr>
        <w:pStyle w:val="Heading3"/>
        <w:rPr>
          <w:lang w:val="en-AU"/>
        </w:rPr>
      </w:pPr>
      <w:bookmarkStart w:id="453" w:name="_Toc8978063"/>
      <w:bookmarkStart w:id="454" w:name="_Toc12364844"/>
      <w:r w:rsidRPr="00A96337">
        <w:rPr>
          <w:lang w:val="en-AU"/>
        </w:rPr>
        <w:t>Program reporting and demand for information</w:t>
      </w:r>
      <w:bookmarkEnd w:id="453"/>
      <w:bookmarkEnd w:id="454"/>
    </w:p>
    <w:p w14:paraId="5FAA9379" w14:textId="77777777" w:rsidR="008B33DC" w:rsidRPr="00A96337" w:rsidRDefault="008B33DC" w:rsidP="008B33DC">
      <w:pPr>
        <w:pStyle w:val="BodyText"/>
        <w:spacing w:after="240" w:line="259" w:lineRule="auto"/>
        <w:rPr>
          <w:lang w:val="en-AU"/>
        </w:rPr>
      </w:pPr>
      <w:r w:rsidRPr="00A96337">
        <w:rPr>
          <w:lang w:val="en-AU"/>
        </w:rPr>
        <w:t>Greater attention to M&amp;E at the program level is particularly important for gender. If there is no sustained attention at this level, particularly from a qualitative perspective, there may be an incomplete understanding of the nature of the barriers and their underlying causes. There may also be an incomplete understanding of the risks that gender norms and patterns pose to value chain and market system development effectiveness. There will be an ongoing inability to report confidently on gains made, and to capture unintended consequences so that stakeholders are aware if the work being done is not creating harm. Increased technical support for Oxfam and at the program level would be well placed to analyse and learn from what is working and where opportunities and risks lie.</w:t>
      </w:r>
    </w:p>
    <w:p w14:paraId="3E5B48D8" w14:textId="681E43FE" w:rsidR="002F4F42" w:rsidRPr="00A96337" w:rsidRDefault="005D0945" w:rsidP="001756BC">
      <w:pPr>
        <w:pStyle w:val="BodyText"/>
        <w:spacing w:line="259" w:lineRule="auto"/>
        <w:rPr>
          <w:lang w:val="en-AU"/>
        </w:rPr>
      </w:pPr>
      <w:r w:rsidRPr="00A96337">
        <w:rPr>
          <w:lang w:val="en-AU"/>
        </w:rPr>
        <w:t>Inclusion data</w:t>
      </w:r>
      <w:r w:rsidR="002F4F42" w:rsidRPr="00A96337">
        <w:rPr>
          <w:lang w:val="en-AU"/>
        </w:rPr>
        <w:t xml:space="preserve"> is collected through the project partner</w:t>
      </w:r>
      <w:r w:rsidRPr="00A96337">
        <w:rPr>
          <w:lang w:val="en-AU"/>
        </w:rPr>
        <w:t>’</w:t>
      </w:r>
      <w:r w:rsidR="002F4F42" w:rsidRPr="00A96337">
        <w:rPr>
          <w:lang w:val="en-AU"/>
        </w:rPr>
        <w:t xml:space="preserve">s M&amp;E systems from the household level up and data is then reported in the Annual </w:t>
      </w:r>
      <w:r w:rsidR="009B58A0" w:rsidRPr="00A96337">
        <w:rPr>
          <w:lang w:val="en-AU"/>
        </w:rPr>
        <w:t>AMENCA 3</w:t>
      </w:r>
      <w:r w:rsidR="002F4F42" w:rsidRPr="00A96337">
        <w:rPr>
          <w:lang w:val="en-AU"/>
        </w:rPr>
        <w:t xml:space="preserve"> Report.</w:t>
      </w:r>
      <w:r w:rsidR="00E42BC8" w:rsidRPr="00A96337">
        <w:rPr>
          <w:lang w:val="en-AU"/>
        </w:rPr>
        <w:t xml:space="preserve"> </w:t>
      </w:r>
      <w:r w:rsidR="002F4F42" w:rsidRPr="00A96337">
        <w:rPr>
          <w:lang w:val="en-AU"/>
        </w:rPr>
        <w:t xml:space="preserve">In discussions at the M&amp;E Working Group Meeting in March it became apparent that a significant amount of granular information is being collected by CARE and Oxfam at the household level that is not currently being reported up at the program level. </w:t>
      </w:r>
    </w:p>
    <w:p w14:paraId="4F0659A3" w14:textId="77777777" w:rsidR="002F4F42" w:rsidRPr="00A96337" w:rsidRDefault="002F4F42" w:rsidP="001756BC">
      <w:pPr>
        <w:pStyle w:val="BodyText"/>
        <w:spacing w:line="259" w:lineRule="auto"/>
        <w:rPr>
          <w:lang w:val="en-AU"/>
        </w:rPr>
      </w:pPr>
      <w:r w:rsidRPr="00A96337">
        <w:rPr>
          <w:lang w:val="en-AU"/>
        </w:rPr>
        <w:t>The program does not report formally on instances of gender-based violence (GBV) to DFAT. There is an absence of monitoring and/or evaluation of violence at the program level that warrants attention.</w:t>
      </w:r>
      <w:r w:rsidR="00E42BC8" w:rsidRPr="00A96337">
        <w:rPr>
          <w:lang w:val="en-AU"/>
        </w:rPr>
        <w:t xml:space="preserve"> </w:t>
      </w:r>
      <w:r w:rsidRPr="00A96337">
        <w:rPr>
          <w:lang w:val="en-AU"/>
        </w:rPr>
        <w:t>CARE does, however, monitor regularly for community ‘backlash’ both against women and men as a result of their participation in various project related activities.</w:t>
      </w:r>
      <w:r w:rsidR="00E42BC8" w:rsidRPr="00A96337">
        <w:rPr>
          <w:lang w:val="en-AU"/>
        </w:rPr>
        <w:t xml:space="preserve"> </w:t>
      </w:r>
      <w:r w:rsidRPr="00A96337">
        <w:rPr>
          <w:lang w:val="en-AU"/>
        </w:rPr>
        <w:t>This information is not currently required to be reported up to the program level and is a missed opportunity to ensure that all activities are following a ‘do no harm’ approach.</w:t>
      </w:r>
    </w:p>
    <w:p w14:paraId="4C1FF319" w14:textId="6D87A1C5" w:rsidR="002F4F42" w:rsidRPr="00A96337" w:rsidRDefault="002F4F42" w:rsidP="00F8335C">
      <w:pPr>
        <w:pStyle w:val="Heading2"/>
        <w:ind w:left="851" w:hanging="851"/>
      </w:pPr>
      <w:bookmarkStart w:id="455" w:name="_Toc8978064"/>
      <w:bookmarkStart w:id="456" w:name="_Toc12364845"/>
      <w:r w:rsidRPr="00A96337">
        <w:t>The Australian definition of youth</w:t>
      </w:r>
      <w:bookmarkEnd w:id="455"/>
      <w:bookmarkEnd w:id="456"/>
    </w:p>
    <w:p w14:paraId="00BDD85C" w14:textId="238DB8C8" w:rsidR="002F4F42" w:rsidRPr="00A96337" w:rsidRDefault="002F4F42" w:rsidP="002D1C1A">
      <w:pPr>
        <w:pStyle w:val="BodyText"/>
        <w:spacing w:after="240"/>
        <w:rPr>
          <w:lang w:val="en-AU"/>
        </w:rPr>
      </w:pPr>
      <w:r w:rsidRPr="00A96337">
        <w:rPr>
          <w:lang w:val="en-AU"/>
        </w:rPr>
        <w:t>Overall the Australian definition of youth (16-24 years) is not helpful in the Palestinian context given the social and cultural mores.</w:t>
      </w:r>
      <w:r w:rsidR="00E42BC8" w:rsidRPr="00A96337">
        <w:rPr>
          <w:b/>
          <w:lang w:val="en-AU"/>
        </w:rPr>
        <w:t xml:space="preserve"> </w:t>
      </w:r>
      <w:r w:rsidRPr="00A96337">
        <w:rPr>
          <w:lang w:val="en-AU"/>
        </w:rPr>
        <w:t>The restriction has locked youth interventions into peripheral activities such as vocational training for university students.</w:t>
      </w:r>
      <w:r w:rsidR="00E42BC8" w:rsidRPr="00A96337">
        <w:rPr>
          <w:lang w:val="en-AU"/>
        </w:rPr>
        <w:t xml:space="preserve"> </w:t>
      </w:r>
      <w:r w:rsidRPr="00A96337">
        <w:rPr>
          <w:lang w:val="en-AU"/>
        </w:rPr>
        <w:t xml:space="preserve">Expanding the definition to include men and women up to 30 years of age (or even 35 years as is the case with Australian government funded programs in Myanmar) would enable </w:t>
      </w:r>
      <w:r w:rsidR="009B58A0" w:rsidRPr="00A96337">
        <w:rPr>
          <w:lang w:val="en-AU"/>
        </w:rPr>
        <w:t>AMENCA 3</w:t>
      </w:r>
      <w:r w:rsidRPr="00A96337">
        <w:rPr>
          <w:lang w:val="en-AU"/>
        </w:rPr>
        <w:t xml:space="preserve"> to apply its core skills (agricultural market linkages) to young Palestinians, a critical group for future economic development.</w:t>
      </w:r>
    </w:p>
    <w:tbl>
      <w:tblPr>
        <w:tblStyle w:val="TableGrid"/>
        <w:tblW w:w="0" w:type="auto"/>
        <w:tblInd w:w="0" w:type="dxa"/>
        <w:tblBorders>
          <w:top w:val="single" w:sz="12" w:space="0" w:color="5482AB"/>
          <w:left w:val="none" w:sz="0" w:space="0" w:color="auto"/>
          <w:bottom w:val="single" w:sz="12" w:space="0" w:color="5482AB"/>
          <w:right w:val="none" w:sz="0" w:space="0" w:color="auto"/>
          <w:insideH w:val="none" w:sz="0" w:space="0" w:color="auto"/>
          <w:insideV w:val="none" w:sz="0" w:space="0" w:color="auto"/>
        </w:tblBorders>
        <w:tblLook w:val="04A0" w:firstRow="1" w:lastRow="0" w:firstColumn="1" w:lastColumn="0" w:noHBand="0" w:noVBand="1"/>
      </w:tblPr>
      <w:tblGrid>
        <w:gridCol w:w="761"/>
        <w:gridCol w:w="8265"/>
      </w:tblGrid>
      <w:tr w:rsidR="001756BC" w:rsidRPr="00A96337" w14:paraId="158B3B91" w14:textId="77777777" w:rsidTr="001756BC">
        <w:trPr>
          <w:trHeight w:val="454"/>
        </w:trPr>
        <w:tc>
          <w:tcPr>
            <w:tcW w:w="709" w:type="dxa"/>
          </w:tcPr>
          <w:p w14:paraId="1517D6AF" w14:textId="77777777" w:rsidR="00450A35" w:rsidRPr="00A96337" w:rsidRDefault="00450A35" w:rsidP="000E1846">
            <w:pPr>
              <w:pStyle w:val="IntenseQuote"/>
              <w:pBdr>
                <w:bottom w:val="none" w:sz="0" w:space="0" w:color="auto"/>
              </w:pBdr>
              <w:spacing w:before="120" w:after="120" w:line="259" w:lineRule="auto"/>
              <w:ind w:left="0" w:right="124"/>
              <w:rPr>
                <w:rFonts w:ascii="Arial" w:hAnsi="Arial" w:cs="Arial"/>
                <w:i w:val="0"/>
                <w:color w:val="5482AB"/>
              </w:rPr>
            </w:pPr>
            <w:r w:rsidRPr="00A96337">
              <w:rPr>
                <w:rFonts w:ascii="Arial" w:hAnsi="Arial" w:cs="Arial"/>
                <w:i w:val="0"/>
                <w:noProof/>
                <w:color w:val="5482AB"/>
                <w:lang w:eastAsia="en-AU"/>
              </w:rPr>
              <w:drawing>
                <wp:inline distT="0" distB="0" distL="0" distR="0" wp14:anchorId="1978D968" wp14:editId="4C39394E">
                  <wp:extent cx="267419" cy="330844"/>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c Icon.png"/>
                          <pic:cNvPicPr/>
                        </pic:nvPicPr>
                        <pic:blipFill>
                          <a:blip r:embed="rId29"/>
                          <a:stretch>
                            <a:fillRect/>
                          </a:stretch>
                        </pic:blipFill>
                        <pic:spPr>
                          <a:xfrm>
                            <a:off x="0" y="0"/>
                            <a:ext cx="280126" cy="346565"/>
                          </a:xfrm>
                          <a:prstGeom prst="rect">
                            <a:avLst/>
                          </a:prstGeom>
                        </pic:spPr>
                      </pic:pic>
                    </a:graphicData>
                  </a:graphic>
                </wp:inline>
              </w:drawing>
            </w:r>
          </w:p>
        </w:tc>
        <w:tc>
          <w:tcPr>
            <w:tcW w:w="8307" w:type="dxa"/>
          </w:tcPr>
          <w:p w14:paraId="4E93C221" w14:textId="24AA81D5" w:rsidR="00450A35" w:rsidRPr="00A96337" w:rsidRDefault="00D82271" w:rsidP="00F8335C">
            <w:pPr>
              <w:pStyle w:val="IntenseQuote"/>
              <w:numPr>
                <w:ilvl w:val="0"/>
                <w:numId w:val="30"/>
              </w:numPr>
              <w:pBdr>
                <w:bottom w:val="none" w:sz="0" w:space="0" w:color="auto"/>
              </w:pBdr>
              <w:spacing w:before="120" w:after="120" w:line="259" w:lineRule="auto"/>
              <w:ind w:left="0" w:right="0" w:firstLine="0"/>
              <w:rPr>
                <w:rFonts w:ascii="Arial" w:hAnsi="Arial" w:cs="Arial"/>
                <w:i w:val="0"/>
                <w:color w:val="5482AB"/>
              </w:rPr>
            </w:pPr>
            <w:bookmarkStart w:id="457" w:name="_Ref11933592"/>
            <w:r w:rsidRPr="00A96337">
              <w:rPr>
                <w:rFonts w:ascii="Arial" w:hAnsi="Arial" w:cs="Arial"/>
                <w:i w:val="0"/>
                <w:color w:val="5482AB"/>
              </w:rPr>
              <w:t xml:space="preserve">Adjust definition of youth: </w:t>
            </w:r>
            <w:r w:rsidRPr="00A96337">
              <w:rPr>
                <w:rFonts w:ascii="Arial" w:hAnsi="Arial" w:cs="Arial"/>
                <w:b w:val="0"/>
                <w:bCs w:val="0"/>
                <w:i w:val="0"/>
                <w:color w:val="5482AB"/>
              </w:rPr>
              <w:t xml:space="preserve">DFAT ARO revise the definition of youth to increase the upper age limit to 30 years to enable </w:t>
            </w:r>
            <w:r w:rsidR="009B58A0" w:rsidRPr="00A96337">
              <w:rPr>
                <w:rFonts w:ascii="Arial" w:hAnsi="Arial" w:cs="Arial"/>
                <w:b w:val="0"/>
                <w:bCs w:val="0"/>
                <w:i w:val="0"/>
                <w:color w:val="5482AB"/>
              </w:rPr>
              <w:t>AMENCA 3</w:t>
            </w:r>
            <w:r w:rsidRPr="00A96337">
              <w:rPr>
                <w:rFonts w:ascii="Arial" w:hAnsi="Arial" w:cs="Arial"/>
                <w:b w:val="0"/>
                <w:bCs w:val="0"/>
                <w:i w:val="0"/>
                <w:color w:val="5482AB"/>
              </w:rPr>
              <w:t xml:space="preserve"> to apply its core skills (agricultural market linkages) to young Palestinians appropriately given the social and cultural context.</w:t>
            </w:r>
            <w:bookmarkEnd w:id="457"/>
          </w:p>
        </w:tc>
      </w:tr>
    </w:tbl>
    <w:p w14:paraId="033B623C" w14:textId="77777777" w:rsidR="002F4F42" w:rsidRPr="00A96337" w:rsidRDefault="002F4F42" w:rsidP="002F4F42">
      <w:pPr>
        <w:contextualSpacing/>
      </w:pPr>
    </w:p>
    <w:p w14:paraId="1834564A" w14:textId="77777777" w:rsidR="002F4F42" w:rsidRPr="00A96337" w:rsidRDefault="002F4F42" w:rsidP="002F4F42">
      <w:pPr>
        <w:contextualSpacing/>
        <w:sectPr w:rsidR="002F4F42" w:rsidRPr="00A96337" w:rsidSect="002F4F42">
          <w:footerReference w:type="default" r:id="rId36"/>
          <w:footerReference w:type="first" r:id="rId37"/>
          <w:pgSz w:w="11906" w:h="16838"/>
          <w:pgMar w:top="1440" w:right="1440" w:bottom="1440" w:left="1440" w:header="708" w:footer="708" w:gutter="0"/>
          <w:cols w:space="708"/>
          <w:titlePg/>
          <w:docGrid w:linePitch="360"/>
        </w:sectPr>
      </w:pPr>
    </w:p>
    <w:bookmarkStart w:id="458" w:name="_Toc12364846" w:displacedByCustomXml="next"/>
    <w:bookmarkStart w:id="459" w:name="_Toc8978065" w:displacedByCustomXml="next"/>
    <w:sdt>
      <w:sdtPr>
        <w:rPr>
          <w:rFonts w:asciiTheme="minorHAnsi" w:eastAsiaTheme="minorHAnsi" w:hAnsiTheme="minorHAnsi" w:cstheme="minorBidi"/>
          <w:b w:val="0"/>
          <w:color w:val="auto"/>
          <w:sz w:val="22"/>
          <w:szCs w:val="22"/>
          <w:lang w:eastAsia="en-US"/>
        </w:rPr>
        <w:id w:val="-1330281979"/>
        <w:docPartObj>
          <w:docPartGallery w:val="Bibliographies"/>
          <w:docPartUnique/>
        </w:docPartObj>
      </w:sdtPr>
      <w:sdtEndPr>
        <w:rPr>
          <w:rFonts w:ascii="Arial" w:hAnsi="Arial" w:cs="Arial"/>
          <w:bCs/>
          <w:sz w:val="20"/>
          <w:szCs w:val="20"/>
        </w:rPr>
      </w:sdtEndPr>
      <w:sdtContent>
        <w:p w14:paraId="2ADF1B18" w14:textId="569A123F" w:rsidR="002F4F42" w:rsidRPr="00A96337" w:rsidRDefault="002F4F42" w:rsidP="007F6FE5">
          <w:pPr>
            <w:pStyle w:val="Heading1"/>
            <w:numPr>
              <w:ilvl w:val="0"/>
              <w:numId w:val="0"/>
            </w:numPr>
          </w:pPr>
          <w:r w:rsidRPr="00A96337">
            <w:t>Annex 1:</w:t>
          </w:r>
          <w:r w:rsidR="00E42BC8" w:rsidRPr="00A96337">
            <w:t xml:space="preserve"> </w:t>
          </w:r>
          <w:r w:rsidRPr="00A96337">
            <w:t xml:space="preserve">Works </w:t>
          </w:r>
          <w:r w:rsidR="00544613" w:rsidRPr="00A96337">
            <w:t>c</w:t>
          </w:r>
          <w:r w:rsidRPr="00A96337">
            <w:t>ited</w:t>
          </w:r>
          <w:bookmarkEnd w:id="459"/>
          <w:bookmarkEnd w:id="458"/>
        </w:p>
        <w:p w14:paraId="78C76D18" w14:textId="77777777" w:rsidR="00593D9F" w:rsidRDefault="002F4F42" w:rsidP="00593D9F">
          <w:pPr>
            <w:pStyle w:val="Bibliography"/>
            <w:ind w:left="720" w:hanging="720"/>
            <w:rPr>
              <w:noProof/>
              <w:sz w:val="24"/>
              <w:szCs w:val="24"/>
              <w:lang w:val="en-AU"/>
            </w:rPr>
          </w:pPr>
          <w:r w:rsidRPr="00A96337">
            <w:rPr>
              <w:rFonts w:ascii="Arial" w:hAnsi="Arial" w:cs="Arial"/>
              <w:sz w:val="20"/>
              <w:szCs w:val="20"/>
              <w:lang w:val="en-AU"/>
            </w:rPr>
            <w:fldChar w:fldCharType="begin"/>
          </w:r>
          <w:r w:rsidRPr="00A96337">
            <w:rPr>
              <w:rFonts w:ascii="Arial" w:hAnsi="Arial" w:cs="Arial"/>
              <w:sz w:val="20"/>
              <w:szCs w:val="20"/>
              <w:lang w:val="en-AU"/>
            </w:rPr>
            <w:instrText xml:space="preserve"> BIBLIOGRAPHY </w:instrText>
          </w:r>
          <w:r w:rsidRPr="00A96337">
            <w:rPr>
              <w:rFonts w:ascii="Arial" w:hAnsi="Arial" w:cs="Arial"/>
              <w:sz w:val="20"/>
              <w:szCs w:val="20"/>
              <w:lang w:val="en-AU"/>
            </w:rPr>
            <w:fldChar w:fldCharType="separate"/>
          </w:r>
          <w:r w:rsidR="00593D9F">
            <w:rPr>
              <w:noProof/>
              <w:lang w:val="en-AU"/>
            </w:rPr>
            <w:t xml:space="preserve">AbuMezied, A. (February 2019). </w:t>
          </w:r>
          <w:r w:rsidR="00593D9F">
            <w:rPr>
              <w:i/>
              <w:iCs/>
              <w:noProof/>
              <w:lang w:val="en-AU"/>
            </w:rPr>
            <w:t>Agripreneurship: Engaging young people in the agriculture sector in the Gaza Strip.</w:t>
          </w:r>
          <w:r w:rsidR="00593D9F">
            <w:rPr>
              <w:noProof/>
              <w:lang w:val="en-AU"/>
            </w:rPr>
            <w:t xml:space="preserve"> Oxford: Oxfam International.</w:t>
          </w:r>
        </w:p>
        <w:p w14:paraId="15B120FD" w14:textId="77777777" w:rsidR="00593D9F" w:rsidRDefault="00593D9F" w:rsidP="00593D9F">
          <w:pPr>
            <w:pStyle w:val="Bibliography"/>
            <w:ind w:left="720" w:hanging="720"/>
            <w:rPr>
              <w:noProof/>
              <w:lang w:val="en-AU"/>
            </w:rPr>
          </w:pPr>
          <w:r>
            <w:rPr>
              <w:noProof/>
              <w:lang w:val="en-AU"/>
            </w:rPr>
            <w:t xml:space="preserve">AMENCA 3. (Dec 2016). </w:t>
          </w:r>
          <w:r>
            <w:rPr>
              <w:i/>
              <w:iCs/>
              <w:noProof/>
              <w:lang w:val="en-AU"/>
            </w:rPr>
            <w:t>AMENCA 3: Monitoring and Evaluation Framework.</w:t>
          </w:r>
          <w:r>
            <w:rPr>
              <w:noProof/>
              <w:lang w:val="en-AU"/>
            </w:rPr>
            <w:t xml:space="preserve"> Melbourne, Australia: Cardno.</w:t>
          </w:r>
        </w:p>
        <w:p w14:paraId="474B59B5" w14:textId="77777777" w:rsidR="00593D9F" w:rsidRDefault="00593D9F" w:rsidP="00593D9F">
          <w:pPr>
            <w:pStyle w:val="Bibliography"/>
            <w:ind w:left="720" w:hanging="720"/>
            <w:rPr>
              <w:noProof/>
              <w:lang w:val="en-AU"/>
            </w:rPr>
          </w:pPr>
          <w:r>
            <w:rPr>
              <w:noProof/>
              <w:lang w:val="en-AU"/>
            </w:rPr>
            <w:t xml:space="preserve">AMENCA 3. (Jan 2019). </w:t>
          </w:r>
          <w:r>
            <w:rPr>
              <w:i/>
              <w:iCs/>
              <w:noProof/>
              <w:lang w:val="en-AU"/>
            </w:rPr>
            <w:t>Definitions and notes on AMENCA 3 indicators.</w:t>
          </w:r>
          <w:r>
            <w:rPr>
              <w:noProof/>
              <w:lang w:val="en-AU"/>
            </w:rPr>
            <w:t xml:space="preserve"> Melbourne, Australia: Cardno.</w:t>
          </w:r>
        </w:p>
        <w:p w14:paraId="30BD5FC1" w14:textId="77777777" w:rsidR="00593D9F" w:rsidRDefault="00593D9F" w:rsidP="00593D9F">
          <w:pPr>
            <w:pStyle w:val="Bibliography"/>
            <w:ind w:left="720" w:hanging="720"/>
            <w:rPr>
              <w:noProof/>
              <w:lang w:val="en-AU"/>
            </w:rPr>
          </w:pPr>
          <w:r>
            <w:rPr>
              <w:noProof/>
              <w:lang w:val="en-AU"/>
            </w:rPr>
            <w:t xml:space="preserve">AMENCA 3. (March 2019). </w:t>
          </w:r>
          <w:r>
            <w:rPr>
              <w:i/>
              <w:iCs/>
              <w:noProof/>
              <w:lang w:val="en-AU"/>
            </w:rPr>
            <w:t>AMENCA 3 Program Level Annual Report 2018.</w:t>
          </w:r>
          <w:r>
            <w:rPr>
              <w:noProof/>
              <w:lang w:val="en-AU"/>
            </w:rPr>
            <w:t xml:space="preserve"> Melbourne: CARDNO Emerging Markets.</w:t>
          </w:r>
        </w:p>
        <w:p w14:paraId="6C0F3146" w14:textId="77777777" w:rsidR="00593D9F" w:rsidRDefault="00593D9F" w:rsidP="00593D9F">
          <w:pPr>
            <w:pStyle w:val="Bibliography"/>
            <w:ind w:left="720" w:hanging="720"/>
            <w:rPr>
              <w:noProof/>
              <w:lang w:val="en-AU"/>
            </w:rPr>
          </w:pPr>
          <w:r>
            <w:rPr>
              <w:noProof/>
              <w:lang w:val="en-AU"/>
            </w:rPr>
            <w:t xml:space="preserve">AMENCA 3. (Jan 2019). </w:t>
          </w:r>
          <w:r>
            <w:rPr>
              <w:i/>
              <w:iCs/>
              <w:noProof/>
              <w:lang w:val="en-AU"/>
            </w:rPr>
            <w:t>Definitions and notes on AMENCA 3 indicators.</w:t>
          </w:r>
          <w:r>
            <w:rPr>
              <w:noProof/>
              <w:lang w:val="en-AU"/>
            </w:rPr>
            <w:t xml:space="preserve"> Melbourne: Cardno.</w:t>
          </w:r>
        </w:p>
        <w:p w14:paraId="1DE2332F" w14:textId="77777777" w:rsidR="00593D9F" w:rsidRDefault="00593D9F" w:rsidP="00593D9F">
          <w:pPr>
            <w:pStyle w:val="Bibliography"/>
            <w:ind w:left="720" w:hanging="720"/>
            <w:rPr>
              <w:noProof/>
              <w:lang w:val="en-AU"/>
            </w:rPr>
          </w:pPr>
          <w:r>
            <w:rPr>
              <w:noProof/>
              <w:lang w:val="en-AU"/>
            </w:rPr>
            <w:t xml:space="preserve">AusAID. (January 2008). </w:t>
          </w:r>
          <w:r>
            <w:rPr>
              <w:i/>
              <w:iCs/>
              <w:noProof/>
              <w:lang w:val="en-AU"/>
            </w:rPr>
            <w:t>AMENCA: Program Design Concept Papaer and Guidelines.</w:t>
          </w:r>
          <w:r>
            <w:rPr>
              <w:noProof/>
              <w:lang w:val="en-AU"/>
            </w:rPr>
            <w:t xml:space="preserve"> Canberra: Australian Agency for International Development.</w:t>
          </w:r>
        </w:p>
        <w:p w14:paraId="09D24328" w14:textId="77777777" w:rsidR="00593D9F" w:rsidRDefault="00593D9F" w:rsidP="00593D9F">
          <w:pPr>
            <w:pStyle w:val="Bibliography"/>
            <w:ind w:left="720" w:hanging="720"/>
            <w:rPr>
              <w:noProof/>
              <w:lang w:val="en-AU"/>
            </w:rPr>
          </w:pPr>
          <w:r>
            <w:rPr>
              <w:noProof/>
              <w:lang w:val="en-AU"/>
            </w:rPr>
            <w:t xml:space="preserve">BEAM Exchange. (2019, May 7). </w:t>
          </w:r>
          <w:r>
            <w:rPr>
              <w:i/>
              <w:iCs/>
              <w:noProof/>
              <w:lang w:val="en-AU"/>
            </w:rPr>
            <w:t>Evaluating Programmes</w:t>
          </w:r>
          <w:r>
            <w:rPr>
              <w:noProof/>
              <w:lang w:val="en-AU"/>
            </w:rPr>
            <w:t>. Retrieved from BEAN Exchange: https://beamexchange.org/evidence/evaluating-programmes/</w:t>
          </w:r>
        </w:p>
        <w:p w14:paraId="62670808" w14:textId="77777777" w:rsidR="00593D9F" w:rsidRDefault="00593D9F" w:rsidP="00593D9F">
          <w:pPr>
            <w:pStyle w:val="Bibliography"/>
            <w:ind w:left="720" w:hanging="720"/>
            <w:rPr>
              <w:noProof/>
              <w:lang w:val="en-AU"/>
            </w:rPr>
          </w:pPr>
          <w:r>
            <w:rPr>
              <w:noProof/>
              <w:lang w:val="en-AU"/>
            </w:rPr>
            <w:t xml:space="preserve">Berner, E. G. (2012). Helping a large number of people become a little less poor: the logic of survival entrepreneurs. </w:t>
          </w:r>
          <w:r>
            <w:rPr>
              <w:i/>
              <w:iCs/>
              <w:noProof/>
              <w:lang w:val="en-AU"/>
            </w:rPr>
            <w:t>The European Journal of Development Research</w:t>
          </w:r>
          <w:r>
            <w:rPr>
              <w:noProof/>
              <w:lang w:val="en-AU"/>
            </w:rPr>
            <w:t>, 382-396.</w:t>
          </w:r>
        </w:p>
        <w:p w14:paraId="25AC0515" w14:textId="77777777" w:rsidR="00593D9F" w:rsidRDefault="00593D9F" w:rsidP="00593D9F">
          <w:pPr>
            <w:pStyle w:val="Bibliography"/>
            <w:ind w:left="720" w:hanging="720"/>
            <w:rPr>
              <w:noProof/>
              <w:lang w:val="en-AU"/>
            </w:rPr>
          </w:pPr>
          <w:r>
            <w:rPr>
              <w:noProof/>
              <w:lang w:val="en-AU"/>
            </w:rPr>
            <w:t xml:space="preserve">Brewer, J. a. (2014). </w:t>
          </w:r>
          <w:r>
            <w:rPr>
              <w:i/>
              <w:iCs/>
              <w:noProof/>
              <w:lang w:val="en-AU"/>
            </w:rPr>
            <w:t>Necessity Entrepreneurs: Microenterprise Education and Economic Development.</w:t>
          </w:r>
          <w:r>
            <w:rPr>
              <w:noProof/>
              <w:lang w:val="en-AU"/>
            </w:rPr>
            <w:t xml:space="preserve"> Cheltenham: Edward Elgar Publishing.</w:t>
          </w:r>
        </w:p>
        <w:p w14:paraId="534BB8DD" w14:textId="77777777" w:rsidR="00593D9F" w:rsidRDefault="00593D9F" w:rsidP="00593D9F">
          <w:pPr>
            <w:pStyle w:val="Bibliography"/>
            <w:ind w:left="720" w:hanging="720"/>
            <w:rPr>
              <w:noProof/>
              <w:lang w:val="en-AU"/>
            </w:rPr>
          </w:pPr>
          <w:r>
            <w:rPr>
              <w:noProof/>
              <w:lang w:val="en-AU"/>
            </w:rPr>
            <w:t xml:space="preserve">CARE. (Feb 2019). </w:t>
          </w:r>
          <w:r>
            <w:rPr>
              <w:i/>
              <w:iCs/>
              <w:noProof/>
              <w:lang w:val="en-AU"/>
            </w:rPr>
            <w:t>Mid-term Evaluation of Souqona Project.</w:t>
          </w:r>
          <w:r>
            <w:rPr>
              <w:noProof/>
              <w:lang w:val="en-AU"/>
            </w:rPr>
            <w:t xml:space="preserve"> Al Bireh, Palestine: Advance Consulting Services.</w:t>
          </w:r>
        </w:p>
        <w:p w14:paraId="1AFFE601" w14:textId="77777777" w:rsidR="00593D9F" w:rsidRDefault="00593D9F" w:rsidP="00593D9F">
          <w:pPr>
            <w:pStyle w:val="Bibliography"/>
            <w:ind w:left="720" w:hanging="720"/>
            <w:rPr>
              <w:noProof/>
              <w:lang w:val="en-AU"/>
            </w:rPr>
          </w:pPr>
          <w:r>
            <w:rPr>
              <w:noProof/>
              <w:lang w:val="en-AU"/>
            </w:rPr>
            <w:t xml:space="preserve">Coffey. (2019). </w:t>
          </w:r>
          <w:r>
            <w:rPr>
              <w:i/>
              <w:iCs/>
              <w:noProof/>
              <w:lang w:val="en-AU"/>
            </w:rPr>
            <w:t>AMENCA 3 Mid Term Evaluation Plan.</w:t>
          </w:r>
          <w:r>
            <w:rPr>
              <w:noProof/>
              <w:lang w:val="en-AU"/>
            </w:rPr>
            <w:t xml:space="preserve"> Adelaide: Coffey.</w:t>
          </w:r>
        </w:p>
        <w:p w14:paraId="66278788" w14:textId="77777777" w:rsidR="00593D9F" w:rsidRDefault="00593D9F" w:rsidP="00593D9F">
          <w:pPr>
            <w:pStyle w:val="Bibliography"/>
            <w:ind w:left="720" w:hanging="720"/>
            <w:rPr>
              <w:noProof/>
              <w:lang w:val="en-AU"/>
            </w:rPr>
          </w:pPr>
          <w:r>
            <w:rPr>
              <w:noProof/>
              <w:lang w:val="en-AU"/>
            </w:rPr>
            <w:t xml:space="preserve">DFAT. (2015). </w:t>
          </w:r>
          <w:r>
            <w:rPr>
              <w:i/>
              <w:iCs/>
              <w:noProof/>
              <w:lang w:val="en-AU"/>
            </w:rPr>
            <w:t>Aid Investment Plan: Palestinian Territories 2015-2019.</w:t>
          </w:r>
          <w:r>
            <w:rPr>
              <w:noProof/>
              <w:lang w:val="en-AU"/>
            </w:rPr>
            <w:t xml:space="preserve"> Canberra: Department of Foreign Affairs and Trade.</w:t>
          </w:r>
        </w:p>
        <w:p w14:paraId="15875E13" w14:textId="77777777" w:rsidR="00593D9F" w:rsidRDefault="00593D9F" w:rsidP="00593D9F">
          <w:pPr>
            <w:pStyle w:val="Bibliography"/>
            <w:ind w:left="720" w:hanging="720"/>
            <w:rPr>
              <w:noProof/>
              <w:lang w:val="en-AU"/>
            </w:rPr>
          </w:pPr>
          <w:r>
            <w:rPr>
              <w:noProof/>
              <w:lang w:val="en-AU"/>
            </w:rPr>
            <w:t xml:space="preserve">DFAT. (2016, 2017, 2018). </w:t>
          </w:r>
          <w:r>
            <w:rPr>
              <w:i/>
              <w:iCs/>
              <w:noProof/>
              <w:lang w:val="en-AU"/>
            </w:rPr>
            <w:t>Aid Program Performance Report 2015/16; 2016/17 and 2017/18.</w:t>
          </w:r>
          <w:r>
            <w:rPr>
              <w:noProof/>
              <w:lang w:val="en-AU"/>
            </w:rPr>
            <w:t xml:space="preserve"> Canberra: Department of Foreign Affairs and Trade.</w:t>
          </w:r>
        </w:p>
        <w:p w14:paraId="0530C770" w14:textId="77777777" w:rsidR="00593D9F" w:rsidRDefault="00593D9F" w:rsidP="00593D9F">
          <w:pPr>
            <w:pStyle w:val="Bibliography"/>
            <w:ind w:left="720" w:hanging="720"/>
            <w:rPr>
              <w:noProof/>
              <w:lang w:val="en-AU"/>
            </w:rPr>
          </w:pPr>
          <w:r>
            <w:rPr>
              <w:noProof/>
              <w:lang w:val="en-AU"/>
            </w:rPr>
            <w:t xml:space="preserve">DFAT. (2017). </w:t>
          </w:r>
          <w:r>
            <w:rPr>
              <w:i/>
              <w:iCs/>
              <w:noProof/>
              <w:lang w:val="en-AU"/>
            </w:rPr>
            <w:t>Aid program Performance review.</w:t>
          </w:r>
          <w:r>
            <w:rPr>
              <w:noProof/>
              <w:lang w:val="en-AU"/>
            </w:rPr>
            <w:t xml:space="preserve"> Canberra, Australia: Department of Foreign Affairs and Trade.</w:t>
          </w:r>
        </w:p>
        <w:p w14:paraId="3B5FC092" w14:textId="77777777" w:rsidR="00593D9F" w:rsidRDefault="00593D9F" w:rsidP="00593D9F">
          <w:pPr>
            <w:pStyle w:val="Bibliography"/>
            <w:ind w:left="720" w:hanging="720"/>
            <w:rPr>
              <w:noProof/>
              <w:lang w:val="en-AU"/>
            </w:rPr>
          </w:pPr>
          <w:r>
            <w:rPr>
              <w:noProof/>
              <w:lang w:val="en-AU"/>
            </w:rPr>
            <w:t xml:space="preserve">DFAT. (2017, April 23). </w:t>
          </w:r>
          <w:r>
            <w:rPr>
              <w:i/>
              <w:iCs/>
              <w:noProof/>
              <w:lang w:val="en-AU"/>
            </w:rPr>
            <w:t>Foreign Policy White Paper.</w:t>
          </w:r>
          <w:r>
            <w:rPr>
              <w:noProof/>
              <w:lang w:val="en-AU"/>
            </w:rPr>
            <w:t xml:space="preserve"> Canberra, Australia: Department of Foreign Affairs and Trade. Retrieved from Australian Government 2017 Foreign Policy White Paper: https://www.fpwhitepaper.gov.au/</w:t>
          </w:r>
        </w:p>
        <w:p w14:paraId="636B734F" w14:textId="77777777" w:rsidR="00593D9F" w:rsidRDefault="00593D9F" w:rsidP="00593D9F">
          <w:pPr>
            <w:pStyle w:val="Bibliography"/>
            <w:ind w:left="720" w:hanging="720"/>
            <w:rPr>
              <w:noProof/>
              <w:lang w:val="en-AU"/>
            </w:rPr>
          </w:pPr>
          <w:r>
            <w:rPr>
              <w:noProof/>
              <w:lang w:val="en-AU"/>
            </w:rPr>
            <w:t xml:space="preserve">DFAT. (March 2019). </w:t>
          </w:r>
          <w:r>
            <w:rPr>
              <w:i/>
              <w:iCs/>
              <w:noProof/>
              <w:lang w:val="en-AU"/>
            </w:rPr>
            <w:t>Australian NGO Cooperation Program (ANCP) Manual.</w:t>
          </w:r>
          <w:r>
            <w:rPr>
              <w:noProof/>
              <w:lang w:val="en-AU"/>
            </w:rPr>
            <w:t xml:space="preserve"> Canberra, Australia: Department of Foreign Affairs and Trade.</w:t>
          </w:r>
        </w:p>
        <w:p w14:paraId="2C338879" w14:textId="77777777" w:rsidR="00593D9F" w:rsidRDefault="00593D9F" w:rsidP="00593D9F">
          <w:pPr>
            <w:pStyle w:val="Bibliography"/>
            <w:ind w:left="720" w:hanging="720"/>
            <w:rPr>
              <w:noProof/>
              <w:lang w:val="en-AU"/>
            </w:rPr>
          </w:pPr>
          <w:r>
            <w:rPr>
              <w:noProof/>
              <w:lang w:val="en-AU"/>
            </w:rPr>
            <w:t xml:space="preserve">DFAT. (March 2019). </w:t>
          </w:r>
          <w:r>
            <w:rPr>
              <w:i/>
              <w:iCs/>
              <w:noProof/>
              <w:lang w:val="en-AU"/>
            </w:rPr>
            <w:t>Environmental and Social Safeguards Policy.</w:t>
          </w:r>
          <w:r>
            <w:rPr>
              <w:noProof/>
              <w:lang w:val="en-AU"/>
            </w:rPr>
            <w:t xml:space="preserve"> Canberra: DFAT. Retrieved June 23, 2019, from https://dfat.gov.au/about-us/publications/Documents/environmental-social-safeguard-policy.pdf</w:t>
          </w:r>
        </w:p>
        <w:p w14:paraId="50075D94" w14:textId="77777777" w:rsidR="00593D9F" w:rsidRDefault="00593D9F" w:rsidP="00593D9F">
          <w:pPr>
            <w:pStyle w:val="Bibliography"/>
            <w:ind w:left="720" w:hanging="720"/>
            <w:rPr>
              <w:noProof/>
              <w:lang w:val="en-AU"/>
            </w:rPr>
          </w:pPr>
          <w:r>
            <w:rPr>
              <w:noProof/>
              <w:lang w:val="en-AU"/>
            </w:rPr>
            <w:t xml:space="preserve">El-Ahmed, N., &amp; Nabris, N. (January 2019). </w:t>
          </w:r>
          <w:r>
            <w:rPr>
              <w:i/>
              <w:iCs/>
              <w:noProof/>
              <w:lang w:val="en-AU"/>
            </w:rPr>
            <w:t>From Service Delivery to Social Investment: The shifting role of civil society.</w:t>
          </w:r>
          <w:r>
            <w:rPr>
              <w:noProof/>
              <w:lang w:val="en-AU"/>
            </w:rPr>
            <w:t xml:space="preserve"> Oxford, UK: Oxfam International.</w:t>
          </w:r>
        </w:p>
        <w:p w14:paraId="459DC584" w14:textId="77777777" w:rsidR="00593D9F" w:rsidRDefault="00593D9F" w:rsidP="00593D9F">
          <w:pPr>
            <w:pStyle w:val="Bibliography"/>
            <w:ind w:left="720" w:hanging="720"/>
            <w:rPr>
              <w:noProof/>
              <w:lang w:val="en-AU"/>
            </w:rPr>
          </w:pPr>
          <w:r>
            <w:rPr>
              <w:noProof/>
              <w:lang w:val="en-AU"/>
            </w:rPr>
            <w:t xml:space="preserve">El-Ahmed, N., &amp; Nabris, N. (January 2019). </w:t>
          </w:r>
          <w:r>
            <w:rPr>
              <w:i/>
              <w:iCs/>
              <w:noProof/>
              <w:lang w:val="en-AU"/>
            </w:rPr>
            <w:t>Women's Economic Empowerment: Supporting women led business.</w:t>
          </w:r>
          <w:r>
            <w:rPr>
              <w:noProof/>
              <w:lang w:val="en-AU"/>
            </w:rPr>
            <w:t xml:space="preserve"> Oxford, UK: Oxfam International.</w:t>
          </w:r>
        </w:p>
        <w:p w14:paraId="50AF2F1F" w14:textId="77777777" w:rsidR="00593D9F" w:rsidRDefault="00593D9F" w:rsidP="00593D9F">
          <w:pPr>
            <w:pStyle w:val="Bibliography"/>
            <w:ind w:left="720" w:hanging="720"/>
            <w:rPr>
              <w:noProof/>
              <w:lang w:val="en-AU"/>
            </w:rPr>
          </w:pPr>
          <w:r>
            <w:rPr>
              <w:noProof/>
              <w:lang w:val="en-AU"/>
            </w:rPr>
            <w:t xml:space="preserve">El-Ahmend, N., &amp; Nabris, N. (January 2019). </w:t>
          </w:r>
          <w:r>
            <w:rPr>
              <w:i/>
              <w:iCs/>
              <w:noProof/>
              <w:lang w:val="en-AU"/>
            </w:rPr>
            <w:t>The importance of packing house management in vegetable and fruit value chains.</w:t>
          </w:r>
          <w:r>
            <w:rPr>
              <w:noProof/>
              <w:lang w:val="en-AU"/>
            </w:rPr>
            <w:t xml:space="preserve"> Oxford UK: Oxfam International.</w:t>
          </w:r>
        </w:p>
        <w:p w14:paraId="6BAF8DC1" w14:textId="77777777" w:rsidR="00593D9F" w:rsidRDefault="00593D9F" w:rsidP="00593D9F">
          <w:pPr>
            <w:pStyle w:val="Bibliography"/>
            <w:ind w:left="720" w:hanging="720"/>
            <w:rPr>
              <w:noProof/>
              <w:lang w:val="en-AU"/>
            </w:rPr>
          </w:pPr>
          <w:r>
            <w:rPr>
              <w:noProof/>
              <w:lang w:val="en-AU"/>
            </w:rPr>
            <w:t xml:space="preserve">FAO. (August 2017). </w:t>
          </w:r>
          <w:r>
            <w:rPr>
              <w:i/>
              <w:iCs/>
              <w:noProof/>
              <w:lang w:val="en-AU"/>
            </w:rPr>
            <w:t>Evaluation of FAO's Programme in West Bank and Gaza Strip 2011-2015.</w:t>
          </w:r>
          <w:r>
            <w:rPr>
              <w:noProof/>
              <w:lang w:val="en-AU"/>
            </w:rPr>
            <w:t xml:space="preserve"> Rome: FAO Office of Evaluation.</w:t>
          </w:r>
        </w:p>
        <w:p w14:paraId="48DE089E" w14:textId="77777777" w:rsidR="00593D9F" w:rsidRDefault="00593D9F" w:rsidP="00593D9F">
          <w:pPr>
            <w:pStyle w:val="Bibliography"/>
            <w:ind w:left="720" w:hanging="720"/>
            <w:rPr>
              <w:noProof/>
              <w:lang w:val="en-AU"/>
            </w:rPr>
          </w:pPr>
          <w:r>
            <w:rPr>
              <w:noProof/>
              <w:lang w:val="en-AU"/>
            </w:rPr>
            <w:t xml:space="preserve">HELVITAS. (May 2016). </w:t>
          </w:r>
          <w:r>
            <w:rPr>
              <w:i/>
              <w:iCs/>
              <w:noProof/>
              <w:lang w:val="en-AU"/>
            </w:rPr>
            <w:t>Programme Management for Market Systems Development Approaches.</w:t>
          </w:r>
          <w:r>
            <w:rPr>
              <w:noProof/>
              <w:lang w:val="en-AU"/>
            </w:rPr>
            <w:t xml:space="preserve"> HELVITAS Swiss Intercooperation.</w:t>
          </w:r>
        </w:p>
        <w:p w14:paraId="08FD77A2" w14:textId="77777777" w:rsidR="00593D9F" w:rsidRDefault="00593D9F" w:rsidP="00593D9F">
          <w:pPr>
            <w:pStyle w:val="Bibliography"/>
            <w:ind w:left="720" w:hanging="720"/>
            <w:rPr>
              <w:noProof/>
              <w:lang w:val="en-AU"/>
            </w:rPr>
          </w:pPr>
          <w:r>
            <w:rPr>
              <w:noProof/>
              <w:lang w:val="en-AU"/>
            </w:rPr>
            <w:t xml:space="preserve">Miehlbradt, A., Warner, B., &amp; Swete Kelly, D. (2018). </w:t>
          </w:r>
          <w:r>
            <w:rPr>
              <w:i/>
              <w:iCs/>
              <w:noProof/>
              <w:lang w:val="en-AU"/>
            </w:rPr>
            <w:t>Promoting Systemic Change in Shallow Markets.</w:t>
          </w:r>
          <w:r>
            <w:rPr>
              <w:noProof/>
              <w:lang w:val="en-AU"/>
            </w:rPr>
            <w:t xml:space="preserve"> Canberra: DFAT Market Development Facility.</w:t>
          </w:r>
        </w:p>
        <w:p w14:paraId="7EE33A58" w14:textId="77777777" w:rsidR="00593D9F" w:rsidRDefault="00593D9F" w:rsidP="00593D9F">
          <w:pPr>
            <w:pStyle w:val="Bibliography"/>
            <w:ind w:left="720" w:hanging="720"/>
            <w:rPr>
              <w:noProof/>
              <w:lang w:val="en-AU"/>
            </w:rPr>
          </w:pPr>
          <w:r>
            <w:rPr>
              <w:noProof/>
              <w:lang w:val="en-AU"/>
            </w:rPr>
            <w:t xml:space="preserve">MoA. (November 2016). </w:t>
          </w:r>
          <w:r>
            <w:rPr>
              <w:i/>
              <w:iCs/>
              <w:noProof/>
              <w:lang w:val="en-AU"/>
            </w:rPr>
            <w:t>National Agricultural Strategy (2017-2022).</w:t>
          </w:r>
          <w:r>
            <w:rPr>
              <w:noProof/>
              <w:lang w:val="en-AU"/>
            </w:rPr>
            <w:t xml:space="preserve"> Ramullah: The State of Palestine, Ministry Of Agriculture.</w:t>
          </w:r>
        </w:p>
        <w:p w14:paraId="6E424085" w14:textId="77777777" w:rsidR="00593D9F" w:rsidRDefault="00593D9F" w:rsidP="00593D9F">
          <w:pPr>
            <w:pStyle w:val="Bibliography"/>
            <w:ind w:left="720" w:hanging="720"/>
            <w:rPr>
              <w:noProof/>
              <w:lang w:val="en-AU"/>
            </w:rPr>
          </w:pPr>
          <w:r>
            <w:rPr>
              <w:noProof/>
              <w:lang w:val="en-AU"/>
            </w:rPr>
            <w:t xml:space="preserve">Norell, D. a. (2012). </w:t>
          </w:r>
          <w:r>
            <w:rPr>
              <w:i/>
              <w:iCs/>
              <w:noProof/>
              <w:lang w:val="en-AU"/>
            </w:rPr>
            <w:t>Integrating Very Poor Producers into Value Chains Field Guide [pdf].</w:t>
          </w:r>
          <w:r>
            <w:rPr>
              <w:noProof/>
              <w:lang w:val="en-AU"/>
            </w:rPr>
            <w:t xml:space="preserve"> Retrieved from World Vision and United States Agency for International Development: https: //www.usaid.gov/sites/default/files/documents/1862/integrating_very_poor_into_value_chains.pdf</w:t>
          </w:r>
        </w:p>
        <w:p w14:paraId="7EB22693" w14:textId="77777777" w:rsidR="00593D9F" w:rsidRDefault="00593D9F" w:rsidP="00593D9F">
          <w:pPr>
            <w:pStyle w:val="Bibliography"/>
            <w:ind w:left="720" w:hanging="720"/>
            <w:rPr>
              <w:noProof/>
              <w:lang w:val="en-AU"/>
            </w:rPr>
          </w:pPr>
          <w:r>
            <w:rPr>
              <w:noProof/>
              <w:lang w:val="en-AU"/>
            </w:rPr>
            <w:t xml:space="preserve">OCHA. (2019, April 25). </w:t>
          </w:r>
          <w:r>
            <w:rPr>
              <w:i/>
              <w:iCs/>
              <w:noProof/>
              <w:lang w:val="en-AU"/>
            </w:rPr>
            <w:t>Occupied Palestinian Territories: The Monthly Humanitarian Bulletin</w:t>
          </w:r>
          <w:r>
            <w:rPr>
              <w:noProof/>
              <w:lang w:val="en-AU"/>
            </w:rPr>
            <w:t>. Retrieved from Demolitions in West Bank undermine access to water: Rate increases in first quarter of 2019: https://www.ochaopt.org/content/demolitions-west-bank-undermine-access-water</w:t>
          </w:r>
        </w:p>
        <w:p w14:paraId="137EC3C6" w14:textId="77777777" w:rsidR="00593D9F" w:rsidRDefault="00593D9F" w:rsidP="00593D9F">
          <w:pPr>
            <w:pStyle w:val="Bibliography"/>
            <w:ind w:left="720" w:hanging="720"/>
            <w:rPr>
              <w:noProof/>
              <w:lang w:val="en-AU"/>
            </w:rPr>
          </w:pPr>
          <w:r>
            <w:rPr>
              <w:noProof/>
              <w:lang w:val="en-AU"/>
            </w:rPr>
            <w:t xml:space="preserve">Peishi, Z. (2017). </w:t>
          </w:r>
          <w:r>
            <w:rPr>
              <w:i/>
              <w:iCs/>
              <w:noProof/>
              <w:lang w:val="en-AU"/>
            </w:rPr>
            <w:t>AMENCA 3 - A hybrid market systems approach: A Guidance Note.</w:t>
          </w:r>
          <w:r>
            <w:rPr>
              <w:noProof/>
              <w:lang w:val="en-AU"/>
            </w:rPr>
            <w:t xml:space="preserve"> Canberra: DFAT.</w:t>
          </w:r>
        </w:p>
        <w:p w14:paraId="01294BD7" w14:textId="77777777" w:rsidR="00593D9F" w:rsidRDefault="00593D9F" w:rsidP="00593D9F">
          <w:pPr>
            <w:pStyle w:val="Bibliography"/>
            <w:ind w:left="720" w:hanging="720"/>
            <w:rPr>
              <w:noProof/>
              <w:lang w:val="en-AU"/>
            </w:rPr>
          </w:pPr>
          <w:r>
            <w:rPr>
              <w:noProof/>
              <w:lang w:val="en-AU"/>
            </w:rPr>
            <w:t xml:space="preserve">Pilbrow, M., &amp; Forde, B. (May 2017). </w:t>
          </w:r>
          <w:r>
            <w:rPr>
              <w:i/>
              <w:iCs/>
              <w:noProof/>
              <w:lang w:val="en-AU"/>
            </w:rPr>
            <w:t>AMENCA 3: Rapid Management and Operations Review.</w:t>
          </w:r>
          <w:r>
            <w:rPr>
              <w:noProof/>
              <w:lang w:val="en-AU"/>
            </w:rPr>
            <w:t xml:space="preserve"> Yass, Australia: Strategic Development Group.</w:t>
          </w:r>
        </w:p>
        <w:p w14:paraId="284F2078" w14:textId="77777777" w:rsidR="00593D9F" w:rsidRDefault="00593D9F" w:rsidP="00593D9F">
          <w:pPr>
            <w:pStyle w:val="Bibliography"/>
            <w:ind w:left="720" w:hanging="720"/>
            <w:rPr>
              <w:noProof/>
              <w:lang w:val="en-AU"/>
            </w:rPr>
          </w:pPr>
          <w:r>
            <w:rPr>
              <w:noProof/>
              <w:lang w:val="en-AU"/>
            </w:rPr>
            <w:t xml:space="preserve">Rankin, S. (2015). </w:t>
          </w:r>
          <w:r>
            <w:rPr>
              <w:i/>
              <w:iCs/>
              <w:noProof/>
              <w:lang w:val="en-AU"/>
            </w:rPr>
            <w:t>Program Review: Australia Middle-East NGO Cooperation Agreement (AMENCA) Phase Two (2009-15).</w:t>
          </w:r>
          <w:r>
            <w:rPr>
              <w:noProof/>
              <w:lang w:val="en-AU"/>
            </w:rPr>
            <w:t xml:space="preserve"> Australia: Research Communications Group.</w:t>
          </w:r>
        </w:p>
        <w:p w14:paraId="7E9D5942" w14:textId="77777777" w:rsidR="00593D9F" w:rsidRDefault="00593D9F" w:rsidP="00593D9F">
          <w:pPr>
            <w:pStyle w:val="Bibliography"/>
            <w:ind w:left="720" w:hanging="720"/>
            <w:rPr>
              <w:noProof/>
              <w:lang w:val="en-AU"/>
            </w:rPr>
          </w:pPr>
          <w:r>
            <w:rPr>
              <w:noProof/>
              <w:lang w:val="en-AU"/>
            </w:rPr>
            <w:t xml:space="preserve">Shamieh, T. (February 2018). </w:t>
          </w:r>
          <w:r>
            <w:rPr>
              <w:i/>
              <w:iCs/>
              <w:noProof/>
              <w:lang w:val="en-AU"/>
            </w:rPr>
            <w:t>Analysis of Donor Investments in Palestine - Agriculture Sector.</w:t>
          </w:r>
          <w:r>
            <w:rPr>
              <w:noProof/>
              <w:lang w:val="en-AU"/>
            </w:rPr>
            <w:t xml:space="preserve"> Canberra: Department of Foreign Affairs and Trade.</w:t>
          </w:r>
        </w:p>
        <w:p w14:paraId="7576311F" w14:textId="77777777" w:rsidR="00593D9F" w:rsidRDefault="00593D9F" w:rsidP="00593D9F">
          <w:pPr>
            <w:pStyle w:val="Bibliography"/>
            <w:ind w:left="720" w:hanging="720"/>
            <w:rPr>
              <w:noProof/>
              <w:lang w:val="en-AU"/>
            </w:rPr>
          </w:pPr>
          <w:r>
            <w:rPr>
              <w:noProof/>
              <w:lang w:val="en-AU"/>
            </w:rPr>
            <w:t xml:space="preserve">UNCTAD. (2015). </w:t>
          </w:r>
          <w:r>
            <w:rPr>
              <w:i/>
              <w:iCs/>
              <w:noProof/>
              <w:lang w:val="en-AU"/>
            </w:rPr>
            <w:t>The Besieged Palestinian Agricultural Sector.</w:t>
          </w:r>
          <w:r>
            <w:rPr>
              <w:noProof/>
              <w:lang w:val="en-AU"/>
            </w:rPr>
            <w:t xml:space="preserve"> New York and Geneva: United Nations Conference on Trade and Development.</w:t>
          </w:r>
        </w:p>
        <w:p w14:paraId="52476952" w14:textId="77777777" w:rsidR="00593D9F" w:rsidRDefault="00593D9F" w:rsidP="00593D9F">
          <w:pPr>
            <w:pStyle w:val="Bibliography"/>
            <w:ind w:left="720" w:hanging="720"/>
            <w:rPr>
              <w:noProof/>
              <w:lang w:val="en-AU"/>
            </w:rPr>
          </w:pPr>
          <w:r>
            <w:rPr>
              <w:noProof/>
              <w:lang w:val="en-AU"/>
            </w:rPr>
            <w:t xml:space="preserve">Van der Velde, M. (May 2016). </w:t>
          </w:r>
          <w:r>
            <w:rPr>
              <w:i/>
              <w:iCs/>
              <w:noProof/>
              <w:lang w:val="en-AU"/>
            </w:rPr>
            <w:t>AMENCA 2 Program Level Completion Report.</w:t>
          </w:r>
          <w:r>
            <w:rPr>
              <w:noProof/>
              <w:lang w:val="en-AU"/>
            </w:rPr>
            <w:t xml:space="preserve"> Canberra: Department of Foreign Affairs and Trade.</w:t>
          </w:r>
        </w:p>
        <w:p w14:paraId="18A060C2" w14:textId="77777777" w:rsidR="00593D9F" w:rsidRDefault="00593D9F" w:rsidP="00593D9F">
          <w:pPr>
            <w:pStyle w:val="Bibliography"/>
            <w:ind w:left="720" w:hanging="720"/>
            <w:rPr>
              <w:noProof/>
              <w:lang w:val="en-AU"/>
            </w:rPr>
          </w:pPr>
          <w:r>
            <w:rPr>
              <w:noProof/>
              <w:lang w:val="en-AU"/>
            </w:rPr>
            <w:t>Wild, L. (2019, April 5). AMENCA 3 MTR Briefing. (D. Swete Kelly, &amp; A. Gidea, Interviewers)</w:t>
          </w:r>
        </w:p>
        <w:p w14:paraId="5BACB084" w14:textId="77777777" w:rsidR="00593D9F" w:rsidRDefault="00593D9F" w:rsidP="00593D9F">
          <w:pPr>
            <w:pStyle w:val="Bibliography"/>
            <w:ind w:left="720" w:hanging="720"/>
            <w:rPr>
              <w:noProof/>
              <w:lang w:val="en-AU"/>
            </w:rPr>
          </w:pPr>
          <w:r>
            <w:rPr>
              <w:noProof/>
              <w:lang w:val="en-AU"/>
            </w:rPr>
            <w:t xml:space="preserve">World Bank. (April 2019). </w:t>
          </w:r>
          <w:r>
            <w:rPr>
              <w:i/>
              <w:iCs/>
              <w:noProof/>
              <w:lang w:val="en-AU"/>
            </w:rPr>
            <w:t>Economic Monitoring Report to the Ad Hoc Liaison Committee.</w:t>
          </w:r>
          <w:r>
            <w:rPr>
              <w:noProof/>
              <w:lang w:val="en-AU"/>
            </w:rPr>
            <w:t xml:space="preserve"> Washington DC: World Bank Group.</w:t>
          </w:r>
        </w:p>
        <w:p w14:paraId="67E395C5" w14:textId="77777777" w:rsidR="002F4F42" w:rsidRPr="00A96337" w:rsidRDefault="002F4F42" w:rsidP="00593D9F">
          <w:pPr>
            <w:rPr>
              <w:rFonts w:ascii="Arial" w:hAnsi="Arial" w:cs="Arial"/>
            </w:rPr>
          </w:pPr>
          <w:r w:rsidRPr="00A96337">
            <w:rPr>
              <w:rFonts w:ascii="Arial" w:hAnsi="Arial" w:cs="Arial"/>
              <w:b/>
              <w:bCs/>
            </w:rPr>
            <w:fldChar w:fldCharType="end"/>
          </w:r>
        </w:p>
      </w:sdtContent>
    </w:sdt>
    <w:p w14:paraId="20F58222" w14:textId="77777777" w:rsidR="002F4F42" w:rsidRPr="00A96337" w:rsidRDefault="002F4F42" w:rsidP="002F4F42">
      <w:pPr>
        <w:rPr>
          <w:rFonts w:ascii="Arial" w:hAnsi="Arial" w:cs="Arial"/>
        </w:rPr>
      </w:pPr>
    </w:p>
    <w:p w14:paraId="058E047C" w14:textId="77777777" w:rsidR="002F4F42" w:rsidRPr="00A96337" w:rsidRDefault="002F4F42" w:rsidP="002F4F42">
      <w:pPr>
        <w:rPr>
          <w:rFonts w:asciiTheme="majorHAnsi" w:eastAsiaTheme="majorEastAsia" w:hAnsiTheme="majorHAnsi" w:cstheme="majorBidi"/>
          <w:color w:val="365F91" w:themeColor="accent1" w:themeShade="BF"/>
          <w:sz w:val="32"/>
          <w:szCs w:val="32"/>
        </w:rPr>
      </w:pPr>
      <w:r w:rsidRPr="00A96337">
        <w:br w:type="page"/>
      </w:r>
    </w:p>
    <w:p w14:paraId="344EAA04" w14:textId="6FD59A57" w:rsidR="002F4F42" w:rsidRPr="00A96337" w:rsidRDefault="002F4F42" w:rsidP="007F6FE5">
      <w:pPr>
        <w:pStyle w:val="Heading1"/>
        <w:numPr>
          <w:ilvl w:val="0"/>
          <w:numId w:val="0"/>
        </w:numPr>
        <w:ind w:left="432"/>
      </w:pPr>
      <w:bookmarkStart w:id="460" w:name="_Toc8978066"/>
      <w:bookmarkStart w:id="461" w:name="_Toc12364847"/>
      <w:r w:rsidRPr="00A96337">
        <w:t xml:space="preserve">Annex 2: Case </w:t>
      </w:r>
      <w:r w:rsidR="00544613" w:rsidRPr="00A96337">
        <w:t>s</w:t>
      </w:r>
      <w:r w:rsidRPr="00A96337">
        <w:t>tudies</w:t>
      </w:r>
      <w:bookmarkEnd w:id="460"/>
      <w:bookmarkEnd w:id="461"/>
    </w:p>
    <w:p w14:paraId="48DD324B" w14:textId="77777777" w:rsidR="002F4F42" w:rsidRPr="00A96337" w:rsidRDefault="002F4F42" w:rsidP="00F05621">
      <w:pPr>
        <w:pStyle w:val="Heading2"/>
        <w:numPr>
          <w:ilvl w:val="0"/>
          <w:numId w:val="0"/>
        </w:numPr>
      </w:pPr>
      <w:bookmarkStart w:id="462" w:name="_Toc8978067"/>
      <w:bookmarkStart w:id="463" w:name="_Toc12364848"/>
      <w:r w:rsidRPr="00A96337">
        <w:t>Case Study 1: Sheep dairy sector in northern West Bank (CARE, Tubas/Nablus)</w:t>
      </w:r>
      <w:bookmarkEnd w:id="462"/>
      <w:bookmarkEnd w:id="463"/>
    </w:p>
    <w:p w14:paraId="68DF5517" w14:textId="77777777" w:rsidR="002F4F42" w:rsidRPr="00A96337" w:rsidRDefault="002F4F42" w:rsidP="00CB5CD1">
      <w:pPr>
        <w:pStyle w:val="BodyText"/>
        <w:rPr>
          <w:lang w:val="en-AU"/>
        </w:rPr>
      </w:pPr>
      <w:r w:rsidRPr="00A96337">
        <w:rPr>
          <w:lang w:val="en-AU"/>
        </w:rPr>
        <w:t>Small-scale herders, particularly women, extracting too little value from their primary assets: milking sheep and goats, due to:</w:t>
      </w:r>
    </w:p>
    <w:tbl>
      <w:tblPr>
        <w:tblStyle w:val="Coffey"/>
        <w:tblW w:w="5000" w:type="pct"/>
        <w:tblLook w:val="02A0" w:firstRow="1" w:lastRow="0" w:firstColumn="1" w:lastColumn="0" w:noHBand="1" w:noVBand="0"/>
      </w:tblPr>
      <w:tblGrid>
        <w:gridCol w:w="1417"/>
        <w:gridCol w:w="2058"/>
        <w:gridCol w:w="2186"/>
        <w:gridCol w:w="1929"/>
        <w:gridCol w:w="1426"/>
      </w:tblGrid>
      <w:tr w:rsidR="002F4F42" w:rsidRPr="00A96337" w14:paraId="074F58B9" w14:textId="77777777" w:rsidTr="00613B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5" w:type="pct"/>
          </w:tcPr>
          <w:p w14:paraId="5AD03822" w14:textId="77777777" w:rsidR="002F4F42" w:rsidRPr="00A96337" w:rsidRDefault="002F4F42" w:rsidP="00613B55">
            <w:pPr>
              <w:spacing w:before="0" w:beforeAutospacing="0" w:after="0" w:afterAutospacing="0"/>
            </w:pPr>
            <w:r w:rsidRPr="00A96337">
              <w:t>Problem:</w:t>
            </w:r>
          </w:p>
        </w:tc>
        <w:tc>
          <w:tcPr>
            <w:cnfStyle w:val="000010000000" w:firstRow="0" w:lastRow="0" w:firstColumn="0" w:lastColumn="0" w:oddVBand="1" w:evenVBand="0" w:oddHBand="0" w:evenHBand="0" w:firstRowFirstColumn="0" w:firstRowLastColumn="0" w:lastRowFirstColumn="0" w:lastRowLastColumn="0"/>
            <w:tcW w:w="1141" w:type="pct"/>
          </w:tcPr>
          <w:p w14:paraId="010655F5" w14:textId="77777777" w:rsidR="002F4F42" w:rsidRPr="00A96337" w:rsidRDefault="002F4F42" w:rsidP="00613B55">
            <w:pPr>
              <w:spacing w:before="0" w:beforeAutospacing="0" w:after="0" w:afterAutospacing="0"/>
            </w:pPr>
            <w:r w:rsidRPr="00A96337">
              <w:t>Barriers</w:t>
            </w:r>
          </w:p>
        </w:tc>
        <w:tc>
          <w:tcPr>
            <w:tcW w:w="1212" w:type="pct"/>
          </w:tcPr>
          <w:p w14:paraId="6B1C572B" w14:textId="77777777" w:rsidR="002F4F42" w:rsidRPr="00A96337" w:rsidRDefault="002F4F42" w:rsidP="00613B55">
            <w:pPr>
              <w:spacing w:before="0" w:beforeAutospacing="0" w:after="0" w:afterAutospacing="0"/>
              <w:cnfStyle w:val="100000000000" w:firstRow="1" w:lastRow="0" w:firstColumn="0" w:lastColumn="0" w:oddVBand="0" w:evenVBand="0" w:oddHBand="0" w:evenHBand="0" w:firstRowFirstColumn="0" w:firstRowLastColumn="0" w:lastRowFirstColumn="0" w:lastRowLastColumn="0"/>
            </w:pPr>
            <w:r w:rsidRPr="00A96337">
              <w:t>Inputs</w:t>
            </w:r>
          </w:p>
        </w:tc>
        <w:tc>
          <w:tcPr>
            <w:cnfStyle w:val="000010000000" w:firstRow="0" w:lastRow="0" w:firstColumn="0" w:lastColumn="0" w:oddVBand="1" w:evenVBand="0" w:oddHBand="0" w:evenHBand="0" w:firstRowFirstColumn="0" w:firstRowLastColumn="0" w:lastRowFirstColumn="0" w:lastRowLastColumn="0"/>
            <w:tcW w:w="1070" w:type="pct"/>
          </w:tcPr>
          <w:p w14:paraId="3948EB2F" w14:textId="77777777" w:rsidR="002F4F42" w:rsidRPr="00A96337" w:rsidRDefault="002F4F42" w:rsidP="00613B55">
            <w:pPr>
              <w:spacing w:before="0" w:beforeAutospacing="0" w:after="0" w:afterAutospacing="0"/>
            </w:pPr>
            <w:r w:rsidRPr="00A96337">
              <w:t>Outputs</w:t>
            </w:r>
          </w:p>
        </w:tc>
        <w:tc>
          <w:tcPr>
            <w:tcW w:w="791" w:type="pct"/>
          </w:tcPr>
          <w:p w14:paraId="3D7331EE" w14:textId="77777777" w:rsidR="002F4F42" w:rsidRPr="00A96337" w:rsidRDefault="002F4F42" w:rsidP="00613B55">
            <w:pPr>
              <w:spacing w:before="0" w:beforeAutospacing="0" w:after="0" w:afterAutospacing="0"/>
              <w:cnfStyle w:val="100000000000" w:firstRow="1" w:lastRow="0" w:firstColumn="0" w:lastColumn="0" w:oddVBand="0" w:evenVBand="0" w:oddHBand="0" w:evenHBand="0" w:firstRowFirstColumn="0" w:firstRowLastColumn="0" w:lastRowFirstColumn="0" w:lastRowLastColumn="0"/>
            </w:pPr>
            <w:r w:rsidRPr="00A96337">
              <w:t>Solution</w:t>
            </w:r>
          </w:p>
        </w:tc>
      </w:tr>
      <w:tr w:rsidR="002F4F42" w:rsidRPr="00A96337" w14:paraId="7364CB4F" w14:textId="77777777" w:rsidTr="00F83086">
        <w:tc>
          <w:tcPr>
            <w:cnfStyle w:val="001000000000" w:firstRow="0" w:lastRow="0" w:firstColumn="1" w:lastColumn="0" w:oddVBand="0" w:evenVBand="0" w:oddHBand="0" w:evenHBand="0" w:firstRowFirstColumn="0" w:firstRowLastColumn="0" w:lastRowFirstColumn="0" w:lastRowLastColumn="0"/>
            <w:tcW w:w="785" w:type="pct"/>
          </w:tcPr>
          <w:p w14:paraId="0A0B5BD8" w14:textId="77777777" w:rsidR="002F4F42" w:rsidRPr="00A96337" w:rsidRDefault="002F4F42" w:rsidP="00613B55">
            <w:pPr>
              <w:spacing w:before="0" w:beforeAutospacing="0" w:after="0" w:afterAutospacing="0"/>
            </w:pPr>
            <w:r w:rsidRPr="00A96337">
              <w:t>Scattered production</w:t>
            </w:r>
          </w:p>
        </w:tc>
        <w:tc>
          <w:tcPr>
            <w:cnfStyle w:val="000010000000" w:firstRow="0" w:lastRow="0" w:firstColumn="0" w:lastColumn="0" w:oddVBand="1" w:evenVBand="0" w:oddHBand="0" w:evenHBand="0" w:firstRowFirstColumn="0" w:firstRowLastColumn="0" w:lastRowFirstColumn="0" w:lastRowLastColumn="0"/>
            <w:tcW w:w="1141" w:type="pct"/>
            <w:shd w:val="clear" w:color="auto" w:fill="95B3D7" w:themeFill="accent1" w:themeFillTint="99"/>
          </w:tcPr>
          <w:p w14:paraId="70CF2E81" w14:textId="77777777" w:rsidR="002F4F42" w:rsidRPr="00A96337" w:rsidRDefault="002F4F42" w:rsidP="00613B55">
            <w:pPr>
              <w:spacing w:before="0" w:beforeAutospacing="0" w:after="0" w:afterAutospacing="0"/>
            </w:pPr>
            <w:r w:rsidRPr="00A96337">
              <w:t>no mechanism for aggregating produce to achieve scale and build market value</w:t>
            </w:r>
          </w:p>
        </w:tc>
        <w:tc>
          <w:tcPr>
            <w:tcW w:w="1212" w:type="pct"/>
            <w:shd w:val="clear" w:color="auto" w:fill="B8CCE4" w:themeFill="accent1" w:themeFillTint="66"/>
          </w:tcPr>
          <w:p w14:paraId="5737FE2D"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xml:space="preserve">+ CBO transformation into service-provider </w:t>
            </w:r>
          </w:p>
          <w:p w14:paraId="1A1EF32B"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(LIFT)</w:t>
            </w:r>
          </w:p>
        </w:tc>
        <w:tc>
          <w:tcPr>
            <w:cnfStyle w:val="000010000000" w:firstRow="0" w:lastRow="0" w:firstColumn="0" w:lastColumn="0" w:oddVBand="1" w:evenVBand="0" w:oddHBand="0" w:evenHBand="0" w:firstRowFirstColumn="0" w:firstRowLastColumn="0" w:lastRowFirstColumn="0" w:lastRowLastColumn="0"/>
            <w:tcW w:w="1070" w:type="pct"/>
            <w:shd w:val="clear" w:color="auto" w:fill="C6D9F1" w:themeFill="text2" w:themeFillTint="33"/>
          </w:tcPr>
          <w:p w14:paraId="306384E6" w14:textId="77777777" w:rsidR="002F4F42" w:rsidRPr="00A96337" w:rsidRDefault="002F4F42" w:rsidP="00613B55">
            <w:pPr>
              <w:spacing w:before="0" w:beforeAutospacing="0" w:after="0" w:afterAutospacing="0"/>
            </w:pPr>
            <w:r w:rsidRPr="00A96337">
              <w:t>= increased social capital and mobility through effective CBO aggregation mechanism</w:t>
            </w:r>
          </w:p>
        </w:tc>
        <w:tc>
          <w:tcPr>
            <w:tcW w:w="791" w:type="pct"/>
            <w:shd w:val="clear" w:color="auto" w:fill="DBE5F1" w:themeFill="accent1" w:themeFillTint="33"/>
          </w:tcPr>
          <w:p w14:paraId="74EE41F2"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Aggregation through CBO</w:t>
            </w:r>
          </w:p>
        </w:tc>
      </w:tr>
      <w:tr w:rsidR="002F4F42" w:rsidRPr="00A96337" w14:paraId="201F0F0F" w14:textId="77777777" w:rsidTr="00F83086">
        <w:tc>
          <w:tcPr>
            <w:cnfStyle w:val="001000000000" w:firstRow="0" w:lastRow="0" w:firstColumn="1" w:lastColumn="0" w:oddVBand="0" w:evenVBand="0" w:oddHBand="0" w:evenHBand="0" w:firstRowFirstColumn="0" w:firstRowLastColumn="0" w:lastRowFirstColumn="0" w:lastRowLastColumn="0"/>
            <w:tcW w:w="785" w:type="pct"/>
          </w:tcPr>
          <w:p w14:paraId="7CD89333" w14:textId="77777777" w:rsidR="002F4F42" w:rsidRPr="00A96337" w:rsidRDefault="002F4F42" w:rsidP="00613B55">
            <w:pPr>
              <w:spacing w:before="0" w:beforeAutospacing="0" w:after="0" w:afterAutospacing="0"/>
            </w:pPr>
            <w:r w:rsidRPr="00A96337">
              <w:t>Remoteness and immobility</w:t>
            </w:r>
          </w:p>
        </w:tc>
        <w:tc>
          <w:tcPr>
            <w:cnfStyle w:val="000010000000" w:firstRow="0" w:lastRow="0" w:firstColumn="0" w:lastColumn="0" w:oddVBand="1" w:evenVBand="0" w:oddHBand="0" w:evenHBand="0" w:firstRowFirstColumn="0" w:firstRowLastColumn="0" w:lastRowFirstColumn="0" w:lastRowLastColumn="0"/>
            <w:tcW w:w="1141" w:type="pct"/>
            <w:shd w:val="clear" w:color="auto" w:fill="95B3D7" w:themeFill="accent1" w:themeFillTint="99"/>
          </w:tcPr>
          <w:p w14:paraId="1B941553" w14:textId="77777777" w:rsidR="002F4F42" w:rsidRPr="00A96337" w:rsidRDefault="002F4F42" w:rsidP="00613B55">
            <w:pPr>
              <w:spacing w:before="0" w:beforeAutospacing="0" w:after="0" w:afterAutospacing="0"/>
            </w:pPr>
            <w:r w:rsidRPr="00A96337">
              <w:t>no mobility or options to sell outside of traditional traders</w:t>
            </w:r>
          </w:p>
        </w:tc>
        <w:tc>
          <w:tcPr>
            <w:tcW w:w="1212" w:type="pct"/>
            <w:shd w:val="clear" w:color="auto" w:fill="B8CCE4" w:themeFill="accent1" w:themeFillTint="66"/>
          </w:tcPr>
          <w:p w14:paraId="1B02C621"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women’s agency training</w:t>
            </w:r>
          </w:p>
          <w:p w14:paraId="5477A393"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training in milk testing and hub operation</w:t>
            </w:r>
          </w:p>
          <w:p w14:paraId="0CCB121A"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(LIFT)</w:t>
            </w:r>
          </w:p>
        </w:tc>
        <w:tc>
          <w:tcPr>
            <w:cnfStyle w:val="000010000000" w:firstRow="0" w:lastRow="0" w:firstColumn="0" w:lastColumn="0" w:oddVBand="1" w:evenVBand="0" w:oddHBand="0" w:evenHBand="0" w:firstRowFirstColumn="0" w:firstRowLastColumn="0" w:lastRowFirstColumn="0" w:lastRowLastColumn="0"/>
            <w:tcW w:w="1070" w:type="pct"/>
            <w:shd w:val="clear" w:color="auto" w:fill="C6D9F1" w:themeFill="text2" w:themeFillTint="33"/>
          </w:tcPr>
          <w:p w14:paraId="65821ECC" w14:textId="77777777" w:rsidR="002F4F42" w:rsidRPr="00A96337" w:rsidRDefault="002F4F42" w:rsidP="00613B55">
            <w:pPr>
              <w:spacing w:before="0" w:beforeAutospacing="0" w:after="0" w:afterAutospacing="0"/>
            </w:pPr>
            <w:r w:rsidRPr="00A96337">
              <w:t>= women access new higher-skilled work at the collection hub</w:t>
            </w:r>
          </w:p>
          <w:p w14:paraId="4BE47085" w14:textId="77777777" w:rsidR="002F4F42" w:rsidRPr="00A96337" w:rsidRDefault="002F4F42" w:rsidP="00613B55">
            <w:pPr>
              <w:spacing w:before="0" w:beforeAutospacing="0" w:after="0" w:afterAutospacing="0"/>
            </w:pPr>
          </w:p>
        </w:tc>
        <w:tc>
          <w:tcPr>
            <w:tcW w:w="791" w:type="pct"/>
            <w:shd w:val="clear" w:color="auto" w:fill="DBE5F1" w:themeFill="accent1" w:themeFillTint="33"/>
          </w:tcPr>
          <w:p w14:paraId="15BD7430"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Empowerment and agency</w:t>
            </w:r>
          </w:p>
        </w:tc>
      </w:tr>
      <w:tr w:rsidR="002F4F42" w:rsidRPr="00A96337" w14:paraId="70FB0326" w14:textId="77777777" w:rsidTr="00F83086">
        <w:tc>
          <w:tcPr>
            <w:cnfStyle w:val="001000000000" w:firstRow="0" w:lastRow="0" w:firstColumn="1" w:lastColumn="0" w:oddVBand="0" w:evenVBand="0" w:oddHBand="0" w:evenHBand="0" w:firstRowFirstColumn="0" w:firstRowLastColumn="0" w:lastRowFirstColumn="0" w:lastRowLastColumn="0"/>
            <w:tcW w:w="785" w:type="pct"/>
          </w:tcPr>
          <w:p w14:paraId="62918013" w14:textId="77777777" w:rsidR="002F4F42" w:rsidRPr="00A96337" w:rsidRDefault="002F4F42" w:rsidP="00613B55">
            <w:pPr>
              <w:spacing w:before="0" w:beforeAutospacing="0" w:after="0" w:afterAutospacing="0"/>
            </w:pPr>
            <w:r w:rsidRPr="00A96337">
              <w:t>Weak infrastructure</w:t>
            </w:r>
          </w:p>
        </w:tc>
        <w:tc>
          <w:tcPr>
            <w:cnfStyle w:val="000010000000" w:firstRow="0" w:lastRow="0" w:firstColumn="0" w:lastColumn="0" w:oddVBand="1" w:evenVBand="0" w:oddHBand="0" w:evenHBand="0" w:firstRowFirstColumn="0" w:firstRowLastColumn="0" w:lastRowFirstColumn="0" w:lastRowLastColumn="0"/>
            <w:tcW w:w="1141" w:type="pct"/>
            <w:shd w:val="clear" w:color="auto" w:fill="95B3D7" w:themeFill="accent1" w:themeFillTint="99"/>
          </w:tcPr>
          <w:p w14:paraId="02EB39A4" w14:textId="77777777" w:rsidR="002F4F42" w:rsidRPr="00A96337" w:rsidRDefault="002F4F42" w:rsidP="00613B55">
            <w:pPr>
              <w:spacing w:before="0" w:beforeAutospacing="0" w:after="0" w:afterAutospacing="0"/>
            </w:pPr>
            <w:r w:rsidRPr="00A96337">
              <w:t>inability to chill, test and store milk</w:t>
            </w:r>
          </w:p>
        </w:tc>
        <w:tc>
          <w:tcPr>
            <w:tcW w:w="1212" w:type="pct"/>
            <w:shd w:val="clear" w:color="auto" w:fill="B8CCE4" w:themeFill="accent1" w:themeFillTint="66"/>
          </w:tcPr>
          <w:p w14:paraId="150EE8CD"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household milk storage vessels</w:t>
            </w:r>
          </w:p>
          <w:p w14:paraId="7805B7FE"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xml:space="preserve">+ milk collection hub infrastructure </w:t>
            </w:r>
          </w:p>
          <w:p w14:paraId="0E7092F9"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(LIFT)</w:t>
            </w:r>
          </w:p>
        </w:tc>
        <w:tc>
          <w:tcPr>
            <w:cnfStyle w:val="000010000000" w:firstRow="0" w:lastRow="0" w:firstColumn="0" w:lastColumn="0" w:oddVBand="1" w:evenVBand="0" w:oddHBand="0" w:evenHBand="0" w:firstRowFirstColumn="0" w:firstRowLastColumn="0" w:lastRowFirstColumn="0" w:lastRowLastColumn="0"/>
            <w:tcW w:w="1070" w:type="pct"/>
            <w:shd w:val="clear" w:color="auto" w:fill="C6D9F1" w:themeFill="text2" w:themeFillTint="33"/>
          </w:tcPr>
          <w:p w14:paraId="0FC30C23" w14:textId="77777777" w:rsidR="002F4F42" w:rsidRPr="00A96337" w:rsidRDefault="002F4F42" w:rsidP="00613B55">
            <w:pPr>
              <w:spacing w:before="0" w:beforeAutospacing="0" w:after="0" w:afterAutospacing="0"/>
            </w:pPr>
            <w:r w:rsidRPr="00A96337">
              <w:t>= herders can store milk; testing facility provides mechanism for quality feedback loop</w:t>
            </w:r>
          </w:p>
        </w:tc>
        <w:tc>
          <w:tcPr>
            <w:tcW w:w="791" w:type="pct"/>
            <w:shd w:val="clear" w:color="auto" w:fill="DBE5F1" w:themeFill="accent1" w:themeFillTint="33"/>
          </w:tcPr>
          <w:p w14:paraId="48B55E9A"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Dairy collection centre</w:t>
            </w:r>
          </w:p>
        </w:tc>
      </w:tr>
      <w:tr w:rsidR="002F4F42" w:rsidRPr="00A96337" w14:paraId="79373574" w14:textId="77777777" w:rsidTr="00F83086">
        <w:tc>
          <w:tcPr>
            <w:cnfStyle w:val="001000000000" w:firstRow="0" w:lastRow="0" w:firstColumn="1" w:lastColumn="0" w:oddVBand="0" w:evenVBand="0" w:oddHBand="0" w:evenHBand="0" w:firstRowFirstColumn="0" w:firstRowLastColumn="0" w:lastRowFirstColumn="0" w:lastRowLastColumn="0"/>
            <w:tcW w:w="785" w:type="pct"/>
          </w:tcPr>
          <w:p w14:paraId="68B4B466" w14:textId="77777777" w:rsidR="002F4F42" w:rsidRPr="00A96337" w:rsidRDefault="002F4F42" w:rsidP="00613B55">
            <w:pPr>
              <w:spacing w:before="0" w:beforeAutospacing="0" w:after="0" w:afterAutospacing="0"/>
            </w:pPr>
            <w:r w:rsidRPr="00A96337">
              <w:t>Low productivity &amp; seasonality</w:t>
            </w:r>
          </w:p>
        </w:tc>
        <w:tc>
          <w:tcPr>
            <w:cnfStyle w:val="000010000000" w:firstRow="0" w:lastRow="0" w:firstColumn="0" w:lastColumn="0" w:oddVBand="1" w:evenVBand="0" w:oddHBand="0" w:evenHBand="0" w:firstRowFirstColumn="0" w:firstRowLastColumn="0" w:lastRowFirstColumn="0" w:lastRowLastColumn="0"/>
            <w:tcW w:w="1141" w:type="pct"/>
            <w:shd w:val="clear" w:color="auto" w:fill="95B3D7" w:themeFill="accent1" w:themeFillTint="99"/>
          </w:tcPr>
          <w:p w14:paraId="7779A6F6" w14:textId="77777777" w:rsidR="002F4F42" w:rsidRPr="00A96337" w:rsidRDefault="002F4F42" w:rsidP="00613B55">
            <w:pPr>
              <w:spacing w:before="0" w:beforeAutospacing="0" w:after="0" w:afterAutospacing="0"/>
            </w:pPr>
            <w:r w:rsidRPr="00A96337">
              <w:t>traditional husbandry practices reducing productivity; no milk during lambing</w:t>
            </w:r>
          </w:p>
        </w:tc>
        <w:tc>
          <w:tcPr>
            <w:tcW w:w="1212" w:type="pct"/>
            <w:shd w:val="clear" w:color="auto" w:fill="B8CCE4" w:themeFill="accent1" w:themeFillTint="66"/>
          </w:tcPr>
          <w:p w14:paraId="11071984"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training and access to inputs for improved lamb and ewe feeding practices</w:t>
            </w:r>
          </w:p>
          <w:p w14:paraId="586A9107"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(LIFT + REACH)</w:t>
            </w:r>
          </w:p>
        </w:tc>
        <w:tc>
          <w:tcPr>
            <w:cnfStyle w:val="000010000000" w:firstRow="0" w:lastRow="0" w:firstColumn="0" w:lastColumn="0" w:oddVBand="1" w:evenVBand="0" w:oddHBand="0" w:evenHBand="0" w:firstRowFirstColumn="0" w:firstRowLastColumn="0" w:lastRowFirstColumn="0" w:lastRowLastColumn="0"/>
            <w:tcW w:w="1070" w:type="pct"/>
            <w:shd w:val="clear" w:color="auto" w:fill="C6D9F1" w:themeFill="text2" w:themeFillTint="33"/>
          </w:tcPr>
          <w:p w14:paraId="0B4A9C9A" w14:textId="77777777" w:rsidR="002F4F42" w:rsidRPr="00A96337" w:rsidRDefault="002F4F42" w:rsidP="00613B55">
            <w:pPr>
              <w:spacing w:before="0" w:beforeAutospacing="0" w:after="0" w:afterAutospacing="0"/>
            </w:pPr>
            <w:r w:rsidRPr="00A96337">
              <w:t>= income increases and labour decreases</w:t>
            </w:r>
          </w:p>
          <w:p w14:paraId="4866785E" w14:textId="77777777" w:rsidR="002F4F42" w:rsidRPr="00A96337" w:rsidRDefault="002F4F42" w:rsidP="00613B55">
            <w:pPr>
              <w:spacing w:before="0" w:beforeAutospacing="0" w:after="0" w:afterAutospacing="0"/>
            </w:pPr>
          </w:p>
        </w:tc>
        <w:tc>
          <w:tcPr>
            <w:tcW w:w="791" w:type="pct"/>
            <w:shd w:val="clear" w:color="auto" w:fill="DBE5F1" w:themeFill="accent1" w:themeFillTint="33"/>
          </w:tcPr>
          <w:p w14:paraId="1E247F60"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Improved knowledge and access to quality inputs</w:t>
            </w:r>
          </w:p>
        </w:tc>
      </w:tr>
      <w:tr w:rsidR="002F4F42" w:rsidRPr="00A96337" w14:paraId="4560AE01" w14:textId="77777777" w:rsidTr="00F83086">
        <w:tc>
          <w:tcPr>
            <w:cnfStyle w:val="001000000000" w:firstRow="0" w:lastRow="0" w:firstColumn="1" w:lastColumn="0" w:oddVBand="0" w:evenVBand="0" w:oddHBand="0" w:evenHBand="0" w:firstRowFirstColumn="0" w:firstRowLastColumn="0" w:lastRowFirstColumn="0" w:lastRowLastColumn="0"/>
            <w:tcW w:w="785" w:type="pct"/>
          </w:tcPr>
          <w:p w14:paraId="560A8A17" w14:textId="77777777" w:rsidR="002F4F42" w:rsidRPr="00A96337" w:rsidRDefault="002F4F42" w:rsidP="00613B55">
            <w:pPr>
              <w:spacing w:before="0" w:beforeAutospacing="0" w:after="0" w:afterAutospacing="0"/>
            </w:pPr>
            <w:r w:rsidRPr="00A96337">
              <w:t>Lack of value chain options</w:t>
            </w:r>
          </w:p>
        </w:tc>
        <w:tc>
          <w:tcPr>
            <w:cnfStyle w:val="000010000000" w:firstRow="0" w:lastRow="0" w:firstColumn="0" w:lastColumn="0" w:oddVBand="1" w:evenVBand="0" w:oddHBand="0" w:evenHBand="0" w:firstRowFirstColumn="0" w:firstRowLastColumn="0" w:lastRowFirstColumn="0" w:lastRowLastColumn="0"/>
            <w:tcW w:w="1141" w:type="pct"/>
            <w:shd w:val="clear" w:color="auto" w:fill="95B3D7" w:themeFill="accent1" w:themeFillTint="99"/>
          </w:tcPr>
          <w:p w14:paraId="6D60845F" w14:textId="77777777" w:rsidR="002F4F42" w:rsidRPr="00A96337" w:rsidRDefault="002F4F42" w:rsidP="00613B55">
            <w:pPr>
              <w:spacing w:before="0" w:beforeAutospacing="0" w:after="0" w:afterAutospacing="0"/>
            </w:pPr>
            <w:r w:rsidRPr="00A96337">
              <w:t>no market for non-cheese dairy products; no choice but to make cheese daily</w:t>
            </w:r>
          </w:p>
        </w:tc>
        <w:tc>
          <w:tcPr>
            <w:tcW w:w="1212" w:type="pct"/>
            <w:shd w:val="clear" w:color="auto" w:fill="B8CCE4" w:themeFill="accent1" w:themeFillTint="66"/>
          </w:tcPr>
          <w:p w14:paraId="2AC31F8F"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introduce raw milk sector</w:t>
            </w:r>
          </w:p>
          <w:p w14:paraId="1A9E6BEC"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(REACH)</w:t>
            </w:r>
          </w:p>
        </w:tc>
        <w:tc>
          <w:tcPr>
            <w:cnfStyle w:val="000010000000" w:firstRow="0" w:lastRow="0" w:firstColumn="0" w:lastColumn="0" w:oddVBand="1" w:evenVBand="0" w:oddHBand="0" w:evenHBand="0" w:firstRowFirstColumn="0" w:firstRowLastColumn="0" w:lastRowFirstColumn="0" w:lastRowLastColumn="0"/>
            <w:tcW w:w="1070" w:type="pct"/>
            <w:shd w:val="clear" w:color="auto" w:fill="C6D9F1" w:themeFill="text2" w:themeFillTint="33"/>
          </w:tcPr>
          <w:p w14:paraId="4A9EEE56" w14:textId="77777777" w:rsidR="002F4F42" w:rsidRPr="00A96337" w:rsidRDefault="002F4F42" w:rsidP="00613B55">
            <w:pPr>
              <w:spacing w:before="0" w:beforeAutospacing="0" w:after="0" w:afterAutospacing="0"/>
            </w:pPr>
            <w:r w:rsidRPr="00A96337">
              <w:t>= can sell milk raw or process into cheese according to price signal</w:t>
            </w:r>
          </w:p>
        </w:tc>
        <w:tc>
          <w:tcPr>
            <w:tcW w:w="791" w:type="pct"/>
            <w:shd w:val="clear" w:color="auto" w:fill="DBE5F1" w:themeFill="accent1" w:themeFillTint="33"/>
          </w:tcPr>
          <w:p w14:paraId="4E2A3C86"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New accessible market segment</w:t>
            </w:r>
          </w:p>
        </w:tc>
      </w:tr>
      <w:tr w:rsidR="002F4F42" w:rsidRPr="00A96337" w14:paraId="7CB4B74E" w14:textId="77777777" w:rsidTr="00F83086">
        <w:tc>
          <w:tcPr>
            <w:cnfStyle w:val="001000000000" w:firstRow="0" w:lastRow="0" w:firstColumn="1" w:lastColumn="0" w:oddVBand="0" w:evenVBand="0" w:oddHBand="0" w:evenHBand="0" w:firstRowFirstColumn="0" w:firstRowLastColumn="0" w:lastRowFirstColumn="0" w:lastRowLastColumn="0"/>
            <w:tcW w:w="785" w:type="pct"/>
          </w:tcPr>
          <w:p w14:paraId="29004796" w14:textId="77777777" w:rsidR="002F4F42" w:rsidRPr="00A96337" w:rsidRDefault="002F4F42" w:rsidP="00613B55">
            <w:pPr>
              <w:spacing w:before="0" w:beforeAutospacing="0" w:after="0" w:afterAutospacing="0"/>
            </w:pPr>
            <w:r w:rsidRPr="00A96337">
              <w:t>Lack of interest from commercial sector</w:t>
            </w:r>
          </w:p>
        </w:tc>
        <w:tc>
          <w:tcPr>
            <w:cnfStyle w:val="000010000000" w:firstRow="0" w:lastRow="0" w:firstColumn="0" w:lastColumn="0" w:oddVBand="1" w:evenVBand="0" w:oddHBand="0" w:evenHBand="0" w:firstRowFirstColumn="0" w:firstRowLastColumn="0" w:lastRowFirstColumn="0" w:lastRowLastColumn="0"/>
            <w:tcW w:w="1141" w:type="pct"/>
            <w:shd w:val="clear" w:color="auto" w:fill="95B3D7" w:themeFill="accent1" w:themeFillTint="99"/>
          </w:tcPr>
          <w:p w14:paraId="0AC71C90" w14:textId="77777777" w:rsidR="002F4F42" w:rsidRPr="00A96337" w:rsidRDefault="002F4F42" w:rsidP="00613B55">
            <w:pPr>
              <w:spacing w:before="0" w:beforeAutospacing="0" w:after="0" w:afterAutospacing="0"/>
            </w:pPr>
            <w:r w:rsidRPr="00A96337">
              <w:t>no offers for purchase outside of traditional traders</w:t>
            </w:r>
          </w:p>
        </w:tc>
        <w:tc>
          <w:tcPr>
            <w:tcW w:w="1212" w:type="pct"/>
            <w:shd w:val="clear" w:color="auto" w:fill="B8CCE4" w:themeFill="accent1" w:themeFillTint="66"/>
          </w:tcPr>
          <w:p w14:paraId="139F7657"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propose opportunity to cow dairy company interested in exploring sheep dairy</w:t>
            </w:r>
          </w:p>
          <w:p w14:paraId="678B99A8"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(REACH)</w:t>
            </w:r>
          </w:p>
        </w:tc>
        <w:tc>
          <w:tcPr>
            <w:cnfStyle w:val="000010000000" w:firstRow="0" w:lastRow="0" w:firstColumn="0" w:lastColumn="0" w:oddVBand="1" w:evenVBand="0" w:oddHBand="0" w:evenHBand="0" w:firstRowFirstColumn="0" w:firstRowLastColumn="0" w:lastRowFirstColumn="0" w:lastRowLastColumn="0"/>
            <w:tcW w:w="1070" w:type="pct"/>
            <w:shd w:val="clear" w:color="auto" w:fill="C6D9F1" w:themeFill="text2" w:themeFillTint="33"/>
          </w:tcPr>
          <w:p w14:paraId="7192A8C1" w14:textId="77777777" w:rsidR="002F4F42" w:rsidRPr="00A96337" w:rsidRDefault="002F4F42" w:rsidP="00613B55">
            <w:pPr>
              <w:spacing w:before="0" w:beforeAutospacing="0" w:after="0" w:afterAutospacing="0"/>
            </w:pPr>
            <w:r w:rsidRPr="00A96337">
              <w:t>= dairy company starts purchasing raw milk and retailing new products; 5 more companies copy</w:t>
            </w:r>
          </w:p>
        </w:tc>
        <w:tc>
          <w:tcPr>
            <w:tcW w:w="791" w:type="pct"/>
            <w:shd w:val="clear" w:color="auto" w:fill="DBE5F1" w:themeFill="accent1" w:themeFillTint="33"/>
          </w:tcPr>
          <w:p w14:paraId="2260F571"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Introduction of new traders and products</w:t>
            </w:r>
          </w:p>
        </w:tc>
      </w:tr>
      <w:tr w:rsidR="002F4F42" w:rsidRPr="00A96337" w14:paraId="3547BA66" w14:textId="77777777" w:rsidTr="00F83086">
        <w:tc>
          <w:tcPr>
            <w:cnfStyle w:val="001000000000" w:firstRow="0" w:lastRow="0" w:firstColumn="1" w:lastColumn="0" w:oddVBand="0" w:evenVBand="0" w:oddHBand="0" w:evenHBand="0" w:firstRowFirstColumn="0" w:firstRowLastColumn="0" w:lastRowFirstColumn="0" w:lastRowLastColumn="0"/>
            <w:tcW w:w="785" w:type="pct"/>
          </w:tcPr>
          <w:p w14:paraId="3BE92193" w14:textId="77777777" w:rsidR="002F4F42" w:rsidRPr="00A96337" w:rsidRDefault="002F4F42" w:rsidP="00613B55">
            <w:pPr>
              <w:spacing w:before="0" w:beforeAutospacing="0" w:after="0" w:afterAutospacing="0"/>
            </w:pPr>
            <w:r w:rsidRPr="00A96337">
              <w:t>Monopolistic behaviour</w:t>
            </w:r>
          </w:p>
        </w:tc>
        <w:tc>
          <w:tcPr>
            <w:cnfStyle w:val="000010000000" w:firstRow="0" w:lastRow="0" w:firstColumn="0" w:lastColumn="0" w:oddVBand="1" w:evenVBand="0" w:oddHBand="0" w:evenHBand="0" w:firstRowFirstColumn="0" w:firstRowLastColumn="0" w:lastRowFirstColumn="0" w:lastRowLastColumn="0"/>
            <w:tcW w:w="1141" w:type="pct"/>
            <w:shd w:val="clear" w:color="auto" w:fill="95B3D7" w:themeFill="accent1" w:themeFillTint="99"/>
          </w:tcPr>
          <w:p w14:paraId="79B9D027" w14:textId="77777777" w:rsidR="002F4F42" w:rsidRPr="00A96337" w:rsidRDefault="002F4F42" w:rsidP="00613B55">
            <w:pPr>
              <w:spacing w:before="0" w:beforeAutospacing="0" w:after="0" w:afterAutospacing="0"/>
            </w:pPr>
            <w:r w:rsidRPr="00A96337">
              <w:t>traders exploiting the lack of options or scale or mobility: offering very low price</w:t>
            </w:r>
          </w:p>
        </w:tc>
        <w:tc>
          <w:tcPr>
            <w:tcW w:w="1212" w:type="pct"/>
            <w:shd w:val="clear" w:color="auto" w:fill="B8CCE4" w:themeFill="accent1" w:themeFillTint="66"/>
          </w:tcPr>
          <w:p w14:paraId="68735A82"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introduction of new commercial actors</w:t>
            </w:r>
          </w:p>
          <w:p w14:paraId="2C640E43"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(REACH)</w:t>
            </w:r>
          </w:p>
        </w:tc>
        <w:tc>
          <w:tcPr>
            <w:cnfStyle w:val="000010000000" w:firstRow="0" w:lastRow="0" w:firstColumn="0" w:lastColumn="0" w:oddVBand="1" w:evenVBand="0" w:oddHBand="0" w:evenHBand="0" w:firstRowFirstColumn="0" w:firstRowLastColumn="0" w:lastRowFirstColumn="0" w:lastRowLastColumn="0"/>
            <w:tcW w:w="1070" w:type="pct"/>
            <w:shd w:val="clear" w:color="auto" w:fill="C6D9F1" w:themeFill="text2" w:themeFillTint="33"/>
          </w:tcPr>
          <w:p w14:paraId="1583DC6F" w14:textId="77777777" w:rsidR="002F4F42" w:rsidRPr="00A96337" w:rsidRDefault="002F4F42" w:rsidP="00613B55">
            <w:pPr>
              <w:spacing w:before="0" w:beforeAutospacing="0" w:after="0" w:afterAutospacing="0"/>
            </w:pPr>
            <w:r w:rsidRPr="00A96337">
              <w:t>= pressure on traditional traders to increase prices to secure supply</w:t>
            </w:r>
          </w:p>
        </w:tc>
        <w:tc>
          <w:tcPr>
            <w:tcW w:w="791" w:type="pct"/>
            <w:shd w:val="clear" w:color="auto" w:fill="DBE5F1" w:themeFill="accent1" w:themeFillTint="33"/>
          </w:tcPr>
          <w:p w14:paraId="7EAC5BB9"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Stranglehold releasing</w:t>
            </w:r>
          </w:p>
        </w:tc>
      </w:tr>
      <w:tr w:rsidR="002F4F42" w:rsidRPr="00A96337" w14:paraId="10B8B467" w14:textId="77777777" w:rsidTr="00F83086">
        <w:tc>
          <w:tcPr>
            <w:cnfStyle w:val="001000000000" w:firstRow="0" w:lastRow="0" w:firstColumn="1" w:lastColumn="0" w:oddVBand="0" w:evenVBand="0" w:oddHBand="0" w:evenHBand="0" w:firstRowFirstColumn="0" w:firstRowLastColumn="0" w:lastRowFirstColumn="0" w:lastRowLastColumn="0"/>
            <w:tcW w:w="785" w:type="pct"/>
          </w:tcPr>
          <w:p w14:paraId="1BC6AE01" w14:textId="77777777" w:rsidR="002F4F42" w:rsidRPr="00A96337" w:rsidRDefault="002F4F42" w:rsidP="00613B55">
            <w:pPr>
              <w:spacing w:before="0" w:beforeAutospacing="0" w:after="0" w:afterAutospacing="0"/>
            </w:pPr>
            <w:r w:rsidRPr="00A96337">
              <w:t>Low income</w:t>
            </w:r>
          </w:p>
        </w:tc>
        <w:tc>
          <w:tcPr>
            <w:cnfStyle w:val="000010000000" w:firstRow="0" w:lastRow="0" w:firstColumn="0" w:lastColumn="0" w:oddVBand="1" w:evenVBand="0" w:oddHBand="0" w:evenHBand="0" w:firstRowFirstColumn="0" w:firstRowLastColumn="0" w:lastRowFirstColumn="0" w:lastRowLastColumn="0"/>
            <w:tcW w:w="1141" w:type="pct"/>
            <w:shd w:val="clear" w:color="auto" w:fill="95B3D7" w:themeFill="accent1" w:themeFillTint="99"/>
          </w:tcPr>
          <w:p w14:paraId="300E12C3" w14:textId="77777777" w:rsidR="002F4F42" w:rsidRPr="00A96337" w:rsidRDefault="002F4F42" w:rsidP="00613B55">
            <w:pPr>
              <w:spacing w:before="0" w:beforeAutospacing="0" w:after="0" w:afterAutospacing="0"/>
            </w:pPr>
            <w:r w:rsidRPr="00A96337">
              <w:t>income limited to NIS12/kg cheese (equiv. ~4l raw milk)</w:t>
            </w:r>
          </w:p>
        </w:tc>
        <w:tc>
          <w:tcPr>
            <w:tcW w:w="1212" w:type="pct"/>
            <w:shd w:val="clear" w:color="auto" w:fill="B8CCE4" w:themeFill="accent1" w:themeFillTint="66"/>
          </w:tcPr>
          <w:p w14:paraId="26F297BC"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ability to sell raw milk; new markets also available for cheese</w:t>
            </w:r>
          </w:p>
          <w:p w14:paraId="43B3D96B"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(REACH)</w:t>
            </w:r>
          </w:p>
        </w:tc>
        <w:tc>
          <w:tcPr>
            <w:cnfStyle w:val="000010000000" w:firstRow="0" w:lastRow="0" w:firstColumn="0" w:lastColumn="0" w:oddVBand="1" w:evenVBand="0" w:oddHBand="0" w:evenHBand="0" w:firstRowFirstColumn="0" w:firstRowLastColumn="0" w:lastRowFirstColumn="0" w:lastRowLastColumn="0"/>
            <w:tcW w:w="1070" w:type="pct"/>
            <w:shd w:val="clear" w:color="auto" w:fill="C6D9F1" w:themeFill="text2" w:themeFillTint="33"/>
          </w:tcPr>
          <w:p w14:paraId="65A8BAB5" w14:textId="77777777" w:rsidR="002F4F42" w:rsidRPr="00A96337" w:rsidRDefault="002F4F42" w:rsidP="00613B55">
            <w:pPr>
              <w:spacing w:before="0" w:beforeAutospacing="0" w:after="0" w:afterAutospacing="0"/>
            </w:pPr>
            <w:r w:rsidRPr="00A96337">
              <w:t>= extract greater value for the fresh milk than for traditional cheese sales</w:t>
            </w:r>
          </w:p>
        </w:tc>
        <w:tc>
          <w:tcPr>
            <w:tcW w:w="791" w:type="pct"/>
            <w:shd w:val="clear" w:color="auto" w:fill="DBE5F1" w:themeFill="accent1" w:themeFillTint="33"/>
          </w:tcPr>
          <w:p w14:paraId="150F8D9E"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Higher income (~NIS4/l milk)</w:t>
            </w:r>
          </w:p>
        </w:tc>
      </w:tr>
    </w:tbl>
    <w:p w14:paraId="18ED8A45" w14:textId="77777777" w:rsidR="002F4F42" w:rsidRPr="00A96337" w:rsidRDefault="002F4F42" w:rsidP="00CB5CD1">
      <w:pPr>
        <w:pStyle w:val="BodyText"/>
        <w:rPr>
          <w:lang w:val="en-AU"/>
        </w:rPr>
      </w:pPr>
      <w:r w:rsidRPr="00A96337">
        <w:rPr>
          <w:lang w:val="en-AU"/>
        </w:rPr>
        <w:t>The hybrid model has proven capable of creating several transformations simultaneously that can quite rapidly build the scaffolding of pro-poor and pro-women systemic change in the sheep dairy value chain, through a combination of ‘lift up’ (more direct forms of support for the poor) and ‘reach down’ (indirect benefits flowing to the poor through the private sector) interventions.</w:t>
      </w:r>
      <w:r w:rsidR="00E42BC8" w:rsidRPr="00A96337">
        <w:rPr>
          <w:lang w:val="en-AU"/>
        </w:rPr>
        <w:t xml:space="preserve"> </w:t>
      </w:r>
      <w:r w:rsidRPr="00A96337">
        <w:rPr>
          <w:lang w:val="en-AU"/>
        </w:rPr>
        <w:t>The simultaneous application of these two types of intervention is probably crucial to success in this instance.</w:t>
      </w:r>
      <w:r w:rsidR="00E42BC8" w:rsidRPr="00A96337">
        <w:rPr>
          <w:lang w:val="en-AU"/>
        </w:rPr>
        <w:t xml:space="preserve"> </w:t>
      </w:r>
    </w:p>
    <w:p w14:paraId="6BDE2B0B" w14:textId="77777777" w:rsidR="002F4F42" w:rsidRPr="00A96337" w:rsidRDefault="002F4F42" w:rsidP="00CB5CD1">
      <w:pPr>
        <w:pStyle w:val="BodyText"/>
        <w:rPr>
          <w:lang w:val="en-AU"/>
        </w:rPr>
      </w:pPr>
      <w:r w:rsidRPr="00A96337">
        <w:rPr>
          <w:lang w:val="en-AU"/>
        </w:rPr>
        <w:t>If the private sector dairy company was simply induced to consider buying sheep milk from smallholders without the direct ‘lift up’ support, they would have found the low level of productivity and the lack of aggregation, testing and cold storage of milk to be extremely difficult barriers to overcome, and would likely have given up quickly.</w:t>
      </w:r>
      <w:r w:rsidR="00E42BC8" w:rsidRPr="00A96337">
        <w:rPr>
          <w:lang w:val="en-AU"/>
        </w:rPr>
        <w:t xml:space="preserve"> </w:t>
      </w:r>
      <w:r w:rsidRPr="00A96337">
        <w:rPr>
          <w:lang w:val="en-AU"/>
        </w:rPr>
        <w:t>The result would have been that the commercial sector would reaffirm its belief that the sheep dairy sector should remain artisanal, non-commercial and seasonal, locking thousands of smallholders out of a decent income.</w:t>
      </w:r>
      <w:r w:rsidR="00E42BC8" w:rsidRPr="00A96337">
        <w:rPr>
          <w:lang w:val="en-AU"/>
        </w:rPr>
        <w:t xml:space="preserve"> </w:t>
      </w:r>
      <w:r w:rsidRPr="00A96337">
        <w:rPr>
          <w:lang w:val="en-AU"/>
        </w:rPr>
        <w:t>Of course if the dairy company had enough resources, enough blind faith, strong logistics and an dynamic workforce, they could find and fund solutions to all of these problems (one dairy company in the south of West Bank has proven this is possible), but that had never so far happened in the northern part of West Bank and was unlikely to emerge spontaneously.</w:t>
      </w:r>
      <w:r w:rsidR="00E42BC8" w:rsidRPr="00A96337">
        <w:rPr>
          <w:lang w:val="en-AU"/>
        </w:rPr>
        <w:t xml:space="preserve"> </w:t>
      </w:r>
    </w:p>
    <w:p w14:paraId="452624C1" w14:textId="77777777" w:rsidR="002F4F42" w:rsidRPr="00A96337" w:rsidRDefault="002F4F42" w:rsidP="00CB5CD1">
      <w:pPr>
        <w:pStyle w:val="BodyText"/>
        <w:rPr>
          <w:lang w:val="en-AU"/>
        </w:rPr>
      </w:pPr>
      <w:r w:rsidRPr="00A96337">
        <w:rPr>
          <w:lang w:val="en-AU"/>
        </w:rPr>
        <w:t>It is highly likely that the combination of simultaneous interventions – that stimulate improved production, create pro-poor aggregation mechanisms, ensure that women can benefit and negotiate the changes with their husbands, put in place the infrastructure that enable traders to consider new products in the value chain – has been entirely necessary to get this new pro-poor market segment off the ground.</w:t>
      </w:r>
      <w:r w:rsidR="00E42BC8" w:rsidRPr="00A96337">
        <w:rPr>
          <w:lang w:val="en-AU"/>
        </w:rPr>
        <w:t xml:space="preserve"> </w:t>
      </w:r>
      <w:r w:rsidRPr="00A96337">
        <w:rPr>
          <w:lang w:val="en-AU"/>
        </w:rPr>
        <w:t>It has also been completely necessary to intervene directly to ensure that women gain and retain a favourable place in the value chain as it expands – testimonies from women attested to the pressure they are able to collectively resist to let men control the dairy hubs and new value chain opportunities.</w:t>
      </w:r>
    </w:p>
    <w:p w14:paraId="635CDF58" w14:textId="77777777" w:rsidR="002F4F42" w:rsidRPr="00A96337" w:rsidRDefault="002F4F42" w:rsidP="00CB5CD1">
      <w:pPr>
        <w:pStyle w:val="BodyText"/>
        <w:rPr>
          <w:lang w:val="en-AU"/>
        </w:rPr>
      </w:pPr>
      <w:r w:rsidRPr="00A96337">
        <w:rPr>
          <w:lang w:val="en-AU"/>
        </w:rPr>
        <w:t>There is ample room to scale up primary production and facilities are currently too small scale to accommodate the supply and demand.</w:t>
      </w:r>
      <w:r w:rsidR="00E42BC8" w:rsidRPr="00A96337">
        <w:rPr>
          <w:lang w:val="en-AU"/>
        </w:rPr>
        <w:t xml:space="preserve"> </w:t>
      </w:r>
      <w:r w:rsidRPr="00A96337">
        <w:rPr>
          <w:lang w:val="en-AU"/>
        </w:rPr>
        <w:t>It remains to be seen whether the investment to scale up will become available, whether the quality will remain consistent at higher volumes, and whether domestic demand will be met through other models that do not prioritise women farmers.</w:t>
      </w:r>
    </w:p>
    <w:p w14:paraId="7CF12DFF" w14:textId="77777777" w:rsidR="002F4F42" w:rsidRPr="00A96337" w:rsidRDefault="002F4F42" w:rsidP="00CB5CD1">
      <w:pPr>
        <w:pStyle w:val="BodyText"/>
        <w:rPr>
          <w:lang w:val="en-AU"/>
        </w:rPr>
      </w:pPr>
      <w:r w:rsidRPr="00A96337">
        <w:rPr>
          <w:lang w:val="en-AU"/>
        </w:rPr>
        <w:t>Below is a schematic illustrating the simultaneous interventions undertaken to facilitate the emergence of a new market segment.</w:t>
      </w:r>
      <w:r w:rsidR="00E42BC8" w:rsidRPr="00A96337">
        <w:rPr>
          <w:lang w:val="en-AU"/>
        </w:rPr>
        <w:t xml:space="preserve"> </w:t>
      </w:r>
      <w:r w:rsidRPr="00A96337">
        <w:rPr>
          <w:lang w:val="en-AU"/>
        </w:rPr>
        <w:t>It’s clear that the interventions have not yet had time to demonstrate long-term sustainability, and further interventions will likely be necessary to maintain and expand the market for sheep dairy products.</w:t>
      </w:r>
      <w:r w:rsidR="00E42BC8" w:rsidRPr="00A96337">
        <w:rPr>
          <w:lang w:val="en-AU"/>
        </w:rPr>
        <w:t xml:space="preserve"> </w:t>
      </w:r>
      <w:r w:rsidRPr="00A96337">
        <w:rPr>
          <w:lang w:val="en-AU"/>
        </w:rPr>
        <w:t>But the fact that five additional domestically focussed commercial dairy companies have already crowded in to purchase sheep raw milk from producers indicates that the demand for quality sheep milk is strong.</w:t>
      </w:r>
    </w:p>
    <w:p w14:paraId="4B7E9994" w14:textId="77777777" w:rsidR="002F4F42" w:rsidRPr="00A96337" w:rsidRDefault="002F4F42" w:rsidP="002F4F42">
      <w:pPr>
        <w:ind w:left="-709"/>
      </w:pPr>
      <w:r w:rsidRPr="00A96337">
        <w:rPr>
          <w:noProof/>
          <w:lang w:eastAsia="en-AU"/>
        </w:rPr>
        <w:drawing>
          <wp:inline distT="0" distB="0" distL="0" distR="0" wp14:anchorId="2D63F610" wp14:editId="2470D8E6">
            <wp:extent cx="6438900" cy="1292171"/>
            <wp:effectExtent l="0" t="0" r="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092DD58" w14:textId="12B68FDE" w:rsidR="002F4F42" w:rsidRPr="00A96337" w:rsidRDefault="002F4F42" w:rsidP="00613B55">
      <w:pPr>
        <w:ind w:left="-709"/>
        <w:rPr>
          <w:b/>
        </w:rPr>
      </w:pPr>
      <w:r w:rsidRPr="00A96337">
        <w:rPr>
          <w:noProof/>
          <w:lang w:eastAsia="en-AU"/>
        </w:rPr>
        <w:drawing>
          <wp:inline distT="0" distB="0" distL="0" distR="0" wp14:anchorId="2B973330" wp14:editId="5BC7F912">
            <wp:extent cx="6393051" cy="198755"/>
            <wp:effectExtent l="0" t="19050" r="8255" b="2984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Pr="00A96337">
        <w:rPr>
          <w:b/>
        </w:rPr>
        <w:br w:type="page"/>
      </w:r>
    </w:p>
    <w:p w14:paraId="6D42270C" w14:textId="77777777" w:rsidR="002F4F42" w:rsidRPr="00A96337" w:rsidRDefault="002F4F42" w:rsidP="00F05621">
      <w:pPr>
        <w:pStyle w:val="Heading2"/>
        <w:numPr>
          <w:ilvl w:val="0"/>
          <w:numId w:val="0"/>
        </w:numPr>
      </w:pPr>
      <w:bookmarkStart w:id="464" w:name="_Toc8978068"/>
      <w:bookmarkStart w:id="465" w:name="_Toc12364849"/>
      <w:r w:rsidRPr="00A96337">
        <w:t>Case Study 2: Local grape grading and marketing (Oxfam, Halhul/Hebron)</w:t>
      </w:r>
      <w:bookmarkEnd w:id="464"/>
      <w:bookmarkEnd w:id="465"/>
    </w:p>
    <w:tbl>
      <w:tblPr>
        <w:tblStyle w:val="Coffey"/>
        <w:tblW w:w="5000" w:type="pct"/>
        <w:tblLook w:val="02A0" w:firstRow="1" w:lastRow="0" w:firstColumn="1" w:lastColumn="0" w:noHBand="1" w:noVBand="0"/>
      </w:tblPr>
      <w:tblGrid>
        <w:gridCol w:w="1393"/>
        <w:gridCol w:w="2038"/>
        <w:gridCol w:w="2164"/>
        <w:gridCol w:w="1910"/>
        <w:gridCol w:w="1511"/>
      </w:tblGrid>
      <w:tr w:rsidR="002F4F42" w:rsidRPr="00A96337" w14:paraId="7A0BA2FE" w14:textId="77777777" w:rsidTr="00613B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3" w:type="pct"/>
          </w:tcPr>
          <w:p w14:paraId="1DE0EC66" w14:textId="77777777" w:rsidR="002F4F42" w:rsidRPr="00A96337" w:rsidRDefault="002F4F42" w:rsidP="00613B55">
            <w:pPr>
              <w:spacing w:before="0" w:beforeAutospacing="0" w:after="0" w:afterAutospacing="0"/>
            </w:pPr>
            <w:r w:rsidRPr="00A96337">
              <w:t>Problem:</w:t>
            </w:r>
          </w:p>
        </w:tc>
        <w:tc>
          <w:tcPr>
            <w:cnfStyle w:val="000010000000" w:firstRow="0" w:lastRow="0" w:firstColumn="0" w:lastColumn="0" w:oddVBand="1" w:evenVBand="0" w:oddHBand="0" w:evenHBand="0" w:firstRowFirstColumn="0" w:firstRowLastColumn="0" w:lastRowFirstColumn="0" w:lastRowLastColumn="0"/>
            <w:tcW w:w="1130" w:type="pct"/>
          </w:tcPr>
          <w:p w14:paraId="58D9D467" w14:textId="77777777" w:rsidR="002F4F42" w:rsidRPr="00A96337" w:rsidRDefault="002F4F42" w:rsidP="00613B55">
            <w:pPr>
              <w:spacing w:before="0" w:beforeAutospacing="0" w:after="0" w:afterAutospacing="0"/>
            </w:pPr>
            <w:r w:rsidRPr="00A96337">
              <w:t>Barriers</w:t>
            </w:r>
          </w:p>
        </w:tc>
        <w:tc>
          <w:tcPr>
            <w:tcW w:w="1200" w:type="pct"/>
          </w:tcPr>
          <w:p w14:paraId="37B65AF8" w14:textId="77777777" w:rsidR="002F4F42" w:rsidRPr="00A96337" w:rsidRDefault="002F4F42" w:rsidP="00613B55">
            <w:pPr>
              <w:spacing w:before="0" w:beforeAutospacing="0" w:after="0" w:afterAutospacing="0"/>
              <w:cnfStyle w:val="100000000000" w:firstRow="1" w:lastRow="0" w:firstColumn="0" w:lastColumn="0" w:oddVBand="0" w:evenVBand="0" w:oddHBand="0" w:evenHBand="0" w:firstRowFirstColumn="0" w:firstRowLastColumn="0" w:lastRowFirstColumn="0" w:lastRowLastColumn="0"/>
            </w:pPr>
            <w:r w:rsidRPr="00A96337">
              <w:t>Inputs</w:t>
            </w:r>
          </w:p>
        </w:tc>
        <w:tc>
          <w:tcPr>
            <w:cnfStyle w:val="000010000000" w:firstRow="0" w:lastRow="0" w:firstColumn="0" w:lastColumn="0" w:oddVBand="1" w:evenVBand="0" w:oddHBand="0" w:evenHBand="0" w:firstRowFirstColumn="0" w:firstRowLastColumn="0" w:lastRowFirstColumn="0" w:lastRowLastColumn="0"/>
            <w:tcW w:w="1059" w:type="pct"/>
          </w:tcPr>
          <w:p w14:paraId="69CCB6FB" w14:textId="77777777" w:rsidR="002F4F42" w:rsidRPr="00A96337" w:rsidRDefault="002F4F42" w:rsidP="00613B55">
            <w:pPr>
              <w:spacing w:before="0" w:beforeAutospacing="0" w:after="0" w:afterAutospacing="0"/>
            </w:pPr>
            <w:r w:rsidRPr="00A96337">
              <w:t>Outputs</w:t>
            </w:r>
          </w:p>
        </w:tc>
        <w:tc>
          <w:tcPr>
            <w:tcW w:w="838" w:type="pct"/>
          </w:tcPr>
          <w:p w14:paraId="6D94A1AF" w14:textId="77777777" w:rsidR="002F4F42" w:rsidRPr="00A96337" w:rsidRDefault="002F4F42" w:rsidP="00613B55">
            <w:pPr>
              <w:spacing w:before="0" w:beforeAutospacing="0" w:after="0" w:afterAutospacing="0"/>
              <w:cnfStyle w:val="100000000000" w:firstRow="1" w:lastRow="0" w:firstColumn="0" w:lastColumn="0" w:oddVBand="0" w:evenVBand="0" w:oddHBand="0" w:evenHBand="0" w:firstRowFirstColumn="0" w:firstRowLastColumn="0" w:lastRowFirstColumn="0" w:lastRowLastColumn="0"/>
            </w:pPr>
            <w:r w:rsidRPr="00A96337">
              <w:t>Solution</w:t>
            </w:r>
          </w:p>
        </w:tc>
      </w:tr>
      <w:tr w:rsidR="002F4F42" w:rsidRPr="00A96337" w14:paraId="5C271207" w14:textId="77777777" w:rsidTr="00F83086">
        <w:tc>
          <w:tcPr>
            <w:cnfStyle w:val="001000000000" w:firstRow="0" w:lastRow="0" w:firstColumn="1" w:lastColumn="0" w:oddVBand="0" w:evenVBand="0" w:oddHBand="0" w:evenHBand="0" w:firstRowFirstColumn="0" w:firstRowLastColumn="0" w:lastRowFirstColumn="0" w:lastRowLastColumn="0"/>
            <w:tcW w:w="773" w:type="pct"/>
          </w:tcPr>
          <w:p w14:paraId="2B78E42F" w14:textId="77777777" w:rsidR="002F4F42" w:rsidRPr="00A96337" w:rsidRDefault="002F4F42" w:rsidP="00613B55">
            <w:pPr>
              <w:spacing w:before="0" w:beforeAutospacing="0" w:after="0" w:afterAutospacing="0"/>
            </w:pPr>
            <w:r w:rsidRPr="00A96337">
              <w:t>Low productivity</w:t>
            </w:r>
          </w:p>
        </w:tc>
        <w:tc>
          <w:tcPr>
            <w:cnfStyle w:val="000010000000" w:firstRow="0" w:lastRow="0" w:firstColumn="0" w:lastColumn="0" w:oddVBand="1" w:evenVBand="0" w:oddHBand="0" w:evenHBand="0" w:firstRowFirstColumn="0" w:firstRowLastColumn="0" w:lastRowFirstColumn="0" w:lastRowLastColumn="0"/>
            <w:tcW w:w="1130" w:type="pct"/>
            <w:shd w:val="clear" w:color="auto" w:fill="95B3D7" w:themeFill="accent1" w:themeFillTint="99"/>
          </w:tcPr>
          <w:p w14:paraId="57D6A6EE" w14:textId="77777777" w:rsidR="002F4F42" w:rsidRPr="00A96337" w:rsidRDefault="002F4F42" w:rsidP="00613B55">
            <w:pPr>
              <w:spacing w:before="0" w:beforeAutospacing="0" w:after="0" w:afterAutospacing="0"/>
            </w:pPr>
            <w:r w:rsidRPr="00A96337">
              <w:t>traditional viticulture practices reducing productivity</w:t>
            </w:r>
          </w:p>
        </w:tc>
        <w:tc>
          <w:tcPr>
            <w:tcW w:w="1200" w:type="pct"/>
            <w:shd w:val="clear" w:color="auto" w:fill="B8CCE4" w:themeFill="accent1" w:themeFillTint="66"/>
          </w:tcPr>
          <w:p w14:paraId="60CED9B7"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GAP training and demo plots for grape production practices</w:t>
            </w:r>
          </w:p>
          <w:p w14:paraId="7A8338D7"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(LIFT)</w:t>
            </w:r>
          </w:p>
        </w:tc>
        <w:tc>
          <w:tcPr>
            <w:cnfStyle w:val="000010000000" w:firstRow="0" w:lastRow="0" w:firstColumn="0" w:lastColumn="0" w:oddVBand="1" w:evenVBand="0" w:oddHBand="0" w:evenHBand="0" w:firstRowFirstColumn="0" w:firstRowLastColumn="0" w:lastRowFirstColumn="0" w:lastRowLastColumn="0"/>
            <w:tcW w:w="1059" w:type="pct"/>
            <w:shd w:val="clear" w:color="auto" w:fill="C6D9F1" w:themeFill="text2" w:themeFillTint="33"/>
          </w:tcPr>
          <w:p w14:paraId="17287782" w14:textId="77777777" w:rsidR="002F4F42" w:rsidRPr="00A96337" w:rsidRDefault="002F4F42" w:rsidP="00613B55">
            <w:pPr>
              <w:spacing w:before="0" w:beforeAutospacing="0" w:after="0" w:afterAutospacing="0"/>
            </w:pPr>
            <w:r w:rsidRPr="00A96337">
              <w:t>= income increases and labour decreases</w:t>
            </w:r>
          </w:p>
          <w:p w14:paraId="067D832F" w14:textId="77777777" w:rsidR="002F4F42" w:rsidRPr="00A96337" w:rsidRDefault="002F4F42" w:rsidP="00613B55">
            <w:pPr>
              <w:spacing w:before="0" w:beforeAutospacing="0" w:after="0" w:afterAutospacing="0"/>
            </w:pPr>
          </w:p>
        </w:tc>
        <w:tc>
          <w:tcPr>
            <w:tcW w:w="838" w:type="pct"/>
            <w:shd w:val="clear" w:color="auto" w:fill="DBE5F1" w:themeFill="accent1" w:themeFillTint="33"/>
          </w:tcPr>
          <w:p w14:paraId="181E4418"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Improved knowledge and practices</w:t>
            </w:r>
          </w:p>
        </w:tc>
      </w:tr>
      <w:tr w:rsidR="002F4F42" w:rsidRPr="00A96337" w14:paraId="55C56348" w14:textId="77777777" w:rsidTr="00F83086">
        <w:tc>
          <w:tcPr>
            <w:cnfStyle w:val="001000000000" w:firstRow="0" w:lastRow="0" w:firstColumn="1" w:lastColumn="0" w:oddVBand="0" w:evenVBand="0" w:oddHBand="0" w:evenHBand="0" w:firstRowFirstColumn="0" w:firstRowLastColumn="0" w:lastRowFirstColumn="0" w:lastRowLastColumn="0"/>
            <w:tcW w:w="773" w:type="pct"/>
          </w:tcPr>
          <w:p w14:paraId="61EB710E" w14:textId="77777777" w:rsidR="002F4F42" w:rsidRPr="00A96337" w:rsidRDefault="002F4F42" w:rsidP="00613B55">
            <w:pPr>
              <w:spacing w:before="0" w:beforeAutospacing="0" w:after="0" w:afterAutospacing="0"/>
            </w:pPr>
            <w:r w:rsidRPr="00A96337">
              <w:t>Few options for women grape farmers</w:t>
            </w:r>
          </w:p>
        </w:tc>
        <w:tc>
          <w:tcPr>
            <w:cnfStyle w:val="000010000000" w:firstRow="0" w:lastRow="0" w:firstColumn="0" w:lastColumn="0" w:oddVBand="1" w:evenVBand="0" w:oddHBand="0" w:evenHBand="0" w:firstRowFirstColumn="0" w:firstRowLastColumn="0" w:lastRowFirstColumn="0" w:lastRowLastColumn="0"/>
            <w:tcW w:w="1130" w:type="pct"/>
            <w:shd w:val="clear" w:color="auto" w:fill="95B3D7" w:themeFill="accent1" w:themeFillTint="99"/>
          </w:tcPr>
          <w:p w14:paraId="205D101D" w14:textId="77777777" w:rsidR="002F4F42" w:rsidRPr="00A96337" w:rsidRDefault="002F4F42" w:rsidP="00613B55">
            <w:pPr>
              <w:spacing w:before="0" w:beforeAutospacing="0" w:after="0" w:afterAutospacing="0"/>
            </w:pPr>
            <w:r w:rsidRPr="00A96337">
              <w:t>Women involved in labour but not engaged in commercial market</w:t>
            </w:r>
          </w:p>
        </w:tc>
        <w:tc>
          <w:tcPr>
            <w:tcW w:w="1200" w:type="pct"/>
            <w:shd w:val="clear" w:color="auto" w:fill="B8CCE4" w:themeFill="accent1" w:themeFillTint="66"/>
          </w:tcPr>
          <w:p w14:paraId="2D3FDCD6"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train women in grading, packaging and processing into value-added products</w:t>
            </w:r>
          </w:p>
          <w:p w14:paraId="0607CF58"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(LIFT)</w:t>
            </w:r>
          </w:p>
        </w:tc>
        <w:tc>
          <w:tcPr>
            <w:cnfStyle w:val="000010000000" w:firstRow="0" w:lastRow="0" w:firstColumn="0" w:lastColumn="0" w:oddVBand="1" w:evenVBand="0" w:oddHBand="0" w:evenHBand="0" w:firstRowFirstColumn="0" w:firstRowLastColumn="0" w:lastRowFirstColumn="0" w:lastRowLastColumn="0"/>
            <w:tcW w:w="1059" w:type="pct"/>
            <w:shd w:val="clear" w:color="auto" w:fill="C6D9F1" w:themeFill="text2" w:themeFillTint="33"/>
          </w:tcPr>
          <w:p w14:paraId="74AA0F06" w14:textId="77777777" w:rsidR="002F4F42" w:rsidRPr="00A96337" w:rsidRDefault="002F4F42" w:rsidP="00613B55">
            <w:pPr>
              <w:spacing w:before="0" w:beforeAutospacing="0" w:after="0" w:afterAutospacing="0"/>
            </w:pPr>
            <w:r w:rsidRPr="00A96337">
              <w:t>= new income opportunities for women</w:t>
            </w:r>
          </w:p>
        </w:tc>
        <w:tc>
          <w:tcPr>
            <w:tcW w:w="838" w:type="pct"/>
            <w:shd w:val="clear" w:color="auto" w:fill="DBE5F1" w:themeFill="accent1" w:themeFillTint="33"/>
          </w:tcPr>
          <w:p w14:paraId="3B0F51E4"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New pro-women market segments</w:t>
            </w:r>
          </w:p>
        </w:tc>
      </w:tr>
      <w:tr w:rsidR="002F4F42" w:rsidRPr="00A96337" w14:paraId="6E32800F" w14:textId="77777777" w:rsidTr="00F83086">
        <w:tc>
          <w:tcPr>
            <w:cnfStyle w:val="001000000000" w:firstRow="0" w:lastRow="0" w:firstColumn="1" w:lastColumn="0" w:oddVBand="0" w:evenVBand="0" w:oddHBand="0" w:evenHBand="0" w:firstRowFirstColumn="0" w:firstRowLastColumn="0" w:lastRowFirstColumn="0" w:lastRowLastColumn="0"/>
            <w:tcW w:w="773" w:type="pct"/>
          </w:tcPr>
          <w:p w14:paraId="107E97A0" w14:textId="77777777" w:rsidR="002F4F42" w:rsidRPr="00A96337" w:rsidRDefault="002F4F42" w:rsidP="00613B55">
            <w:pPr>
              <w:spacing w:before="0" w:beforeAutospacing="0" w:after="0" w:afterAutospacing="0"/>
            </w:pPr>
            <w:r w:rsidRPr="00A96337">
              <w:t>Poor handling and processing</w:t>
            </w:r>
          </w:p>
        </w:tc>
        <w:tc>
          <w:tcPr>
            <w:cnfStyle w:val="000010000000" w:firstRow="0" w:lastRow="0" w:firstColumn="0" w:lastColumn="0" w:oddVBand="1" w:evenVBand="0" w:oddHBand="0" w:evenHBand="0" w:firstRowFirstColumn="0" w:firstRowLastColumn="0" w:lastRowFirstColumn="0" w:lastRowLastColumn="0"/>
            <w:tcW w:w="1130" w:type="pct"/>
            <w:shd w:val="clear" w:color="auto" w:fill="95B3D7" w:themeFill="accent1" w:themeFillTint="99"/>
          </w:tcPr>
          <w:p w14:paraId="638BA020" w14:textId="77777777" w:rsidR="002F4F42" w:rsidRPr="00A96337" w:rsidRDefault="002F4F42" w:rsidP="00613B55">
            <w:pPr>
              <w:spacing w:before="0" w:beforeAutospacing="0" w:after="0" w:afterAutospacing="0"/>
            </w:pPr>
            <w:r w:rsidRPr="00A96337">
              <w:t>No cold storage or grading; grapes harvested and packed in boxes and sold same day</w:t>
            </w:r>
          </w:p>
        </w:tc>
        <w:tc>
          <w:tcPr>
            <w:tcW w:w="1200" w:type="pct"/>
            <w:shd w:val="clear" w:color="auto" w:fill="B8CCE4" w:themeFill="accent1" w:themeFillTint="66"/>
          </w:tcPr>
          <w:p w14:paraId="7E8AE501"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grape packing house rented as proof of concept</w:t>
            </w:r>
          </w:p>
          <w:p w14:paraId="31806175"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consortium establish</w:t>
            </w:r>
            <w:r w:rsidR="00E42BC8" w:rsidRPr="00A96337">
              <w:t xml:space="preserve"> </w:t>
            </w:r>
            <w:r w:rsidRPr="00A96337">
              <w:t xml:space="preserve">purpose built packing house </w:t>
            </w:r>
          </w:p>
          <w:p w14:paraId="2527965A"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(LIFT &amp; REACH)</w:t>
            </w:r>
          </w:p>
        </w:tc>
        <w:tc>
          <w:tcPr>
            <w:cnfStyle w:val="000010000000" w:firstRow="0" w:lastRow="0" w:firstColumn="0" w:lastColumn="0" w:oddVBand="1" w:evenVBand="0" w:oddHBand="0" w:evenHBand="0" w:firstRowFirstColumn="0" w:firstRowLastColumn="0" w:lastRowFirstColumn="0" w:lastRowLastColumn="0"/>
            <w:tcW w:w="1059" w:type="pct"/>
            <w:shd w:val="clear" w:color="auto" w:fill="C6D9F1" w:themeFill="text2" w:themeFillTint="33"/>
          </w:tcPr>
          <w:p w14:paraId="7ABFD428" w14:textId="77777777" w:rsidR="002F4F42" w:rsidRPr="00A96337" w:rsidRDefault="002F4F42" w:rsidP="00613B55">
            <w:pPr>
              <w:spacing w:before="0" w:beforeAutospacing="0" w:after="0" w:afterAutospacing="0"/>
            </w:pPr>
            <w:r w:rsidRPr="00A96337">
              <w:t>= Cold storage, grading, packing and processing become available for local grape market</w:t>
            </w:r>
          </w:p>
        </w:tc>
        <w:tc>
          <w:tcPr>
            <w:tcW w:w="838" w:type="pct"/>
            <w:shd w:val="clear" w:color="auto" w:fill="DBE5F1" w:themeFill="accent1" w:themeFillTint="33"/>
          </w:tcPr>
          <w:p w14:paraId="2C3AFE17"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Cold storage and packing house</w:t>
            </w:r>
          </w:p>
        </w:tc>
      </w:tr>
      <w:tr w:rsidR="002F4F42" w:rsidRPr="00A96337" w14:paraId="262362A2" w14:textId="77777777" w:rsidTr="00F83086">
        <w:tc>
          <w:tcPr>
            <w:cnfStyle w:val="001000000000" w:firstRow="0" w:lastRow="0" w:firstColumn="1" w:lastColumn="0" w:oddVBand="0" w:evenVBand="0" w:oddHBand="0" w:evenHBand="0" w:firstRowFirstColumn="0" w:firstRowLastColumn="0" w:lastRowFirstColumn="0" w:lastRowLastColumn="0"/>
            <w:tcW w:w="773" w:type="pct"/>
          </w:tcPr>
          <w:p w14:paraId="2267B923" w14:textId="77777777" w:rsidR="002F4F42" w:rsidRPr="00A96337" w:rsidRDefault="002F4F42" w:rsidP="00613B55">
            <w:pPr>
              <w:spacing w:before="0" w:beforeAutospacing="0" w:after="0" w:afterAutospacing="0"/>
            </w:pPr>
            <w:r w:rsidRPr="00A96337">
              <w:t>Mistrust between traders and farmers</w:t>
            </w:r>
          </w:p>
        </w:tc>
        <w:tc>
          <w:tcPr>
            <w:cnfStyle w:val="000010000000" w:firstRow="0" w:lastRow="0" w:firstColumn="0" w:lastColumn="0" w:oddVBand="1" w:evenVBand="0" w:oddHBand="0" w:evenHBand="0" w:firstRowFirstColumn="0" w:firstRowLastColumn="0" w:lastRowFirstColumn="0" w:lastRowLastColumn="0"/>
            <w:tcW w:w="1130" w:type="pct"/>
            <w:shd w:val="clear" w:color="auto" w:fill="95B3D7" w:themeFill="accent1" w:themeFillTint="99"/>
          </w:tcPr>
          <w:p w14:paraId="00362698" w14:textId="77777777" w:rsidR="002F4F42" w:rsidRPr="00A96337" w:rsidRDefault="002F4F42" w:rsidP="00613B55">
            <w:pPr>
              <w:spacing w:before="0" w:beforeAutospacing="0" w:after="0" w:afterAutospacing="0"/>
            </w:pPr>
            <w:r w:rsidRPr="00A96337">
              <w:t>Traders don’t expect improved quality/quantity; farmers don’t trust good prices will result from their efforts</w:t>
            </w:r>
          </w:p>
        </w:tc>
        <w:tc>
          <w:tcPr>
            <w:tcW w:w="1200" w:type="pct"/>
            <w:shd w:val="clear" w:color="auto" w:fill="B8CCE4" w:themeFill="accent1" w:themeFillTint="66"/>
          </w:tcPr>
          <w:p w14:paraId="38735582"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brokered and guaranteed supply contracts between traders and producers</w:t>
            </w:r>
          </w:p>
          <w:p w14:paraId="3BA43039"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engaged both in plans to establish packing house</w:t>
            </w:r>
          </w:p>
          <w:p w14:paraId="24DAD453"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(REACH)</w:t>
            </w:r>
          </w:p>
        </w:tc>
        <w:tc>
          <w:tcPr>
            <w:cnfStyle w:val="000010000000" w:firstRow="0" w:lastRow="0" w:firstColumn="0" w:lastColumn="0" w:oddVBand="1" w:evenVBand="0" w:oddHBand="0" w:evenHBand="0" w:firstRowFirstColumn="0" w:firstRowLastColumn="0" w:lastRowFirstColumn="0" w:lastRowLastColumn="0"/>
            <w:tcW w:w="1059" w:type="pct"/>
            <w:shd w:val="clear" w:color="auto" w:fill="C6D9F1" w:themeFill="text2" w:themeFillTint="33"/>
          </w:tcPr>
          <w:p w14:paraId="7A1030EA" w14:textId="77777777" w:rsidR="002F4F42" w:rsidRPr="00A96337" w:rsidRDefault="002F4F42" w:rsidP="00613B55">
            <w:pPr>
              <w:spacing w:before="0" w:beforeAutospacing="0" w:after="0" w:afterAutospacing="0"/>
            </w:pPr>
            <w:r w:rsidRPr="00A96337">
              <w:t>= transparent arrangements for payment on objective quality</w:t>
            </w:r>
          </w:p>
          <w:p w14:paraId="5A318D1F" w14:textId="77777777" w:rsidR="002F4F42" w:rsidRPr="00A96337" w:rsidRDefault="002F4F42" w:rsidP="00613B55">
            <w:pPr>
              <w:spacing w:before="0" w:beforeAutospacing="0" w:after="0" w:afterAutospacing="0"/>
            </w:pPr>
            <w:r w:rsidRPr="00A96337">
              <w:t>= improved predictability for farmers and traders</w:t>
            </w:r>
          </w:p>
        </w:tc>
        <w:tc>
          <w:tcPr>
            <w:tcW w:w="838" w:type="pct"/>
            <w:shd w:val="clear" w:color="auto" w:fill="DBE5F1" w:themeFill="accent1" w:themeFillTint="33"/>
          </w:tcPr>
          <w:p w14:paraId="39FFD1E0"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Transparent supply contracts</w:t>
            </w:r>
          </w:p>
        </w:tc>
      </w:tr>
      <w:tr w:rsidR="002F4F42" w:rsidRPr="00A96337" w14:paraId="0F12473B" w14:textId="77777777" w:rsidTr="00F83086">
        <w:tc>
          <w:tcPr>
            <w:cnfStyle w:val="001000000000" w:firstRow="0" w:lastRow="0" w:firstColumn="1" w:lastColumn="0" w:oddVBand="0" w:evenVBand="0" w:oddHBand="0" w:evenHBand="0" w:firstRowFirstColumn="0" w:firstRowLastColumn="0" w:lastRowFirstColumn="0" w:lastRowLastColumn="0"/>
            <w:tcW w:w="773" w:type="pct"/>
          </w:tcPr>
          <w:p w14:paraId="368B95AD" w14:textId="77777777" w:rsidR="002F4F42" w:rsidRPr="00A96337" w:rsidRDefault="002F4F42" w:rsidP="00613B55">
            <w:pPr>
              <w:spacing w:before="0" w:beforeAutospacing="0" w:after="0" w:afterAutospacing="0"/>
            </w:pPr>
            <w:r w:rsidRPr="00A96337">
              <w:t>Lack of coordination in VC</w:t>
            </w:r>
          </w:p>
        </w:tc>
        <w:tc>
          <w:tcPr>
            <w:cnfStyle w:val="000010000000" w:firstRow="0" w:lastRow="0" w:firstColumn="0" w:lastColumn="0" w:oddVBand="1" w:evenVBand="0" w:oddHBand="0" w:evenHBand="0" w:firstRowFirstColumn="0" w:firstRowLastColumn="0" w:lastRowFirstColumn="0" w:lastRowLastColumn="0"/>
            <w:tcW w:w="1130" w:type="pct"/>
            <w:shd w:val="clear" w:color="auto" w:fill="95B3D7" w:themeFill="accent1" w:themeFillTint="99"/>
          </w:tcPr>
          <w:p w14:paraId="23F9E9DD" w14:textId="77777777" w:rsidR="002F4F42" w:rsidRPr="00A96337" w:rsidRDefault="002F4F42" w:rsidP="00613B55">
            <w:pPr>
              <w:spacing w:before="0" w:beforeAutospacing="0" w:after="0" w:afterAutospacing="0"/>
            </w:pPr>
            <w:r w:rsidRPr="00A96337">
              <w:t>farmers compete for low prices in glut season</w:t>
            </w:r>
          </w:p>
        </w:tc>
        <w:tc>
          <w:tcPr>
            <w:tcW w:w="1200" w:type="pct"/>
            <w:shd w:val="clear" w:color="auto" w:fill="B8CCE4" w:themeFill="accent1" w:themeFillTint="66"/>
          </w:tcPr>
          <w:p w14:paraId="458D78DC" w14:textId="12C03413"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bring stakeholders (farmers, coops, cham</w:t>
            </w:r>
            <w:r w:rsidR="00C37194">
              <w:t>ber</w:t>
            </w:r>
            <w:r w:rsidRPr="00A96337">
              <w:t xml:space="preserve"> of commerce, traders, investors) together to market collectively</w:t>
            </w:r>
          </w:p>
          <w:p w14:paraId="5F6264E4"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(REACH)</w:t>
            </w:r>
          </w:p>
        </w:tc>
        <w:tc>
          <w:tcPr>
            <w:cnfStyle w:val="000010000000" w:firstRow="0" w:lastRow="0" w:firstColumn="0" w:lastColumn="0" w:oddVBand="1" w:evenVBand="0" w:oddHBand="0" w:evenHBand="0" w:firstRowFirstColumn="0" w:firstRowLastColumn="0" w:lastRowFirstColumn="0" w:lastRowLastColumn="0"/>
            <w:tcW w:w="1059" w:type="pct"/>
            <w:shd w:val="clear" w:color="auto" w:fill="C6D9F1" w:themeFill="text2" w:themeFillTint="33"/>
          </w:tcPr>
          <w:p w14:paraId="5CC557EB" w14:textId="77777777" w:rsidR="002F4F42" w:rsidRPr="00A96337" w:rsidRDefault="002F4F42" w:rsidP="00613B55">
            <w:pPr>
              <w:spacing w:before="0" w:beforeAutospacing="0" w:after="0" w:afterAutospacing="0"/>
            </w:pPr>
            <w:r w:rsidRPr="00A96337">
              <w:t>= establishment of coordination mechanism for marketing company</w:t>
            </w:r>
          </w:p>
        </w:tc>
        <w:tc>
          <w:tcPr>
            <w:tcW w:w="838" w:type="pct"/>
            <w:shd w:val="clear" w:color="auto" w:fill="DBE5F1" w:themeFill="accent1" w:themeFillTint="33"/>
          </w:tcPr>
          <w:p w14:paraId="19CAAB17"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Multi-stakeholder cooperation in marketing</w:t>
            </w:r>
          </w:p>
        </w:tc>
      </w:tr>
      <w:tr w:rsidR="002F4F42" w:rsidRPr="00A96337" w14:paraId="23232B6B" w14:textId="77777777" w:rsidTr="00F83086">
        <w:tc>
          <w:tcPr>
            <w:cnfStyle w:val="001000000000" w:firstRow="0" w:lastRow="0" w:firstColumn="1" w:lastColumn="0" w:oddVBand="0" w:evenVBand="0" w:oddHBand="0" w:evenHBand="0" w:firstRowFirstColumn="0" w:firstRowLastColumn="0" w:lastRowFirstColumn="0" w:lastRowLastColumn="0"/>
            <w:tcW w:w="773" w:type="pct"/>
          </w:tcPr>
          <w:p w14:paraId="4B436CE9" w14:textId="77777777" w:rsidR="002F4F42" w:rsidRPr="00A96337" w:rsidRDefault="002F4F42" w:rsidP="00613B55">
            <w:pPr>
              <w:spacing w:before="0" w:beforeAutospacing="0" w:after="0" w:afterAutospacing="0"/>
            </w:pPr>
            <w:r w:rsidRPr="00A96337">
              <w:t>Unfair competition</w:t>
            </w:r>
          </w:p>
        </w:tc>
        <w:tc>
          <w:tcPr>
            <w:cnfStyle w:val="000010000000" w:firstRow="0" w:lastRow="0" w:firstColumn="0" w:lastColumn="0" w:oddVBand="1" w:evenVBand="0" w:oddHBand="0" w:evenHBand="0" w:firstRowFirstColumn="0" w:firstRowLastColumn="0" w:lastRowFirstColumn="0" w:lastRowLastColumn="0"/>
            <w:tcW w:w="1130" w:type="pct"/>
            <w:shd w:val="clear" w:color="auto" w:fill="95B3D7" w:themeFill="accent1" w:themeFillTint="99"/>
          </w:tcPr>
          <w:p w14:paraId="74B6159C" w14:textId="77777777" w:rsidR="002F4F42" w:rsidRPr="00A96337" w:rsidRDefault="002F4F42" w:rsidP="00613B55">
            <w:pPr>
              <w:spacing w:before="0" w:beforeAutospacing="0" w:after="0" w:afterAutospacing="0"/>
            </w:pPr>
            <w:r w:rsidRPr="00A96337">
              <w:t>Surplus Israeli produce delivered into the Palestinian Territories with no labelling differentiation</w:t>
            </w:r>
          </w:p>
        </w:tc>
        <w:tc>
          <w:tcPr>
            <w:tcW w:w="1200" w:type="pct"/>
            <w:shd w:val="clear" w:color="auto" w:fill="B8CCE4" w:themeFill="accent1" w:themeFillTint="66"/>
          </w:tcPr>
          <w:p w14:paraId="08680241"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xml:space="preserve">+ branding, packaging and marketing specifically for local grapes </w:t>
            </w:r>
          </w:p>
          <w:p w14:paraId="192B1F67"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(REACH)</w:t>
            </w:r>
          </w:p>
        </w:tc>
        <w:tc>
          <w:tcPr>
            <w:cnfStyle w:val="000010000000" w:firstRow="0" w:lastRow="0" w:firstColumn="0" w:lastColumn="0" w:oddVBand="1" w:evenVBand="0" w:oddHBand="0" w:evenHBand="0" w:firstRowFirstColumn="0" w:firstRowLastColumn="0" w:lastRowFirstColumn="0" w:lastRowLastColumn="0"/>
            <w:tcW w:w="1059" w:type="pct"/>
            <w:shd w:val="clear" w:color="auto" w:fill="C6D9F1" w:themeFill="text2" w:themeFillTint="33"/>
          </w:tcPr>
          <w:p w14:paraId="26607734" w14:textId="77777777" w:rsidR="002F4F42" w:rsidRPr="00A96337" w:rsidRDefault="002F4F42" w:rsidP="00613B55">
            <w:pPr>
              <w:spacing w:before="0" w:beforeAutospacing="0" w:after="0" w:afterAutospacing="0"/>
            </w:pPr>
            <w:r w:rsidRPr="00A96337">
              <w:t>= quality Palestinian Territory grapes marketed effectively with product differentiation</w:t>
            </w:r>
          </w:p>
        </w:tc>
        <w:tc>
          <w:tcPr>
            <w:tcW w:w="838" w:type="pct"/>
            <w:shd w:val="clear" w:color="auto" w:fill="DBE5F1" w:themeFill="accent1" w:themeFillTint="33"/>
          </w:tcPr>
          <w:p w14:paraId="5DC9D5FD"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Product differentiation</w:t>
            </w:r>
          </w:p>
        </w:tc>
      </w:tr>
      <w:tr w:rsidR="002F4F42" w:rsidRPr="00A96337" w14:paraId="2D32C52F" w14:textId="77777777" w:rsidTr="00F83086">
        <w:tc>
          <w:tcPr>
            <w:cnfStyle w:val="001000000000" w:firstRow="0" w:lastRow="0" w:firstColumn="1" w:lastColumn="0" w:oddVBand="0" w:evenVBand="0" w:oddHBand="0" w:evenHBand="0" w:firstRowFirstColumn="0" w:firstRowLastColumn="0" w:lastRowFirstColumn="0" w:lastRowLastColumn="0"/>
            <w:tcW w:w="773" w:type="pct"/>
          </w:tcPr>
          <w:p w14:paraId="17457FEA" w14:textId="77777777" w:rsidR="002F4F42" w:rsidRPr="00A96337" w:rsidRDefault="002F4F42" w:rsidP="00613B55">
            <w:pPr>
              <w:spacing w:before="0" w:beforeAutospacing="0" w:after="0" w:afterAutospacing="0"/>
            </w:pPr>
            <w:r w:rsidRPr="00A96337">
              <w:t>Lack of value chain options</w:t>
            </w:r>
          </w:p>
        </w:tc>
        <w:tc>
          <w:tcPr>
            <w:cnfStyle w:val="000010000000" w:firstRow="0" w:lastRow="0" w:firstColumn="0" w:lastColumn="0" w:oddVBand="1" w:evenVBand="0" w:oddHBand="0" w:evenHBand="0" w:firstRowFirstColumn="0" w:firstRowLastColumn="0" w:lastRowFirstColumn="0" w:lastRowLastColumn="0"/>
            <w:tcW w:w="1130" w:type="pct"/>
            <w:shd w:val="clear" w:color="auto" w:fill="95B3D7" w:themeFill="accent1" w:themeFillTint="99"/>
          </w:tcPr>
          <w:p w14:paraId="6048F7E4" w14:textId="77777777" w:rsidR="002F4F42" w:rsidRPr="00A96337" w:rsidRDefault="002F4F42" w:rsidP="00613B55">
            <w:pPr>
              <w:spacing w:before="0" w:beforeAutospacing="0" w:after="0" w:afterAutospacing="0"/>
            </w:pPr>
            <w:r w:rsidRPr="00A96337">
              <w:t>no market outside short season fresh grapes</w:t>
            </w:r>
          </w:p>
        </w:tc>
        <w:tc>
          <w:tcPr>
            <w:tcW w:w="1200" w:type="pct"/>
            <w:shd w:val="clear" w:color="auto" w:fill="B8CCE4" w:themeFill="accent1" w:themeFillTint="66"/>
          </w:tcPr>
          <w:p w14:paraId="6A5AD565"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xml:space="preserve">+ introduce cold storage </w:t>
            </w:r>
          </w:p>
          <w:p w14:paraId="39B96F4A"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trial processing low-grade grapes for juice, vinegar, sumac</w:t>
            </w:r>
          </w:p>
          <w:p w14:paraId="19EF3D6E"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(REACH)</w:t>
            </w:r>
          </w:p>
        </w:tc>
        <w:tc>
          <w:tcPr>
            <w:cnfStyle w:val="000010000000" w:firstRow="0" w:lastRow="0" w:firstColumn="0" w:lastColumn="0" w:oddVBand="1" w:evenVBand="0" w:oddHBand="0" w:evenHBand="0" w:firstRowFirstColumn="0" w:firstRowLastColumn="0" w:lastRowFirstColumn="0" w:lastRowLastColumn="0"/>
            <w:tcW w:w="1059" w:type="pct"/>
            <w:shd w:val="clear" w:color="auto" w:fill="C6D9F1" w:themeFill="text2" w:themeFillTint="33"/>
          </w:tcPr>
          <w:p w14:paraId="0A146CBF" w14:textId="2D00A671" w:rsidR="002F4F42" w:rsidRPr="00A96337" w:rsidRDefault="002F4F42" w:rsidP="00613B55">
            <w:pPr>
              <w:spacing w:before="0" w:beforeAutospacing="0" w:after="0" w:afterAutospacing="0"/>
            </w:pPr>
            <w:r w:rsidRPr="00A96337">
              <w:t xml:space="preserve">= can sell premium grapes at premium price and </w:t>
            </w:r>
            <w:r w:rsidR="00C37194" w:rsidRPr="00A96337">
              <w:t>low-grade</w:t>
            </w:r>
            <w:r w:rsidRPr="00A96337">
              <w:t xml:space="preserve"> grapes at market price </w:t>
            </w:r>
          </w:p>
        </w:tc>
        <w:tc>
          <w:tcPr>
            <w:tcW w:w="838" w:type="pct"/>
            <w:shd w:val="clear" w:color="auto" w:fill="DBE5F1" w:themeFill="accent1" w:themeFillTint="33"/>
          </w:tcPr>
          <w:p w14:paraId="4C9C8F50"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New accessible market segments</w:t>
            </w:r>
          </w:p>
        </w:tc>
      </w:tr>
      <w:tr w:rsidR="002F4F42" w:rsidRPr="00A96337" w14:paraId="78A37831" w14:textId="77777777" w:rsidTr="00F83086">
        <w:tc>
          <w:tcPr>
            <w:cnfStyle w:val="001000000000" w:firstRow="0" w:lastRow="0" w:firstColumn="1" w:lastColumn="0" w:oddVBand="0" w:evenVBand="0" w:oddHBand="0" w:evenHBand="0" w:firstRowFirstColumn="0" w:firstRowLastColumn="0" w:lastRowFirstColumn="0" w:lastRowLastColumn="0"/>
            <w:tcW w:w="773" w:type="pct"/>
          </w:tcPr>
          <w:p w14:paraId="0FC35CBE" w14:textId="77777777" w:rsidR="002F4F42" w:rsidRPr="00A96337" w:rsidRDefault="002F4F42" w:rsidP="00613B55">
            <w:pPr>
              <w:spacing w:before="0" w:beforeAutospacing="0" w:after="0" w:afterAutospacing="0"/>
            </w:pPr>
            <w:r w:rsidRPr="00A96337">
              <w:t>Lack of interest from commercial sector</w:t>
            </w:r>
          </w:p>
        </w:tc>
        <w:tc>
          <w:tcPr>
            <w:cnfStyle w:val="000010000000" w:firstRow="0" w:lastRow="0" w:firstColumn="0" w:lastColumn="0" w:oddVBand="1" w:evenVBand="0" w:oddHBand="0" w:evenHBand="0" w:firstRowFirstColumn="0" w:firstRowLastColumn="0" w:lastRowFirstColumn="0" w:lastRowLastColumn="0"/>
            <w:tcW w:w="1130" w:type="pct"/>
            <w:shd w:val="clear" w:color="auto" w:fill="95B3D7" w:themeFill="accent1" w:themeFillTint="99"/>
          </w:tcPr>
          <w:p w14:paraId="54C98F22" w14:textId="77777777" w:rsidR="002F4F42" w:rsidRPr="00A96337" w:rsidRDefault="002F4F42" w:rsidP="00613B55">
            <w:pPr>
              <w:spacing w:before="0" w:beforeAutospacing="0" w:after="0" w:afterAutospacing="0"/>
            </w:pPr>
            <w:r w:rsidRPr="00A96337">
              <w:t>no buyers outside of traditional local markets</w:t>
            </w:r>
          </w:p>
        </w:tc>
        <w:tc>
          <w:tcPr>
            <w:tcW w:w="1200" w:type="pct"/>
            <w:shd w:val="clear" w:color="auto" w:fill="B8CCE4" w:themeFill="accent1" w:themeFillTint="66"/>
          </w:tcPr>
          <w:p w14:paraId="5384E856"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establish marketing company focussed on local grapes</w:t>
            </w:r>
          </w:p>
          <w:p w14:paraId="2CD2150B"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trial shipments to export destinations</w:t>
            </w:r>
          </w:p>
          <w:p w14:paraId="127E0CC2"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(REACH)</w:t>
            </w:r>
          </w:p>
          <w:p w14:paraId="08BC2614"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59" w:type="pct"/>
            <w:shd w:val="clear" w:color="auto" w:fill="C6D9F1" w:themeFill="text2" w:themeFillTint="33"/>
          </w:tcPr>
          <w:p w14:paraId="350D7833" w14:textId="77777777" w:rsidR="002F4F42" w:rsidRPr="00A96337" w:rsidRDefault="002F4F42" w:rsidP="00613B55">
            <w:pPr>
              <w:spacing w:before="0" w:beforeAutospacing="0" w:after="0" w:afterAutospacing="0"/>
            </w:pPr>
            <w:r w:rsidRPr="00A96337">
              <w:t>= company starts purchasing local grapes at market or above-market rates; processing for seconds</w:t>
            </w:r>
          </w:p>
          <w:p w14:paraId="60C91970" w14:textId="77777777" w:rsidR="002F4F42" w:rsidRPr="00A96337" w:rsidRDefault="002F4F42" w:rsidP="00613B55">
            <w:pPr>
              <w:spacing w:before="0" w:beforeAutospacing="0" w:after="0" w:afterAutospacing="0"/>
            </w:pPr>
            <w:r w:rsidRPr="00A96337">
              <w:t>= successful market creation if allowed to continue exporting</w:t>
            </w:r>
          </w:p>
        </w:tc>
        <w:tc>
          <w:tcPr>
            <w:tcW w:w="838" w:type="pct"/>
            <w:shd w:val="clear" w:color="auto" w:fill="DBE5F1" w:themeFill="accent1" w:themeFillTint="33"/>
          </w:tcPr>
          <w:p w14:paraId="1DE1C085"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Introduction of new traders, export pathways and products</w:t>
            </w:r>
          </w:p>
        </w:tc>
      </w:tr>
      <w:tr w:rsidR="002F4F42" w:rsidRPr="00A96337" w14:paraId="06BA12FA" w14:textId="77777777" w:rsidTr="00F83086">
        <w:tc>
          <w:tcPr>
            <w:cnfStyle w:val="001000000000" w:firstRow="0" w:lastRow="0" w:firstColumn="1" w:lastColumn="0" w:oddVBand="0" w:evenVBand="0" w:oddHBand="0" w:evenHBand="0" w:firstRowFirstColumn="0" w:firstRowLastColumn="0" w:lastRowFirstColumn="0" w:lastRowLastColumn="0"/>
            <w:tcW w:w="773" w:type="pct"/>
          </w:tcPr>
          <w:p w14:paraId="3246F3C0" w14:textId="77777777" w:rsidR="002F4F42" w:rsidRPr="00A96337" w:rsidRDefault="002F4F42" w:rsidP="00613B55">
            <w:pPr>
              <w:spacing w:before="0" w:beforeAutospacing="0" w:after="0" w:afterAutospacing="0"/>
            </w:pPr>
            <w:r w:rsidRPr="00A96337">
              <w:t>Price gouging behaviour</w:t>
            </w:r>
          </w:p>
        </w:tc>
        <w:tc>
          <w:tcPr>
            <w:cnfStyle w:val="000010000000" w:firstRow="0" w:lastRow="0" w:firstColumn="0" w:lastColumn="0" w:oddVBand="1" w:evenVBand="0" w:oddHBand="0" w:evenHBand="0" w:firstRowFirstColumn="0" w:firstRowLastColumn="0" w:lastRowFirstColumn="0" w:lastRowLastColumn="0"/>
            <w:tcW w:w="1130" w:type="pct"/>
            <w:shd w:val="clear" w:color="auto" w:fill="95B3D7" w:themeFill="accent1" w:themeFillTint="99"/>
          </w:tcPr>
          <w:p w14:paraId="6701E1A4" w14:textId="77777777" w:rsidR="002F4F42" w:rsidRPr="00A96337" w:rsidRDefault="002F4F42" w:rsidP="00613B55">
            <w:pPr>
              <w:spacing w:before="0" w:beforeAutospacing="0" w:after="0" w:afterAutospacing="0"/>
            </w:pPr>
            <w:r w:rsidRPr="00A96337">
              <w:t>traders exploiting the glut in supply, rapid spoiling and lack of objective grading: offering very low price</w:t>
            </w:r>
          </w:p>
        </w:tc>
        <w:tc>
          <w:tcPr>
            <w:tcW w:w="1200" w:type="pct"/>
            <w:shd w:val="clear" w:color="auto" w:fill="B8CCE4" w:themeFill="accent1" w:themeFillTint="66"/>
          </w:tcPr>
          <w:p w14:paraId="4E3A4910"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establishment of new commercial consortium</w:t>
            </w:r>
          </w:p>
          <w:p w14:paraId="2D11C7A6"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(REACH)</w:t>
            </w:r>
          </w:p>
        </w:tc>
        <w:tc>
          <w:tcPr>
            <w:cnfStyle w:val="000010000000" w:firstRow="0" w:lastRow="0" w:firstColumn="0" w:lastColumn="0" w:oddVBand="1" w:evenVBand="0" w:oddHBand="0" w:evenHBand="0" w:firstRowFirstColumn="0" w:firstRowLastColumn="0" w:lastRowFirstColumn="0" w:lastRowLastColumn="0"/>
            <w:tcW w:w="1059" w:type="pct"/>
            <w:shd w:val="clear" w:color="auto" w:fill="C6D9F1" w:themeFill="text2" w:themeFillTint="33"/>
          </w:tcPr>
          <w:p w14:paraId="1E25072B" w14:textId="77777777" w:rsidR="002F4F42" w:rsidRPr="00A96337" w:rsidRDefault="002F4F42" w:rsidP="00613B55">
            <w:pPr>
              <w:spacing w:before="0" w:beforeAutospacing="0" w:after="0" w:afterAutospacing="0"/>
            </w:pPr>
            <w:r w:rsidRPr="00A96337">
              <w:t>= pressure on traditional traders to increase prices to secure supply</w:t>
            </w:r>
          </w:p>
        </w:tc>
        <w:tc>
          <w:tcPr>
            <w:tcW w:w="838" w:type="pct"/>
            <w:shd w:val="clear" w:color="auto" w:fill="DBE5F1" w:themeFill="accent1" w:themeFillTint="33"/>
          </w:tcPr>
          <w:p w14:paraId="0D90CAA0"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Stranglehold releasing</w:t>
            </w:r>
          </w:p>
        </w:tc>
      </w:tr>
      <w:tr w:rsidR="002F4F42" w:rsidRPr="00A96337" w14:paraId="7AC56093" w14:textId="77777777" w:rsidTr="00F83086">
        <w:tc>
          <w:tcPr>
            <w:cnfStyle w:val="001000000000" w:firstRow="0" w:lastRow="0" w:firstColumn="1" w:lastColumn="0" w:oddVBand="0" w:evenVBand="0" w:oddHBand="0" w:evenHBand="0" w:firstRowFirstColumn="0" w:firstRowLastColumn="0" w:lastRowFirstColumn="0" w:lastRowLastColumn="0"/>
            <w:tcW w:w="773" w:type="pct"/>
          </w:tcPr>
          <w:p w14:paraId="2B76B2CD" w14:textId="77777777" w:rsidR="002F4F42" w:rsidRPr="00A96337" w:rsidRDefault="002F4F42" w:rsidP="00613B55">
            <w:pPr>
              <w:spacing w:before="0" w:beforeAutospacing="0" w:after="0" w:afterAutospacing="0"/>
            </w:pPr>
            <w:r w:rsidRPr="00A96337">
              <w:t>Low income</w:t>
            </w:r>
          </w:p>
        </w:tc>
        <w:tc>
          <w:tcPr>
            <w:cnfStyle w:val="000010000000" w:firstRow="0" w:lastRow="0" w:firstColumn="0" w:lastColumn="0" w:oddVBand="1" w:evenVBand="0" w:oddHBand="0" w:evenHBand="0" w:firstRowFirstColumn="0" w:firstRowLastColumn="0" w:lastRowFirstColumn="0" w:lastRowLastColumn="0"/>
            <w:tcW w:w="1130" w:type="pct"/>
            <w:shd w:val="clear" w:color="auto" w:fill="95B3D7" w:themeFill="accent1" w:themeFillTint="99"/>
          </w:tcPr>
          <w:p w14:paraId="03B61BDF" w14:textId="77777777" w:rsidR="002F4F42" w:rsidRPr="00A96337" w:rsidRDefault="002F4F42" w:rsidP="00613B55">
            <w:pPr>
              <w:spacing w:before="0" w:beforeAutospacing="0" w:after="0" w:afterAutospacing="0"/>
            </w:pPr>
            <w:r w:rsidRPr="00A96337">
              <w:t>income limited to ~NIS3/kg in ‘glut’ season</w:t>
            </w:r>
          </w:p>
        </w:tc>
        <w:tc>
          <w:tcPr>
            <w:tcW w:w="1200" w:type="pct"/>
            <w:shd w:val="clear" w:color="auto" w:fill="B8CCE4" w:themeFill="accent1" w:themeFillTint="66"/>
          </w:tcPr>
          <w:p w14:paraId="7C57F2BB"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 ability to sell grapes at premium rate for off-season sales; new markets also available for processed seconds</w:t>
            </w:r>
          </w:p>
          <w:p w14:paraId="5507DD07"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(REACH)</w:t>
            </w:r>
          </w:p>
        </w:tc>
        <w:tc>
          <w:tcPr>
            <w:cnfStyle w:val="000010000000" w:firstRow="0" w:lastRow="0" w:firstColumn="0" w:lastColumn="0" w:oddVBand="1" w:evenVBand="0" w:oddHBand="0" w:evenHBand="0" w:firstRowFirstColumn="0" w:firstRowLastColumn="0" w:lastRowFirstColumn="0" w:lastRowLastColumn="0"/>
            <w:tcW w:w="1059" w:type="pct"/>
            <w:shd w:val="clear" w:color="auto" w:fill="C6D9F1" w:themeFill="text2" w:themeFillTint="33"/>
          </w:tcPr>
          <w:p w14:paraId="29B7415E" w14:textId="77777777" w:rsidR="002F4F42" w:rsidRPr="00A96337" w:rsidRDefault="002F4F42" w:rsidP="00613B55">
            <w:pPr>
              <w:spacing w:before="0" w:beforeAutospacing="0" w:after="0" w:afterAutospacing="0"/>
            </w:pPr>
            <w:r w:rsidRPr="00A96337">
              <w:t>= extract greater value for the premium grapes and same value for low-grade grapes</w:t>
            </w:r>
          </w:p>
        </w:tc>
        <w:tc>
          <w:tcPr>
            <w:tcW w:w="838" w:type="pct"/>
            <w:shd w:val="clear" w:color="auto" w:fill="DBE5F1" w:themeFill="accent1" w:themeFillTint="33"/>
          </w:tcPr>
          <w:p w14:paraId="7653753B" w14:textId="77777777" w:rsidR="002F4F42" w:rsidRPr="00A96337" w:rsidRDefault="002F4F42" w:rsidP="00613B5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96337">
              <w:t>Higher income (+NIS1.2/kg premium on good quality grapes)</w:t>
            </w:r>
          </w:p>
        </w:tc>
      </w:tr>
    </w:tbl>
    <w:p w14:paraId="0116E942" w14:textId="77777777" w:rsidR="002F4F42" w:rsidRPr="00A96337" w:rsidRDefault="002F4F42" w:rsidP="002F4F42">
      <w:pPr>
        <w:ind w:left="-709"/>
      </w:pPr>
      <w:r w:rsidRPr="00A96337">
        <w:rPr>
          <w:noProof/>
          <w:lang w:eastAsia="en-AU"/>
        </w:rPr>
        <w:drawing>
          <wp:inline distT="0" distB="0" distL="0" distR="0" wp14:anchorId="514B8BE1" wp14:editId="0B387B0E">
            <wp:extent cx="6735445" cy="1492370"/>
            <wp:effectExtent l="0" t="0" r="825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6FF3435" w14:textId="77777777" w:rsidR="002F4F42" w:rsidRPr="00A96337" w:rsidRDefault="002F4F42" w:rsidP="002F4F42">
      <w:pPr>
        <w:ind w:left="-709"/>
      </w:pPr>
      <w:r w:rsidRPr="00A96337">
        <w:rPr>
          <w:noProof/>
          <w:lang w:eastAsia="en-AU"/>
        </w:rPr>
        <w:drawing>
          <wp:inline distT="0" distB="0" distL="0" distR="0" wp14:anchorId="353D7B86" wp14:editId="3C090D36">
            <wp:extent cx="6636514" cy="230537"/>
            <wp:effectExtent l="0" t="19050" r="0" b="3619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6782CE0A" w14:textId="77777777" w:rsidR="002F4F42" w:rsidRPr="00A96337" w:rsidRDefault="002F4F42" w:rsidP="007C3851">
      <w:pPr>
        <w:pStyle w:val="BodyText"/>
        <w:rPr>
          <w:lang w:val="en-AU"/>
        </w:rPr>
      </w:pPr>
      <w:r w:rsidRPr="00A96337">
        <w:rPr>
          <w:lang w:val="en-AU"/>
        </w:rPr>
        <w:t>Due to the lack of established commercial players and poor coordination in the local grape market, Oxfam took the innovative step of bringing together a range of stakeholders (farmers, cooperatives, chamber of commerce, traders and investors) to establish a new marketing company.</w:t>
      </w:r>
      <w:r w:rsidR="00E42BC8" w:rsidRPr="00A96337">
        <w:rPr>
          <w:lang w:val="en-AU"/>
        </w:rPr>
        <w:t xml:space="preserve"> </w:t>
      </w:r>
      <w:r w:rsidRPr="00A96337">
        <w:rPr>
          <w:lang w:val="en-AU"/>
        </w:rPr>
        <w:t>The local grape sector was an ideal candidate for development because of large production levels and demand, but short seasons and no value adding.</w:t>
      </w:r>
      <w:r w:rsidR="00E42BC8" w:rsidRPr="00A96337">
        <w:rPr>
          <w:lang w:val="en-AU"/>
        </w:rPr>
        <w:t xml:space="preserve"> </w:t>
      </w:r>
      <w:r w:rsidRPr="00A96337">
        <w:rPr>
          <w:lang w:val="en-AU"/>
        </w:rPr>
        <w:t>This initiative exploits the pre-competitive market space where shared interests of producers, buyers and processors outweigh antagonism, and brings the players together to improve quality and pricing, reduce losses and extend season length.</w:t>
      </w:r>
      <w:r w:rsidR="00E42BC8" w:rsidRPr="00A96337">
        <w:rPr>
          <w:lang w:val="en-AU"/>
        </w:rPr>
        <w:t xml:space="preserve"> </w:t>
      </w:r>
      <w:r w:rsidRPr="00A96337">
        <w:rPr>
          <w:lang w:val="en-AU"/>
        </w:rPr>
        <w:t>The skill of the NGO in building trust and cooperation amongst very diverse actors is evident in the decision of the stakeholders to invest in a bespoke cold storage, grading and packing facility.</w:t>
      </w:r>
      <w:r w:rsidR="00E42BC8" w:rsidRPr="00A96337">
        <w:rPr>
          <w:lang w:val="en-AU"/>
        </w:rPr>
        <w:t xml:space="preserve"> </w:t>
      </w:r>
      <w:r w:rsidRPr="00A96337">
        <w:rPr>
          <w:lang w:val="en-AU"/>
        </w:rPr>
        <w:t>Imperative to building this trust was to demonstrate the potential by renting a facility, training graders and packers, developing branding and packaging material and improving the production practices of farmers.</w:t>
      </w:r>
      <w:r w:rsidR="00E42BC8" w:rsidRPr="00A96337">
        <w:rPr>
          <w:lang w:val="en-AU"/>
        </w:rPr>
        <w:t xml:space="preserve"> </w:t>
      </w:r>
      <w:r w:rsidRPr="00A96337">
        <w:rPr>
          <w:lang w:val="en-AU"/>
        </w:rPr>
        <w:t>The proof of concept has been sufficient to see building work commence on the new facility, which indicates the stakeholders are sufficiently convinced of the value of collaborating and scaling up to invest their own finances.</w:t>
      </w:r>
    </w:p>
    <w:p w14:paraId="20273372" w14:textId="77777777" w:rsidR="002F4F42" w:rsidRPr="00A96337" w:rsidRDefault="002F4F42" w:rsidP="007C3851">
      <w:pPr>
        <w:pStyle w:val="BodyText"/>
        <w:rPr>
          <w:lang w:val="en-AU"/>
        </w:rPr>
      </w:pPr>
      <w:r w:rsidRPr="00A96337">
        <w:rPr>
          <w:lang w:val="en-AU"/>
        </w:rPr>
        <w:t>This is a very promising start that shows strong signs of traction.</w:t>
      </w:r>
      <w:r w:rsidR="00E42BC8" w:rsidRPr="00A96337">
        <w:rPr>
          <w:lang w:val="en-AU"/>
        </w:rPr>
        <w:t xml:space="preserve"> </w:t>
      </w:r>
      <w:r w:rsidRPr="00A96337">
        <w:rPr>
          <w:lang w:val="en-AU"/>
        </w:rPr>
        <w:t>It still remains to be seen whether the consortium will remain stable over time and whether the market power of small-scale producers will be retained once farmers are making their own contracting arrangements without NGO assistance.</w:t>
      </w:r>
      <w:r w:rsidR="00E42BC8" w:rsidRPr="00A96337">
        <w:rPr>
          <w:lang w:val="en-AU"/>
        </w:rPr>
        <w:t xml:space="preserve"> </w:t>
      </w:r>
      <w:r w:rsidRPr="00A96337">
        <w:rPr>
          <w:lang w:val="en-AU"/>
        </w:rPr>
        <w:t>Also, while we know that grape-based sumac is now for sale on the market, we have no visibility of the benefits flowing to women in the processing sector.</w:t>
      </w:r>
      <w:r w:rsidR="00E42BC8" w:rsidRPr="00A96337">
        <w:rPr>
          <w:lang w:val="en-AU"/>
        </w:rPr>
        <w:t xml:space="preserve"> </w:t>
      </w:r>
      <w:r w:rsidRPr="00A96337">
        <w:rPr>
          <w:lang w:val="en-AU"/>
        </w:rPr>
        <w:t>Finally, there appears to be insufficient consideration of the potential for copying and crowding; the new facility is an impressive step forward but will only cater for a small proportion of the grapes potentially available for improved production, harvesting, transport, grading, storage and processing if the sector takes off.</w:t>
      </w:r>
    </w:p>
    <w:p w14:paraId="1F801416" w14:textId="77777777" w:rsidR="002F4F42" w:rsidRPr="00A96337" w:rsidRDefault="002F4F42" w:rsidP="002F4F42"/>
    <w:p w14:paraId="0F8F4BB7" w14:textId="77777777" w:rsidR="002F4F42" w:rsidRPr="00A96337" w:rsidRDefault="002F4F42" w:rsidP="002F4F42">
      <w:pPr>
        <w:sectPr w:rsidR="002F4F42" w:rsidRPr="00A96337" w:rsidSect="000E1846">
          <w:footerReference w:type="default" r:id="rId58"/>
          <w:footerReference w:type="first" r:id="rId59"/>
          <w:pgSz w:w="11906" w:h="16838"/>
          <w:pgMar w:top="1440" w:right="1440" w:bottom="1440" w:left="1440" w:header="708" w:footer="708" w:gutter="0"/>
          <w:cols w:space="708"/>
          <w:titlePg/>
          <w:docGrid w:linePitch="360"/>
        </w:sectPr>
      </w:pPr>
    </w:p>
    <w:p w14:paraId="0758560B" w14:textId="2E2395EE" w:rsidR="002F4F42" w:rsidRPr="00A96337" w:rsidRDefault="002F4F42" w:rsidP="007F6FE5">
      <w:pPr>
        <w:pStyle w:val="Heading1"/>
        <w:numPr>
          <w:ilvl w:val="0"/>
          <w:numId w:val="0"/>
        </w:numPr>
      </w:pPr>
      <w:bookmarkStart w:id="466" w:name="_Toc8978069"/>
      <w:bookmarkStart w:id="467" w:name="_Toc12364850"/>
      <w:r w:rsidRPr="00A96337">
        <w:t xml:space="preserve">Annex 3: </w:t>
      </w:r>
      <w:r w:rsidR="009B58A0" w:rsidRPr="00A96337">
        <w:t>AMENCA 3</w:t>
      </w:r>
      <w:r w:rsidRPr="00A96337">
        <w:t xml:space="preserve"> </w:t>
      </w:r>
      <w:r w:rsidR="008A1E02" w:rsidRPr="00A96337">
        <w:t>a</w:t>
      </w:r>
      <w:r w:rsidR="002F4BFA" w:rsidRPr="00A96337">
        <w:t xml:space="preserve">ggregated </w:t>
      </w:r>
      <w:r w:rsidR="008A1E02" w:rsidRPr="00A96337">
        <w:t>p</w:t>
      </w:r>
      <w:r w:rsidRPr="00A96337">
        <w:t xml:space="preserve">rogram </w:t>
      </w:r>
      <w:r w:rsidR="008A1E02" w:rsidRPr="00A96337">
        <w:t>l</w:t>
      </w:r>
      <w:r w:rsidRPr="00A96337">
        <w:t xml:space="preserve">evel </w:t>
      </w:r>
      <w:r w:rsidR="008A1E02" w:rsidRPr="00A96337">
        <w:t>r</w:t>
      </w:r>
      <w:r w:rsidRPr="00A96337">
        <w:t xml:space="preserve">esults </w:t>
      </w:r>
      <w:sdt>
        <w:sdtPr>
          <w:id w:val="1893231817"/>
          <w:citation/>
        </w:sdtPr>
        <w:sdtEndPr/>
        <w:sdtContent>
          <w:r w:rsidRPr="00A96337">
            <w:fldChar w:fldCharType="begin"/>
          </w:r>
          <w:r w:rsidRPr="00A96337">
            <w:instrText xml:space="preserve"> CITATION AME19 \l 5129 </w:instrText>
          </w:r>
          <w:r w:rsidRPr="00A96337">
            <w:fldChar w:fldCharType="separate"/>
          </w:r>
          <w:r w:rsidR="00593D9F">
            <w:rPr>
              <w:noProof/>
            </w:rPr>
            <w:t>(AMENCA 3, March 2019)</w:t>
          </w:r>
          <w:r w:rsidRPr="00A96337">
            <w:fldChar w:fldCharType="end"/>
          </w:r>
        </w:sdtContent>
      </w:sdt>
      <w:bookmarkEnd w:id="466"/>
      <w:bookmarkEnd w:id="467"/>
    </w:p>
    <w:p w14:paraId="62E99E10" w14:textId="77777777" w:rsidR="002F4F42" w:rsidRPr="00A96337" w:rsidRDefault="002F4F42" w:rsidP="007C3851">
      <w:pPr>
        <w:pStyle w:val="BodyText"/>
        <w:rPr>
          <w:lang w:val="en-AU"/>
        </w:rPr>
      </w:pPr>
      <w:r w:rsidRPr="00A96337">
        <w:rPr>
          <w:lang w:val="en-AU"/>
        </w:rPr>
        <w:t>Green shading reflects achievements that have already exceeded the targets set for 2018 (light green), 2019 (mid green), and 2020 (dark green), while red reflects results that remain below the 2018 targets.</w:t>
      </w:r>
    </w:p>
    <w:tbl>
      <w:tblPr>
        <w:tblW w:w="5000" w:type="pct"/>
        <w:jc w:val="center"/>
        <w:tblBorders>
          <w:top w:val="single" w:sz="8" w:space="0" w:color="5482AB"/>
          <w:bottom w:val="single" w:sz="8" w:space="0" w:color="5482AB"/>
          <w:insideH w:val="single" w:sz="8" w:space="0" w:color="5482AB"/>
        </w:tblBorders>
        <w:tblLook w:val="04A0" w:firstRow="1" w:lastRow="0" w:firstColumn="1" w:lastColumn="0" w:noHBand="0" w:noVBand="1"/>
      </w:tblPr>
      <w:tblGrid>
        <w:gridCol w:w="6040"/>
        <w:gridCol w:w="1079"/>
        <w:gridCol w:w="1247"/>
        <w:gridCol w:w="1269"/>
        <w:gridCol w:w="1269"/>
        <w:gridCol w:w="1407"/>
        <w:gridCol w:w="1647"/>
      </w:tblGrid>
      <w:tr w:rsidR="002F4F42" w:rsidRPr="00A96337" w14:paraId="0D9E6CAC" w14:textId="77777777" w:rsidTr="000E1846">
        <w:trPr>
          <w:tblHeader/>
          <w:jc w:val="center"/>
        </w:trPr>
        <w:tc>
          <w:tcPr>
            <w:tcW w:w="2170" w:type="pct"/>
            <w:shd w:val="clear" w:color="auto" w:fill="5482AB"/>
            <w:vAlign w:val="center"/>
            <w:hideMark/>
          </w:tcPr>
          <w:p w14:paraId="3761C340" w14:textId="77777777" w:rsidR="002F4F42" w:rsidRPr="00A96337" w:rsidRDefault="002F4F42" w:rsidP="000E1846">
            <w:pPr>
              <w:spacing w:before="60" w:after="60"/>
              <w:jc w:val="center"/>
              <w:rPr>
                <w:rFonts w:ascii="Arial" w:eastAsia="Times New Roman" w:hAnsi="Arial" w:cs="Arial"/>
                <w:color w:val="FFFFFF" w:themeColor="background1"/>
                <w:sz w:val="16"/>
                <w:szCs w:val="16"/>
              </w:rPr>
            </w:pPr>
            <w:r w:rsidRPr="00A96337">
              <w:rPr>
                <w:rFonts w:ascii="Arial" w:eastAsia="Times New Roman" w:hAnsi="Arial" w:cs="Arial"/>
                <w:b/>
                <w:color w:val="FFFFFF" w:themeColor="background1"/>
                <w:sz w:val="16"/>
                <w:szCs w:val="16"/>
              </w:rPr>
              <w:t>Indicator</w:t>
            </w:r>
            <w:r w:rsidR="00E42BC8" w:rsidRPr="00A96337">
              <w:rPr>
                <w:rFonts w:ascii="Arial" w:eastAsia="Times New Roman" w:hAnsi="Arial" w:cs="Arial"/>
                <w:b/>
                <w:color w:val="FFFFFF" w:themeColor="background1"/>
                <w:sz w:val="16"/>
                <w:szCs w:val="16"/>
              </w:rPr>
              <w:t xml:space="preserve"> </w:t>
            </w:r>
          </w:p>
          <w:p w14:paraId="3C8C3642" w14:textId="77777777" w:rsidR="002F4F42" w:rsidRPr="00A96337" w:rsidRDefault="002F4F42" w:rsidP="000E1846">
            <w:pPr>
              <w:spacing w:before="60" w:after="60"/>
              <w:jc w:val="center"/>
              <w:rPr>
                <w:rFonts w:ascii="Arial" w:eastAsia="Times New Roman" w:hAnsi="Arial" w:cs="Arial"/>
                <w:b/>
                <w:i/>
                <w:color w:val="FFFFFF" w:themeColor="background1"/>
                <w:sz w:val="16"/>
                <w:szCs w:val="16"/>
              </w:rPr>
            </w:pPr>
            <w:r w:rsidRPr="00A96337">
              <w:rPr>
                <w:rFonts w:ascii="Arial" w:eastAsia="Times New Roman" w:hAnsi="Arial" w:cs="Arial"/>
                <w:i/>
                <w:color w:val="FFFFFF" w:themeColor="background1"/>
                <w:sz w:val="16"/>
                <w:szCs w:val="16"/>
              </w:rPr>
              <w:t>[as established by DFAT and consortia in November 2017; may differ from original program targets]</w:t>
            </w:r>
          </w:p>
        </w:tc>
        <w:tc>
          <w:tcPr>
            <w:tcW w:w="349" w:type="pct"/>
            <w:shd w:val="clear" w:color="auto" w:fill="5482AB"/>
            <w:vAlign w:val="center"/>
            <w:hideMark/>
          </w:tcPr>
          <w:p w14:paraId="6A0A4ACE" w14:textId="77777777" w:rsidR="002F4F42" w:rsidRPr="00A96337" w:rsidRDefault="002F4F42" w:rsidP="000E1846">
            <w:pPr>
              <w:spacing w:before="60" w:after="60"/>
              <w:jc w:val="center"/>
              <w:rPr>
                <w:rFonts w:ascii="Arial" w:eastAsia="Times New Roman" w:hAnsi="Arial" w:cs="Arial"/>
                <w:b/>
                <w:color w:val="FFFFFF" w:themeColor="background1"/>
                <w:sz w:val="16"/>
                <w:szCs w:val="16"/>
              </w:rPr>
            </w:pPr>
            <w:r w:rsidRPr="00A96337">
              <w:rPr>
                <w:rFonts w:ascii="Arial" w:eastAsia="Times New Roman" w:hAnsi="Arial" w:cs="Arial"/>
                <w:b/>
                <w:color w:val="FFFFFF" w:themeColor="background1"/>
                <w:sz w:val="16"/>
                <w:szCs w:val="16"/>
              </w:rPr>
              <w:t>Cumulative Results for 2018</w:t>
            </w:r>
          </w:p>
        </w:tc>
        <w:tc>
          <w:tcPr>
            <w:tcW w:w="453" w:type="pct"/>
            <w:shd w:val="clear" w:color="auto" w:fill="5482AB"/>
            <w:vAlign w:val="center"/>
          </w:tcPr>
          <w:p w14:paraId="27E4AFF5" w14:textId="77777777" w:rsidR="002F4F42" w:rsidRPr="00A96337" w:rsidRDefault="002F4F42" w:rsidP="000E1846">
            <w:pPr>
              <w:spacing w:before="60" w:after="60"/>
              <w:jc w:val="center"/>
              <w:rPr>
                <w:rFonts w:ascii="Arial" w:eastAsia="Times New Roman" w:hAnsi="Arial" w:cs="Arial"/>
                <w:b/>
                <w:color w:val="FFFFFF" w:themeColor="background1"/>
                <w:sz w:val="16"/>
                <w:szCs w:val="16"/>
              </w:rPr>
            </w:pPr>
            <w:r w:rsidRPr="00A96337">
              <w:rPr>
                <w:rFonts w:ascii="Arial" w:eastAsia="Times New Roman" w:hAnsi="Arial" w:cs="Arial"/>
                <w:b/>
                <w:color w:val="FFFFFF" w:themeColor="background1"/>
                <w:sz w:val="16"/>
                <w:szCs w:val="16"/>
              </w:rPr>
              <w:t>Agreed Cumulative Target for 2018</w:t>
            </w:r>
          </w:p>
        </w:tc>
        <w:tc>
          <w:tcPr>
            <w:tcW w:w="461" w:type="pct"/>
            <w:shd w:val="clear" w:color="auto" w:fill="5482AB"/>
            <w:vAlign w:val="center"/>
            <w:hideMark/>
          </w:tcPr>
          <w:p w14:paraId="0B3F0BCB" w14:textId="77777777" w:rsidR="002F4F42" w:rsidRPr="00A96337" w:rsidRDefault="002F4F42" w:rsidP="000E1846">
            <w:pPr>
              <w:spacing w:before="60" w:after="60"/>
              <w:jc w:val="center"/>
              <w:rPr>
                <w:rFonts w:ascii="Arial" w:eastAsia="Times New Roman" w:hAnsi="Arial" w:cs="Arial"/>
                <w:b/>
                <w:color w:val="FFFFFF" w:themeColor="background1"/>
                <w:sz w:val="16"/>
                <w:szCs w:val="16"/>
              </w:rPr>
            </w:pPr>
            <w:r w:rsidRPr="00A96337">
              <w:rPr>
                <w:rFonts w:ascii="Arial" w:eastAsia="Times New Roman" w:hAnsi="Arial" w:cs="Arial"/>
                <w:b/>
                <w:color w:val="FFFFFF" w:themeColor="background1"/>
                <w:sz w:val="16"/>
                <w:szCs w:val="16"/>
              </w:rPr>
              <w:t>% achievement of cumulative target for 2018</w:t>
            </w:r>
          </w:p>
        </w:tc>
        <w:tc>
          <w:tcPr>
            <w:tcW w:w="461" w:type="pct"/>
            <w:shd w:val="clear" w:color="auto" w:fill="5482AB"/>
            <w:vAlign w:val="center"/>
          </w:tcPr>
          <w:p w14:paraId="0CB430A8" w14:textId="77777777" w:rsidR="002F4F42" w:rsidRPr="00A96337" w:rsidRDefault="002F4F42" w:rsidP="000E1846">
            <w:pPr>
              <w:spacing w:before="60" w:after="60"/>
              <w:jc w:val="center"/>
              <w:rPr>
                <w:rFonts w:ascii="Arial" w:eastAsia="Times New Roman" w:hAnsi="Arial" w:cs="Arial"/>
                <w:b/>
                <w:color w:val="FFFFFF" w:themeColor="background1"/>
                <w:sz w:val="16"/>
                <w:szCs w:val="16"/>
              </w:rPr>
            </w:pPr>
            <w:r w:rsidRPr="00A96337">
              <w:rPr>
                <w:rFonts w:ascii="Arial" w:eastAsia="Times New Roman" w:hAnsi="Arial" w:cs="Arial"/>
                <w:b/>
                <w:color w:val="FFFFFF" w:themeColor="background1"/>
                <w:sz w:val="16"/>
                <w:szCs w:val="16"/>
              </w:rPr>
              <w:t>Agreed End of Program Target for 2020</w:t>
            </w:r>
          </w:p>
        </w:tc>
        <w:tc>
          <w:tcPr>
            <w:tcW w:w="510" w:type="pct"/>
            <w:shd w:val="clear" w:color="auto" w:fill="5482AB"/>
            <w:vAlign w:val="center"/>
            <w:hideMark/>
          </w:tcPr>
          <w:p w14:paraId="77BB6290" w14:textId="77777777" w:rsidR="002F4F42" w:rsidRPr="00A96337" w:rsidRDefault="002F4F42" w:rsidP="000E1846">
            <w:pPr>
              <w:spacing w:before="60" w:after="60"/>
              <w:jc w:val="center"/>
              <w:rPr>
                <w:rFonts w:ascii="Arial" w:eastAsia="Times New Roman" w:hAnsi="Arial" w:cs="Arial"/>
                <w:b/>
                <w:color w:val="FFFFFF" w:themeColor="background1"/>
                <w:sz w:val="16"/>
                <w:szCs w:val="16"/>
              </w:rPr>
            </w:pPr>
            <w:r w:rsidRPr="00A96337">
              <w:rPr>
                <w:rFonts w:ascii="Arial" w:eastAsia="Times New Roman" w:hAnsi="Arial" w:cs="Arial"/>
                <w:b/>
                <w:color w:val="FFFFFF" w:themeColor="background1"/>
                <w:sz w:val="16"/>
                <w:szCs w:val="16"/>
              </w:rPr>
              <w:t>% achievement to date against 2020 target</w:t>
            </w:r>
          </w:p>
        </w:tc>
        <w:tc>
          <w:tcPr>
            <w:tcW w:w="597" w:type="pct"/>
            <w:shd w:val="clear" w:color="auto" w:fill="5482AB"/>
            <w:vAlign w:val="center"/>
            <w:hideMark/>
          </w:tcPr>
          <w:p w14:paraId="6AC11DBB" w14:textId="77777777" w:rsidR="002F4F42" w:rsidRPr="00A96337" w:rsidRDefault="002F4F42" w:rsidP="000E1846">
            <w:pPr>
              <w:spacing w:before="60" w:after="60"/>
              <w:jc w:val="center"/>
              <w:rPr>
                <w:rFonts w:ascii="Arial" w:eastAsia="Times New Roman" w:hAnsi="Arial" w:cs="Arial"/>
                <w:b/>
                <w:color w:val="FFFFFF" w:themeColor="background1"/>
                <w:sz w:val="16"/>
                <w:szCs w:val="16"/>
              </w:rPr>
            </w:pPr>
            <w:r w:rsidRPr="00A96337">
              <w:rPr>
                <w:rFonts w:ascii="Arial" w:eastAsia="Times New Roman" w:hAnsi="Arial" w:cs="Arial"/>
                <w:b/>
                <w:color w:val="FFFFFF" w:themeColor="background1"/>
                <w:sz w:val="16"/>
                <w:szCs w:val="16"/>
              </w:rPr>
              <w:t>Result</w:t>
            </w:r>
          </w:p>
        </w:tc>
      </w:tr>
      <w:tr w:rsidR="000E1846" w:rsidRPr="00A96337" w14:paraId="00C94662" w14:textId="77777777" w:rsidTr="000E1846">
        <w:trPr>
          <w:jc w:val="center"/>
        </w:trPr>
        <w:tc>
          <w:tcPr>
            <w:tcW w:w="2170" w:type="pct"/>
            <w:shd w:val="clear" w:color="auto" w:fill="F2F2F2" w:themeFill="background1" w:themeFillShade="F2"/>
            <w:vAlign w:val="center"/>
            <w:hideMark/>
          </w:tcPr>
          <w:p w14:paraId="11BBBEE1" w14:textId="5E403180"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 xml:space="preserve">At least 40,000 farmers report increased income from </w:t>
            </w:r>
            <w:r w:rsidR="009B58A0" w:rsidRPr="00A96337">
              <w:rPr>
                <w:rFonts w:ascii="Arial" w:eastAsia="Times New Roman" w:hAnsi="Arial" w:cs="Arial"/>
                <w:color w:val="000000"/>
                <w:sz w:val="16"/>
                <w:szCs w:val="16"/>
              </w:rPr>
              <w:t>AMENCA 3</w:t>
            </w:r>
            <w:r w:rsidRPr="00A96337">
              <w:rPr>
                <w:rFonts w:ascii="Arial" w:eastAsia="Times New Roman" w:hAnsi="Arial" w:cs="Arial"/>
                <w:color w:val="000000"/>
                <w:sz w:val="16"/>
                <w:szCs w:val="16"/>
              </w:rPr>
              <w:t xml:space="preserve"> interventions</w:t>
            </w:r>
          </w:p>
        </w:tc>
        <w:tc>
          <w:tcPr>
            <w:tcW w:w="349" w:type="pct"/>
            <w:shd w:val="clear" w:color="auto" w:fill="auto"/>
            <w:vAlign w:val="center"/>
            <w:hideMark/>
          </w:tcPr>
          <w:p w14:paraId="6A9680A6"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22762</w:t>
            </w:r>
          </w:p>
        </w:tc>
        <w:tc>
          <w:tcPr>
            <w:tcW w:w="453" w:type="pct"/>
            <w:shd w:val="clear" w:color="auto" w:fill="auto"/>
            <w:vAlign w:val="center"/>
          </w:tcPr>
          <w:p w14:paraId="2AD24203"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13785</w:t>
            </w:r>
          </w:p>
        </w:tc>
        <w:tc>
          <w:tcPr>
            <w:tcW w:w="461" w:type="pct"/>
            <w:shd w:val="clear" w:color="auto" w:fill="auto"/>
            <w:vAlign w:val="center"/>
            <w:hideMark/>
          </w:tcPr>
          <w:p w14:paraId="5F3B4188"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165.12</w:t>
            </w:r>
          </w:p>
        </w:tc>
        <w:tc>
          <w:tcPr>
            <w:tcW w:w="461" w:type="pct"/>
            <w:shd w:val="clear" w:color="auto" w:fill="auto"/>
            <w:vAlign w:val="center"/>
          </w:tcPr>
          <w:p w14:paraId="7F4DF371"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41921</w:t>
            </w:r>
          </w:p>
        </w:tc>
        <w:tc>
          <w:tcPr>
            <w:tcW w:w="510" w:type="pct"/>
            <w:shd w:val="clear" w:color="auto" w:fill="auto"/>
            <w:vAlign w:val="center"/>
            <w:hideMark/>
          </w:tcPr>
          <w:p w14:paraId="6C812B9C"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54.30</w:t>
            </w:r>
          </w:p>
        </w:tc>
        <w:tc>
          <w:tcPr>
            <w:tcW w:w="597" w:type="pct"/>
            <w:shd w:val="clear" w:color="auto" w:fill="E1EDD3"/>
            <w:vAlign w:val="center"/>
            <w:hideMark/>
          </w:tcPr>
          <w:p w14:paraId="3272FFBA"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2018 target</w:t>
            </w:r>
          </w:p>
        </w:tc>
      </w:tr>
      <w:tr w:rsidR="000E1846" w:rsidRPr="00A96337" w14:paraId="7E82B627" w14:textId="77777777" w:rsidTr="000E1846">
        <w:trPr>
          <w:jc w:val="center"/>
        </w:trPr>
        <w:tc>
          <w:tcPr>
            <w:tcW w:w="2170" w:type="pct"/>
            <w:shd w:val="clear" w:color="auto" w:fill="F2F2F2" w:themeFill="background1" w:themeFillShade="F2"/>
            <w:vAlign w:val="center"/>
            <w:hideMark/>
          </w:tcPr>
          <w:p w14:paraId="449DDFD7" w14:textId="77777777" w:rsidR="002F4F42" w:rsidRPr="00575100" w:rsidRDefault="002F4F42" w:rsidP="00F8335C">
            <w:pPr>
              <w:pStyle w:val="ListParagraph"/>
              <w:numPr>
                <w:ilvl w:val="0"/>
                <w:numId w:val="42"/>
              </w:numPr>
              <w:rPr>
                <w:rFonts w:eastAsia="Times New Roman"/>
                <w:color w:val="000000"/>
                <w:sz w:val="16"/>
                <w:szCs w:val="16"/>
              </w:rPr>
            </w:pPr>
            <w:r w:rsidRPr="00575100">
              <w:rPr>
                <w:rFonts w:eastAsia="Times New Roman"/>
                <w:color w:val="000000"/>
                <w:sz w:val="16"/>
                <w:szCs w:val="16"/>
              </w:rPr>
              <w:t>Of which 15,000 are women</w:t>
            </w:r>
          </w:p>
        </w:tc>
        <w:tc>
          <w:tcPr>
            <w:tcW w:w="349" w:type="pct"/>
            <w:shd w:val="clear" w:color="auto" w:fill="auto"/>
            <w:vAlign w:val="center"/>
            <w:hideMark/>
          </w:tcPr>
          <w:p w14:paraId="77A10475"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7132</w:t>
            </w:r>
          </w:p>
        </w:tc>
        <w:tc>
          <w:tcPr>
            <w:tcW w:w="453" w:type="pct"/>
            <w:shd w:val="clear" w:color="auto" w:fill="auto"/>
            <w:vAlign w:val="center"/>
          </w:tcPr>
          <w:p w14:paraId="77350180"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4000</w:t>
            </w:r>
          </w:p>
        </w:tc>
        <w:tc>
          <w:tcPr>
            <w:tcW w:w="461" w:type="pct"/>
            <w:shd w:val="clear" w:color="auto" w:fill="auto"/>
            <w:vAlign w:val="center"/>
            <w:hideMark/>
          </w:tcPr>
          <w:p w14:paraId="47877539"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178.30</w:t>
            </w:r>
          </w:p>
        </w:tc>
        <w:tc>
          <w:tcPr>
            <w:tcW w:w="461" w:type="pct"/>
            <w:shd w:val="clear" w:color="auto" w:fill="auto"/>
            <w:vAlign w:val="center"/>
          </w:tcPr>
          <w:p w14:paraId="32A8F0F0"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12914</w:t>
            </w:r>
          </w:p>
        </w:tc>
        <w:tc>
          <w:tcPr>
            <w:tcW w:w="510" w:type="pct"/>
            <w:shd w:val="clear" w:color="auto" w:fill="auto"/>
            <w:vAlign w:val="center"/>
            <w:hideMark/>
          </w:tcPr>
          <w:p w14:paraId="162FE9E0"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55.23</w:t>
            </w:r>
          </w:p>
        </w:tc>
        <w:tc>
          <w:tcPr>
            <w:tcW w:w="597" w:type="pct"/>
            <w:shd w:val="clear" w:color="auto" w:fill="E1EDD3"/>
            <w:vAlign w:val="center"/>
            <w:hideMark/>
          </w:tcPr>
          <w:p w14:paraId="472C032D"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2018 target</w:t>
            </w:r>
          </w:p>
        </w:tc>
      </w:tr>
      <w:tr w:rsidR="000E1846" w:rsidRPr="00A96337" w14:paraId="16F5EFE0" w14:textId="77777777" w:rsidTr="000E1846">
        <w:trPr>
          <w:jc w:val="center"/>
        </w:trPr>
        <w:tc>
          <w:tcPr>
            <w:tcW w:w="2170" w:type="pct"/>
            <w:shd w:val="clear" w:color="auto" w:fill="F2F2F2" w:themeFill="background1" w:themeFillShade="F2"/>
            <w:vAlign w:val="center"/>
            <w:hideMark/>
          </w:tcPr>
          <w:p w14:paraId="7792EA14" w14:textId="77777777" w:rsidR="002F4F42" w:rsidRPr="00575100" w:rsidRDefault="002F4F42" w:rsidP="00F8335C">
            <w:pPr>
              <w:pStyle w:val="ListParagraph"/>
              <w:numPr>
                <w:ilvl w:val="0"/>
                <w:numId w:val="42"/>
              </w:numPr>
              <w:rPr>
                <w:rFonts w:eastAsia="Times New Roman"/>
                <w:color w:val="000000"/>
                <w:sz w:val="16"/>
                <w:szCs w:val="16"/>
              </w:rPr>
            </w:pPr>
            <w:r w:rsidRPr="00575100">
              <w:rPr>
                <w:rFonts w:eastAsia="Times New Roman"/>
                <w:color w:val="000000"/>
                <w:sz w:val="16"/>
                <w:szCs w:val="16"/>
              </w:rPr>
              <w:t>Of which 5,000 are youth</w:t>
            </w:r>
          </w:p>
        </w:tc>
        <w:tc>
          <w:tcPr>
            <w:tcW w:w="349" w:type="pct"/>
            <w:shd w:val="clear" w:color="auto" w:fill="auto"/>
            <w:vAlign w:val="center"/>
            <w:hideMark/>
          </w:tcPr>
          <w:p w14:paraId="5A2B0177"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6602</w:t>
            </w:r>
          </w:p>
        </w:tc>
        <w:tc>
          <w:tcPr>
            <w:tcW w:w="453" w:type="pct"/>
            <w:shd w:val="clear" w:color="auto" w:fill="auto"/>
            <w:vAlign w:val="center"/>
          </w:tcPr>
          <w:p w14:paraId="3EE42A57"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2951</w:t>
            </w:r>
          </w:p>
        </w:tc>
        <w:tc>
          <w:tcPr>
            <w:tcW w:w="461" w:type="pct"/>
            <w:shd w:val="clear" w:color="auto" w:fill="auto"/>
            <w:vAlign w:val="center"/>
            <w:hideMark/>
          </w:tcPr>
          <w:p w14:paraId="52392BF6"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223.72</w:t>
            </w:r>
          </w:p>
        </w:tc>
        <w:tc>
          <w:tcPr>
            <w:tcW w:w="461" w:type="pct"/>
            <w:shd w:val="clear" w:color="auto" w:fill="auto"/>
            <w:vAlign w:val="center"/>
          </w:tcPr>
          <w:p w14:paraId="76586CD5"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10164</w:t>
            </w:r>
          </w:p>
        </w:tc>
        <w:tc>
          <w:tcPr>
            <w:tcW w:w="510" w:type="pct"/>
            <w:shd w:val="clear" w:color="auto" w:fill="auto"/>
            <w:vAlign w:val="center"/>
            <w:hideMark/>
          </w:tcPr>
          <w:p w14:paraId="395419DF"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64.95</w:t>
            </w:r>
          </w:p>
        </w:tc>
        <w:tc>
          <w:tcPr>
            <w:tcW w:w="597" w:type="pct"/>
            <w:shd w:val="clear" w:color="auto" w:fill="E1EDD3"/>
            <w:vAlign w:val="center"/>
            <w:hideMark/>
          </w:tcPr>
          <w:p w14:paraId="6A714877"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2019 target</w:t>
            </w:r>
          </w:p>
        </w:tc>
      </w:tr>
      <w:tr w:rsidR="000E1846" w:rsidRPr="00A96337" w14:paraId="2DC3BFB8" w14:textId="77777777" w:rsidTr="000E1846">
        <w:trPr>
          <w:jc w:val="center"/>
        </w:trPr>
        <w:tc>
          <w:tcPr>
            <w:tcW w:w="2170" w:type="pct"/>
            <w:shd w:val="clear" w:color="auto" w:fill="F2F2F2" w:themeFill="background1" w:themeFillShade="F2"/>
            <w:vAlign w:val="center"/>
            <w:hideMark/>
          </w:tcPr>
          <w:p w14:paraId="74001467" w14:textId="5C73DB7C"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 xml:space="preserve">$80 million of additional agricultural production is generated from </w:t>
            </w:r>
            <w:r w:rsidR="009B58A0" w:rsidRPr="00A96337">
              <w:rPr>
                <w:rFonts w:ascii="Arial" w:eastAsia="Times New Roman" w:hAnsi="Arial" w:cs="Arial"/>
                <w:color w:val="000000"/>
                <w:sz w:val="16"/>
                <w:szCs w:val="16"/>
              </w:rPr>
              <w:t>AMENCA 3</w:t>
            </w:r>
            <w:r w:rsidRPr="00A96337">
              <w:rPr>
                <w:rFonts w:ascii="Arial" w:eastAsia="Times New Roman" w:hAnsi="Arial" w:cs="Arial"/>
                <w:color w:val="000000"/>
                <w:sz w:val="16"/>
                <w:szCs w:val="16"/>
              </w:rPr>
              <w:t xml:space="preserve"> interventions (USD million</w:t>
            </w:r>
            <w:r w:rsidR="00575100">
              <w:rPr>
                <w:rFonts w:ascii="Arial" w:eastAsia="Times New Roman" w:hAnsi="Arial" w:cs="Arial"/>
                <w:color w:val="000000"/>
                <w:sz w:val="16"/>
                <w:szCs w:val="16"/>
              </w:rPr>
              <w:t xml:space="preserve"> equivalent to AUD115million</w:t>
            </w:r>
            <w:r w:rsidRPr="00A96337">
              <w:rPr>
                <w:rFonts w:ascii="Arial" w:eastAsia="Times New Roman" w:hAnsi="Arial" w:cs="Arial"/>
                <w:color w:val="000000"/>
                <w:sz w:val="16"/>
                <w:szCs w:val="16"/>
              </w:rPr>
              <w:t>)</w:t>
            </w:r>
          </w:p>
        </w:tc>
        <w:tc>
          <w:tcPr>
            <w:tcW w:w="349" w:type="pct"/>
            <w:shd w:val="clear" w:color="auto" w:fill="auto"/>
            <w:vAlign w:val="center"/>
            <w:hideMark/>
          </w:tcPr>
          <w:p w14:paraId="421B9DD1"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11.5</w:t>
            </w:r>
          </w:p>
        </w:tc>
        <w:tc>
          <w:tcPr>
            <w:tcW w:w="453" w:type="pct"/>
            <w:shd w:val="clear" w:color="auto" w:fill="auto"/>
            <w:vAlign w:val="center"/>
          </w:tcPr>
          <w:p w14:paraId="38823211"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14.26</w:t>
            </w:r>
          </w:p>
        </w:tc>
        <w:tc>
          <w:tcPr>
            <w:tcW w:w="461" w:type="pct"/>
            <w:shd w:val="clear" w:color="auto" w:fill="auto"/>
            <w:vAlign w:val="center"/>
            <w:hideMark/>
          </w:tcPr>
          <w:p w14:paraId="75C79987"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80.65</w:t>
            </w:r>
          </w:p>
        </w:tc>
        <w:tc>
          <w:tcPr>
            <w:tcW w:w="461" w:type="pct"/>
            <w:shd w:val="clear" w:color="auto" w:fill="auto"/>
            <w:vAlign w:val="center"/>
          </w:tcPr>
          <w:p w14:paraId="0559CAB4"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60.39</w:t>
            </w:r>
          </w:p>
        </w:tc>
        <w:tc>
          <w:tcPr>
            <w:tcW w:w="510" w:type="pct"/>
            <w:shd w:val="clear" w:color="auto" w:fill="auto"/>
            <w:vAlign w:val="center"/>
            <w:hideMark/>
          </w:tcPr>
          <w:p w14:paraId="60C21C34"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19.04</w:t>
            </w:r>
          </w:p>
        </w:tc>
        <w:tc>
          <w:tcPr>
            <w:tcW w:w="597" w:type="pct"/>
            <w:shd w:val="clear" w:color="auto" w:fill="D9D9D9" w:themeFill="background1" w:themeFillShade="D9"/>
            <w:vAlign w:val="center"/>
            <w:hideMark/>
          </w:tcPr>
          <w:p w14:paraId="11C0D54E"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Not met 2018 target</w:t>
            </w:r>
          </w:p>
        </w:tc>
      </w:tr>
      <w:tr w:rsidR="000E1846" w:rsidRPr="00A96337" w14:paraId="0993CD34" w14:textId="77777777" w:rsidTr="000E1846">
        <w:trPr>
          <w:jc w:val="center"/>
        </w:trPr>
        <w:tc>
          <w:tcPr>
            <w:tcW w:w="2170" w:type="pct"/>
            <w:shd w:val="clear" w:color="auto" w:fill="F2F2F2" w:themeFill="background1" w:themeFillShade="F2"/>
            <w:vAlign w:val="center"/>
            <w:hideMark/>
          </w:tcPr>
          <w:p w14:paraId="499EBA07"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50 km of feeder roads rehabilitated (km)</w:t>
            </w:r>
          </w:p>
        </w:tc>
        <w:tc>
          <w:tcPr>
            <w:tcW w:w="349" w:type="pct"/>
            <w:shd w:val="clear" w:color="auto" w:fill="auto"/>
            <w:vAlign w:val="center"/>
            <w:hideMark/>
          </w:tcPr>
          <w:p w14:paraId="6953839E"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35.3</w:t>
            </w:r>
          </w:p>
        </w:tc>
        <w:tc>
          <w:tcPr>
            <w:tcW w:w="453" w:type="pct"/>
            <w:shd w:val="clear" w:color="auto" w:fill="auto"/>
            <w:vAlign w:val="center"/>
          </w:tcPr>
          <w:p w14:paraId="43ED45E0"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39</w:t>
            </w:r>
          </w:p>
        </w:tc>
        <w:tc>
          <w:tcPr>
            <w:tcW w:w="461" w:type="pct"/>
            <w:shd w:val="clear" w:color="auto" w:fill="auto"/>
            <w:vAlign w:val="center"/>
            <w:hideMark/>
          </w:tcPr>
          <w:p w14:paraId="009E776C"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90.51</w:t>
            </w:r>
          </w:p>
        </w:tc>
        <w:tc>
          <w:tcPr>
            <w:tcW w:w="461" w:type="pct"/>
            <w:shd w:val="clear" w:color="auto" w:fill="auto"/>
            <w:vAlign w:val="center"/>
          </w:tcPr>
          <w:p w14:paraId="5A5823EE"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56</w:t>
            </w:r>
          </w:p>
        </w:tc>
        <w:tc>
          <w:tcPr>
            <w:tcW w:w="510" w:type="pct"/>
            <w:shd w:val="clear" w:color="auto" w:fill="auto"/>
            <w:vAlign w:val="center"/>
            <w:hideMark/>
          </w:tcPr>
          <w:p w14:paraId="0267360F"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63.04</w:t>
            </w:r>
          </w:p>
        </w:tc>
        <w:tc>
          <w:tcPr>
            <w:tcW w:w="597" w:type="pct"/>
            <w:shd w:val="clear" w:color="auto" w:fill="D9D9D9" w:themeFill="background1" w:themeFillShade="D9"/>
            <w:vAlign w:val="center"/>
            <w:hideMark/>
          </w:tcPr>
          <w:p w14:paraId="4C919F29"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Not met 2018 target</w:t>
            </w:r>
          </w:p>
        </w:tc>
      </w:tr>
      <w:tr w:rsidR="000E1846" w:rsidRPr="00A96337" w14:paraId="511BF21F" w14:textId="77777777" w:rsidTr="000E1846">
        <w:trPr>
          <w:jc w:val="center"/>
        </w:trPr>
        <w:tc>
          <w:tcPr>
            <w:tcW w:w="2170" w:type="pct"/>
            <w:shd w:val="clear" w:color="auto" w:fill="F2F2F2" w:themeFill="background1" w:themeFillShade="F2"/>
            <w:vAlign w:val="center"/>
            <w:hideMark/>
          </w:tcPr>
          <w:p w14:paraId="0633FE30" w14:textId="09008EAE"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 xml:space="preserve">Area of </w:t>
            </w:r>
            <w:r w:rsidR="00C37194" w:rsidRPr="00A96337">
              <w:rPr>
                <w:rFonts w:ascii="Arial" w:eastAsia="Times New Roman" w:hAnsi="Arial" w:cs="Arial"/>
                <w:color w:val="000000"/>
                <w:sz w:val="16"/>
                <w:szCs w:val="16"/>
              </w:rPr>
              <w:t>farmland</w:t>
            </w:r>
            <w:r w:rsidRPr="00A96337">
              <w:rPr>
                <w:rFonts w:ascii="Arial" w:eastAsia="Times New Roman" w:hAnsi="Arial" w:cs="Arial"/>
                <w:color w:val="000000"/>
                <w:sz w:val="16"/>
                <w:szCs w:val="16"/>
              </w:rPr>
              <w:t xml:space="preserve"> with enhanced access as a result of roads rehabilitated through </w:t>
            </w:r>
            <w:r w:rsidR="009B58A0" w:rsidRPr="00A96337">
              <w:rPr>
                <w:rFonts w:ascii="Arial" w:eastAsia="Times New Roman" w:hAnsi="Arial" w:cs="Arial"/>
                <w:color w:val="000000"/>
                <w:sz w:val="16"/>
                <w:szCs w:val="16"/>
              </w:rPr>
              <w:t>AMENCA 3</w:t>
            </w:r>
            <w:r w:rsidRPr="00A96337">
              <w:rPr>
                <w:rFonts w:ascii="Arial" w:eastAsia="Times New Roman" w:hAnsi="Arial" w:cs="Arial"/>
                <w:color w:val="000000"/>
                <w:sz w:val="16"/>
                <w:szCs w:val="16"/>
              </w:rPr>
              <w:t xml:space="preserve"> (in dunums)</w:t>
            </w:r>
          </w:p>
        </w:tc>
        <w:tc>
          <w:tcPr>
            <w:tcW w:w="349" w:type="pct"/>
            <w:shd w:val="clear" w:color="auto" w:fill="auto"/>
            <w:vAlign w:val="center"/>
            <w:hideMark/>
          </w:tcPr>
          <w:p w14:paraId="13AB370E"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20885</w:t>
            </w:r>
          </w:p>
        </w:tc>
        <w:tc>
          <w:tcPr>
            <w:tcW w:w="453" w:type="pct"/>
            <w:shd w:val="clear" w:color="auto" w:fill="auto"/>
            <w:vAlign w:val="center"/>
          </w:tcPr>
          <w:p w14:paraId="2A6BCFBB"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10750</w:t>
            </w:r>
          </w:p>
        </w:tc>
        <w:tc>
          <w:tcPr>
            <w:tcW w:w="461" w:type="pct"/>
            <w:shd w:val="clear" w:color="auto" w:fill="auto"/>
            <w:vAlign w:val="center"/>
            <w:hideMark/>
          </w:tcPr>
          <w:p w14:paraId="050D02E4"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194.28</w:t>
            </w:r>
          </w:p>
        </w:tc>
        <w:tc>
          <w:tcPr>
            <w:tcW w:w="461" w:type="pct"/>
            <w:shd w:val="clear" w:color="auto" w:fill="auto"/>
            <w:vAlign w:val="center"/>
          </w:tcPr>
          <w:p w14:paraId="5F34A304"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16250</w:t>
            </w:r>
          </w:p>
        </w:tc>
        <w:tc>
          <w:tcPr>
            <w:tcW w:w="510" w:type="pct"/>
            <w:shd w:val="clear" w:color="auto" w:fill="auto"/>
            <w:vAlign w:val="center"/>
            <w:hideMark/>
          </w:tcPr>
          <w:p w14:paraId="015EC785"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128.52</w:t>
            </w:r>
          </w:p>
        </w:tc>
        <w:tc>
          <w:tcPr>
            <w:tcW w:w="597" w:type="pct"/>
            <w:shd w:val="clear" w:color="auto" w:fill="B0D18B"/>
            <w:vAlign w:val="center"/>
            <w:hideMark/>
          </w:tcPr>
          <w:p w14:paraId="2C18DE7B"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2020 target</w:t>
            </w:r>
          </w:p>
        </w:tc>
      </w:tr>
      <w:tr w:rsidR="000E1846" w:rsidRPr="00A96337" w14:paraId="2C802681" w14:textId="77777777" w:rsidTr="000E1846">
        <w:trPr>
          <w:jc w:val="center"/>
        </w:trPr>
        <w:tc>
          <w:tcPr>
            <w:tcW w:w="2170" w:type="pct"/>
            <w:shd w:val="clear" w:color="auto" w:fill="F2F2F2" w:themeFill="background1" w:themeFillShade="F2"/>
            <w:vAlign w:val="center"/>
            <w:hideMark/>
          </w:tcPr>
          <w:p w14:paraId="382461A5"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Number of farmers with improved access to agricultural infrastructure, services and information as a result of rehabilitated roads</w:t>
            </w:r>
          </w:p>
        </w:tc>
        <w:tc>
          <w:tcPr>
            <w:tcW w:w="349" w:type="pct"/>
            <w:shd w:val="clear" w:color="auto" w:fill="auto"/>
            <w:vAlign w:val="center"/>
            <w:hideMark/>
          </w:tcPr>
          <w:p w14:paraId="66C2D8F2"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5476</w:t>
            </w:r>
          </w:p>
        </w:tc>
        <w:tc>
          <w:tcPr>
            <w:tcW w:w="453" w:type="pct"/>
            <w:shd w:val="clear" w:color="auto" w:fill="auto"/>
            <w:vAlign w:val="center"/>
          </w:tcPr>
          <w:p w14:paraId="5C09AC3B"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4450</w:t>
            </w:r>
          </w:p>
        </w:tc>
        <w:tc>
          <w:tcPr>
            <w:tcW w:w="461" w:type="pct"/>
            <w:shd w:val="clear" w:color="auto" w:fill="auto"/>
            <w:vAlign w:val="center"/>
            <w:hideMark/>
          </w:tcPr>
          <w:p w14:paraId="7A2137FC"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123.06</w:t>
            </w:r>
          </w:p>
        </w:tc>
        <w:tc>
          <w:tcPr>
            <w:tcW w:w="461" w:type="pct"/>
            <w:shd w:val="clear" w:color="auto" w:fill="auto"/>
            <w:vAlign w:val="center"/>
          </w:tcPr>
          <w:p w14:paraId="676DB59B"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7610</w:t>
            </w:r>
          </w:p>
        </w:tc>
        <w:tc>
          <w:tcPr>
            <w:tcW w:w="510" w:type="pct"/>
            <w:shd w:val="clear" w:color="auto" w:fill="auto"/>
            <w:vAlign w:val="center"/>
            <w:hideMark/>
          </w:tcPr>
          <w:p w14:paraId="76DCED46"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71.96</w:t>
            </w:r>
          </w:p>
        </w:tc>
        <w:tc>
          <w:tcPr>
            <w:tcW w:w="597" w:type="pct"/>
            <w:shd w:val="clear" w:color="auto" w:fill="E1EDD3"/>
            <w:vAlign w:val="center"/>
            <w:hideMark/>
          </w:tcPr>
          <w:p w14:paraId="14877AD6"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2018 target</w:t>
            </w:r>
          </w:p>
        </w:tc>
      </w:tr>
      <w:tr w:rsidR="000E1846" w:rsidRPr="00A96337" w14:paraId="42AFBD66" w14:textId="77777777" w:rsidTr="000E1846">
        <w:trPr>
          <w:jc w:val="center"/>
        </w:trPr>
        <w:tc>
          <w:tcPr>
            <w:tcW w:w="2170" w:type="pct"/>
            <w:shd w:val="clear" w:color="auto" w:fill="F2F2F2" w:themeFill="background1" w:themeFillShade="F2"/>
            <w:vAlign w:val="center"/>
            <w:hideMark/>
          </w:tcPr>
          <w:p w14:paraId="4B51F6A2"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15,000 farmers have access to improved water management systems</w:t>
            </w:r>
          </w:p>
        </w:tc>
        <w:tc>
          <w:tcPr>
            <w:tcW w:w="349" w:type="pct"/>
            <w:shd w:val="clear" w:color="auto" w:fill="auto"/>
            <w:vAlign w:val="center"/>
            <w:hideMark/>
          </w:tcPr>
          <w:p w14:paraId="226F818A"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4141</w:t>
            </w:r>
          </w:p>
        </w:tc>
        <w:tc>
          <w:tcPr>
            <w:tcW w:w="453" w:type="pct"/>
            <w:shd w:val="clear" w:color="auto" w:fill="auto"/>
            <w:vAlign w:val="center"/>
          </w:tcPr>
          <w:p w14:paraId="2AC9590F"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3620</w:t>
            </w:r>
          </w:p>
        </w:tc>
        <w:tc>
          <w:tcPr>
            <w:tcW w:w="461" w:type="pct"/>
            <w:shd w:val="clear" w:color="auto" w:fill="auto"/>
            <w:vAlign w:val="center"/>
            <w:hideMark/>
          </w:tcPr>
          <w:p w14:paraId="096A6AB2"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114.39</w:t>
            </w:r>
          </w:p>
        </w:tc>
        <w:tc>
          <w:tcPr>
            <w:tcW w:w="461" w:type="pct"/>
            <w:shd w:val="clear" w:color="auto" w:fill="auto"/>
            <w:vAlign w:val="center"/>
          </w:tcPr>
          <w:p w14:paraId="528BE4C3"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10750</w:t>
            </w:r>
          </w:p>
        </w:tc>
        <w:tc>
          <w:tcPr>
            <w:tcW w:w="510" w:type="pct"/>
            <w:shd w:val="clear" w:color="auto" w:fill="auto"/>
            <w:vAlign w:val="center"/>
            <w:hideMark/>
          </w:tcPr>
          <w:p w14:paraId="5BD3EC39"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38.52</w:t>
            </w:r>
          </w:p>
        </w:tc>
        <w:tc>
          <w:tcPr>
            <w:tcW w:w="597" w:type="pct"/>
            <w:shd w:val="clear" w:color="auto" w:fill="E1EDD3"/>
            <w:vAlign w:val="center"/>
            <w:hideMark/>
          </w:tcPr>
          <w:p w14:paraId="6C1A294F"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2018 target</w:t>
            </w:r>
          </w:p>
        </w:tc>
      </w:tr>
      <w:tr w:rsidR="000E1846" w:rsidRPr="00A96337" w14:paraId="3487FF65" w14:textId="77777777" w:rsidTr="000E1846">
        <w:trPr>
          <w:jc w:val="center"/>
        </w:trPr>
        <w:tc>
          <w:tcPr>
            <w:tcW w:w="2170" w:type="pct"/>
            <w:shd w:val="clear" w:color="auto" w:fill="F2F2F2" w:themeFill="background1" w:themeFillShade="F2"/>
            <w:vAlign w:val="center"/>
            <w:hideMark/>
          </w:tcPr>
          <w:p w14:paraId="6B01DC13" w14:textId="1CDA7156"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 xml:space="preserve">Increase in area of irrigated land as a result of </w:t>
            </w:r>
            <w:r w:rsidR="009B58A0" w:rsidRPr="00A96337">
              <w:rPr>
                <w:rFonts w:ascii="Arial" w:eastAsia="Times New Roman" w:hAnsi="Arial" w:cs="Arial"/>
                <w:color w:val="000000"/>
                <w:sz w:val="16"/>
                <w:szCs w:val="16"/>
              </w:rPr>
              <w:t>AMENCA 3</w:t>
            </w:r>
            <w:r w:rsidRPr="00A96337">
              <w:rPr>
                <w:rFonts w:ascii="Arial" w:eastAsia="Times New Roman" w:hAnsi="Arial" w:cs="Arial"/>
                <w:color w:val="000000"/>
                <w:sz w:val="16"/>
                <w:szCs w:val="16"/>
              </w:rPr>
              <w:t xml:space="preserve"> water management interventions reported by farmers</w:t>
            </w:r>
          </w:p>
        </w:tc>
        <w:tc>
          <w:tcPr>
            <w:tcW w:w="349" w:type="pct"/>
            <w:shd w:val="clear" w:color="auto" w:fill="auto"/>
            <w:vAlign w:val="center"/>
            <w:hideMark/>
          </w:tcPr>
          <w:p w14:paraId="4164C5EE"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4802</w:t>
            </w:r>
          </w:p>
        </w:tc>
        <w:tc>
          <w:tcPr>
            <w:tcW w:w="453" w:type="pct"/>
            <w:shd w:val="clear" w:color="auto" w:fill="auto"/>
            <w:vAlign w:val="center"/>
          </w:tcPr>
          <w:p w14:paraId="520A0D35"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4452.7</w:t>
            </w:r>
          </w:p>
        </w:tc>
        <w:tc>
          <w:tcPr>
            <w:tcW w:w="461" w:type="pct"/>
            <w:shd w:val="clear" w:color="auto" w:fill="auto"/>
            <w:vAlign w:val="center"/>
            <w:hideMark/>
          </w:tcPr>
          <w:p w14:paraId="66A98A9C"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107.84</w:t>
            </w:r>
          </w:p>
        </w:tc>
        <w:tc>
          <w:tcPr>
            <w:tcW w:w="461" w:type="pct"/>
            <w:shd w:val="clear" w:color="auto" w:fill="auto"/>
            <w:vAlign w:val="center"/>
          </w:tcPr>
          <w:p w14:paraId="11377324"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15404</w:t>
            </w:r>
          </w:p>
        </w:tc>
        <w:tc>
          <w:tcPr>
            <w:tcW w:w="510" w:type="pct"/>
            <w:shd w:val="clear" w:color="auto" w:fill="auto"/>
            <w:vAlign w:val="center"/>
            <w:hideMark/>
          </w:tcPr>
          <w:p w14:paraId="1748F835"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31.17</w:t>
            </w:r>
          </w:p>
        </w:tc>
        <w:tc>
          <w:tcPr>
            <w:tcW w:w="597" w:type="pct"/>
            <w:shd w:val="clear" w:color="auto" w:fill="E1EDD3"/>
            <w:vAlign w:val="center"/>
            <w:hideMark/>
          </w:tcPr>
          <w:p w14:paraId="6566D1B5"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2018 target</w:t>
            </w:r>
          </w:p>
        </w:tc>
      </w:tr>
      <w:tr w:rsidR="000E1846" w:rsidRPr="00A96337" w14:paraId="2CD8A78E" w14:textId="77777777" w:rsidTr="000E1846">
        <w:trPr>
          <w:jc w:val="center"/>
        </w:trPr>
        <w:tc>
          <w:tcPr>
            <w:tcW w:w="2170" w:type="pct"/>
            <w:shd w:val="clear" w:color="auto" w:fill="F2F2F2" w:themeFill="background1" w:themeFillShade="F2"/>
            <w:vAlign w:val="center"/>
            <w:hideMark/>
          </w:tcPr>
          <w:p w14:paraId="605D9C15" w14:textId="7CA49022" w:rsidR="002F4F42" w:rsidRPr="00A96337" w:rsidRDefault="002F4F42" w:rsidP="000E1846">
            <w:pPr>
              <w:spacing w:before="60" w:after="60"/>
              <w:rPr>
                <w:rFonts w:ascii="Arial" w:eastAsia="Times New Roman" w:hAnsi="Arial" w:cs="Arial"/>
                <w:i/>
                <w:color w:val="000000"/>
                <w:sz w:val="16"/>
                <w:szCs w:val="16"/>
              </w:rPr>
            </w:pPr>
            <w:r w:rsidRPr="00A96337">
              <w:rPr>
                <w:rFonts w:ascii="Arial" w:eastAsia="Times New Roman" w:hAnsi="Arial" w:cs="Arial"/>
                <w:b/>
                <w:i/>
                <w:color w:val="000000"/>
                <w:sz w:val="16"/>
                <w:szCs w:val="16"/>
              </w:rPr>
              <w:t>[APHEDA only]</w:t>
            </w:r>
            <w:r w:rsidRPr="00A96337">
              <w:rPr>
                <w:rFonts w:ascii="Arial" w:eastAsia="Times New Roman" w:hAnsi="Arial" w:cs="Arial"/>
                <w:i/>
                <w:color w:val="000000"/>
                <w:sz w:val="16"/>
                <w:szCs w:val="16"/>
              </w:rPr>
              <w:t xml:space="preserve"> Increase in volume of water (cubic m) or days of irrigation as a result of </w:t>
            </w:r>
            <w:r w:rsidR="009B58A0" w:rsidRPr="00A96337">
              <w:rPr>
                <w:rFonts w:ascii="Arial" w:eastAsia="Times New Roman" w:hAnsi="Arial" w:cs="Arial"/>
                <w:i/>
                <w:color w:val="000000"/>
                <w:sz w:val="16"/>
                <w:szCs w:val="16"/>
              </w:rPr>
              <w:t>AMENCA 3</w:t>
            </w:r>
            <w:r w:rsidRPr="00A96337">
              <w:rPr>
                <w:rFonts w:ascii="Arial" w:eastAsia="Times New Roman" w:hAnsi="Arial" w:cs="Arial"/>
                <w:i/>
                <w:color w:val="000000"/>
                <w:sz w:val="16"/>
                <w:szCs w:val="16"/>
              </w:rPr>
              <w:t xml:space="preserve"> water management interventions </w:t>
            </w:r>
          </w:p>
        </w:tc>
        <w:tc>
          <w:tcPr>
            <w:tcW w:w="349" w:type="pct"/>
            <w:shd w:val="clear" w:color="auto" w:fill="auto"/>
            <w:vAlign w:val="center"/>
            <w:hideMark/>
          </w:tcPr>
          <w:p w14:paraId="0239BC08" w14:textId="77777777" w:rsidR="002F4F42" w:rsidRPr="00A96337" w:rsidRDefault="002F4F42" w:rsidP="000E1846">
            <w:pPr>
              <w:spacing w:before="60" w:after="60"/>
              <w:jc w:val="right"/>
              <w:rPr>
                <w:rFonts w:ascii="Arial" w:eastAsia="Times New Roman" w:hAnsi="Arial" w:cs="Arial"/>
                <w:i/>
                <w:color w:val="000000"/>
                <w:sz w:val="16"/>
                <w:szCs w:val="16"/>
              </w:rPr>
            </w:pPr>
            <w:r w:rsidRPr="00A96337">
              <w:rPr>
                <w:rFonts w:ascii="Arial" w:eastAsia="Times New Roman" w:hAnsi="Arial" w:cs="Arial"/>
                <w:i/>
                <w:color w:val="000000"/>
                <w:sz w:val="16"/>
                <w:szCs w:val="16"/>
              </w:rPr>
              <w:t>100020</w:t>
            </w:r>
          </w:p>
        </w:tc>
        <w:tc>
          <w:tcPr>
            <w:tcW w:w="453" w:type="pct"/>
            <w:shd w:val="clear" w:color="auto" w:fill="auto"/>
            <w:vAlign w:val="center"/>
          </w:tcPr>
          <w:p w14:paraId="7BEF2FAE" w14:textId="77777777" w:rsidR="002F4F42" w:rsidRPr="00A96337" w:rsidRDefault="002F4F42" w:rsidP="000E1846">
            <w:pPr>
              <w:spacing w:before="60" w:after="60"/>
              <w:jc w:val="right"/>
              <w:rPr>
                <w:rFonts w:ascii="Arial" w:eastAsia="Times New Roman" w:hAnsi="Arial" w:cs="Arial"/>
                <w:i/>
                <w:color w:val="000000"/>
                <w:sz w:val="16"/>
                <w:szCs w:val="16"/>
              </w:rPr>
            </w:pPr>
            <w:r w:rsidRPr="00A96337">
              <w:rPr>
                <w:rFonts w:ascii="Arial" w:eastAsia="Times New Roman" w:hAnsi="Arial" w:cs="Arial"/>
                <w:i/>
                <w:color w:val="000000"/>
                <w:sz w:val="16"/>
                <w:szCs w:val="16"/>
              </w:rPr>
              <w:t>394200</w:t>
            </w:r>
          </w:p>
        </w:tc>
        <w:tc>
          <w:tcPr>
            <w:tcW w:w="461" w:type="pct"/>
            <w:shd w:val="clear" w:color="auto" w:fill="auto"/>
            <w:vAlign w:val="center"/>
            <w:hideMark/>
          </w:tcPr>
          <w:p w14:paraId="22052FEF" w14:textId="77777777" w:rsidR="002F4F42" w:rsidRPr="00A96337" w:rsidRDefault="002F4F42" w:rsidP="000E1846">
            <w:pPr>
              <w:spacing w:before="60" w:after="60"/>
              <w:jc w:val="right"/>
              <w:rPr>
                <w:rFonts w:ascii="Arial" w:eastAsia="Times New Roman" w:hAnsi="Arial" w:cs="Arial"/>
                <w:i/>
                <w:color w:val="000000"/>
                <w:sz w:val="16"/>
                <w:szCs w:val="16"/>
              </w:rPr>
            </w:pPr>
            <w:r w:rsidRPr="00A96337">
              <w:rPr>
                <w:rFonts w:ascii="Arial" w:eastAsia="Times New Roman" w:hAnsi="Arial" w:cs="Arial"/>
                <w:i/>
                <w:color w:val="000000"/>
                <w:sz w:val="16"/>
                <w:szCs w:val="16"/>
              </w:rPr>
              <w:t>25.37</w:t>
            </w:r>
          </w:p>
        </w:tc>
        <w:tc>
          <w:tcPr>
            <w:tcW w:w="461" w:type="pct"/>
            <w:shd w:val="clear" w:color="auto" w:fill="auto"/>
            <w:vAlign w:val="center"/>
          </w:tcPr>
          <w:p w14:paraId="3C0CA8D5" w14:textId="77777777" w:rsidR="002F4F42" w:rsidRPr="00A96337" w:rsidRDefault="002F4F42" w:rsidP="000E1846">
            <w:pPr>
              <w:spacing w:before="60" w:after="60"/>
              <w:jc w:val="right"/>
              <w:rPr>
                <w:rFonts w:ascii="Arial" w:eastAsia="Times New Roman" w:hAnsi="Arial" w:cs="Arial"/>
                <w:i/>
                <w:color w:val="000000"/>
                <w:sz w:val="16"/>
                <w:szCs w:val="16"/>
              </w:rPr>
            </w:pPr>
            <w:r w:rsidRPr="00A96337">
              <w:rPr>
                <w:rFonts w:ascii="Arial" w:eastAsia="Times New Roman" w:hAnsi="Arial" w:cs="Arial"/>
                <w:i/>
                <w:color w:val="000000"/>
                <w:sz w:val="16"/>
                <w:szCs w:val="16"/>
              </w:rPr>
              <w:t>788400</w:t>
            </w:r>
          </w:p>
        </w:tc>
        <w:tc>
          <w:tcPr>
            <w:tcW w:w="510" w:type="pct"/>
            <w:shd w:val="clear" w:color="auto" w:fill="auto"/>
            <w:vAlign w:val="center"/>
            <w:hideMark/>
          </w:tcPr>
          <w:p w14:paraId="4CB5D862" w14:textId="77777777" w:rsidR="002F4F42" w:rsidRPr="00A96337" w:rsidRDefault="002F4F42" w:rsidP="000E1846">
            <w:pPr>
              <w:spacing w:before="60" w:after="60"/>
              <w:jc w:val="right"/>
              <w:rPr>
                <w:rFonts w:ascii="Arial" w:eastAsia="Times New Roman" w:hAnsi="Arial" w:cs="Arial"/>
                <w:i/>
                <w:color w:val="000000"/>
                <w:sz w:val="16"/>
                <w:szCs w:val="16"/>
              </w:rPr>
            </w:pPr>
            <w:r w:rsidRPr="00A96337">
              <w:rPr>
                <w:rFonts w:ascii="Arial" w:eastAsia="Times New Roman" w:hAnsi="Arial" w:cs="Arial"/>
                <w:i/>
                <w:color w:val="000000"/>
                <w:sz w:val="16"/>
                <w:szCs w:val="16"/>
              </w:rPr>
              <w:t>12.69</w:t>
            </w:r>
          </w:p>
        </w:tc>
        <w:tc>
          <w:tcPr>
            <w:tcW w:w="597" w:type="pct"/>
            <w:shd w:val="clear" w:color="auto" w:fill="D9D9D9" w:themeFill="background1" w:themeFillShade="D9"/>
            <w:vAlign w:val="center"/>
            <w:hideMark/>
          </w:tcPr>
          <w:p w14:paraId="773AFBBE" w14:textId="77777777" w:rsidR="002F4F42" w:rsidRPr="00A96337" w:rsidRDefault="002F4F42" w:rsidP="000E1846">
            <w:pPr>
              <w:spacing w:before="60" w:after="60"/>
              <w:rPr>
                <w:rFonts w:ascii="Arial" w:eastAsia="Times New Roman" w:hAnsi="Arial" w:cs="Arial"/>
                <w:i/>
                <w:color w:val="000000"/>
                <w:sz w:val="16"/>
                <w:szCs w:val="16"/>
              </w:rPr>
            </w:pPr>
            <w:r w:rsidRPr="00A96337">
              <w:rPr>
                <w:rFonts w:ascii="Arial" w:eastAsia="Times New Roman" w:hAnsi="Arial" w:cs="Arial"/>
                <w:i/>
                <w:color w:val="000000"/>
                <w:sz w:val="16"/>
                <w:szCs w:val="16"/>
              </w:rPr>
              <w:t>Not met 2018 target</w:t>
            </w:r>
          </w:p>
        </w:tc>
      </w:tr>
      <w:tr w:rsidR="000E1846" w:rsidRPr="00A96337" w14:paraId="2D42C6A5" w14:textId="77777777" w:rsidTr="000E1846">
        <w:trPr>
          <w:jc w:val="center"/>
        </w:trPr>
        <w:tc>
          <w:tcPr>
            <w:tcW w:w="2170" w:type="pct"/>
            <w:shd w:val="clear" w:color="auto" w:fill="F2F2F2" w:themeFill="background1" w:themeFillShade="F2"/>
            <w:vAlign w:val="center"/>
            <w:hideMark/>
          </w:tcPr>
          <w:p w14:paraId="0EA0AC0F"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Number of farmers reporting that improved water management systems still functional</w:t>
            </w:r>
          </w:p>
        </w:tc>
        <w:tc>
          <w:tcPr>
            <w:tcW w:w="349" w:type="pct"/>
            <w:shd w:val="clear" w:color="auto" w:fill="auto"/>
            <w:vAlign w:val="center"/>
            <w:hideMark/>
          </w:tcPr>
          <w:p w14:paraId="44F57B23"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3186</w:t>
            </w:r>
          </w:p>
        </w:tc>
        <w:tc>
          <w:tcPr>
            <w:tcW w:w="453" w:type="pct"/>
            <w:shd w:val="clear" w:color="auto" w:fill="auto"/>
            <w:vAlign w:val="center"/>
          </w:tcPr>
          <w:p w14:paraId="1881D6B1"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2492</w:t>
            </w:r>
          </w:p>
        </w:tc>
        <w:tc>
          <w:tcPr>
            <w:tcW w:w="461" w:type="pct"/>
            <w:shd w:val="clear" w:color="auto" w:fill="auto"/>
            <w:vAlign w:val="center"/>
            <w:hideMark/>
          </w:tcPr>
          <w:p w14:paraId="48160A22"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127.85</w:t>
            </w:r>
          </w:p>
        </w:tc>
        <w:tc>
          <w:tcPr>
            <w:tcW w:w="461" w:type="pct"/>
            <w:shd w:val="clear" w:color="auto" w:fill="auto"/>
            <w:vAlign w:val="center"/>
          </w:tcPr>
          <w:p w14:paraId="108F9F48"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7898</w:t>
            </w:r>
          </w:p>
        </w:tc>
        <w:tc>
          <w:tcPr>
            <w:tcW w:w="510" w:type="pct"/>
            <w:shd w:val="clear" w:color="auto" w:fill="auto"/>
            <w:vAlign w:val="center"/>
            <w:hideMark/>
          </w:tcPr>
          <w:p w14:paraId="70DE5A54"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40.34</w:t>
            </w:r>
          </w:p>
        </w:tc>
        <w:tc>
          <w:tcPr>
            <w:tcW w:w="597" w:type="pct"/>
            <w:shd w:val="clear" w:color="auto" w:fill="E1EDD3"/>
            <w:vAlign w:val="center"/>
            <w:hideMark/>
          </w:tcPr>
          <w:p w14:paraId="1D3C4C2B"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2018 target</w:t>
            </w:r>
          </w:p>
        </w:tc>
      </w:tr>
      <w:tr w:rsidR="000E1846" w:rsidRPr="00A96337" w14:paraId="33E4FD18" w14:textId="77777777" w:rsidTr="000E1846">
        <w:trPr>
          <w:jc w:val="center"/>
        </w:trPr>
        <w:tc>
          <w:tcPr>
            <w:tcW w:w="2170" w:type="pct"/>
            <w:shd w:val="clear" w:color="auto" w:fill="F2F2F2" w:themeFill="background1" w:themeFillShade="F2"/>
            <w:vAlign w:val="center"/>
            <w:hideMark/>
          </w:tcPr>
          <w:p w14:paraId="75CB642E"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12,000 farmers adopt innovative agricultural practices</w:t>
            </w:r>
          </w:p>
        </w:tc>
        <w:tc>
          <w:tcPr>
            <w:tcW w:w="349" w:type="pct"/>
            <w:shd w:val="clear" w:color="auto" w:fill="auto"/>
            <w:vAlign w:val="center"/>
            <w:hideMark/>
          </w:tcPr>
          <w:p w14:paraId="16CF3A6A"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8757</w:t>
            </w:r>
          </w:p>
        </w:tc>
        <w:tc>
          <w:tcPr>
            <w:tcW w:w="453" w:type="pct"/>
            <w:shd w:val="clear" w:color="auto" w:fill="auto"/>
            <w:vAlign w:val="center"/>
          </w:tcPr>
          <w:p w14:paraId="2700B82B"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3925</w:t>
            </w:r>
          </w:p>
        </w:tc>
        <w:tc>
          <w:tcPr>
            <w:tcW w:w="461" w:type="pct"/>
            <w:shd w:val="clear" w:color="auto" w:fill="auto"/>
            <w:vAlign w:val="center"/>
            <w:hideMark/>
          </w:tcPr>
          <w:p w14:paraId="61A62448"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223.11</w:t>
            </w:r>
          </w:p>
        </w:tc>
        <w:tc>
          <w:tcPr>
            <w:tcW w:w="461" w:type="pct"/>
            <w:shd w:val="clear" w:color="auto" w:fill="auto"/>
            <w:vAlign w:val="center"/>
          </w:tcPr>
          <w:p w14:paraId="3DCAD61E"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11825</w:t>
            </w:r>
          </w:p>
        </w:tc>
        <w:tc>
          <w:tcPr>
            <w:tcW w:w="510" w:type="pct"/>
            <w:shd w:val="clear" w:color="auto" w:fill="auto"/>
            <w:vAlign w:val="center"/>
            <w:hideMark/>
          </w:tcPr>
          <w:p w14:paraId="29850F52"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74.05</w:t>
            </w:r>
          </w:p>
        </w:tc>
        <w:tc>
          <w:tcPr>
            <w:tcW w:w="597" w:type="pct"/>
            <w:shd w:val="clear" w:color="auto" w:fill="B0D18B"/>
            <w:vAlign w:val="center"/>
            <w:hideMark/>
          </w:tcPr>
          <w:p w14:paraId="70A98F22"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2019 target</w:t>
            </w:r>
          </w:p>
        </w:tc>
      </w:tr>
      <w:tr w:rsidR="000E1846" w:rsidRPr="00A96337" w14:paraId="58B850C6" w14:textId="77777777" w:rsidTr="000E1846">
        <w:trPr>
          <w:jc w:val="center"/>
        </w:trPr>
        <w:tc>
          <w:tcPr>
            <w:tcW w:w="2170" w:type="pct"/>
            <w:shd w:val="clear" w:color="auto" w:fill="F2F2F2" w:themeFill="background1" w:themeFillShade="F2"/>
            <w:vAlign w:val="center"/>
            <w:hideMark/>
          </w:tcPr>
          <w:p w14:paraId="72CE515D"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$15 million of private sector investment leveraged (AUD million)</w:t>
            </w:r>
          </w:p>
        </w:tc>
        <w:tc>
          <w:tcPr>
            <w:tcW w:w="349" w:type="pct"/>
            <w:shd w:val="clear" w:color="auto" w:fill="auto"/>
            <w:vAlign w:val="center"/>
            <w:hideMark/>
          </w:tcPr>
          <w:p w14:paraId="70146035"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14.82</w:t>
            </w:r>
          </w:p>
        </w:tc>
        <w:tc>
          <w:tcPr>
            <w:tcW w:w="453" w:type="pct"/>
            <w:shd w:val="clear" w:color="auto" w:fill="auto"/>
            <w:vAlign w:val="center"/>
          </w:tcPr>
          <w:p w14:paraId="58BBC22B"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5.79</w:t>
            </w:r>
          </w:p>
        </w:tc>
        <w:tc>
          <w:tcPr>
            <w:tcW w:w="461" w:type="pct"/>
            <w:shd w:val="clear" w:color="auto" w:fill="auto"/>
            <w:vAlign w:val="center"/>
            <w:hideMark/>
          </w:tcPr>
          <w:p w14:paraId="3614E1A2"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255.96</w:t>
            </w:r>
          </w:p>
        </w:tc>
        <w:tc>
          <w:tcPr>
            <w:tcW w:w="461" w:type="pct"/>
            <w:shd w:val="clear" w:color="auto" w:fill="auto"/>
            <w:vAlign w:val="center"/>
          </w:tcPr>
          <w:p w14:paraId="5A20E0E9"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17.53</w:t>
            </w:r>
          </w:p>
        </w:tc>
        <w:tc>
          <w:tcPr>
            <w:tcW w:w="510" w:type="pct"/>
            <w:shd w:val="clear" w:color="auto" w:fill="auto"/>
            <w:vAlign w:val="center"/>
            <w:hideMark/>
          </w:tcPr>
          <w:p w14:paraId="3A613B6A"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84.54</w:t>
            </w:r>
          </w:p>
        </w:tc>
        <w:tc>
          <w:tcPr>
            <w:tcW w:w="597" w:type="pct"/>
            <w:shd w:val="clear" w:color="auto" w:fill="B0D18B"/>
            <w:vAlign w:val="center"/>
            <w:hideMark/>
          </w:tcPr>
          <w:p w14:paraId="3F311325"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2019 target</w:t>
            </w:r>
          </w:p>
        </w:tc>
      </w:tr>
      <w:tr w:rsidR="000E1846" w:rsidRPr="00A96337" w14:paraId="2D203986" w14:textId="77777777" w:rsidTr="000E1846">
        <w:trPr>
          <w:jc w:val="center"/>
        </w:trPr>
        <w:tc>
          <w:tcPr>
            <w:tcW w:w="2170" w:type="pct"/>
            <w:shd w:val="clear" w:color="auto" w:fill="F2F2F2" w:themeFill="background1" w:themeFillShade="F2"/>
            <w:vAlign w:val="center"/>
            <w:hideMark/>
          </w:tcPr>
          <w:p w14:paraId="31FFB012"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$75 million of additional domestic sales facilitated (AUD million)</w:t>
            </w:r>
          </w:p>
        </w:tc>
        <w:tc>
          <w:tcPr>
            <w:tcW w:w="349" w:type="pct"/>
            <w:shd w:val="clear" w:color="auto" w:fill="auto"/>
            <w:vAlign w:val="center"/>
            <w:hideMark/>
          </w:tcPr>
          <w:p w14:paraId="39126AD8"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17.05</w:t>
            </w:r>
          </w:p>
        </w:tc>
        <w:tc>
          <w:tcPr>
            <w:tcW w:w="453" w:type="pct"/>
            <w:shd w:val="clear" w:color="auto" w:fill="auto"/>
            <w:vAlign w:val="center"/>
          </w:tcPr>
          <w:p w14:paraId="1299C52D"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12.89</w:t>
            </w:r>
          </w:p>
        </w:tc>
        <w:tc>
          <w:tcPr>
            <w:tcW w:w="461" w:type="pct"/>
            <w:shd w:val="clear" w:color="auto" w:fill="auto"/>
            <w:vAlign w:val="center"/>
            <w:hideMark/>
          </w:tcPr>
          <w:p w14:paraId="302E079F"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132.27</w:t>
            </w:r>
          </w:p>
        </w:tc>
        <w:tc>
          <w:tcPr>
            <w:tcW w:w="461" w:type="pct"/>
            <w:shd w:val="clear" w:color="auto" w:fill="auto"/>
            <w:vAlign w:val="center"/>
          </w:tcPr>
          <w:p w14:paraId="70E7220B"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69.93</w:t>
            </w:r>
          </w:p>
        </w:tc>
        <w:tc>
          <w:tcPr>
            <w:tcW w:w="510" w:type="pct"/>
            <w:shd w:val="clear" w:color="auto" w:fill="auto"/>
            <w:vAlign w:val="center"/>
            <w:hideMark/>
          </w:tcPr>
          <w:p w14:paraId="6E12048B"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24.38</w:t>
            </w:r>
          </w:p>
        </w:tc>
        <w:tc>
          <w:tcPr>
            <w:tcW w:w="597" w:type="pct"/>
            <w:shd w:val="clear" w:color="auto" w:fill="E1EDD3"/>
            <w:vAlign w:val="center"/>
            <w:hideMark/>
          </w:tcPr>
          <w:p w14:paraId="44452EC6"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2018 target</w:t>
            </w:r>
          </w:p>
        </w:tc>
      </w:tr>
      <w:tr w:rsidR="000E1846" w:rsidRPr="00A96337" w14:paraId="7612EB93" w14:textId="77777777" w:rsidTr="000E1846">
        <w:trPr>
          <w:jc w:val="center"/>
        </w:trPr>
        <w:tc>
          <w:tcPr>
            <w:tcW w:w="2170" w:type="pct"/>
            <w:shd w:val="clear" w:color="auto" w:fill="F2F2F2" w:themeFill="background1" w:themeFillShade="F2"/>
            <w:vAlign w:val="center"/>
            <w:hideMark/>
          </w:tcPr>
          <w:p w14:paraId="484B8A1E"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$25 million of additional exports facilitated, including new exports (AUD million)</w:t>
            </w:r>
          </w:p>
        </w:tc>
        <w:tc>
          <w:tcPr>
            <w:tcW w:w="349" w:type="pct"/>
            <w:shd w:val="clear" w:color="auto" w:fill="auto"/>
            <w:vAlign w:val="center"/>
            <w:hideMark/>
          </w:tcPr>
          <w:p w14:paraId="14FE82D5"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8.41</w:t>
            </w:r>
          </w:p>
        </w:tc>
        <w:tc>
          <w:tcPr>
            <w:tcW w:w="453" w:type="pct"/>
            <w:shd w:val="clear" w:color="auto" w:fill="auto"/>
            <w:vAlign w:val="center"/>
          </w:tcPr>
          <w:p w14:paraId="02EDE85E"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9.35</w:t>
            </w:r>
          </w:p>
        </w:tc>
        <w:tc>
          <w:tcPr>
            <w:tcW w:w="461" w:type="pct"/>
            <w:shd w:val="clear" w:color="auto" w:fill="auto"/>
            <w:vAlign w:val="center"/>
            <w:hideMark/>
          </w:tcPr>
          <w:p w14:paraId="7BF82075"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89.95</w:t>
            </w:r>
          </w:p>
        </w:tc>
        <w:tc>
          <w:tcPr>
            <w:tcW w:w="461" w:type="pct"/>
            <w:shd w:val="clear" w:color="auto" w:fill="auto"/>
            <w:vAlign w:val="center"/>
          </w:tcPr>
          <w:p w14:paraId="79021F31"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35.9</w:t>
            </w:r>
          </w:p>
        </w:tc>
        <w:tc>
          <w:tcPr>
            <w:tcW w:w="510" w:type="pct"/>
            <w:shd w:val="clear" w:color="auto" w:fill="auto"/>
            <w:vAlign w:val="center"/>
            <w:hideMark/>
          </w:tcPr>
          <w:p w14:paraId="617380ED"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23.43</w:t>
            </w:r>
          </w:p>
        </w:tc>
        <w:tc>
          <w:tcPr>
            <w:tcW w:w="597" w:type="pct"/>
            <w:shd w:val="clear" w:color="auto" w:fill="D9D9D9" w:themeFill="background1" w:themeFillShade="D9"/>
            <w:vAlign w:val="center"/>
            <w:hideMark/>
          </w:tcPr>
          <w:p w14:paraId="2725F41E"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Not met 2018 target</w:t>
            </w:r>
          </w:p>
        </w:tc>
      </w:tr>
      <w:tr w:rsidR="000E1846" w:rsidRPr="00A96337" w14:paraId="25EB5FBE" w14:textId="77777777" w:rsidTr="000E1846">
        <w:trPr>
          <w:jc w:val="center"/>
        </w:trPr>
        <w:tc>
          <w:tcPr>
            <w:tcW w:w="2170" w:type="pct"/>
            <w:shd w:val="clear" w:color="auto" w:fill="F2F2F2" w:themeFill="background1" w:themeFillShade="F2"/>
            <w:vAlign w:val="center"/>
            <w:hideMark/>
          </w:tcPr>
          <w:p w14:paraId="4EE46DF2"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Number of participating farmers</w:t>
            </w:r>
            <w:r w:rsidR="00E42BC8" w:rsidRPr="00A96337">
              <w:rPr>
                <w:rFonts w:ascii="Arial" w:eastAsia="Times New Roman" w:hAnsi="Arial" w:cs="Arial"/>
                <w:color w:val="000000"/>
                <w:sz w:val="16"/>
                <w:szCs w:val="16"/>
              </w:rPr>
              <w:t xml:space="preserve"> </w:t>
            </w:r>
            <w:r w:rsidRPr="00A96337">
              <w:rPr>
                <w:rFonts w:ascii="Arial" w:eastAsia="Times New Roman" w:hAnsi="Arial" w:cs="Arial"/>
                <w:color w:val="000000"/>
                <w:sz w:val="16"/>
                <w:szCs w:val="16"/>
              </w:rPr>
              <w:t>reporting that some of their produce is being exported</w:t>
            </w:r>
          </w:p>
        </w:tc>
        <w:tc>
          <w:tcPr>
            <w:tcW w:w="349" w:type="pct"/>
            <w:shd w:val="clear" w:color="auto" w:fill="auto"/>
            <w:vAlign w:val="center"/>
            <w:hideMark/>
          </w:tcPr>
          <w:p w14:paraId="2C5ACD62"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931</w:t>
            </w:r>
          </w:p>
        </w:tc>
        <w:tc>
          <w:tcPr>
            <w:tcW w:w="453" w:type="pct"/>
            <w:shd w:val="clear" w:color="auto" w:fill="auto"/>
            <w:vAlign w:val="center"/>
          </w:tcPr>
          <w:p w14:paraId="3285F4BB"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714</w:t>
            </w:r>
          </w:p>
        </w:tc>
        <w:tc>
          <w:tcPr>
            <w:tcW w:w="461" w:type="pct"/>
            <w:shd w:val="clear" w:color="auto" w:fill="auto"/>
            <w:vAlign w:val="center"/>
            <w:hideMark/>
          </w:tcPr>
          <w:p w14:paraId="580A7263"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130.39</w:t>
            </w:r>
          </w:p>
        </w:tc>
        <w:tc>
          <w:tcPr>
            <w:tcW w:w="461" w:type="pct"/>
            <w:shd w:val="clear" w:color="auto" w:fill="auto"/>
            <w:vAlign w:val="center"/>
          </w:tcPr>
          <w:p w14:paraId="23D3329B"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2074</w:t>
            </w:r>
          </w:p>
        </w:tc>
        <w:tc>
          <w:tcPr>
            <w:tcW w:w="510" w:type="pct"/>
            <w:shd w:val="clear" w:color="auto" w:fill="auto"/>
            <w:vAlign w:val="center"/>
            <w:hideMark/>
          </w:tcPr>
          <w:p w14:paraId="78493AB3"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44.89</w:t>
            </w:r>
          </w:p>
        </w:tc>
        <w:tc>
          <w:tcPr>
            <w:tcW w:w="597" w:type="pct"/>
            <w:shd w:val="clear" w:color="auto" w:fill="E1EDD3"/>
            <w:vAlign w:val="center"/>
            <w:hideMark/>
          </w:tcPr>
          <w:p w14:paraId="2C5DCF6D"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2018 target</w:t>
            </w:r>
          </w:p>
        </w:tc>
      </w:tr>
      <w:tr w:rsidR="000E1846" w:rsidRPr="00A96337" w14:paraId="32860A64" w14:textId="77777777" w:rsidTr="000E1846">
        <w:trPr>
          <w:jc w:val="center"/>
        </w:trPr>
        <w:tc>
          <w:tcPr>
            <w:tcW w:w="2170" w:type="pct"/>
            <w:shd w:val="clear" w:color="auto" w:fill="F2F2F2" w:themeFill="background1" w:themeFillShade="F2"/>
            <w:vAlign w:val="center"/>
            <w:hideMark/>
          </w:tcPr>
          <w:p w14:paraId="51C4B904" w14:textId="691DD70A"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 xml:space="preserve">At least 6 agricultural value chains functioning better as a result of </w:t>
            </w:r>
            <w:r w:rsidR="009B58A0" w:rsidRPr="00A96337">
              <w:rPr>
                <w:rFonts w:ascii="Arial" w:eastAsia="Times New Roman" w:hAnsi="Arial" w:cs="Arial"/>
                <w:color w:val="000000"/>
                <w:sz w:val="16"/>
                <w:szCs w:val="16"/>
              </w:rPr>
              <w:t>AMENCA 3</w:t>
            </w:r>
            <w:r w:rsidRPr="00A96337">
              <w:rPr>
                <w:rFonts w:ascii="Arial" w:eastAsia="Times New Roman" w:hAnsi="Arial" w:cs="Arial"/>
                <w:color w:val="000000"/>
                <w:sz w:val="16"/>
                <w:szCs w:val="16"/>
              </w:rPr>
              <w:t xml:space="preserve"> interventions</w:t>
            </w:r>
          </w:p>
        </w:tc>
        <w:tc>
          <w:tcPr>
            <w:tcW w:w="349" w:type="pct"/>
            <w:shd w:val="clear" w:color="auto" w:fill="auto"/>
            <w:vAlign w:val="center"/>
            <w:hideMark/>
          </w:tcPr>
          <w:p w14:paraId="02FAA2C0"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8</w:t>
            </w:r>
          </w:p>
        </w:tc>
        <w:tc>
          <w:tcPr>
            <w:tcW w:w="453" w:type="pct"/>
            <w:shd w:val="clear" w:color="auto" w:fill="auto"/>
            <w:vAlign w:val="center"/>
          </w:tcPr>
          <w:p w14:paraId="6442607C"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4</w:t>
            </w:r>
          </w:p>
        </w:tc>
        <w:tc>
          <w:tcPr>
            <w:tcW w:w="461" w:type="pct"/>
            <w:shd w:val="clear" w:color="auto" w:fill="auto"/>
            <w:vAlign w:val="center"/>
            <w:hideMark/>
          </w:tcPr>
          <w:p w14:paraId="617C72DA"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133.33</w:t>
            </w:r>
          </w:p>
        </w:tc>
        <w:tc>
          <w:tcPr>
            <w:tcW w:w="461" w:type="pct"/>
            <w:shd w:val="clear" w:color="auto" w:fill="auto"/>
            <w:vAlign w:val="center"/>
          </w:tcPr>
          <w:p w14:paraId="7E4F050F"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6</w:t>
            </w:r>
          </w:p>
        </w:tc>
        <w:tc>
          <w:tcPr>
            <w:tcW w:w="510" w:type="pct"/>
            <w:shd w:val="clear" w:color="auto" w:fill="auto"/>
            <w:vAlign w:val="center"/>
            <w:hideMark/>
          </w:tcPr>
          <w:p w14:paraId="388217EC"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133.33</w:t>
            </w:r>
          </w:p>
        </w:tc>
        <w:tc>
          <w:tcPr>
            <w:tcW w:w="597" w:type="pct"/>
            <w:shd w:val="clear" w:color="auto" w:fill="B0D18B"/>
            <w:vAlign w:val="center"/>
            <w:hideMark/>
          </w:tcPr>
          <w:p w14:paraId="71DC7BCB"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2020 target</w:t>
            </w:r>
          </w:p>
        </w:tc>
      </w:tr>
      <w:tr w:rsidR="000E1846" w:rsidRPr="00A96337" w14:paraId="3486B7C7" w14:textId="77777777" w:rsidTr="000E1846">
        <w:trPr>
          <w:jc w:val="center"/>
        </w:trPr>
        <w:tc>
          <w:tcPr>
            <w:tcW w:w="2170" w:type="pct"/>
            <w:shd w:val="clear" w:color="auto" w:fill="F2F2F2" w:themeFill="background1" w:themeFillShade="F2"/>
            <w:vAlign w:val="center"/>
            <w:hideMark/>
          </w:tcPr>
          <w:p w14:paraId="5B496AAE"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70% of the interventions developed include new opportunities for women and youth (%)</w:t>
            </w:r>
          </w:p>
        </w:tc>
        <w:tc>
          <w:tcPr>
            <w:tcW w:w="349" w:type="pct"/>
            <w:shd w:val="clear" w:color="auto" w:fill="auto"/>
            <w:vAlign w:val="center"/>
            <w:hideMark/>
          </w:tcPr>
          <w:p w14:paraId="2A8E7293"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82.33</w:t>
            </w:r>
          </w:p>
        </w:tc>
        <w:tc>
          <w:tcPr>
            <w:tcW w:w="453" w:type="pct"/>
            <w:shd w:val="clear" w:color="auto" w:fill="auto"/>
            <w:vAlign w:val="center"/>
          </w:tcPr>
          <w:p w14:paraId="35CE3151"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70</w:t>
            </w:r>
          </w:p>
        </w:tc>
        <w:tc>
          <w:tcPr>
            <w:tcW w:w="461" w:type="pct"/>
            <w:shd w:val="clear" w:color="auto" w:fill="auto"/>
            <w:vAlign w:val="center"/>
            <w:hideMark/>
          </w:tcPr>
          <w:p w14:paraId="4246C7F1"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117.61</w:t>
            </w:r>
          </w:p>
        </w:tc>
        <w:tc>
          <w:tcPr>
            <w:tcW w:w="461" w:type="pct"/>
            <w:shd w:val="clear" w:color="auto" w:fill="auto"/>
            <w:vAlign w:val="center"/>
          </w:tcPr>
          <w:p w14:paraId="30714863"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70</w:t>
            </w:r>
          </w:p>
        </w:tc>
        <w:tc>
          <w:tcPr>
            <w:tcW w:w="510" w:type="pct"/>
            <w:shd w:val="clear" w:color="auto" w:fill="auto"/>
            <w:vAlign w:val="center"/>
            <w:hideMark/>
          </w:tcPr>
          <w:p w14:paraId="04F2BDA8"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117.61</w:t>
            </w:r>
          </w:p>
        </w:tc>
        <w:tc>
          <w:tcPr>
            <w:tcW w:w="597" w:type="pct"/>
            <w:shd w:val="clear" w:color="auto" w:fill="B0D18B"/>
            <w:vAlign w:val="center"/>
            <w:hideMark/>
          </w:tcPr>
          <w:p w14:paraId="6F6298A4"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2020 target</w:t>
            </w:r>
          </w:p>
        </w:tc>
      </w:tr>
      <w:tr w:rsidR="000E1846" w:rsidRPr="00A96337" w14:paraId="48AC6B13" w14:textId="77777777" w:rsidTr="000E1846">
        <w:trPr>
          <w:jc w:val="center"/>
        </w:trPr>
        <w:tc>
          <w:tcPr>
            <w:tcW w:w="2170" w:type="pct"/>
            <w:shd w:val="clear" w:color="auto" w:fill="F2F2F2" w:themeFill="background1" w:themeFillShade="F2"/>
            <w:vAlign w:val="center"/>
            <w:hideMark/>
          </w:tcPr>
          <w:p w14:paraId="2F450BDC"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Number of women reporting greater mobility within agricultural value chains</w:t>
            </w:r>
          </w:p>
        </w:tc>
        <w:tc>
          <w:tcPr>
            <w:tcW w:w="349" w:type="pct"/>
            <w:shd w:val="clear" w:color="auto" w:fill="auto"/>
            <w:vAlign w:val="center"/>
            <w:hideMark/>
          </w:tcPr>
          <w:p w14:paraId="06E4C41A"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5542</w:t>
            </w:r>
          </w:p>
        </w:tc>
        <w:tc>
          <w:tcPr>
            <w:tcW w:w="453" w:type="pct"/>
            <w:shd w:val="clear" w:color="auto" w:fill="auto"/>
            <w:vAlign w:val="center"/>
          </w:tcPr>
          <w:p w14:paraId="1143D05F"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3200</w:t>
            </w:r>
          </w:p>
        </w:tc>
        <w:tc>
          <w:tcPr>
            <w:tcW w:w="461" w:type="pct"/>
            <w:shd w:val="clear" w:color="auto" w:fill="auto"/>
            <w:vAlign w:val="center"/>
            <w:hideMark/>
          </w:tcPr>
          <w:p w14:paraId="719D8574"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173.19</w:t>
            </w:r>
          </w:p>
        </w:tc>
        <w:tc>
          <w:tcPr>
            <w:tcW w:w="461" w:type="pct"/>
            <w:shd w:val="clear" w:color="auto" w:fill="auto"/>
            <w:vAlign w:val="center"/>
          </w:tcPr>
          <w:p w14:paraId="4315B524"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9740</w:t>
            </w:r>
          </w:p>
        </w:tc>
        <w:tc>
          <w:tcPr>
            <w:tcW w:w="510" w:type="pct"/>
            <w:shd w:val="clear" w:color="auto" w:fill="auto"/>
            <w:vAlign w:val="center"/>
            <w:hideMark/>
          </w:tcPr>
          <w:p w14:paraId="32D3059D"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56.90</w:t>
            </w:r>
          </w:p>
        </w:tc>
        <w:tc>
          <w:tcPr>
            <w:tcW w:w="597" w:type="pct"/>
            <w:shd w:val="clear" w:color="auto" w:fill="E1EDD3"/>
            <w:vAlign w:val="center"/>
            <w:hideMark/>
          </w:tcPr>
          <w:p w14:paraId="648B2236"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2018 target</w:t>
            </w:r>
          </w:p>
        </w:tc>
      </w:tr>
      <w:tr w:rsidR="002F4F42" w:rsidRPr="00A96337" w14:paraId="226EBEB5" w14:textId="77777777" w:rsidTr="000E1846">
        <w:trPr>
          <w:jc w:val="center"/>
        </w:trPr>
        <w:tc>
          <w:tcPr>
            <w:tcW w:w="2170" w:type="pct"/>
            <w:shd w:val="clear" w:color="auto" w:fill="F2F2F2" w:themeFill="background1" w:themeFillShade="F2"/>
            <w:vAlign w:val="center"/>
            <w:hideMark/>
          </w:tcPr>
          <w:p w14:paraId="1994A29A"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Women and youth able to report examples of economic empowerment</w:t>
            </w:r>
          </w:p>
        </w:tc>
        <w:tc>
          <w:tcPr>
            <w:tcW w:w="349" w:type="pct"/>
            <w:shd w:val="clear" w:color="auto" w:fill="auto"/>
            <w:vAlign w:val="center"/>
          </w:tcPr>
          <w:p w14:paraId="762EBA98" w14:textId="77777777" w:rsidR="002F4F42" w:rsidRPr="00A96337" w:rsidRDefault="002F4F42" w:rsidP="000E1846">
            <w:pPr>
              <w:spacing w:before="60" w:after="60"/>
              <w:rPr>
                <w:rFonts w:ascii="Arial" w:eastAsia="Times New Roman" w:hAnsi="Arial" w:cs="Arial"/>
                <w:color w:val="000000"/>
                <w:sz w:val="16"/>
                <w:szCs w:val="16"/>
              </w:rPr>
            </w:pPr>
          </w:p>
        </w:tc>
        <w:tc>
          <w:tcPr>
            <w:tcW w:w="453" w:type="pct"/>
            <w:shd w:val="clear" w:color="auto" w:fill="auto"/>
            <w:vAlign w:val="center"/>
          </w:tcPr>
          <w:p w14:paraId="79B95273" w14:textId="77777777" w:rsidR="002F4F42" w:rsidRPr="00A96337" w:rsidRDefault="002F4F42" w:rsidP="000E1846">
            <w:pPr>
              <w:spacing w:before="60" w:after="60"/>
              <w:rPr>
                <w:rFonts w:ascii="Arial" w:eastAsia="Times New Roman" w:hAnsi="Arial" w:cs="Arial"/>
                <w:color w:val="000000"/>
                <w:sz w:val="16"/>
                <w:szCs w:val="16"/>
              </w:rPr>
            </w:pPr>
          </w:p>
        </w:tc>
        <w:tc>
          <w:tcPr>
            <w:tcW w:w="461" w:type="pct"/>
            <w:shd w:val="clear" w:color="auto" w:fill="auto"/>
            <w:vAlign w:val="center"/>
          </w:tcPr>
          <w:p w14:paraId="559D0215" w14:textId="77777777" w:rsidR="002F4F42" w:rsidRPr="00A96337" w:rsidRDefault="002F4F42" w:rsidP="000E1846">
            <w:pPr>
              <w:spacing w:before="60" w:after="60"/>
              <w:rPr>
                <w:rFonts w:ascii="Arial" w:eastAsia="Times New Roman" w:hAnsi="Arial" w:cs="Arial"/>
                <w:color w:val="000000"/>
                <w:sz w:val="16"/>
                <w:szCs w:val="16"/>
              </w:rPr>
            </w:pPr>
          </w:p>
        </w:tc>
        <w:tc>
          <w:tcPr>
            <w:tcW w:w="461" w:type="pct"/>
            <w:shd w:val="clear" w:color="auto" w:fill="auto"/>
            <w:vAlign w:val="center"/>
          </w:tcPr>
          <w:p w14:paraId="0365C6A9" w14:textId="77777777" w:rsidR="002F4F42" w:rsidRPr="00A96337" w:rsidRDefault="002F4F42" w:rsidP="000E1846">
            <w:pPr>
              <w:spacing w:before="60" w:after="60"/>
              <w:rPr>
                <w:rFonts w:ascii="Arial" w:eastAsia="Times New Roman" w:hAnsi="Arial" w:cs="Arial"/>
                <w:color w:val="000000"/>
                <w:sz w:val="16"/>
                <w:szCs w:val="16"/>
              </w:rPr>
            </w:pPr>
          </w:p>
        </w:tc>
        <w:tc>
          <w:tcPr>
            <w:tcW w:w="510" w:type="pct"/>
            <w:shd w:val="clear" w:color="auto" w:fill="auto"/>
            <w:vAlign w:val="center"/>
          </w:tcPr>
          <w:p w14:paraId="7282EB80" w14:textId="77777777" w:rsidR="002F4F42" w:rsidRPr="00A96337" w:rsidRDefault="002F4F42" w:rsidP="000E1846">
            <w:pPr>
              <w:spacing w:before="60" w:after="60"/>
              <w:rPr>
                <w:rFonts w:ascii="Arial" w:eastAsia="Times New Roman" w:hAnsi="Arial" w:cs="Arial"/>
                <w:color w:val="000000"/>
                <w:sz w:val="16"/>
                <w:szCs w:val="16"/>
              </w:rPr>
            </w:pPr>
          </w:p>
        </w:tc>
        <w:tc>
          <w:tcPr>
            <w:tcW w:w="597" w:type="pct"/>
            <w:shd w:val="clear" w:color="000000" w:fill="FFFFFF"/>
            <w:vAlign w:val="center"/>
          </w:tcPr>
          <w:p w14:paraId="239190DA" w14:textId="77777777" w:rsidR="002F4F42" w:rsidRPr="00A96337" w:rsidRDefault="002F4F42" w:rsidP="000E1846">
            <w:pPr>
              <w:spacing w:before="60" w:after="60"/>
              <w:rPr>
                <w:rFonts w:ascii="Arial" w:eastAsia="Times New Roman" w:hAnsi="Arial" w:cs="Arial"/>
                <w:color w:val="000000"/>
                <w:sz w:val="16"/>
                <w:szCs w:val="16"/>
              </w:rPr>
            </w:pPr>
          </w:p>
        </w:tc>
      </w:tr>
      <w:tr w:rsidR="000E1846" w:rsidRPr="00A96337" w14:paraId="71C065F0" w14:textId="77777777" w:rsidTr="000E1846">
        <w:trPr>
          <w:jc w:val="center"/>
        </w:trPr>
        <w:tc>
          <w:tcPr>
            <w:tcW w:w="2170" w:type="pct"/>
            <w:shd w:val="clear" w:color="auto" w:fill="F2F2F2" w:themeFill="background1" w:themeFillShade="F2"/>
            <w:vAlign w:val="center"/>
            <w:hideMark/>
          </w:tcPr>
          <w:p w14:paraId="0D96F27C" w14:textId="77777777" w:rsidR="002F4F42" w:rsidRPr="00575100" w:rsidRDefault="002F4F42" w:rsidP="00F8335C">
            <w:pPr>
              <w:pStyle w:val="ListParagraph"/>
              <w:numPr>
                <w:ilvl w:val="0"/>
                <w:numId w:val="42"/>
              </w:numPr>
              <w:rPr>
                <w:rFonts w:eastAsia="Times New Roman"/>
                <w:color w:val="000000"/>
                <w:sz w:val="16"/>
                <w:szCs w:val="16"/>
              </w:rPr>
            </w:pPr>
            <w:r w:rsidRPr="00575100">
              <w:rPr>
                <w:rFonts w:eastAsia="Times New Roman"/>
                <w:color w:val="000000"/>
                <w:sz w:val="16"/>
                <w:szCs w:val="16"/>
              </w:rPr>
              <w:t>8,000 women</w:t>
            </w:r>
          </w:p>
        </w:tc>
        <w:tc>
          <w:tcPr>
            <w:tcW w:w="349" w:type="pct"/>
            <w:shd w:val="clear" w:color="auto" w:fill="auto"/>
            <w:vAlign w:val="center"/>
            <w:hideMark/>
          </w:tcPr>
          <w:p w14:paraId="72E13285"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4675</w:t>
            </w:r>
          </w:p>
        </w:tc>
        <w:tc>
          <w:tcPr>
            <w:tcW w:w="453" w:type="pct"/>
            <w:shd w:val="clear" w:color="auto" w:fill="auto"/>
            <w:vAlign w:val="center"/>
          </w:tcPr>
          <w:p w14:paraId="445C105A"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2744</w:t>
            </w:r>
          </w:p>
        </w:tc>
        <w:tc>
          <w:tcPr>
            <w:tcW w:w="461" w:type="pct"/>
            <w:shd w:val="clear" w:color="auto" w:fill="auto"/>
            <w:vAlign w:val="center"/>
            <w:hideMark/>
          </w:tcPr>
          <w:p w14:paraId="1AEC263D"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170.37</w:t>
            </w:r>
          </w:p>
        </w:tc>
        <w:tc>
          <w:tcPr>
            <w:tcW w:w="461" w:type="pct"/>
            <w:shd w:val="clear" w:color="auto" w:fill="auto"/>
            <w:vAlign w:val="center"/>
          </w:tcPr>
          <w:p w14:paraId="7083A7F5"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8875</w:t>
            </w:r>
          </w:p>
        </w:tc>
        <w:tc>
          <w:tcPr>
            <w:tcW w:w="510" w:type="pct"/>
            <w:shd w:val="clear" w:color="auto" w:fill="auto"/>
            <w:vAlign w:val="center"/>
            <w:hideMark/>
          </w:tcPr>
          <w:p w14:paraId="05CF4BE2"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52.68</w:t>
            </w:r>
          </w:p>
        </w:tc>
        <w:tc>
          <w:tcPr>
            <w:tcW w:w="597" w:type="pct"/>
            <w:shd w:val="clear" w:color="auto" w:fill="E1EDD3"/>
            <w:vAlign w:val="center"/>
            <w:hideMark/>
          </w:tcPr>
          <w:p w14:paraId="7C9EC389"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2018 target</w:t>
            </w:r>
          </w:p>
        </w:tc>
      </w:tr>
      <w:tr w:rsidR="000E1846" w:rsidRPr="00A96337" w14:paraId="092A869E" w14:textId="77777777" w:rsidTr="000E1846">
        <w:trPr>
          <w:jc w:val="center"/>
        </w:trPr>
        <w:tc>
          <w:tcPr>
            <w:tcW w:w="2170" w:type="pct"/>
            <w:shd w:val="clear" w:color="auto" w:fill="F2F2F2" w:themeFill="background1" w:themeFillShade="F2"/>
            <w:vAlign w:val="center"/>
            <w:hideMark/>
          </w:tcPr>
          <w:p w14:paraId="7D139C19" w14:textId="77777777" w:rsidR="002F4F42" w:rsidRPr="00575100" w:rsidRDefault="002F4F42" w:rsidP="00F8335C">
            <w:pPr>
              <w:pStyle w:val="ListParagraph"/>
              <w:numPr>
                <w:ilvl w:val="0"/>
                <w:numId w:val="42"/>
              </w:numPr>
              <w:rPr>
                <w:rFonts w:eastAsia="Times New Roman"/>
                <w:color w:val="000000"/>
                <w:sz w:val="16"/>
                <w:szCs w:val="16"/>
              </w:rPr>
            </w:pPr>
            <w:r w:rsidRPr="00575100">
              <w:rPr>
                <w:rFonts w:eastAsia="Times New Roman"/>
                <w:color w:val="000000"/>
                <w:sz w:val="16"/>
                <w:szCs w:val="16"/>
              </w:rPr>
              <w:t>3,000 youth</w:t>
            </w:r>
          </w:p>
        </w:tc>
        <w:tc>
          <w:tcPr>
            <w:tcW w:w="349" w:type="pct"/>
            <w:shd w:val="clear" w:color="auto" w:fill="auto"/>
            <w:vAlign w:val="center"/>
            <w:hideMark/>
          </w:tcPr>
          <w:p w14:paraId="74586B48"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3510</w:t>
            </w:r>
          </w:p>
        </w:tc>
        <w:tc>
          <w:tcPr>
            <w:tcW w:w="453" w:type="pct"/>
            <w:shd w:val="clear" w:color="auto" w:fill="auto"/>
            <w:vAlign w:val="center"/>
          </w:tcPr>
          <w:p w14:paraId="7F18A143"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1125</w:t>
            </w:r>
          </w:p>
        </w:tc>
        <w:tc>
          <w:tcPr>
            <w:tcW w:w="461" w:type="pct"/>
            <w:shd w:val="clear" w:color="auto" w:fill="auto"/>
            <w:vAlign w:val="center"/>
            <w:hideMark/>
          </w:tcPr>
          <w:p w14:paraId="6EEF8E22"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312.00</w:t>
            </w:r>
          </w:p>
        </w:tc>
        <w:tc>
          <w:tcPr>
            <w:tcW w:w="461" w:type="pct"/>
            <w:shd w:val="clear" w:color="auto" w:fill="auto"/>
            <w:vAlign w:val="center"/>
          </w:tcPr>
          <w:p w14:paraId="772CA5DC"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3500</w:t>
            </w:r>
          </w:p>
        </w:tc>
        <w:tc>
          <w:tcPr>
            <w:tcW w:w="510" w:type="pct"/>
            <w:shd w:val="clear" w:color="auto" w:fill="auto"/>
            <w:vAlign w:val="center"/>
            <w:hideMark/>
          </w:tcPr>
          <w:p w14:paraId="06E3DE57"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100.29</w:t>
            </w:r>
          </w:p>
        </w:tc>
        <w:tc>
          <w:tcPr>
            <w:tcW w:w="597" w:type="pct"/>
            <w:shd w:val="clear" w:color="auto" w:fill="B0D18B"/>
            <w:vAlign w:val="center"/>
            <w:hideMark/>
          </w:tcPr>
          <w:p w14:paraId="6ED554FE"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2020 target</w:t>
            </w:r>
          </w:p>
        </w:tc>
      </w:tr>
      <w:tr w:rsidR="000E1846" w:rsidRPr="00A96337" w14:paraId="052135C6" w14:textId="77777777" w:rsidTr="000E1846">
        <w:trPr>
          <w:jc w:val="center"/>
        </w:trPr>
        <w:tc>
          <w:tcPr>
            <w:tcW w:w="2170" w:type="pct"/>
            <w:shd w:val="clear" w:color="auto" w:fill="F2F2F2" w:themeFill="background1" w:themeFillShade="F2"/>
            <w:vAlign w:val="center"/>
            <w:hideMark/>
          </w:tcPr>
          <w:p w14:paraId="3F7B1611"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Percentage of households that report joint decision-making involving women and/or youth (%)</w:t>
            </w:r>
          </w:p>
        </w:tc>
        <w:tc>
          <w:tcPr>
            <w:tcW w:w="349" w:type="pct"/>
            <w:shd w:val="clear" w:color="auto" w:fill="auto"/>
            <w:vAlign w:val="center"/>
            <w:hideMark/>
          </w:tcPr>
          <w:p w14:paraId="700A6CA1"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39.33</w:t>
            </w:r>
          </w:p>
        </w:tc>
        <w:tc>
          <w:tcPr>
            <w:tcW w:w="453" w:type="pct"/>
            <w:shd w:val="clear" w:color="auto" w:fill="auto"/>
            <w:vAlign w:val="center"/>
          </w:tcPr>
          <w:p w14:paraId="5AF65040"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47</w:t>
            </w:r>
          </w:p>
        </w:tc>
        <w:tc>
          <w:tcPr>
            <w:tcW w:w="461" w:type="pct"/>
            <w:shd w:val="clear" w:color="auto" w:fill="auto"/>
            <w:vAlign w:val="center"/>
            <w:hideMark/>
          </w:tcPr>
          <w:p w14:paraId="36719984"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83.68</w:t>
            </w:r>
          </w:p>
        </w:tc>
        <w:tc>
          <w:tcPr>
            <w:tcW w:w="461" w:type="pct"/>
            <w:shd w:val="clear" w:color="auto" w:fill="auto"/>
            <w:vAlign w:val="center"/>
          </w:tcPr>
          <w:p w14:paraId="3F1B36DE"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47</w:t>
            </w:r>
          </w:p>
        </w:tc>
        <w:tc>
          <w:tcPr>
            <w:tcW w:w="510" w:type="pct"/>
            <w:shd w:val="clear" w:color="auto" w:fill="auto"/>
            <w:vAlign w:val="center"/>
            <w:hideMark/>
          </w:tcPr>
          <w:p w14:paraId="1214BB4B"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83.68</w:t>
            </w:r>
          </w:p>
        </w:tc>
        <w:tc>
          <w:tcPr>
            <w:tcW w:w="597" w:type="pct"/>
            <w:shd w:val="clear" w:color="auto" w:fill="D9D9D9" w:themeFill="background1" w:themeFillShade="D9"/>
            <w:vAlign w:val="center"/>
            <w:hideMark/>
          </w:tcPr>
          <w:p w14:paraId="4061DB27"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Not met 2018 target</w:t>
            </w:r>
          </w:p>
        </w:tc>
      </w:tr>
      <w:tr w:rsidR="002F4F42" w:rsidRPr="00A96337" w14:paraId="4811B128" w14:textId="77777777" w:rsidTr="000E1846">
        <w:trPr>
          <w:jc w:val="center"/>
        </w:trPr>
        <w:tc>
          <w:tcPr>
            <w:tcW w:w="2170" w:type="pct"/>
            <w:shd w:val="clear" w:color="auto" w:fill="F2F2F2" w:themeFill="background1" w:themeFillShade="F2"/>
            <w:vAlign w:val="center"/>
            <w:hideMark/>
          </w:tcPr>
          <w:p w14:paraId="66188ECC" w14:textId="0B88A28D"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 xml:space="preserve">Women and youth reporting more active or equitable roles in agricultural value chains as a result of </w:t>
            </w:r>
            <w:r w:rsidR="009B58A0" w:rsidRPr="00A96337">
              <w:rPr>
                <w:rFonts w:ascii="Arial" w:eastAsia="Times New Roman" w:hAnsi="Arial" w:cs="Arial"/>
                <w:color w:val="000000"/>
                <w:sz w:val="16"/>
                <w:szCs w:val="16"/>
              </w:rPr>
              <w:t>AMENCA 3</w:t>
            </w:r>
          </w:p>
        </w:tc>
        <w:tc>
          <w:tcPr>
            <w:tcW w:w="349" w:type="pct"/>
            <w:shd w:val="clear" w:color="auto" w:fill="auto"/>
            <w:vAlign w:val="center"/>
          </w:tcPr>
          <w:p w14:paraId="572B05D8" w14:textId="77777777" w:rsidR="002F4F42" w:rsidRPr="00A96337" w:rsidRDefault="002F4F42" w:rsidP="000E1846">
            <w:pPr>
              <w:spacing w:before="60" w:after="60"/>
              <w:rPr>
                <w:rFonts w:ascii="Arial" w:eastAsia="Times New Roman" w:hAnsi="Arial" w:cs="Arial"/>
                <w:color w:val="000000"/>
                <w:sz w:val="16"/>
                <w:szCs w:val="16"/>
              </w:rPr>
            </w:pPr>
          </w:p>
        </w:tc>
        <w:tc>
          <w:tcPr>
            <w:tcW w:w="453" w:type="pct"/>
            <w:shd w:val="clear" w:color="auto" w:fill="auto"/>
            <w:vAlign w:val="center"/>
          </w:tcPr>
          <w:p w14:paraId="288C123A" w14:textId="77777777" w:rsidR="002F4F42" w:rsidRPr="00A96337" w:rsidRDefault="002F4F42" w:rsidP="000E1846">
            <w:pPr>
              <w:spacing w:before="60" w:after="60"/>
              <w:rPr>
                <w:rFonts w:ascii="Arial" w:eastAsia="Times New Roman" w:hAnsi="Arial" w:cs="Arial"/>
                <w:color w:val="000000"/>
                <w:sz w:val="16"/>
                <w:szCs w:val="16"/>
              </w:rPr>
            </w:pPr>
          </w:p>
        </w:tc>
        <w:tc>
          <w:tcPr>
            <w:tcW w:w="461" w:type="pct"/>
            <w:shd w:val="clear" w:color="auto" w:fill="auto"/>
            <w:vAlign w:val="center"/>
          </w:tcPr>
          <w:p w14:paraId="20A3FDFC" w14:textId="77777777" w:rsidR="002F4F42" w:rsidRPr="00A96337" w:rsidRDefault="002F4F42" w:rsidP="000E1846">
            <w:pPr>
              <w:spacing w:before="60" w:after="60"/>
              <w:rPr>
                <w:rFonts w:ascii="Arial" w:eastAsia="Times New Roman" w:hAnsi="Arial" w:cs="Arial"/>
                <w:color w:val="000000"/>
                <w:sz w:val="16"/>
                <w:szCs w:val="16"/>
              </w:rPr>
            </w:pPr>
          </w:p>
        </w:tc>
        <w:tc>
          <w:tcPr>
            <w:tcW w:w="461" w:type="pct"/>
            <w:shd w:val="clear" w:color="auto" w:fill="auto"/>
            <w:vAlign w:val="center"/>
          </w:tcPr>
          <w:p w14:paraId="4E5367E4" w14:textId="77777777" w:rsidR="002F4F42" w:rsidRPr="00A96337" w:rsidRDefault="002F4F42" w:rsidP="000E1846">
            <w:pPr>
              <w:spacing w:before="60" w:after="60"/>
              <w:rPr>
                <w:rFonts w:ascii="Arial" w:eastAsia="Times New Roman" w:hAnsi="Arial" w:cs="Arial"/>
                <w:color w:val="000000"/>
                <w:sz w:val="16"/>
                <w:szCs w:val="16"/>
              </w:rPr>
            </w:pPr>
          </w:p>
        </w:tc>
        <w:tc>
          <w:tcPr>
            <w:tcW w:w="510" w:type="pct"/>
            <w:shd w:val="clear" w:color="auto" w:fill="auto"/>
            <w:vAlign w:val="center"/>
          </w:tcPr>
          <w:p w14:paraId="70C56A45" w14:textId="77777777" w:rsidR="002F4F42" w:rsidRPr="00A96337" w:rsidRDefault="002F4F42" w:rsidP="000E1846">
            <w:pPr>
              <w:spacing w:before="60" w:after="60"/>
              <w:rPr>
                <w:rFonts w:ascii="Arial" w:eastAsia="Times New Roman" w:hAnsi="Arial" w:cs="Arial"/>
                <w:color w:val="000000"/>
                <w:sz w:val="16"/>
                <w:szCs w:val="16"/>
              </w:rPr>
            </w:pPr>
          </w:p>
        </w:tc>
        <w:tc>
          <w:tcPr>
            <w:tcW w:w="597" w:type="pct"/>
            <w:shd w:val="clear" w:color="000000" w:fill="FFFFFF"/>
            <w:vAlign w:val="center"/>
          </w:tcPr>
          <w:p w14:paraId="608ACE1A" w14:textId="77777777" w:rsidR="002F4F42" w:rsidRPr="00A96337" w:rsidRDefault="002F4F42" w:rsidP="000E1846">
            <w:pPr>
              <w:spacing w:before="60" w:after="60"/>
              <w:rPr>
                <w:rFonts w:ascii="Arial" w:eastAsia="Times New Roman" w:hAnsi="Arial" w:cs="Arial"/>
                <w:color w:val="000000"/>
                <w:sz w:val="16"/>
                <w:szCs w:val="16"/>
              </w:rPr>
            </w:pPr>
          </w:p>
        </w:tc>
      </w:tr>
      <w:tr w:rsidR="000E1846" w:rsidRPr="00A96337" w14:paraId="3B6E2C21" w14:textId="77777777" w:rsidTr="000E1846">
        <w:trPr>
          <w:jc w:val="center"/>
        </w:trPr>
        <w:tc>
          <w:tcPr>
            <w:tcW w:w="2170" w:type="pct"/>
            <w:shd w:val="clear" w:color="auto" w:fill="F2F2F2" w:themeFill="background1" w:themeFillShade="F2"/>
            <w:vAlign w:val="center"/>
            <w:hideMark/>
          </w:tcPr>
          <w:p w14:paraId="69C63314" w14:textId="77777777" w:rsidR="002F4F42" w:rsidRPr="00575100" w:rsidRDefault="002F4F42" w:rsidP="00F8335C">
            <w:pPr>
              <w:pStyle w:val="ListParagraph"/>
              <w:numPr>
                <w:ilvl w:val="0"/>
                <w:numId w:val="42"/>
              </w:numPr>
              <w:rPr>
                <w:rFonts w:eastAsia="Times New Roman"/>
                <w:color w:val="000000"/>
                <w:sz w:val="16"/>
                <w:szCs w:val="16"/>
              </w:rPr>
            </w:pPr>
            <w:r w:rsidRPr="00575100">
              <w:rPr>
                <w:rFonts w:eastAsia="Times New Roman"/>
                <w:color w:val="000000"/>
                <w:sz w:val="16"/>
                <w:szCs w:val="16"/>
              </w:rPr>
              <w:t>400 women</w:t>
            </w:r>
          </w:p>
        </w:tc>
        <w:tc>
          <w:tcPr>
            <w:tcW w:w="349" w:type="pct"/>
            <w:shd w:val="clear" w:color="auto" w:fill="auto"/>
            <w:vAlign w:val="center"/>
            <w:hideMark/>
          </w:tcPr>
          <w:p w14:paraId="73A28784"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3837</w:t>
            </w:r>
          </w:p>
        </w:tc>
        <w:tc>
          <w:tcPr>
            <w:tcW w:w="453" w:type="pct"/>
            <w:shd w:val="clear" w:color="auto" w:fill="auto"/>
            <w:vAlign w:val="center"/>
          </w:tcPr>
          <w:p w14:paraId="3D35B975"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2700</w:t>
            </w:r>
          </w:p>
        </w:tc>
        <w:tc>
          <w:tcPr>
            <w:tcW w:w="461" w:type="pct"/>
            <w:shd w:val="clear" w:color="auto" w:fill="auto"/>
            <w:vAlign w:val="center"/>
            <w:hideMark/>
          </w:tcPr>
          <w:p w14:paraId="51188390"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142.11</w:t>
            </w:r>
          </w:p>
        </w:tc>
        <w:tc>
          <w:tcPr>
            <w:tcW w:w="461" w:type="pct"/>
            <w:shd w:val="clear" w:color="auto" w:fill="auto"/>
            <w:vAlign w:val="center"/>
          </w:tcPr>
          <w:p w14:paraId="347BFEC9"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7395</w:t>
            </w:r>
          </w:p>
        </w:tc>
        <w:tc>
          <w:tcPr>
            <w:tcW w:w="510" w:type="pct"/>
            <w:shd w:val="clear" w:color="auto" w:fill="auto"/>
            <w:vAlign w:val="center"/>
            <w:hideMark/>
          </w:tcPr>
          <w:p w14:paraId="13EA25D6"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51.89</w:t>
            </w:r>
          </w:p>
        </w:tc>
        <w:tc>
          <w:tcPr>
            <w:tcW w:w="597" w:type="pct"/>
            <w:shd w:val="clear" w:color="auto" w:fill="E1EDD3"/>
            <w:vAlign w:val="center"/>
            <w:hideMark/>
          </w:tcPr>
          <w:p w14:paraId="18BA3ACB"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2018 target</w:t>
            </w:r>
          </w:p>
        </w:tc>
      </w:tr>
      <w:tr w:rsidR="000E1846" w:rsidRPr="00A96337" w14:paraId="565022AF" w14:textId="77777777" w:rsidTr="000E1846">
        <w:trPr>
          <w:jc w:val="center"/>
        </w:trPr>
        <w:tc>
          <w:tcPr>
            <w:tcW w:w="2170" w:type="pct"/>
            <w:shd w:val="clear" w:color="auto" w:fill="F2F2F2" w:themeFill="background1" w:themeFillShade="F2"/>
            <w:vAlign w:val="center"/>
            <w:hideMark/>
          </w:tcPr>
          <w:p w14:paraId="0C9FB22D" w14:textId="77777777" w:rsidR="002F4F42" w:rsidRPr="00575100" w:rsidRDefault="002F4F42" w:rsidP="00F8335C">
            <w:pPr>
              <w:pStyle w:val="ListParagraph"/>
              <w:numPr>
                <w:ilvl w:val="0"/>
                <w:numId w:val="42"/>
              </w:numPr>
              <w:rPr>
                <w:rFonts w:eastAsia="Times New Roman"/>
                <w:color w:val="000000"/>
                <w:sz w:val="16"/>
                <w:szCs w:val="16"/>
              </w:rPr>
            </w:pPr>
            <w:r w:rsidRPr="00575100">
              <w:rPr>
                <w:rFonts w:eastAsia="Times New Roman"/>
                <w:color w:val="000000"/>
                <w:sz w:val="16"/>
                <w:szCs w:val="16"/>
              </w:rPr>
              <w:t>750 youth</w:t>
            </w:r>
          </w:p>
        </w:tc>
        <w:tc>
          <w:tcPr>
            <w:tcW w:w="349" w:type="pct"/>
            <w:shd w:val="clear" w:color="auto" w:fill="auto"/>
            <w:vAlign w:val="center"/>
            <w:hideMark/>
          </w:tcPr>
          <w:p w14:paraId="65832710"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2454</w:t>
            </w:r>
          </w:p>
        </w:tc>
        <w:tc>
          <w:tcPr>
            <w:tcW w:w="453" w:type="pct"/>
            <w:shd w:val="clear" w:color="auto" w:fill="auto"/>
            <w:vAlign w:val="center"/>
          </w:tcPr>
          <w:p w14:paraId="737E6BEC"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444</w:t>
            </w:r>
          </w:p>
        </w:tc>
        <w:tc>
          <w:tcPr>
            <w:tcW w:w="461" w:type="pct"/>
            <w:shd w:val="clear" w:color="auto" w:fill="auto"/>
            <w:vAlign w:val="center"/>
            <w:hideMark/>
          </w:tcPr>
          <w:p w14:paraId="53FF3824"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552.70</w:t>
            </w:r>
          </w:p>
        </w:tc>
        <w:tc>
          <w:tcPr>
            <w:tcW w:w="461" w:type="pct"/>
            <w:shd w:val="clear" w:color="auto" w:fill="auto"/>
            <w:vAlign w:val="center"/>
          </w:tcPr>
          <w:p w14:paraId="01199D37"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1528</w:t>
            </w:r>
          </w:p>
        </w:tc>
        <w:tc>
          <w:tcPr>
            <w:tcW w:w="510" w:type="pct"/>
            <w:shd w:val="clear" w:color="auto" w:fill="auto"/>
            <w:vAlign w:val="center"/>
            <w:hideMark/>
          </w:tcPr>
          <w:p w14:paraId="4EB0FC2E" w14:textId="77777777" w:rsidR="002F4F42" w:rsidRPr="00A96337" w:rsidRDefault="002F4F42" w:rsidP="000E1846">
            <w:pPr>
              <w:spacing w:before="60" w:after="60"/>
              <w:jc w:val="right"/>
              <w:rPr>
                <w:rFonts w:ascii="Arial" w:eastAsia="Times New Roman" w:hAnsi="Arial" w:cs="Arial"/>
                <w:color w:val="000000"/>
                <w:sz w:val="16"/>
                <w:szCs w:val="16"/>
              </w:rPr>
            </w:pPr>
            <w:r w:rsidRPr="00A96337">
              <w:rPr>
                <w:rFonts w:ascii="Arial" w:eastAsia="Times New Roman" w:hAnsi="Arial" w:cs="Arial"/>
                <w:color w:val="000000"/>
                <w:sz w:val="16"/>
                <w:szCs w:val="16"/>
              </w:rPr>
              <w:t>160.60</w:t>
            </w:r>
          </w:p>
        </w:tc>
        <w:tc>
          <w:tcPr>
            <w:tcW w:w="597" w:type="pct"/>
            <w:shd w:val="clear" w:color="auto" w:fill="B0D18B"/>
            <w:vAlign w:val="center"/>
            <w:hideMark/>
          </w:tcPr>
          <w:p w14:paraId="76C74933" w14:textId="77777777" w:rsidR="002F4F42" w:rsidRPr="00A96337" w:rsidRDefault="002F4F42" w:rsidP="000E1846">
            <w:pPr>
              <w:spacing w:before="60" w:after="60"/>
              <w:rPr>
                <w:rFonts w:ascii="Arial" w:eastAsia="Times New Roman" w:hAnsi="Arial" w:cs="Arial"/>
                <w:color w:val="000000"/>
                <w:sz w:val="16"/>
                <w:szCs w:val="16"/>
              </w:rPr>
            </w:pPr>
            <w:r w:rsidRPr="00A96337">
              <w:rPr>
                <w:rFonts w:ascii="Arial" w:eastAsia="Times New Roman" w:hAnsi="Arial" w:cs="Arial"/>
                <w:color w:val="000000"/>
                <w:sz w:val="16"/>
                <w:szCs w:val="16"/>
              </w:rPr>
              <w:t>Exceeded 2020 target</w:t>
            </w:r>
          </w:p>
        </w:tc>
      </w:tr>
    </w:tbl>
    <w:p w14:paraId="5B4F88D6" w14:textId="77777777" w:rsidR="002F4F42" w:rsidRPr="00A96337" w:rsidRDefault="002F4F42" w:rsidP="002F4F42">
      <w:pPr>
        <w:sectPr w:rsidR="002F4F42" w:rsidRPr="00A96337" w:rsidSect="001A4889">
          <w:footerReference w:type="default" r:id="rId60"/>
          <w:footerReference w:type="first" r:id="rId61"/>
          <w:pgSz w:w="16838" w:h="11906" w:orient="landscape"/>
          <w:pgMar w:top="1135" w:right="1440" w:bottom="1134" w:left="1440" w:header="708" w:footer="708" w:gutter="0"/>
          <w:cols w:space="708"/>
          <w:titlePg/>
          <w:docGrid w:linePitch="360"/>
        </w:sectPr>
      </w:pPr>
    </w:p>
    <w:p w14:paraId="15415DD9" w14:textId="2CF450AA" w:rsidR="002F4F42" w:rsidRPr="00A96337" w:rsidRDefault="002F4F42" w:rsidP="007F6FE5">
      <w:pPr>
        <w:pStyle w:val="Heading1"/>
        <w:numPr>
          <w:ilvl w:val="0"/>
          <w:numId w:val="0"/>
        </w:numPr>
      </w:pPr>
      <w:bookmarkStart w:id="468" w:name="_Toc8978070"/>
      <w:bookmarkStart w:id="469" w:name="_Toc12364851"/>
      <w:r w:rsidRPr="00A96337">
        <w:t xml:space="preserve">Annex 4: Evaluation </w:t>
      </w:r>
      <w:r w:rsidR="00C54621" w:rsidRPr="00A96337">
        <w:t>f</w:t>
      </w:r>
      <w:r w:rsidRPr="00A96337">
        <w:t>ramework</w:t>
      </w:r>
      <w:bookmarkEnd w:id="468"/>
      <w:bookmarkEnd w:id="469"/>
    </w:p>
    <w:tbl>
      <w:tblPr>
        <w:tblStyle w:val="GridTable4-Accent1"/>
        <w:tblW w:w="5000" w:type="pct"/>
        <w:tblLook w:val="04A0" w:firstRow="1" w:lastRow="0" w:firstColumn="1" w:lastColumn="0" w:noHBand="0" w:noVBand="1"/>
      </w:tblPr>
      <w:tblGrid>
        <w:gridCol w:w="2639"/>
        <w:gridCol w:w="2304"/>
        <w:gridCol w:w="2748"/>
        <w:gridCol w:w="2349"/>
        <w:gridCol w:w="2145"/>
        <w:gridCol w:w="1763"/>
      </w:tblGrid>
      <w:tr w:rsidR="002F4F42" w:rsidRPr="00A96337" w14:paraId="13FA8E19" w14:textId="77777777" w:rsidTr="000E18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6" w:type="pct"/>
            <w:tcBorders>
              <w:bottom w:val="single" w:sz="4" w:space="0" w:color="5482AB"/>
            </w:tcBorders>
            <w:shd w:val="clear" w:color="auto" w:fill="5482AB"/>
            <w:vAlign w:val="center"/>
            <w:hideMark/>
          </w:tcPr>
          <w:p w14:paraId="07BA1B16" w14:textId="77777777" w:rsidR="002F4F42" w:rsidRPr="00A96337" w:rsidRDefault="002F4F42" w:rsidP="002F4F42">
            <w:pPr>
              <w:jc w:val="center"/>
              <w:rPr>
                <w:rFonts w:ascii="Arial" w:hAnsi="Arial" w:cs="Arial"/>
                <w:sz w:val="18"/>
                <w:szCs w:val="18"/>
              </w:rPr>
            </w:pPr>
            <w:r w:rsidRPr="00A96337">
              <w:rPr>
                <w:rFonts w:ascii="Arial" w:hAnsi="Arial" w:cs="Arial"/>
                <w:sz w:val="18"/>
                <w:szCs w:val="18"/>
              </w:rPr>
              <w:t>Evaluation Question</w:t>
            </w:r>
          </w:p>
        </w:tc>
        <w:tc>
          <w:tcPr>
            <w:tcW w:w="826" w:type="pct"/>
            <w:tcBorders>
              <w:bottom w:val="single" w:sz="4" w:space="0" w:color="5482AB"/>
            </w:tcBorders>
            <w:shd w:val="clear" w:color="auto" w:fill="5482AB"/>
            <w:vAlign w:val="center"/>
          </w:tcPr>
          <w:p w14:paraId="09ADD8E3" w14:textId="77777777" w:rsidR="002F4F42" w:rsidRPr="00A96337" w:rsidRDefault="002F4F42" w:rsidP="002F4F4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Sub-questions</w:t>
            </w:r>
          </w:p>
        </w:tc>
        <w:tc>
          <w:tcPr>
            <w:tcW w:w="985" w:type="pct"/>
            <w:tcBorders>
              <w:bottom w:val="single" w:sz="4" w:space="0" w:color="5482AB"/>
            </w:tcBorders>
            <w:shd w:val="clear" w:color="auto" w:fill="5482AB"/>
            <w:vAlign w:val="center"/>
            <w:hideMark/>
          </w:tcPr>
          <w:p w14:paraId="6D663149" w14:textId="77777777" w:rsidR="002F4F42" w:rsidRPr="00A96337" w:rsidRDefault="002F4F42" w:rsidP="002F4F4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Assessment Criteria</w:t>
            </w:r>
          </w:p>
        </w:tc>
        <w:tc>
          <w:tcPr>
            <w:tcW w:w="842" w:type="pct"/>
            <w:tcBorders>
              <w:bottom w:val="single" w:sz="4" w:space="0" w:color="5482AB"/>
            </w:tcBorders>
            <w:shd w:val="clear" w:color="auto" w:fill="5482AB"/>
            <w:vAlign w:val="center"/>
          </w:tcPr>
          <w:p w14:paraId="047DBFE6" w14:textId="77777777" w:rsidR="002F4F42" w:rsidRPr="00A96337" w:rsidRDefault="002F4F42" w:rsidP="002F4F4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Assessment Process</w:t>
            </w:r>
          </w:p>
        </w:tc>
        <w:tc>
          <w:tcPr>
            <w:tcW w:w="769" w:type="pct"/>
            <w:tcBorders>
              <w:bottom w:val="single" w:sz="4" w:space="0" w:color="5482AB"/>
            </w:tcBorders>
            <w:shd w:val="clear" w:color="auto" w:fill="5482AB"/>
            <w:vAlign w:val="center"/>
          </w:tcPr>
          <w:p w14:paraId="67379020" w14:textId="77777777" w:rsidR="002F4F42" w:rsidRPr="00A96337" w:rsidRDefault="002F4F42" w:rsidP="002F4F4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Data Collection Requirements</w:t>
            </w:r>
          </w:p>
        </w:tc>
        <w:tc>
          <w:tcPr>
            <w:tcW w:w="632" w:type="pct"/>
            <w:tcBorders>
              <w:bottom w:val="single" w:sz="4" w:space="0" w:color="5482AB"/>
            </w:tcBorders>
            <w:shd w:val="clear" w:color="auto" w:fill="5482AB"/>
            <w:vAlign w:val="center"/>
            <w:hideMark/>
          </w:tcPr>
          <w:p w14:paraId="59A116F5" w14:textId="77777777" w:rsidR="002F4F42" w:rsidRPr="00A96337" w:rsidRDefault="002F4F42" w:rsidP="002F4F4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Data Sources</w:t>
            </w:r>
          </w:p>
        </w:tc>
      </w:tr>
      <w:tr w:rsidR="002F4F42" w:rsidRPr="00A96337" w14:paraId="67311D5A" w14:textId="77777777" w:rsidTr="000E1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single" w:sz="4" w:space="0" w:color="5482AB"/>
              <w:left w:val="nil"/>
              <w:bottom w:val="single" w:sz="4" w:space="0" w:color="5482AB"/>
              <w:right w:val="nil"/>
            </w:tcBorders>
            <w:shd w:val="clear" w:color="auto" w:fill="F2F2F2" w:themeFill="background1" w:themeFillShade="F2"/>
            <w:vAlign w:val="center"/>
          </w:tcPr>
          <w:p w14:paraId="0E2A0770" w14:textId="70612CCB" w:rsidR="002F4F42" w:rsidRPr="00A96337" w:rsidRDefault="002F4F42" w:rsidP="00F8335C">
            <w:pPr>
              <w:pStyle w:val="ListParagraph"/>
              <w:numPr>
                <w:ilvl w:val="0"/>
                <w:numId w:val="34"/>
              </w:numPr>
              <w:spacing w:before="0" w:after="0" w:line="240" w:lineRule="auto"/>
              <w:ind w:left="306"/>
              <w:rPr>
                <w:szCs w:val="20"/>
              </w:rPr>
            </w:pPr>
            <w:r w:rsidRPr="00A96337">
              <w:rPr>
                <w:szCs w:val="20"/>
              </w:rPr>
              <w:t xml:space="preserve">RELEVANCE: Does the program logic, approach and governance of </w:t>
            </w:r>
            <w:r w:rsidR="009B58A0" w:rsidRPr="00A96337">
              <w:rPr>
                <w:szCs w:val="20"/>
              </w:rPr>
              <w:t>AMENCA 3</w:t>
            </w:r>
            <w:r w:rsidRPr="00A96337">
              <w:rPr>
                <w:szCs w:val="20"/>
              </w:rPr>
              <w:t xml:space="preserve"> remain valid or require changes?</w:t>
            </w:r>
          </w:p>
        </w:tc>
        <w:tc>
          <w:tcPr>
            <w:tcW w:w="826" w:type="pct"/>
            <w:tcBorders>
              <w:top w:val="single" w:sz="4" w:space="0" w:color="5482AB"/>
              <w:left w:val="nil"/>
              <w:bottom w:val="single" w:sz="4" w:space="0" w:color="5482AB"/>
              <w:right w:val="nil"/>
            </w:tcBorders>
            <w:shd w:val="clear" w:color="auto" w:fill="F2F2F2" w:themeFill="background1" w:themeFillShade="F2"/>
            <w:vAlign w:val="center"/>
          </w:tcPr>
          <w:p w14:paraId="7D6C098F" w14:textId="3A783D66" w:rsidR="002F4F42" w:rsidRPr="00A96337" w:rsidRDefault="002F4F42" w:rsidP="00F8335C">
            <w:pPr>
              <w:pStyle w:val="ListParagraph"/>
              <w:numPr>
                <w:ilvl w:val="0"/>
                <w:numId w:val="35"/>
              </w:numPr>
              <w:spacing w:before="0" w:after="0" w:line="240" w:lineRule="auto"/>
              <w:ind w:left="232" w:hanging="284"/>
              <w:cnfStyle w:val="000000100000" w:firstRow="0" w:lastRow="0" w:firstColumn="0" w:lastColumn="0" w:oddVBand="0" w:evenVBand="0" w:oddHBand="1" w:evenHBand="0" w:firstRowFirstColumn="0" w:firstRowLastColumn="0" w:lastRowFirstColumn="0" w:lastRowLastColumn="0"/>
              <w:rPr>
                <w:szCs w:val="20"/>
              </w:rPr>
            </w:pPr>
            <w:r w:rsidRPr="00A96337">
              <w:rPr>
                <w:szCs w:val="20"/>
              </w:rPr>
              <w:t xml:space="preserve">Did </w:t>
            </w:r>
            <w:r w:rsidR="009B58A0" w:rsidRPr="00A96337">
              <w:rPr>
                <w:szCs w:val="20"/>
              </w:rPr>
              <w:t>AMENCA 3</w:t>
            </w:r>
            <w:r w:rsidRPr="00A96337">
              <w:rPr>
                <w:szCs w:val="20"/>
              </w:rPr>
              <w:t xml:space="preserve"> align at implementation and does it still </w:t>
            </w:r>
            <w:r w:rsidRPr="00A96337">
              <w:rPr>
                <w:b/>
                <w:szCs w:val="20"/>
              </w:rPr>
              <w:t>align with DFAT’s aid policy</w:t>
            </w:r>
            <w:r w:rsidRPr="00A96337">
              <w:rPr>
                <w:szCs w:val="20"/>
              </w:rPr>
              <w:t xml:space="preserve"> and its Palestinian Territories Aid Investment Plan?</w:t>
            </w:r>
          </w:p>
          <w:p w14:paraId="34B7A3CB" w14:textId="53966E56" w:rsidR="002F4F42" w:rsidRPr="00A96337" w:rsidRDefault="002F4F42" w:rsidP="00F8335C">
            <w:pPr>
              <w:pStyle w:val="ListParagraph"/>
              <w:numPr>
                <w:ilvl w:val="0"/>
                <w:numId w:val="35"/>
              </w:numPr>
              <w:spacing w:before="0" w:after="0" w:line="240" w:lineRule="auto"/>
              <w:ind w:left="232" w:hanging="284"/>
              <w:cnfStyle w:val="000000100000" w:firstRow="0" w:lastRow="0" w:firstColumn="0" w:lastColumn="0" w:oddVBand="0" w:evenVBand="0" w:oddHBand="1" w:evenHBand="0" w:firstRowFirstColumn="0" w:firstRowLastColumn="0" w:lastRowFirstColumn="0" w:lastRowLastColumn="0"/>
              <w:rPr>
                <w:szCs w:val="20"/>
              </w:rPr>
            </w:pPr>
            <w:r w:rsidRPr="00A96337">
              <w:rPr>
                <w:szCs w:val="20"/>
              </w:rPr>
              <w:t xml:space="preserve">Did </w:t>
            </w:r>
            <w:r w:rsidR="009B58A0" w:rsidRPr="00A96337">
              <w:rPr>
                <w:szCs w:val="20"/>
              </w:rPr>
              <w:t>AMENCA 3</w:t>
            </w:r>
            <w:r w:rsidRPr="00A96337">
              <w:rPr>
                <w:szCs w:val="20"/>
              </w:rPr>
              <w:t xml:space="preserve"> align at implementation and does it still </w:t>
            </w:r>
            <w:r w:rsidRPr="00A96337">
              <w:rPr>
                <w:b/>
                <w:szCs w:val="20"/>
              </w:rPr>
              <w:t>align with the Palestinian Authority’s (PA)</w:t>
            </w:r>
            <w:r w:rsidRPr="00A96337">
              <w:rPr>
                <w:szCs w:val="20"/>
              </w:rPr>
              <w:t xml:space="preserve"> objectives, and does the</w:t>
            </w:r>
            <w:r w:rsidR="0014725A" w:rsidRPr="00A96337">
              <w:rPr>
                <w:szCs w:val="20"/>
              </w:rPr>
              <w:t xml:space="preserve"> </w:t>
            </w:r>
            <w:r w:rsidRPr="00A96337">
              <w:rPr>
                <w:szCs w:val="20"/>
              </w:rPr>
              <w:t>Palestinian Authority still value it?</w:t>
            </w:r>
          </w:p>
          <w:p w14:paraId="04136B81" w14:textId="77777777" w:rsidR="002F4F42" w:rsidRPr="00A96337" w:rsidRDefault="002F4F42" w:rsidP="00F8335C">
            <w:pPr>
              <w:pStyle w:val="ListParagraph"/>
              <w:numPr>
                <w:ilvl w:val="0"/>
                <w:numId w:val="35"/>
              </w:numPr>
              <w:spacing w:before="0" w:after="0" w:line="240" w:lineRule="auto"/>
              <w:ind w:left="232" w:hanging="284"/>
              <w:cnfStyle w:val="000000100000" w:firstRow="0" w:lastRow="0" w:firstColumn="0" w:lastColumn="0" w:oddVBand="0" w:evenVBand="0" w:oddHBand="1" w:evenHBand="0" w:firstRowFirstColumn="0" w:firstRowLastColumn="0" w:lastRowFirstColumn="0" w:lastRowLastColumn="0"/>
              <w:rPr>
                <w:szCs w:val="20"/>
              </w:rPr>
            </w:pPr>
            <w:r w:rsidRPr="00A96337">
              <w:rPr>
                <w:szCs w:val="20"/>
              </w:rPr>
              <w:t xml:space="preserve">Has the </w:t>
            </w:r>
            <w:r w:rsidRPr="00A96337">
              <w:rPr>
                <w:b/>
                <w:szCs w:val="20"/>
              </w:rPr>
              <w:t>‘hybrid MSD’ approach been the most relevant</w:t>
            </w:r>
            <w:r w:rsidRPr="00A96337">
              <w:rPr>
                <w:szCs w:val="20"/>
              </w:rPr>
              <w:t xml:space="preserve"> way to maximise connecting Palestinian farmers to markets including by promoting economic empowerment for women and youth in the Palestinian Territories, and is it still the most relevant way?</w:t>
            </w:r>
          </w:p>
          <w:p w14:paraId="780FF5A6" w14:textId="0673EDB2" w:rsidR="002F4F42" w:rsidRPr="00A96337" w:rsidRDefault="002F4F42" w:rsidP="00F8335C">
            <w:pPr>
              <w:pStyle w:val="ListParagraph"/>
              <w:numPr>
                <w:ilvl w:val="0"/>
                <w:numId w:val="35"/>
              </w:numPr>
              <w:spacing w:before="0" w:after="0" w:line="240" w:lineRule="auto"/>
              <w:ind w:left="232" w:hanging="284"/>
              <w:cnfStyle w:val="000000100000" w:firstRow="0" w:lastRow="0" w:firstColumn="0" w:lastColumn="0" w:oddVBand="0" w:evenVBand="0" w:oddHBand="1" w:evenHBand="0" w:firstRowFirstColumn="0" w:firstRowLastColumn="0" w:lastRowFirstColumn="0" w:lastRowLastColumn="0"/>
              <w:rPr>
                <w:szCs w:val="20"/>
              </w:rPr>
            </w:pPr>
            <w:r w:rsidRPr="00A96337">
              <w:rPr>
                <w:szCs w:val="20"/>
              </w:rPr>
              <w:t xml:space="preserve">Have the </w:t>
            </w:r>
            <w:r w:rsidRPr="00A96337">
              <w:rPr>
                <w:b/>
                <w:szCs w:val="20"/>
              </w:rPr>
              <w:t>value chains and locations</w:t>
            </w:r>
            <w:r w:rsidRPr="00A96337">
              <w:rPr>
                <w:szCs w:val="20"/>
              </w:rPr>
              <w:t xml:space="preserve"> actioned during </w:t>
            </w:r>
            <w:r w:rsidR="009B58A0" w:rsidRPr="00A96337">
              <w:rPr>
                <w:szCs w:val="20"/>
              </w:rPr>
              <w:t>AMENCA 3</w:t>
            </w:r>
            <w:r w:rsidRPr="00A96337">
              <w:rPr>
                <w:szCs w:val="20"/>
              </w:rPr>
              <w:t xml:space="preserve"> been the most relevant interventions, and based on a solid evidence base?</w:t>
            </w:r>
          </w:p>
          <w:p w14:paraId="174FCD94" w14:textId="494DDAE1" w:rsidR="002F4F42" w:rsidRPr="00A96337" w:rsidRDefault="002F4F42" w:rsidP="00F8335C">
            <w:pPr>
              <w:pStyle w:val="ListParagraph"/>
              <w:numPr>
                <w:ilvl w:val="0"/>
                <w:numId w:val="35"/>
              </w:numPr>
              <w:spacing w:before="0" w:after="0" w:line="240" w:lineRule="auto"/>
              <w:ind w:left="232" w:hanging="284"/>
              <w:cnfStyle w:val="000000100000" w:firstRow="0" w:lastRow="0" w:firstColumn="0" w:lastColumn="0" w:oddVBand="0" w:evenVBand="0" w:oddHBand="1" w:evenHBand="0" w:firstRowFirstColumn="0" w:firstRowLastColumn="0" w:lastRowFirstColumn="0" w:lastRowLastColumn="0"/>
              <w:rPr>
                <w:szCs w:val="20"/>
              </w:rPr>
            </w:pPr>
            <w:r w:rsidRPr="00A96337">
              <w:rPr>
                <w:b/>
                <w:szCs w:val="20"/>
              </w:rPr>
              <w:t>Has anything changed</w:t>
            </w:r>
            <w:r w:rsidRPr="00A96337">
              <w:rPr>
                <w:szCs w:val="20"/>
              </w:rPr>
              <w:t xml:space="preserve"> to affect the relevance of this investment?</w:t>
            </w:r>
            <w:r w:rsidR="00E42BC8" w:rsidRPr="00A96337">
              <w:rPr>
                <w:szCs w:val="20"/>
              </w:rPr>
              <w:t xml:space="preserve"> </w:t>
            </w:r>
            <w:r w:rsidRPr="00A96337">
              <w:rPr>
                <w:szCs w:val="20"/>
              </w:rPr>
              <w:t xml:space="preserve">Are the assumptions underpinning the </w:t>
            </w:r>
            <w:r w:rsidR="009B58A0" w:rsidRPr="00A96337">
              <w:rPr>
                <w:szCs w:val="20"/>
              </w:rPr>
              <w:t>AMENCA 3</w:t>
            </w:r>
            <w:r w:rsidRPr="00A96337">
              <w:rPr>
                <w:szCs w:val="20"/>
              </w:rPr>
              <w:t xml:space="preserve"> Investment Design Framework and M&amp;E Framework still relevant?</w:t>
            </w:r>
          </w:p>
        </w:tc>
        <w:tc>
          <w:tcPr>
            <w:tcW w:w="985" w:type="pct"/>
            <w:tcBorders>
              <w:top w:val="single" w:sz="4" w:space="0" w:color="5482AB"/>
              <w:left w:val="nil"/>
              <w:bottom w:val="single" w:sz="4" w:space="0" w:color="5482AB"/>
              <w:right w:val="nil"/>
            </w:tcBorders>
            <w:shd w:val="clear" w:color="auto" w:fill="F2F2F2" w:themeFill="background1" w:themeFillShade="F2"/>
            <w:vAlign w:val="center"/>
          </w:tcPr>
          <w:p w14:paraId="6B8E6C5F" w14:textId="4407F747" w:rsidR="002F4F42" w:rsidRPr="00A96337" w:rsidRDefault="002F4F42" w:rsidP="00613B55">
            <w:pPr>
              <w:ind w:left="332" w:hanging="39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C3.</w:t>
            </w:r>
            <w:r w:rsidRPr="00A96337">
              <w:rPr>
                <w:rFonts w:ascii="Arial" w:hAnsi="Arial" w:cs="Arial"/>
              </w:rPr>
              <w:tab/>
              <w:t xml:space="preserve">The intervention model (i.e. hybrid MSD model) used by </w:t>
            </w:r>
            <w:r w:rsidR="009B58A0" w:rsidRPr="00A96337">
              <w:rPr>
                <w:rFonts w:ascii="Arial" w:hAnsi="Arial" w:cs="Arial"/>
              </w:rPr>
              <w:t>AMENCA 3</w:t>
            </w:r>
            <w:r w:rsidRPr="00A96337">
              <w:rPr>
                <w:rFonts w:ascii="Arial" w:hAnsi="Arial" w:cs="Arial"/>
              </w:rPr>
              <w:t xml:space="preserve"> is credibly able to achieve the objectives (for example, has the selection of value chains been appropriate and does it remain appropriate moving forward) and have partners implemented the hybrid model as intended and/or made any adaptations or innovations that have impacted </w:t>
            </w:r>
            <w:r w:rsidR="009B58A0" w:rsidRPr="00A96337">
              <w:rPr>
                <w:rFonts w:ascii="Arial" w:hAnsi="Arial" w:cs="Arial"/>
              </w:rPr>
              <w:t>AMENCA 3</w:t>
            </w:r>
            <w:r w:rsidRPr="00A96337">
              <w:rPr>
                <w:rFonts w:ascii="Arial" w:hAnsi="Arial" w:cs="Arial"/>
              </w:rPr>
              <w:t>.</w:t>
            </w:r>
          </w:p>
          <w:p w14:paraId="51E06EE6" w14:textId="77777777" w:rsidR="002F4F42" w:rsidRPr="00A96337" w:rsidRDefault="002F4F42" w:rsidP="00613B55">
            <w:pPr>
              <w:ind w:left="332" w:hanging="39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C9.</w:t>
            </w:r>
            <w:r w:rsidRPr="00A96337">
              <w:rPr>
                <w:rFonts w:ascii="Arial" w:hAnsi="Arial" w:cs="Arial"/>
              </w:rPr>
              <w:tab/>
              <w:t>The program is learning during implementation, and has an adequate MEL system working to support this</w:t>
            </w:r>
          </w:p>
          <w:p w14:paraId="2A0B4718" w14:textId="77777777" w:rsidR="002F4F42" w:rsidRPr="00A96337" w:rsidRDefault="002F4F42" w:rsidP="00613B55">
            <w:pPr>
              <w:ind w:left="332" w:hanging="39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(Plus, analysis from Question 2 below)</w:t>
            </w:r>
          </w:p>
        </w:tc>
        <w:tc>
          <w:tcPr>
            <w:tcW w:w="842" w:type="pct"/>
            <w:tcBorders>
              <w:top w:val="single" w:sz="4" w:space="0" w:color="5482AB"/>
              <w:left w:val="nil"/>
              <w:bottom w:val="single" w:sz="4" w:space="0" w:color="5482AB"/>
              <w:right w:val="nil"/>
            </w:tcBorders>
            <w:shd w:val="clear" w:color="auto" w:fill="F2F2F2" w:themeFill="background1" w:themeFillShade="F2"/>
            <w:vAlign w:val="center"/>
          </w:tcPr>
          <w:p w14:paraId="0DB33FE2" w14:textId="068C315C" w:rsidR="002F4F42" w:rsidRPr="00A96337" w:rsidRDefault="002F4F42" w:rsidP="00613B55">
            <w:pPr>
              <w:ind w:left="280" w:hanging="30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C3.</w:t>
            </w:r>
            <w:r w:rsidRPr="00A96337">
              <w:rPr>
                <w:rFonts w:ascii="Arial" w:hAnsi="Arial" w:cs="Arial"/>
              </w:rPr>
              <w:tab/>
              <w:t xml:space="preserve">Assess the feasibility of the intervention model achieving </w:t>
            </w:r>
            <w:r w:rsidR="009B58A0" w:rsidRPr="00A96337">
              <w:rPr>
                <w:rFonts w:ascii="Arial" w:hAnsi="Arial" w:cs="Arial"/>
              </w:rPr>
              <w:t>AMENCA 3</w:t>
            </w:r>
            <w:r w:rsidRPr="00A96337">
              <w:rPr>
                <w:rFonts w:ascii="Arial" w:hAnsi="Arial" w:cs="Arial"/>
              </w:rPr>
              <w:t>’s objectives based on evidence to date, a literature review regarding credibility of the model, and feedback from program staff and participants.</w:t>
            </w:r>
          </w:p>
          <w:p w14:paraId="30A6849D" w14:textId="77777777" w:rsidR="002F4F42" w:rsidRPr="00A96337" w:rsidRDefault="002F4F42" w:rsidP="00613B55">
            <w:pPr>
              <w:ind w:left="280" w:hanging="30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C9.</w:t>
            </w:r>
            <w:r w:rsidRPr="00A96337">
              <w:rPr>
                <w:rFonts w:ascii="Arial" w:hAnsi="Arial" w:cs="Arial"/>
              </w:rPr>
              <w:tab/>
              <w:t>Review annual plans, performance reporting and interview notes for evidence of learning and improvement. Review the quality of the MEL framework against DFAT’s M&amp;E Standards.</w:t>
            </w:r>
          </w:p>
          <w:p w14:paraId="7F3A47C2" w14:textId="77777777" w:rsidR="002F4F42" w:rsidRPr="00A96337" w:rsidRDefault="002F4F42" w:rsidP="00613B55">
            <w:pPr>
              <w:ind w:left="280" w:hanging="30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(Plus, analysis against Question 2 below)</w:t>
            </w:r>
          </w:p>
        </w:tc>
        <w:tc>
          <w:tcPr>
            <w:tcW w:w="769" w:type="pct"/>
            <w:tcBorders>
              <w:top w:val="single" w:sz="4" w:space="0" w:color="5482AB"/>
              <w:left w:val="nil"/>
              <w:bottom w:val="single" w:sz="4" w:space="0" w:color="5482AB"/>
              <w:right w:val="nil"/>
            </w:tcBorders>
            <w:shd w:val="clear" w:color="auto" w:fill="F2F2F2" w:themeFill="background1" w:themeFillShade="F2"/>
            <w:vAlign w:val="center"/>
          </w:tcPr>
          <w:p w14:paraId="79DFDDAD" w14:textId="77777777" w:rsidR="002F4F42" w:rsidRPr="00A96337" w:rsidRDefault="002F4F42" w:rsidP="00F8335C">
            <w:pPr>
              <w:pStyle w:val="ListParagraph"/>
              <w:numPr>
                <w:ilvl w:val="0"/>
                <w:numId w:val="29"/>
              </w:numPr>
              <w:spacing w:before="0" w:after="0" w:line="240" w:lineRule="auto"/>
              <w:ind w:left="193"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Literature scan needs to review the evidence underpinning the ‘hybrid MSD’ intervention model, and its success in achieving intended outcomes</w:t>
            </w:r>
          </w:p>
          <w:p w14:paraId="1C482DF6" w14:textId="77777777" w:rsidR="002F4F42" w:rsidRPr="00A96337" w:rsidRDefault="002F4F42" w:rsidP="00F8335C">
            <w:pPr>
              <w:pStyle w:val="ListParagraph"/>
              <w:numPr>
                <w:ilvl w:val="0"/>
                <w:numId w:val="29"/>
              </w:numPr>
              <w:spacing w:before="0" w:after="0" w:line="240" w:lineRule="auto"/>
              <w:ind w:left="193"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Program Staff and DFAT Stakeholders need to seek additional information about the intervention model, the evidence base underpinning the model, adaptation to the Palestinian Territory context, and possible improvements</w:t>
            </w:r>
          </w:p>
          <w:p w14:paraId="1817F070" w14:textId="77777777" w:rsidR="002F4F42" w:rsidRPr="00A96337" w:rsidRDefault="002F4F42" w:rsidP="00F8335C">
            <w:pPr>
              <w:pStyle w:val="ListParagraph"/>
              <w:numPr>
                <w:ilvl w:val="0"/>
                <w:numId w:val="29"/>
              </w:numPr>
              <w:spacing w:before="0" w:after="0" w:line="240" w:lineRule="auto"/>
              <w:ind w:left="193"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program participants need to seek their views about the effectiveness of the intervention model and possible improvements</w:t>
            </w:r>
          </w:p>
        </w:tc>
        <w:tc>
          <w:tcPr>
            <w:tcW w:w="632" w:type="pct"/>
            <w:tcBorders>
              <w:top w:val="single" w:sz="4" w:space="0" w:color="5482AB"/>
              <w:left w:val="nil"/>
              <w:bottom w:val="single" w:sz="4" w:space="0" w:color="5482AB"/>
              <w:right w:val="nil"/>
            </w:tcBorders>
            <w:shd w:val="clear" w:color="auto" w:fill="F2F2F2" w:themeFill="background1" w:themeFillShade="F2"/>
            <w:vAlign w:val="center"/>
          </w:tcPr>
          <w:p w14:paraId="696FC9C2" w14:textId="77777777" w:rsidR="002F4F42" w:rsidRPr="00A96337" w:rsidRDefault="002F4F42" w:rsidP="00F8335C">
            <w:pPr>
              <w:pStyle w:val="ListParagraph"/>
              <w:numPr>
                <w:ilvl w:val="0"/>
                <w:numId w:val="29"/>
              </w:numPr>
              <w:spacing w:before="0" w:after="0" w:line="240" w:lineRule="auto"/>
              <w:ind w:left="204"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Desk Review</w:t>
            </w:r>
          </w:p>
          <w:p w14:paraId="009C05DA" w14:textId="77777777" w:rsidR="002F4F42" w:rsidRPr="00A96337" w:rsidRDefault="002F4F42" w:rsidP="00F8335C">
            <w:pPr>
              <w:pStyle w:val="ListParagraph"/>
              <w:numPr>
                <w:ilvl w:val="0"/>
                <w:numId w:val="29"/>
              </w:numPr>
              <w:spacing w:before="0" w:after="0" w:line="240" w:lineRule="auto"/>
              <w:ind w:left="204"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Program Staff and DFAT stakeholders</w:t>
            </w:r>
          </w:p>
          <w:p w14:paraId="7C991EA9" w14:textId="77777777" w:rsidR="002F4F42" w:rsidRPr="00A96337" w:rsidRDefault="002F4F42" w:rsidP="00F8335C">
            <w:pPr>
              <w:pStyle w:val="ListParagraph"/>
              <w:numPr>
                <w:ilvl w:val="0"/>
                <w:numId w:val="29"/>
              </w:numPr>
              <w:spacing w:before="0" w:after="0" w:line="240" w:lineRule="auto"/>
              <w:ind w:left="204"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Participants</w:t>
            </w:r>
          </w:p>
          <w:p w14:paraId="193A2884" w14:textId="77777777" w:rsidR="002F4F42" w:rsidRPr="00A96337" w:rsidRDefault="002F4F42" w:rsidP="00F8335C">
            <w:pPr>
              <w:pStyle w:val="ListParagraph"/>
              <w:numPr>
                <w:ilvl w:val="0"/>
                <w:numId w:val="29"/>
              </w:numPr>
              <w:spacing w:before="0" w:after="0" w:line="240" w:lineRule="auto"/>
              <w:ind w:left="204"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Literature scan</w:t>
            </w:r>
          </w:p>
        </w:tc>
      </w:tr>
      <w:tr w:rsidR="002F4F42" w:rsidRPr="00A96337" w14:paraId="217556FD" w14:textId="77777777" w:rsidTr="000E1846">
        <w:tc>
          <w:tcPr>
            <w:cnfStyle w:val="001000000000" w:firstRow="0" w:lastRow="0" w:firstColumn="1" w:lastColumn="0" w:oddVBand="0" w:evenVBand="0" w:oddHBand="0" w:evenHBand="0" w:firstRowFirstColumn="0" w:firstRowLastColumn="0" w:lastRowFirstColumn="0" w:lastRowLastColumn="0"/>
            <w:tcW w:w="946" w:type="pct"/>
            <w:tcBorders>
              <w:top w:val="single" w:sz="4" w:space="0" w:color="5482AB"/>
              <w:left w:val="nil"/>
              <w:bottom w:val="single" w:sz="4" w:space="0" w:color="5482AB"/>
              <w:right w:val="nil"/>
            </w:tcBorders>
            <w:shd w:val="clear" w:color="auto" w:fill="auto"/>
            <w:vAlign w:val="center"/>
            <w:hideMark/>
          </w:tcPr>
          <w:p w14:paraId="623FF7E2" w14:textId="16087321" w:rsidR="002F4F42" w:rsidRPr="00A96337" w:rsidRDefault="002F4F42" w:rsidP="00F8335C">
            <w:pPr>
              <w:pStyle w:val="ListParagraph"/>
              <w:numPr>
                <w:ilvl w:val="0"/>
                <w:numId w:val="34"/>
              </w:numPr>
              <w:spacing w:before="0" w:after="0" w:line="240" w:lineRule="auto"/>
              <w:ind w:left="306"/>
              <w:rPr>
                <w:szCs w:val="20"/>
              </w:rPr>
            </w:pPr>
            <w:r w:rsidRPr="00A96337">
              <w:rPr>
                <w:szCs w:val="20"/>
              </w:rPr>
              <w:t xml:space="preserve">EFFECTIVENESS: What results has </w:t>
            </w:r>
            <w:r w:rsidR="009B58A0" w:rsidRPr="00A96337">
              <w:rPr>
                <w:szCs w:val="20"/>
              </w:rPr>
              <w:t>AMENCA 3</w:t>
            </w:r>
            <w:r w:rsidRPr="00A96337">
              <w:rPr>
                <w:szCs w:val="20"/>
              </w:rPr>
              <w:t xml:space="preserve"> achieved to date? Do these achievements indicate the Program is on track to realise its objectives?</w:t>
            </w:r>
          </w:p>
        </w:tc>
        <w:tc>
          <w:tcPr>
            <w:tcW w:w="826" w:type="pct"/>
            <w:tcBorders>
              <w:top w:val="single" w:sz="4" w:space="0" w:color="5482AB"/>
              <w:left w:val="nil"/>
              <w:bottom w:val="single" w:sz="4" w:space="0" w:color="5482AB"/>
              <w:right w:val="nil"/>
            </w:tcBorders>
            <w:shd w:val="clear" w:color="auto" w:fill="auto"/>
            <w:vAlign w:val="center"/>
          </w:tcPr>
          <w:p w14:paraId="4B159269" w14:textId="698B54FD" w:rsidR="002F4F42" w:rsidRPr="00A96337" w:rsidRDefault="002F4F42" w:rsidP="00F8335C">
            <w:pPr>
              <w:pStyle w:val="ListParagraph"/>
              <w:numPr>
                <w:ilvl w:val="0"/>
                <w:numId w:val="36"/>
              </w:numPr>
              <w:spacing w:before="0" w:after="0" w:line="240" w:lineRule="auto"/>
              <w:ind w:left="232" w:hanging="284"/>
              <w:cnfStyle w:val="000000000000" w:firstRow="0" w:lastRow="0" w:firstColumn="0" w:lastColumn="0" w:oddVBand="0" w:evenVBand="0" w:oddHBand="0" w:evenHBand="0" w:firstRowFirstColumn="0" w:firstRowLastColumn="0" w:lastRowFirstColumn="0" w:lastRowLastColumn="0"/>
              <w:rPr>
                <w:szCs w:val="20"/>
              </w:rPr>
            </w:pPr>
            <w:r w:rsidRPr="00A96337">
              <w:rPr>
                <w:szCs w:val="20"/>
              </w:rPr>
              <w:t xml:space="preserve">Are DFAT and its implementing partners </w:t>
            </w:r>
            <w:r w:rsidRPr="00A96337">
              <w:rPr>
                <w:b/>
                <w:szCs w:val="20"/>
              </w:rPr>
              <w:t xml:space="preserve">strategically </w:t>
            </w:r>
            <w:r w:rsidR="0014725A" w:rsidRPr="00A96337">
              <w:rPr>
                <w:b/>
                <w:szCs w:val="20"/>
              </w:rPr>
              <w:t>focused</w:t>
            </w:r>
            <w:r w:rsidRPr="00A96337">
              <w:rPr>
                <w:szCs w:val="20"/>
              </w:rPr>
              <w:t xml:space="preserve"> to meet the objectives outlined in the </w:t>
            </w:r>
            <w:r w:rsidR="009B58A0" w:rsidRPr="00A96337">
              <w:rPr>
                <w:szCs w:val="20"/>
              </w:rPr>
              <w:t>AMENCA 3</w:t>
            </w:r>
            <w:r w:rsidRPr="00A96337">
              <w:rPr>
                <w:szCs w:val="20"/>
              </w:rPr>
              <w:t xml:space="preserve"> Investment Design Framework and the M&amp;E Framework? Do DFAT and its implementing partners have a clear sense of the strategic vision and the methodology determined to achieve it?</w:t>
            </w:r>
          </w:p>
          <w:p w14:paraId="159EA2E9" w14:textId="77777777" w:rsidR="002F4F42" w:rsidRPr="00A96337" w:rsidRDefault="002F4F42" w:rsidP="00F8335C">
            <w:pPr>
              <w:pStyle w:val="ListParagraph"/>
              <w:numPr>
                <w:ilvl w:val="0"/>
                <w:numId w:val="36"/>
              </w:numPr>
              <w:spacing w:before="0" w:after="0" w:line="240" w:lineRule="auto"/>
              <w:ind w:left="232" w:hanging="284"/>
              <w:cnfStyle w:val="000000000000" w:firstRow="0" w:lastRow="0" w:firstColumn="0" w:lastColumn="0" w:oddVBand="0" w:evenVBand="0" w:oddHBand="0" w:evenHBand="0" w:firstRowFirstColumn="0" w:firstRowLastColumn="0" w:lastRowFirstColumn="0" w:lastRowLastColumn="0"/>
              <w:rPr>
                <w:szCs w:val="20"/>
              </w:rPr>
            </w:pPr>
            <w:r w:rsidRPr="00A96337">
              <w:rPr>
                <w:szCs w:val="20"/>
              </w:rPr>
              <w:t>Were the original and revised outcomes for the program realistic and achievable? Will they be achieved? Have M&amp;E arrangements been sufficient to capture progress?</w:t>
            </w:r>
          </w:p>
          <w:p w14:paraId="01DC732E" w14:textId="77777777" w:rsidR="002F4F42" w:rsidRPr="00A96337" w:rsidRDefault="002F4F42" w:rsidP="00F8335C">
            <w:pPr>
              <w:pStyle w:val="ListParagraph"/>
              <w:numPr>
                <w:ilvl w:val="0"/>
                <w:numId w:val="36"/>
              </w:numPr>
              <w:spacing w:before="0" w:after="0" w:line="240" w:lineRule="auto"/>
              <w:ind w:left="232" w:hanging="284"/>
              <w:cnfStyle w:val="000000000000" w:firstRow="0" w:lastRow="0" w:firstColumn="0" w:lastColumn="0" w:oddVBand="0" w:evenVBand="0" w:oddHBand="0" w:evenHBand="0" w:firstRowFirstColumn="0" w:firstRowLastColumn="0" w:lastRowFirstColumn="0" w:lastRowLastColumn="0"/>
              <w:rPr>
                <w:szCs w:val="20"/>
              </w:rPr>
            </w:pPr>
            <w:r w:rsidRPr="00A96337">
              <w:rPr>
                <w:szCs w:val="20"/>
              </w:rPr>
              <w:t xml:space="preserve">Are the approaches to </w:t>
            </w:r>
            <w:r w:rsidRPr="00A96337">
              <w:rPr>
                <w:b/>
                <w:szCs w:val="20"/>
              </w:rPr>
              <w:t>economic empowerment for women and youth</w:t>
            </w:r>
            <w:r w:rsidRPr="00A96337">
              <w:rPr>
                <w:szCs w:val="20"/>
              </w:rPr>
              <w:t xml:space="preserve"> operationalised across the program in the most effective way to achieve the program’s objectives?</w:t>
            </w:r>
          </w:p>
          <w:p w14:paraId="013B5779" w14:textId="77777777" w:rsidR="002F4F42" w:rsidRPr="00A96337" w:rsidRDefault="002F4F42" w:rsidP="00F8335C">
            <w:pPr>
              <w:pStyle w:val="ListParagraph"/>
              <w:numPr>
                <w:ilvl w:val="0"/>
                <w:numId w:val="36"/>
              </w:numPr>
              <w:spacing w:before="0" w:after="0" w:line="240" w:lineRule="auto"/>
              <w:ind w:left="232" w:hanging="284"/>
              <w:cnfStyle w:val="000000000000" w:firstRow="0" w:lastRow="0" w:firstColumn="0" w:lastColumn="0" w:oddVBand="0" w:evenVBand="0" w:oddHBand="0" w:evenHBand="0" w:firstRowFirstColumn="0" w:firstRowLastColumn="0" w:lastRowFirstColumn="0" w:lastRowLastColumn="0"/>
              <w:rPr>
                <w:szCs w:val="20"/>
              </w:rPr>
            </w:pPr>
            <w:r w:rsidRPr="00A96337">
              <w:rPr>
                <w:szCs w:val="20"/>
              </w:rPr>
              <w:t xml:space="preserve">Have implementing partners sought the </w:t>
            </w:r>
            <w:r w:rsidRPr="00A96337">
              <w:rPr>
                <w:b/>
                <w:szCs w:val="20"/>
              </w:rPr>
              <w:t>technical assistance</w:t>
            </w:r>
            <w:r w:rsidRPr="00A96337">
              <w:rPr>
                <w:szCs w:val="20"/>
              </w:rPr>
              <w:t xml:space="preserve"> available through the program’s advisors when required, and was that assistance useful?</w:t>
            </w:r>
          </w:p>
        </w:tc>
        <w:tc>
          <w:tcPr>
            <w:tcW w:w="985" w:type="pct"/>
            <w:tcBorders>
              <w:top w:val="single" w:sz="4" w:space="0" w:color="5482AB"/>
              <w:left w:val="nil"/>
              <w:bottom w:val="single" w:sz="4" w:space="0" w:color="5482AB"/>
              <w:right w:val="nil"/>
            </w:tcBorders>
            <w:shd w:val="clear" w:color="auto" w:fill="auto"/>
            <w:vAlign w:val="center"/>
            <w:hideMark/>
          </w:tcPr>
          <w:p w14:paraId="5C97736E" w14:textId="71DD89E7" w:rsidR="002F4F42" w:rsidRPr="00A96337" w:rsidRDefault="002F4F42" w:rsidP="00613B55">
            <w:pPr>
              <w:ind w:left="332" w:hanging="39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C1.</w:t>
            </w:r>
            <w:r w:rsidRPr="00A96337">
              <w:rPr>
                <w:rFonts w:ascii="Arial" w:hAnsi="Arial" w:cs="Arial"/>
              </w:rPr>
              <w:tab/>
              <w:t xml:space="preserve">The Results Reported by </w:t>
            </w:r>
            <w:r w:rsidR="009B58A0" w:rsidRPr="00A96337">
              <w:rPr>
                <w:rFonts w:ascii="Arial" w:hAnsi="Arial" w:cs="Arial"/>
              </w:rPr>
              <w:t>AMENCA 3</w:t>
            </w:r>
            <w:r w:rsidRPr="00A96337">
              <w:rPr>
                <w:rFonts w:ascii="Arial" w:hAnsi="Arial" w:cs="Arial"/>
              </w:rPr>
              <w:t xml:space="preserve"> are consistent with its results framework and are considered to be sustainable</w:t>
            </w:r>
          </w:p>
          <w:p w14:paraId="393435D2" w14:textId="77777777" w:rsidR="002F4F42" w:rsidRPr="00A96337" w:rsidRDefault="002F4F42" w:rsidP="00613B55">
            <w:pPr>
              <w:ind w:left="332" w:hanging="39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C2.</w:t>
            </w:r>
            <w:r w:rsidRPr="00A96337">
              <w:rPr>
                <w:rFonts w:ascii="Arial" w:hAnsi="Arial" w:cs="Arial"/>
              </w:rPr>
              <w:tab/>
              <w:t>The evidence underpinning results reporting is of sound-to-high quality</w:t>
            </w:r>
          </w:p>
          <w:p w14:paraId="2301917B" w14:textId="39946BA7" w:rsidR="002F4F42" w:rsidRPr="00A96337" w:rsidRDefault="002F4F42" w:rsidP="00613B55">
            <w:pPr>
              <w:ind w:left="332" w:hanging="39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C3.</w:t>
            </w:r>
            <w:r w:rsidRPr="00A96337">
              <w:rPr>
                <w:rFonts w:ascii="Arial" w:hAnsi="Arial" w:cs="Arial"/>
              </w:rPr>
              <w:tab/>
              <w:t xml:space="preserve">The intervention model (i.e. hybrid MSD model) used by </w:t>
            </w:r>
            <w:r w:rsidR="009B58A0" w:rsidRPr="00A96337">
              <w:rPr>
                <w:rFonts w:ascii="Arial" w:hAnsi="Arial" w:cs="Arial"/>
              </w:rPr>
              <w:t>AMENCA 3</w:t>
            </w:r>
            <w:r w:rsidRPr="00A96337">
              <w:rPr>
                <w:rFonts w:ascii="Arial" w:hAnsi="Arial" w:cs="Arial"/>
              </w:rPr>
              <w:t xml:space="preserve"> is credibly able to achieve the objectives (for example, has the selection of value chains been appropriate and does it remain appropriate moving forward) and have partners implemented the hybrid model as intended and/or made any adaptations or innovations that have impacted </w:t>
            </w:r>
            <w:r w:rsidR="009B58A0" w:rsidRPr="00A96337">
              <w:rPr>
                <w:rFonts w:ascii="Arial" w:hAnsi="Arial" w:cs="Arial"/>
              </w:rPr>
              <w:t>AMENCA 3</w:t>
            </w:r>
            <w:r w:rsidRPr="00A96337">
              <w:rPr>
                <w:rFonts w:ascii="Arial" w:hAnsi="Arial" w:cs="Arial"/>
              </w:rPr>
              <w:t>.</w:t>
            </w:r>
          </w:p>
        </w:tc>
        <w:tc>
          <w:tcPr>
            <w:tcW w:w="842" w:type="pct"/>
            <w:tcBorders>
              <w:top w:val="single" w:sz="4" w:space="0" w:color="5482AB"/>
              <w:left w:val="nil"/>
              <w:bottom w:val="single" w:sz="4" w:space="0" w:color="5482AB"/>
              <w:right w:val="nil"/>
            </w:tcBorders>
            <w:shd w:val="clear" w:color="auto" w:fill="auto"/>
            <w:vAlign w:val="center"/>
          </w:tcPr>
          <w:p w14:paraId="0E36ED82" w14:textId="32062E4B" w:rsidR="002F4F42" w:rsidRPr="00A96337" w:rsidRDefault="002F4F42" w:rsidP="00613B55">
            <w:pPr>
              <w:ind w:left="280" w:hanging="30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C1.</w:t>
            </w:r>
            <w:r w:rsidRPr="00A96337">
              <w:rPr>
                <w:rFonts w:ascii="Arial" w:hAnsi="Arial" w:cs="Arial"/>
              </w:rPr>
              <w:tab/>
              <w:t xml:space="preserve">Collate all results reported by </w:t>
            </w:r>
            <w:r w:rsidR="009B58A0" w:rsidRPr="00A96337">
              <w:rPr>
                <w:rFonts w:ascii="Arial" w:hAnsi="Arial" w:cs="Arial"/>
              </w:rPr>
              <w:t>AMENCA 3</w:t>
            </w:r>
            <w:r w:rsidRPr="00A96337">
              <w:rPr>
                <w:rFonts w:ascii="Arial" w:hAnsi="Arial" w:cs="Arial"/>
              </w:rPr>
              <w:t>, both in formal reporting and through primary data collection, and map these against program logic model.</w:t>
            </w:r>
          </w:p>
          <w:p w14:paraId="6C425530" w14:textId="77777777" w:rsidR="002F4F42" w:rsidRPr="00A96337" w:rsidRDefault="002F4F42" w:rsidP="00613B55">
            <w:pPr>
              <w:ind w:left="280" w:hanging="30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C2.</w:t>
            </w:r>
            <w:r w:rsidRPr="00A96337">
              <w:rPr>
                <w:rFonts w:ascii="Arial" w:hAnsi="Arial" w:cs="Arial"/>
              </w:rPr>
              <w:tab/>
              <w:t>Assess the evidence base for these results, and assign each results area with a ‘confidence rating’ based on the quality of evidence</w:t>
            </w:r>
          </w:p>
          <w:p w14:paraId="47CAFEC9" w14:textId="2AA0E97E" w:rsidR="002F4F42" w:rsidRPr="00A96337" w:rsidRDefault="002F4F42" w:rsidP="00613B55">
            <w:pPr>
              <w:ind w:left="280" w:hanging="30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C3.</w:t>
            </w:r>
            <w:r w:rsidRPr="00A96337">
              <w:rPr>
                <w:rFonts w:ascii="Arial" w:hAnsi="Arial" w:cs="Arial"/>
              </w:rPr>
              <w:tab/>
              <w:t xml:space="preserve">Assess the feasibility of the intervention model achieving </w:t>
            </w:r>
            <w:r w:rsidR="009B58A0" w:rsidRPr="00A96337">
              <w:rPr>
                <w:rFonts w:ascii="Arial" w:hAnsi="Arial" w:cs="Arial"/>
              </w:rPr>
              <w:t>AMENCA 3</w:t>
            </w:r>
            <w:r w:rsidRPr="00A96337">
              <w:rPr>
                <w:rFonts w:ascii="Arial" w:hAnsi="Arial" w:cs="Arial"/>
              </w:rPr>
              <w:t>’s objectives based on evidence to date, a literature review of the model, and feedback from program staff and participants.</w:t>
            </w:r>
          </w:p>
        </w:tc>
        <w:tc>
          <w:tcPr>
            <w:tcW w:w="769" w:type="pct"/>
            <w:tcBorders>
              <w:top w:val="single" w:sz="4" w:space="0" w:color="5482AB"/>
              <w:left w:val="nil"/>
              <w:bottom w:val="single" w:sz="4" w:space="0" w:color="5482AB"/>
              <w:right w:val="nil"/>
            </w:tcBorders>
            <w:shd w:val="clear" w:color="auto" w:fill="auto"/>
            <w:vAlign w:val="center"/>
          </w:tcPr>
          <w:p w14:paraId="519D31AC" w14:textId="77777777" w:rsidR="002F4F42" w:rsidRPr="00A96337" w:rsidRDefault="002F4F42" w:rsidP="00F8335C">
            <w:pPr>
              <w:pStyle w:val="ListParagraph"/>
              <w:numPr>
                <w:ilvl w:val="0"/>
                <w:numId w:val="29"/>
              </w:numPr>
              <w:spacing w:before="0" w:after="0" w:line="240" w:lineRule="auto"/>
              <w:ind w:left="193"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Literature scan needs to review the evidence underpinning the intervention model, and its success in achieving intended outcomes</w:t>
            </w:r>
          </w:p>
          <w:p w14:paraId="1687665C" w14:textId="77777777" w:rsidR="002F4F42" w:rsidRPr="00A96337" w:rsidRDefault="002F4F42" w:rsidP="00F8335C">
            <w:pPr>
              <w:pStyle w:val="ListParagraph"/>
              <w:numPr>
                <w:ilvl w:val="0"/>
                <w:numId w:val="29"/>
              </w:numPr>
              <w:spacing w:before="0" w:after="0" w:line="240" w:lineRule="auto"/>
              <w:ind w:left="193"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Interviews with Program Staff and DFAT stakeholders need to seek information about program results, quality of evidence, and progress against objectives</w:t>
            </w:r>
          </w:p>
          <w:p w14:paraId="636E86DA" w14:textId="77777777" w:rsidR="002F4F42" w:rsidRPr="00A96337" w:rsidRDefault="002F4F42" w:rsidP="00F8335C">
            <w:pPr>
              <w:pStyle w:val="ListParagraph"/>
              <w:numPr>
                <w:ilvl w:val="0"/>
                <w:numId w:val="29"/>
              </w:numPr>
              <w:spacing w:before="0" w:after="0" w:line="240" w:lineRule="auto"/>
              <w:ind w:left="193"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Interviews with program participants need to seek their views on the results of participation in program activities, the value of the program / intervention model</w:t>
            </w:r>
          </w:p>
        </w:tc>
        <w:tc>
          <w:tcPr>
            <w:tcW w:w="632" w:type="pct"/>
            <w:tcBorders>
              <w:top w:val="single" w:sz="4" w:space="0" w:color="5482AB"/>
              <w:left w:val="nil"/>
              <w:bottom w:val="single" w:sz="4" w:space="0" w:color="5482AB"/>
              <w:right w:val="nil"/>
            </w:tcBorders>
            <w:shd w:val="clear" w:color="auto" w:fill="auto"/>
            <w:vAlign w:val="center"/>
            <w:hideMark/>
          </w:tcPr>
          <w:p w14:paraId="22383236" w14:textId="77777777" w:rsidR="002F4F42" w:rsidRPr="00A96337" w:rsidRDefault="002F4F42" w:rsidP="00F8335C">
            <w:pPr>
              <w:pStyle w:val="ListParagraph"/>
              <w:numPr>
                <w:ilvl w:val="0"/>
                <w:numId w:val="29"/>
              </w:numPr>
              <w:spacing w:before="0" w:after="0" w:line="240" w:lineRule="auto"/>
              <w:ind w:left="204"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Desk Review</w:t>
            </w:r>
          </w:p>
          <w:p w14:paraId="60EB135D" w14:textId="77777777" w:rsidR="002F4F42" w:rsidRPr="00A96337" w:rsidRDefault="002F4F42" w:rsidP="00F8335C">
            <w:pPr>
              <w:pStyle w:val="ListParagraph"/>
              <w:numPr>
                <w:ilvl w:val="0"/>
                <w:numId w:val="29"/>
              </w:numPr>
              <w:spacing w:before="0" w:after="0" w:line="240" w:lineRule="auto"/>
              <w:ind w:left="204"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Interviews with Program Staff and DFAT stakeholders</w:t>
            </w:r>
          </w:p>
          <w:p w14:paraId="3552B725" w14:textId="77777777" w:rsidR="002F4F42" w:rsidRPr="00A96337" w:rsidRDefault="002F4F42" w:rsidP="00F8335C">
            <w:pPr>
              <w:pStyle w:val="ListParagraph"/>
              <w:numPr>
                <w:ilvl w:val="0"/>
                <w:numId w:val="29"/>
              </w:numPr>
              <w:spacing w:before="0" w:after="0" w:line="240" w:lineRule="auto"/>
              <w:ind w:left="204"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Interviews with Participants</w:t>
            </w:r>
          </w:p>
          <w:p w14:paraId="4148D08C" w14:textId="77777777" w:rsidR="002F4F42" w:rsidRPr="00A96337" w:rsidRDefault="002F4F42" w:rsidP="00F8335C">
            <w:pPr>
              <w:pStyle w:val="ListParagraph"/>
              <w:numPr>
                <w:ilvl w:val="0"/>
                <w:numId w:val="29"/>
              </w:numPr>
              <w:spacing w:before="0" w:after="0" w:line="240" w:lineRule="auto"/>
              <w:ind w:left="204"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Literature scan</w:t>
            </w:r>
          </w:p>
        </w:tc>
      </w:tr>
      <w:tr w:rsidR="002F4F42" w:rsidRPr="00A96337" w14:paraId="5CC88B67" w14:textId="77777777" w:rsidTr="000E1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single" w:sz="4" w:space="0" w:color="5482AB"/>
              <w:left w:val="nil"/>
              <w:bottom w:val="single" w:sz="4" w:space="0" w:color="5482AB"/>
              <w:right w:val="nil"/>
            </w:tcBorders>
            <w:shd w:val="clear" w:color="auto" w:fill="F2F2F2" w:themeFill="background1" w:themeFillShade="F2"/>
            <w:vAlign w:val="center"/>
          </w:tcPr>
          <w:p w14:paraId="2D96F05E" w14:textId="42374D58" w:rsidR="002F4F42" w:rsidRPr="00A96337" w:rsidRDefault="002F4F42" w:rsidP="00F8335C">
            <w:pPr>
              <w:pStyle w:val="ListParagraph"/>
              <w:numPr>
                <w:ilvl w:val="0"/>
                <w:numId w:val="34"/>
              </w:numPr>
              <w:spacing w:before="0" w:after="0" w:line="240" w:lineRule="auto"/>
              <w:ind w:left="306"/>
              <w:rPr>
                <w:szCs w:val="20"/>
              </w:rPr>
            </w:pPr>
            <w:r w:rsidRPr="00A96337">
              <w:rPr>
                <w:szCs w:val="20"/>
              </w:rPr>
              <w:t xml:space="preserve">EFFICIENCY: Have sufficient financial and human resources been allocated to enable </w:t>
            </w:r>
            <w:r w:rsidR="009B58A0" w:rsidRPr="00A96337">
              <w:rPr>
                <w:szCs w:val="20"/>
              </w:rPr>
              <w:t>AMENCA 3</w:t>
            </w:r>
            <w:r w:rsidRPr="00A96337">
              <w:rPr>
                <w:szCs w:val="20"/>
              </w:rPr>
              <w:t xml:space="preserve"> to achieve its objectives?</w:t>
            </w:r>
          </w:p>
        </w:tc>
        <w:tc>
          <w:tcPr>
            <w:tcW w:w="826" w:type="pct"/>
            <w:tcBorders>
              <w:top w:val="single" w:sz="4" w:space="0" w:color="5482AB"/>
              <w:left w:val="nil"/>
              <w:bottom w:val="single" w:sz="4" w:space="0" w:color="5482AB"/>
              <w:right w:val="nil"/>
            </w:tcBorders>
            <w:shd w:val="clear" w:color="auto" w:fill="F2F2F2" w:themeFill="background1" w:themeFillShade="F2"/>
            <w:vAlign w:val="center"/>
          </w:tcPr>
          <w:p w14:paraId="1290126E" w14:textId="77777777" w:rsidR="002F4F42" w:rsidRPr="00A96337" w:rsidRDefault="002F4F42" w:rsidP="00F8335C">
            <w:pPr>
              <w:pStyle w:val="ListParagraph"/>
              <w:numPr>
                <w:ilvl w:val="0"/>
                <w:numId w:val="37"/>
              </w:numPr>
              <w:spacing w:before="0" w:after="0" w:line="240" w:lineRule="auto"/>
              <w:ind w:left="232" w:hanging="284"/>
              <w:cnfStyle w:val="000000100000" w:firstRow="0" w:lastRow="0" w:firstColumn="0" w:lastColumn="0" w:oddVBand="0" w:evenVBand="0" w:oddHBand="1" w:evenHBand="0" w:firstRowFirstColumn="0" w:firstRowLastColumn="0" w:lastRowFirstColumn="0" w:lastRowLastColumn="0"/>
              <w:rPr>
                <w:szCs w:val="20"/>
              </w:rPr>
            </w:pPr>
            <w:r w:rsidRPr="00A96337">
              <w:rPr>
                <w:szCs w:val="20"/>
              </w:rPr>
              <w:t xml:space="preserve">Does this activity represent Value-for-Money (refer to DFAT’s </w:t>
            </w:r>
            <w:r w:rsidRPr="00A96337">
              <w:rPr>
                <w:b/>
                <w:szCs w:val="20"/>
              </w:rPr>
              <w:t>Value-for-Money</w:t>
            </w:r>
            <w:r w:rsidRPr="00A96337">
              <w:rPr>
                <w:szCs w:val="20"/>
              </w:rPr>
              <w:t xml:space="preserve"> principles)?</w:t>
            </w:r>
            <w:r w:rsidR="00E42BC8" w:rsidRPr="00A96337">
              <w:rPr>
                <w:szCs w:val="20"/>
              </w:rPr>
              <w:t xml:space="preserve"> </w:t>
            </w:r>
            <w:r w:rsidRPr="00A96337">
              <w:rPr>
                <w:szCs w:val="20"/>
              </w:rPr>
              <w:t>Is the program making the best use of DFAT’s and its implementing partner’s time and resources to achieve outcomes?</w:t>
            </w:r>
          </w:p>
          <w:p w14:paraId="3C1FB5FE" w14:textId="05F8A3A3" w:rsidR="002F4F42" w:rsidRPr="00A96337" w:rsidRDefault="002F4F42" w:rsidP="00F8335C">
            <w:pPr>
              <w:pStyle w:val="ListParagraph"/>
              <w:numPr>
                <w:ilvl w:val="0"/>
                <w:numId w:val="37"/>
              </w:numPr>
              <w:spacing w:before="0" w:after="0" w:line="240" w:lineRule="auto"/>
              <w:ind w:left="232" w:hanging="284"/>
              <w:cnfStyle w:val="000000100000" w:firstRow="0" w:lastRow="0" w:firstColumn="0" w:lastColumn="0" w:oddVBand="0" w:evenVBand="0" w:oddHBand="1" w:evenHBand="0" w:firstRowFirstColumn="0" w:firstRowLastColumn="0" w:lastRowFirstColumn="0" w:lastRowLastColumn="0"/>
              <w:rPr>
                <w:szCs w:val="20"/>
              </w:rPr>
            </w:pPr>
            <w:r w:rsidRPr="00A96337">
              <w:rPr>
                <w:b/>
                <w:szCs w:val="20"/>
              </w:rPr>
              <w:t xml:space="preserve">Has </w:t>
            </w:r>
            <w:r w:rsidR="009B58A0" w:rsidRPr="00A96337">
              <w:rPr>
                <w:b/>
                <w:szCs w:val="20"/>
              </w:rPr>
              <w:t>AMENCA 3</w:t>
            </w:r>
            <w:r w:rsidRPr="00A96337">
              <w:rPr>
                <w:b/>
                <w:szCs w:val="20"/>
              </w:rPr>
              <w:t xml:space="preserve"> been managed efficiently</w:t>
            </w:r>
            <w:r w:rsidRPr="00A96337">
              <w:rPr>
                <w:szCs w:val="20"/>
              </w:rPr>
              <w:t xml:space="preserve"> and have management and implementation arrangements been sufficiently flexible to cope with changes, challenges and opportunities as they arose?</w:t>
            </w:r>
            <w:r w:rsidR="00E42BC8" w:rsidRPr="00A96337">
              <w:rPr>
                <w:szCs w:val="20"/>
              </w:rPr>
              <w:t xml:space="preserve"> </w:t>
            </w:r>
            <w:r w:rsidRPr="00A96337">
              <w:rPr>
                <w:szCs w:val="20"/>
              </w:rPr>
              <w:t xml:space="preserve">Has DFAT resourced the management of </w:t>
            </w:r>
            <w:r w:rsidR="009B58A0" w:rsidRPr="00A96337">
              <w:rPr>
                <w:szCs w:val="20"/>
              </w:rPr>
              <w:t>AMENCA 3</w:t>
            </w:r>
            <w:r w:rsidRPr="00A96337">
              <w:rPr>
                <w:szCs w:val="20"/>
              </w:rPr>
              <w:t xml:space="preserve"> appropriately? Have governance mechanisms been appropriate?</w:t>
            </w:r>
          </w:p>
          <w:p w14:paraId="2795954F" w14:textId="5934E47D" w:rsidR="002F4F42" w:rsidRPr="00A96337" w:rsidRDefault="002F4F42" w:rsidP="00F8335C">
            <w:pPr>
              <w:pStyle w:val="ListParagraph"/>
              <w:numPr>
                <w:ilvl w:val="0"/>
                <w:numId w:val="37"/>
              </w:numPr>
              <w:spacing w:before="0" w:after="0" w:line="240" w:lineRule="auto"/>
              <w:ind w:left="232" w:hanging="284"/>
              <w:cnfStyle w:val="000000100000" w:firstRow="0" w:lastRow="0" w:firstColumn="0" w:lastColumn="0" w:oddVBand="0" w:evenVBand="0" w:oddHBand="1" w:evenHBand="0" w:firstRowFirstColumn="0" w:firstRowLastColumn="0" w:lastRowFirstColumn="0" w:lastRowLastColumn="0"/>
              <w:rPr>
                <w:szCs w:val="20"/>
              </w:rPr>
            </w:pPr>
            <w:r w:rsidRPr="00A96337">
              <w:rPr>
                <w:szCs w:val="20"/>
              </w:rPr>
              <w:t xml:space="preserve">Have DFAT and its implementing partners sufficiently identified and actioned potential </w:t>
            </w:r>
            <w:r w:rsidRPr="00A96337">
              <w:rPr>
                <w:b/>
                <w:szCs w:val="20"/>
              </w:rPr>
              <w:t>synergies</w:t>
            </w:r>
            <w:r w:rsidRPr="00A96337">
              <w:rPr>
                <w:szCs w:val="20"/>
              </w:rPr>
              <w:t xml:space="preserve"> across </w:t>
            </w:r>
            <w:r w:rsidR="009B58A0" w:rsidRPr="00A96337">
              <w:rPr>
                <w:szCs w:val="20"/>
              </w:rPr>
              <w:t>AMENCA 3</w:t>
            </w:r>
            <w:r w:rsidRPr="00A96337">
              <w:rPr>
                <w:szCs w:val="20"/>
              </w:rPr>
              <w:t>?</w:t>
            </w:r>
          </w:p>
        </w:tc>
        <w:tc>
          <w:tcPr>
            <w:tcW w:w="985" w:type="pct"/>
            <w:tcBorders>
              <w:top w:val="single" w:sz="4" w:space="0" w:color="5482AB"/>
              <w:left w:val="nil"/>
              <w:bottom w:val="single" w:sz="4" w:space="0" w:color="5482AB"/>
              <w:right w:val="nil"/>
            </w:tcBorders>
            <w:shd w:val="clear" w:color="auto" w:fill="F2F2F2" w:themeFill="background1" w:themeFillShade="F2"/>
            <w:vAlign w:val="center"/>
          </w:tcPr>
          <w:p w14:paraId="308DCED8" w14:textId="77777777" w:rsidR="002F4F42" w:rsidRPr="00A96337" w:rsidRDefault="002F4F42" w:rsidP="00613B55">
            <w:pPr>
              <w:ind w:left="332" w:hanging="39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C7.</w:t>
            </w:r>
            <w:r w:rsidRPr="00A96337">
              <w:rPr>
                <w:rFonts w:ascii="Arial" w:hAnsi="Arial" w:cs="Arial"/>
              </w:rPr>
              <w:tab/>
              <w:t>Program activities are on-time, on-budget, and consistent with the intent of the design</w:t>
            </w:r>
          </w:p>
          <w:p w14:paraId="4B44F176" w14:textId="77777777" w:rsidR="002F4F42" w:rsidRPr="00A96337" w:rsidRDefault="002F4F42" w:rsidP="00613B55">
            <w:pPr>
              <w:ind w:left="332" w:hanging="39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C8.</w:t>
            </w:r>
            <w:r w:rsidRPr="00A96337">
              <w:rPr>
                <w:rFonts w:ascii="Arial" w:hAnsi="Arial" w:cs="Arial"/>
              </w:rPr>
              <w:tab/>
              <w:t>Program resources are proportionate to the expected activities and outputs</w:t>
            </w:r>
          </w:p>
          <w:p w14:paraId="2EF0102A" w14:textId="77777777" w:rsidR="002F4F42" w:rsidRPr="00A96337" w:rsidRDefault="002F4F42" w:rsidP="00613B55">
            <w:pPr>
              <w:ind w:left="332" w:hanging="39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C10.</w:t>
            </w:r>
            <w:r w:rsidRPr="00A96337">
              <w:rPr>
                <w:rFonts w:ascii="Arial" w:hAnsi="Arial" w:cs="Arial"/>
              </w:rPr>
              <w:tab/>
              <w:t>Program staff are performing their roles effectively, and no significant gaps or governance concerns are identified</w:t>
            </w:r>
          </w:p>
          <w:p w14:paraId="4AA8DBFF" w14:textId="77777777" w:rsidR="002F4F42" w:rsidRPr="00A96337" w:rsidRDefault="002F4F42" w:rsidP="00613B55">
            <w:pPr>
              <w:ind w:left="332" w:hanging="39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C11.</w:t>
            </w:r>
            <w:r w:rsidRPr="00A96337">
              <w:rPr>
                <w:rFonts w:ascii="Arial" w:hAnsi="Arial" w:cs="Arial"/>
              </w:rPr>
              <w:tab/>
              <w:t>The Program architecture and governance structures (i.e. the AHLD and TPAG) are efficiently fulfilling DFAT’s standards for program management and is engaging effectively to oversee the Program</w:t>
            </w:r>
          </w:p>
        </w:tc>
        <w:tc>
          <w:tcPr>
            <w:tcW w:w="842" w:type="pct"/>
            <w:tcBorders>
              <w:top w:val="single" w:sz="4" w:space="0" w:color="5482AB"/>
              <w:left w:val="nil"/>
              <w:bottom w:val="single" w:sz="4" w:space="0" w:color="5482AB"/>
              <w:right w:val="nil"/>
            </w:tcBorders>
            <w:shd w:val="clear" w:color="auto" w:fill="F2F2F2" w:themeFill="background1" w:themeFillShade="F2"/>
            <w:vAlign w:val="center"/>
          </w:tcPr>
          <w:p w14:paraId="4B0C9D14" w14:textId="77777777" w:rsidR="002F4F42" w:rsidRPr="00A96337" w:rsidRDefault="002F4F42" w:rsidP="00613B55">
            <w:pPr>
              <w:ind w:left="280" w:hanging="30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C7.</w:t>
            </w:r>
            <w:r w:rsidRPr="00A96337">
              <w:rPr>
                <w:rFonts w:ascii="Arial" w:hAnsi="Arial" w:cs="Arial"/>
              </w:rPr>
              <w:tab/>
              <w:t>Review of performance reporting against annual plans. Compare feedback (from program participants and staff) about program activities against the design</w:t>
            </w:r>
          </w:p>
          <w:p w14:paraId="3DF2E122" w14:textId="584950C4" w:rsidR="002F4F42" w:rsidRPr="00A96337" w:rsidRDefault="002F4F42" w:rsidP="00613B55">
            <w:pPr>
              <w:ind w:left="280" w:hanging="30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C8.</w:t>
            </w:r>
            <w:r w:rsidRPr="00A96337">
              <w:rPr>
                <w:rFonts w:ascii="Arial" w:hAnsi="Arial" w:cs="Arial"/>
              </w:rPr>
              <w:tab/>
              <w:t xml:space="preserve">Compare staff and financial resources for </w:t>
            </w:r>
            <w:r w:rsidR="009B58A0" w:rsidRPr="00A96337">
              <w:rPr>
                <w:rFonts w:ascii="Arial" w:hAnsi="Arial" w:cs="Arial"/>
              </w:rPr>
              <w:t>AMENCA 3</w:t>
            </w:r>
            <w:r w:rsidRPr="00A96337">
              <w:rPr>
                <w:rFonts w:ascii="Arial" w:hAnsi="Arial" w:cs="Arial"/>
              </w:rPr>
              <w:t xml:space="preserve"> to other investments with comparable expectations for activities and outputs (if possible)</w:t>
            </w:r>
          </w:p>
          <w:p w14:paraId="29B3992A" w14:textId="77777777" w:rsidR="002F4F42" w:rsidRPr="00A96337" w:rsidRDefault="002F4F42" w:rsidP="00613B55">
            <w:pPr>
              <w:ind w:left="280" w:hanging="30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C10.</w:t>
            </w:r>
            <w:r w:rsidRPr="00A96337">
              <w:rPr>
                <w:rFonts w:ascii="Arial" w:hAnsi="Arial" w:cs="Arial"/>
              </w:rPr>
              <w:tab/>
              <w:t>Compare staffing profile against the intent set out at design. Review performance reporting and interviews with program staff and stakeholders to identify any budget, governance or staffing issues</w:t>
            </w:r>
          </w:p>
          <w:p w14:paraId="6A07A27E" w14:textId="77777777" w:rsidR="002F4F42" w:rsidRPr="00A96337" w:rsidRDefault="002F4F42" w:rsidP="00613B55">
            <w:pPr>
              <w:ind w:left="280" w:hanging="30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C11.</w:t>
            </w:r>
            <w:r w:rsidRPr="00A96337">
              <w:rPr>
                <w:rFonts w:ascii="Arial" w:hAnsi="Arial" w:cs="Arial"/>
              </w:rPr>
              <w:tab/>
              <w:t>Compare investment management records and feedback from DFAT and program staff with the standards described in the Aid Management Guide. Identify any specific concerns of the AHLD and TGAP team.</w:t>
            </w:r>
          </w:p>
        </w:tc>
        <w:tc>
          <w:tcPr>
            <w:tcW w:w="769" w:type="pct"/>
            <w:tcBorders>
              <w:top w:val="single" w:sz="4" w:space="0" w:color="5482AB"/>
              <w:left w:val="nil"/>
              <w:bottom w:val="single" w:sz="4" w:space="0" w:color="5482AB"/>
              <w:right w:val="nil"/>
            </w:tcBorders>
            <w:shd w:val="clear" w:color="auto" w:fill="F2F2F2" w:themeFill="background1" w:themeFillShade="F2"/>
            <w:vAlign w:val="center"/>
          </w:tcPr>
          <w:p w14:paraId="41F1AB7E" w14:textId="77777777" w:rsidR="002F4F42" w:rsidRPr="00A96337" w:rsidRDefault="002F4F42" w:rsidP="00F8335C">
            <w:pPr>
              <w:pStyle w:val="ListParagraph"/>
              <w:numPr>
                <w:ilvl w:val="0"/>
                <w:numId w:val="29"/>
              </w:numPr>
              <w:spacing w:before="0" w:after="0" w:line="240" w:lineRule="auto"/>
              <w:ind w:left="193"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Program Staff and DFAT stakeholders need to seek information about implementation constraints, including financial and staff resources</w:t>
            </w:r>
          </w:p>
          <w:p w14:paraId="6F4CD3F1" w14:textId="77777777" w:rsidR="002F4F42" w:rsidRPr="00A96337" w:rsidRDefault="002F4F42" w:rsidP="00F8335C">
            <w:pPr>
              <w:pStyle w:val="ListParagraph"/>
              <w:numPr>
                <w:ilvl w:val="0"/>
                <w:numId w:val="29"/>
              </w:numPr>
              <w:spacing w:before="0" w:after="0" w:line="240" w:lineRule="auto"/>
              <w:ind w:left="193"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program participants need to seek their views about the quality of program activities, and any resourcing limitations</w:t>
            </w:r>
          </w:p>
          <w:p w14:paraId="716BB637" w14:textId="77777777" w:rsidR="002F4F42" w:rsidRPr="00A96337" w:rsidRDefault="002F4F42" w:rsidP="00F8335C">
            <w:pPr>
              <w:pStyle w:val="ListParagraph"/>
              <w:numPr>
                <w:ilvl w:val="0"/>
                <w:numId w:val="29"/>
              </w:numPr>
              <w:spacing w:before="0" w:after="0" w:line="240" w:lineRule="auto"/>
              <w:ind w:left="193"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Desk review needs to identify comparable investments and their financial and staff resource allocations (if possible)</w:t>
            </w:r>
          </w:p>
          <w:p w14:paraId="4C3A4AF3" w14:textId="77777777" w:rsidR="002F4F42" w:rsidRPr="00A96337" w:rsidRDefault="002F4F42" w:rsidP="00F8335C">
            <w:pPr>
              <w:pStyle w:val="ListParagraph"/>
              <w:numPr>
                <w:ilvl w:val="0"/>
                <w:numId w:val="29"/>
              </w:numPr>
              <w:spacing w:before="0" w:after="0" w:line="240" w:lineRule="auto"/>
              <w:ind w:left="193"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Program Staff and DFAT stakeholders need to seek information about AHLD and TGAP’s governance structure and personnel / staffing model</w:t>
            </w:r>
          </w:p>
          <w:p w14:paraId="735A2690" w14:textId="61806563" w:rsidR="002F4F42" w:rsidRPr="00A96337" w:rsidRDefault="002F4F42" w:rsidP="00F8335C">
            <w:pPr>
              <w:pStyle w:val="ListParagraph"/>
              <w:numPr>
                <w:ilvl w:val="0"/>
                <w:numId w:val="29"/>
              </w:numPr>
              <w:spacing w:before="0" w:after="0" w:line="240" w:lineRule="auto"/>
              <w:ind w:left="193"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 xml:space="preserve">Interviews with </w:t>
            </w:r>
            <w:r w:rsidR="009B58A0" w:rsidRPr="00A96337">
              <w:rPr>
                <w:szCs w:val="20"/>
              </w:rPr>
              <w:t>AMENCA 3</w:t>
            </w:r>
            <w:r w:rsidRPr="00A96337">
              <w:rPr>
                <w:szCs w:val="20"/>
              </w:rPr>
              <w:t xml:space="preserve"> Program Staff and DFAT stakeholders need to seek information DFAT’s role as contract manager, and the quality of the relationship</w:t>
            </w:r>
          </w:p>
        </w:tc>
        <w:tc>
          <w:tcPr>
            <w:tcW w:w="632" w:type="pct"/>
            <w:tcBorders>
              <w:top w:val="single" w:sz="4" w:space="0" w:color="5482AB"/>
              <w:left w:val="nil"/>
              <w:bottom w:val="single" w:sz="4" w:space="0" w:color="5482AB"/>
              <w:right w:val="nil"/>
            </w:tcBorders>
            <w:shd w:val="clear" w:color="auto" w:fill="F2F2F2" w:themeFill="background1" w:themeFillShade="F2"/>
            <w:vAlign w:val="center"/>
          </w:tcPr>
          <w:p w14:paraId="64865DCB" w14:textId="77777777" w:rsidR="002F4F42" w:rsidRPr="00A96337" w:rsidRDefault="002F4F42" w:rsidP="00F8335C">
            <w:pPr>
              <w:pStyle w:val="ListParagraph"/>
              <w:numPr>
                <w:ilvl w:val="0"/>
                <w:numId w:val="29"/>
              </w:numPr>
              <w:spacing w:before="0" w:after="0" w:line="240" w:lineRule="auto"/>
              <w:ind w:left="204"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Desk Review</w:t>
            </w:r>
          </w:p>
          <w:p w14:paraId="11C91BC7" w14:textId="77777777" w:rsidR="002F4F42" w:rsidRPr="00A96337" w:rsidRDefault="002F4F42" w:rsidP="00F8335C">
            <w:pPr>
              <w:pStyle w:val="ListParagraph"/>
              <w:numPr>
                <w:ilvl w:val="0"/>
                <w:numId w:val="29"/>
              </w:numPr>
              <w:spacing w:before="0" w:after="0" w:line="240" w:lineRule="auto"/>
              <w:ind w:left="204"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Program Staff and DFAT stakeholders</w:t>
            </w:r>
          </w:p>
          <w:p w14:paraId="6B3B4B66" w14:textId="77777777" w:rsidR="002F4F42" w:rsidRPr="00A96337" w:rsidRDefault="002F4F42" w:rsidP="00F8335C">
            <w:pPr>
              <w:pStyle w:val="ListParagraph"/>
              <w:numPr>
                <w:ilvl w:val="0"/>
                <w:numId w:val="29"/>
              </w:numPr>
              <w:spacing w:before="0" w:after="0" w:line="240" w:lineRule="auto"/>
              <w:ind w:left="204"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Participants</w:t>
            </w:r>
          </w:p>
        </w:tc>
      </w:tr>
      <w:tr w:rsidR="002F4F42" w:rsidRPr="00A96337" w14:paraId="438CDDAC" w14:textId="77777777" w:rsidTr="000E1846">
        <w:tc>
          <w:tcPr>
            <w:cnfStyle w:val="001000000000" w:firstRow="0" w:lastRow="0" w:firstColumn="1" w:lastColumn="0" w:oddVBand="0" w:evenVBand="0" w:oddHBand="0" w:evenHBand="0" w:firstRowFirstColumn="0" w:firstRowLastColumn="0" w:lastRowFirstColumn="0" w:lastRowLastColumn="0"/>
            <w:tcW w:w="946" w:type="pct"/>
            <w:tcBorders>
              <w:top w:val="single" w:sz="4" w:space="0" w:color="5482AB"/>
              <w:left w:val="nil"/>
              <w:bottom w:val="single" w:sz="4" w:space="0" w:color="5482AB"/>
              <w:right w:val="nil"/>
            </w:tcBorders>
            <w:shd w:val="clear" w:color="auto" w:fill="auto"/>
            <w:vAlign w:val="center"/>
          </w:tcPr>
          <w:p w14:paraId="1498D84B" w14:textId="4754A550" w:rsidR="002F4F42" w:rsidRPr="00A96337" w:rsidRDefault="002F4F42" w:rsidP="00F8335C">
            <w:pPr>
              <w:pStyle w:val="ListParagraph"/>
              <w:numPr>
                <w:ilvl w:val="0"/>
                <w:numId w:val="34"/>
              </w:numPr>
              <w:spacing w:before="0" w:after="0" w:line="240" w:lineRule="auto"/>
              <w:ind w:left="306"/>
              <w:rPr>
                <w:szCs w:val="20"/>
              </w:rPr>
            </w:pPr>
            <w:r w:rsidRPr="00A96337">
              <w:rPr>
                <w:szCs w:val="20"/>
              </w:rPr>
              <w:t xml:space="preserve">IMPACT: Are the current NGO projects on track to achieve the intermediate and long-term outcomes of the </w:t>
            </w:r>
            <w:r w:rsidR="009B58A0" w:rsidRPr="00A96337">
              <w:rPr>
                <w:szCs w:val="20"/>
              </w:rPr>
              <w:t>AMENCA 3</w:t>
            </w:r>
            <w:r w:rsidRPr="00A96337">
              <w:rPr>
                <w:szCs w:val="20"/>
              </w:rPr>
              <w:t xml:space="preserve"> Program?</w:t>
            </w:r>
          </w:p>
        </w:tc>
        <w:tc>
          <w:tcPr>
            <w:tcW w:w="826" w:type="pct"/>
            <w:tcBorders>
              <w:top w:val="single" w:sz="4" w:space="0" w:color="5482AB"/>
              <w:left w:val="nil"/>
              <w:bottom w:val="single" w:sz="4" w:space="0" w:color="5482AB"/>
              <w:right w:val="nil"/>
            </w:tcBorders>
            <w:shd w:val="clear" w:color="auto" w:fill="auto"/>
            <w:vAlign w:val="center"/>
          </w:tcPr>
          <w:p w14:paraId="46AE81F9" w14:textId="3DE0B359" w:rsidR="002F4F42" w:rsidRPr="00A96337" w:rsidRDefault="002F4F42" w:rsidP="00F8335C">
            <w:pPr>
              <w:pStyle w:val="ListParagraph"/>
              <w:numPr>
                <w:ilvl w:val="0"/>
                <w:numId w:val="38"/>
              </w:numPr>
              <w:spacing w:before="0" w:after="0" w:line="240" w:lineRule="auto"/>
              <w:ind w:left="232" w:hanging="284"/>
              <w:cnfStyle w:val="000000000000" w:firstRow="0" w:lastRow="0" w:firstColumn="0" w:lastColumn="0" w:oddVBand="0" w:evenVBand="0" w:oddHBand="0" w:evenHBand="0" w:firstRowFirstColumn="0" w:firstRowLastColumn="0" w:lastRowFirstColumn="0" w:lastRowLastColumn="0"/>
              <w:rPr>
                <w:szCs w:val="20"/>
              </w:rPr>
            </w:pPr>
            <w:r w:rsidRPr="00A96337">
              <w:rPr>
                <w:szCs w:val="20"/>
              </w:rPr>
              <w:t xml:space="preserve">To what extent can changes that have occurred in the operating environment be </w:t>
            </w:r>
            <w:r w:rsidRPr="00A96337">
              <w:rPr>
                <w:b/>
                <w:szCs w:val="20"/>
              </w:rPr>
              <w:t>attributed</w:t>
            </w:r>
            <w:r w:rsidRPr="00A96337">
              <w:rPr>
                <w:szCs w:val="20"/>
              </w:rPr>
              <w:t xml:space="preserve"> to the implementation of </w:t>
            </w:r>
            <w:r w:rsidR="009B58A0" w:rsidRPr="00A96337">
              <w:rPr>
                <w:szCs w:val="20"/>
              </w:rPr>
              <w:t>AMENCA 3</w:t>
            </w:r>
            <w:r w:rsidRPr="00A96337">
              <w:rPr>
                <w:szCs w:val="20"/>
              </w:rPr>
              <w:t>?</w:t>
            </w:r>
          </w:p>
          <w:p w14:paraId="2FBD074C" w14:textId="5D222677" w:rsidR="002F4F42" w:rsidRPr="00A96337" w:rsidRDefault="002F4F42" w:rsidP="00F8335C">
            <w:pPr>
              <w:pStyle w:val="ListParagraph"/>
              <w:numPr>
                <w:ilvl w:val="0"/>
                <w:numId w:val="38"/>
              </w:numPr>
              <w:spacing w:before="0" w:after="0" w:line="240" w:lineRule="auto"/>
              <w:ind w:left="232" w:hanging="284"/>
              <w:cnfStyle w:val="000000000000" w:firstRow="0" w:lastRow="0" w:firstColumn="0" w:lastColumn="0" w:oddVBand="0" w:evenVBand="0" w:oddHBand="0" w:evenHBand="0" w:firstRowFirstColumn="0" w:firstRowLastColumn="0" w:lastRowFirstColumn="0" w:lastRowLastColumn="0"/>
              <w:rPr>
                <w:szCs w:val="20"/>
              </w:rPr>
            </w:pPr>
            <w:r w:rsidRPr="00A96337">
              <w:rPr>
                <w:szCs w:val="20"/>
              </w:rPr>
              <w:t xml:space="preserve">What are </w:t>
            </w:r>
            <w:r w:rsidRPr="00A96337">
              <w:rPr>
                <w:b/>
                <w:szCs w:val="20"/>
              </w:rPr>
              <w:t>the positive and negative changes produced directly or indirectly</w:t>
            </w:r>
            <w:r w:rsidRPr="00A96337">
              <w:rPr>
                <w:szCs w:val="20"/>
              </w:rPr>
              <w:t xml:space="preserve"> by </w:t>
            </w:r>
            <w:r w:rsidR="009B58A0" w:rsidRPr="00A96337">
              <w:rPr>
                <w:szCs w:val="20"/>
              </w:rPr>
              <w:t>AMENCA 3</w:t>
            </w:r>
            <w:r w:rsidRPr="00A96337">
              <w:rPr>
                <w:szCs w:val="20"/>
              </w:rPr>
              <w:t xml:space="preserve"> for different groups of farmers, including women and youth?</w:t>
            </w:r>
          </w:p>
        </w:tc>
        <w:tc>
          <w:tcPr>
            <w:tcW w:w="985" w:type="pct"/>
            <w:tcBorders>
              <w:top w:val="single" w:sz="4" w:space="0" w:color="5482AB"/>
              <w:left w:val="nil"/>
              <w:bottom w:val="single" w:sz="4" w:space="0" w:color="5482AB"/>
              <w:right w:val="nil"/>
            </w:tcBorders>
            <w:shd w:val="clear" w:color="auto" w:fill="auto"/>
            <w:vAlign w:val="center"/>
          </w:tcPr>
          <w:p w14:paraId="01CDC049" w14:textId="35E14C9F" w:rsidR="002F4F42" w:rsidRPr="00A96337" w:rsidRDefault="002F4F42" w:rsidP="00613B55">
            <w:pPr>
              <w:ind w:left="332" w:hanging="39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C1.</w:t>
            </w:r>
            <w:r w:rsidRPr="00A96337">
              <w:rPr>
                <w:rFonts w:ascii="Arial" w:hAnsi="Arial" w:cs="Arial"/>
              </w:rPr>
              <w:tab/>
              <w:t xml:space="preserve">The Results Reported by </w:t>
            </w:r>
            <w:r w:rsidR="009B58A0" w:rsidRPr="00A96337">
              <w:rPr>
                <w:rFonts w:ascii="Arial" w:hAnsi="Arial" w:cs="Arial"/>
              </w:rPr>
              <w:t>AMENCA 3</w:t>
            </w:r>
            <w:r w:rsidRPr="00A96337">
              <w:rPr>
                <w:rFonts w:ascii="Arial" w:hAnsi="Arial" w:cs="Arial"/>
              </w:rPr>
              <w:t xml:space="preserve"> are consistent with its results framework and are considered to be sustainable</w:t>
            </w:r>
          </w:p>
          <w:p w14:paraId="4D56638C" w14:textId="77777777" w:rsidR="002F4F42" w:rsidRPr="00A96337" w:rsidRDefault="002F4F42" w:rsidP="00613B55">
            <w:pPr>
              <w:ind w:left="332" w:hanging="39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C2.</w:t>
            </w:r>
            <w:r w:rsidRPr="00A96337">
              <w:rPr>
                <w:rFonts w:ascii="Arial" w:hAnsi="Arial" w:cs="Arial"/>
              </w:rPr>
              <w:tab/>
              <w:t>The evidence underpinning results reporting is of sound-to-high quality</w:t>
            </w:r>
          </w:p>
          <w:p w14:paraId="0635C017" w14:textId="29E1CF87" w:rsidR="002F4F42" w:rsidRPr="00A96337" w:rsidRDefault="002F4F42" w:rsidP="00613B55">
            <w:pPr>
              <w:ind w:left="332" w:hanging="39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C3.</w:t>
            </w:r>
            <w:r w:rsidRPr="00A96337">
              <w:rPr>
                <w:rFonts w:ascii="Arial" w:hAnsi="Arial" w:cs="Arial"/>
              </w:rPr>
              <w:tab/>
              <w:t xml:space="preserve">The intervention model (i.e. hybrid MSD model) used by </w:t>
            </w:r>
            <w:r w:rsidR="009B58A0" w:rsidRPr="00A96337">
              <w:rPr>
                <w:rFonts w:ascii="Arial" w:hAnsi="Arial" w:cs="Arial"/>
              </w:rPr>
              <w:t>AMENCA 3</w:t>
            </w:r>
            <w:r w:rsidRPr="00A96337">
              <w:rPr>
                <w:rFonts w:ascii="Arial" w:hAnsi="Arial" w:cs="Arial"/>
              </w:rPr>
              <w:t xml:space="preserve"> is credibly able to achieve the objectives (for example, has the selection of value chains been appropriate and does it remain appropriate moving forward) and have partners implemented the hybrid model as intended and/or made any adaptations or innovations that have impacted </w:t>
            </w:r>
            <w:r w:rsidR="009B58A0" w:rsidRPr="00A96337">
              <w:rPr>
                <w:rFonts w:ascii="Arial" w:hAnsi="Arial" w:cs="Arial"/>
              </w:rPr>
              <w:t>AMENCA 3</w:t>
            </w:r>
            <w:r w:rsidRPr="00A96337">
              <w:rPr>
                <w:rFonts w:ascii="Arial" w:hAnsi="Arial" w:cs="Arial"/>
              </w:rPr>
              <w:t>.</w:t>
            </w:r>
          </w:p>
        </w:tc>
        <w:tc>
          <w:tcPr>
            <w:tcW w:w="842" w:type="pct"/>
            <w:tcBorders>
              <w:top w:val="single" w:sz="4" w:space="0" w:color="5482AB"/>
              <w:left w:val="nil"/>
              <w:bottom w:val="single" w:sz="4" w:space="0" w:color="5482AB"/>
              <w:right w:val="nil"/>
            </w:tcBorders>
            <w:shd w:val="clear" w:color="auto" w:fill="auto"/>
            <w:vAlign w:val="center"/>
          </w:tcPr>
          <w:p w14:paraId="5716EEBF" w14:textId="65557CC9" w:rsidR="002F4F42" w:rsidRPr="00A96337" w:rsidRDefault="002F4F42" w:rsidP="00613B55">
            <w:pPr>
              <w:ind w:left="280" w:hanging="30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C1.</w:t>
            </w:r>
            <w:r w:rsidRPr="00A96337">
              <w:rPr>
                <w:rFonts w:ascii="Arial" w:hAnsi="Arial" w:cs="Arial"/>
              </w:rPr>
              <w:tab/>
              <w:t xml:space="preserve">Collate all results reported by </w:t>
            </w:r>
            <w:r w:rsidR="009B58A0" w:rsidRPr="00A96337">
              <w:rPr>
                <w:rFonts w:ascii="Arial" w:hAnsi="Arial" w:cs="Arial"/>
              </w:rPr>
              <w:t>AMENCA 3</w:t>
            </w:r>
            <w:r w:rsidRPr="00A96337">
              <w:rPr>
                <w:rFonts w:ascii="Arial" w:hAnsi="Arial" w:cs="Arial"/>
              </w:rPr>
              <w:t>, both in formal reporting and through primary data collection, and map these against program logic model.</w:t>
            </w:r>
          </w:p>
          <w:p w14:paraId="25D1FEAA" w14:textId="77777777" w:rsidR="002F4F42" w:rsidRPr="00A96337" w:rsidRDefault="002F4F42" w:rsidP="00613B55">
            <w:pPr>
              <w:ind w:left="280" w:hanging="30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C2.</w:t>
            </w:r>
            <w:r w:rsidRPr="00A96337">
              <w:rPr>
                <w:rFonts w:ascii="Arial" w:hAnsi="Arial" w:cs="Arial"/>
              </w:rPr>
              <w:tab/>
              <w:t>Assess the evidence base for these results, and assign each results area with a ‘confidence rating’ based on the quality of evidence</w:t>
            </w:r>
          </w:p>
          <w:p w14:paraId="04237B1B" w14:textId="0CA5CDB1" w:rsidR="002F4F42" w:rsidRPr="00A96337" w:rsidRDefault="002F4F42" w:rsidP="00613B55">
            <w:pPr>
              <w:ind w:left="280" w:hanging="30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C3.</w:t>
            </w:r>
            <w:r w:rsidRPr="00A96337">
              <w:rPr>
                <w:rFonts w:ascii="Arial" w:hAnsi="Arial" w:cs="Arial"/>
              </w:rPr>
              <w:tab/>
              <w:t xml:space="preserve">Assess the feasibility of the intervention model achieving </w:t>
            </w:r>
            <w:r w:rsidR="009B58A0" w:rsidRPr="00A96337">
              <w:rPr>
                <w:rFonts w:ascii="Arial" w:hAnsi="Arial" w:cs="Arial"/>
              </w:rPr>
              <w:t>AMENCA 3</w:t>
            </w:r>
            <w:r w:rsidRPr="00A96337">
              <w:rPr>
                <w:rFonts w:ascii="Arial" w:hAnsi="Arial" w:cs="Arial"/>
              </w:rPr>
              <w:t>’s objectives based on evidence to date, a literature review of the model, and feedback from program staff and participants.</w:t>
            </w:r>
          </w:p>
        </w:tc>
        <w:tc>
          <w:tcPr>
            <w:tcW w:w="769" w:type="pct"/>
            <w:tcBorders>
              <w:top w:val="single" w:sz="4" w:space="0" w:color="5482AB"/>
              <w:left w:val="nil"/>
              <w:bottom w:val="single" w:sz="4" w:space="0" w:color="5482AB"/>
              <w:right w:val="nil"/>
            </w:tcBorders>
            <w:shd w:val="clear" w:color="auto" w:fill="auto"/>
            <w:vAlign w:val="center"/>
          </w:tcPr>
          <w:p w14:paraId="603668E3" w14:textId="77777777" w:rsidR="002F4F42" w:rsidRPr="00A96337" w:rsidRDefault="002F4F42" w:rsidP="00F8335C">
            <w:pPr>
              <w:pStyle w:val="ListParagraph"/>
              <w:numPr>
                <w:ilvl w:val="0"/>
                <w:numId w:val="29"/>
              </w:numPr>
              <w:spacing w:before="0" w:after="0" w:line="240" w:lineRule="auto"/>
              <w:ind w:left="193"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Literature scan needs to review the evidence underpinning the intervention model, and its success in achieving intended outcomes</w:t>
            </w:r>
          </w:p>
          <w:p w14:paraId="2262C181" w14:textId="77777777" w:rsidR="002F4F42" w:rsidRPr="00A96337" w:rsidRDefault="002F4F42" w:rsidP="00F8335C">
            <w:pPr>
              <w:pStyle w:val="ListParagraph"/>
              <w:numPr>
                <w:ilvl w:val="0"/>
                <w:numId w:val="29"/>
              </w:numPr>
              <w:spacing w:before="0" w:after="0" w:line="240" w:lineRule="auto"/>
              <w:ind w:left="193"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Interviews with Program Staff and DFAT stakeholders need to seek information about program results, quality of evidence, and progress against objectives</w:t>
            </w:r>
          </w:p>
          <w:p w14:paraId="41A64110" w14:textId="77777777" w:rsidR="002F4F42" w:rsidRPr="00A96337" w:rsidRDefault="002F4F42" w:rsidP="00F8335C">
            <w:pPr>
              <w:pStyle w:val="ListParagraph"/>
              <w:numPr>
                <w:ilvl w:val="0"/>
                <w:numId w:val="29"/>
              </w:numPr>
              <w:spacing w:before="0" w:after="0" w:line="240" w:lineRule="auto"/>
              <w:ind w:left="193"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Interviews with program participants need to seek their views on the results of participation in program activities, the value of the program / intervention model</w:t>
            </w:r>
          </w:p>
        </w:tc>
        <w:tc>
          <w:tcPr>
            <w:tcW w:w="632" w:type="pct"/>
            <w:tcBorders>
              <w:top w:val="single" w:sz="4" w:space="0" w:color="5482AB"/>
              <w:left w:val="nil"/>
              <w:bottom w:val="single" w:sz="4" w:space="0" w:color="5482AB"/>
              <w:right w:val="nil"/>
            </w:tcBorders>
            <w:shd w:val="clear" w:color="auto" w:fill="auto"/>
            <w:vAlign w:val="center"/>
          </w:tcPr>
          <w:p w14:paraId="221ADC6E" w14:textId="77777777" w:rsidR="002F4F42" w:rsidRPr="00A96337" w:rsidRDefault="002F4F42" w:rsidP="00F8335C">
            <w:pPr>
              <w:pStyle w:val="ListParagraph"/>
              <w:numPr>
                <w:ilvl w:val="0"/>
                <w:numId w:val="29"/>
              </w:numPr>
              <w:spacing w:before="0" w:after="0" w:line="240" w:lineRule="auto"/>
              <w:ind w:left="204"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Desk Review</w:t>
            </w:r>
          </w:p>
          <w:p w14:paraId="7B8724B9" w14:textId="77777777" w:rsidR="002F4F42" w:rsidRPr="00A96337" w:rsidRDefault="002F4F42" w:rsidP="00F8335C">
            <w:pPr>
              <w:pStyle w:val="ListParagraph"/>
              <w:numPr>
                <w:ilvl w:val="0"/>
                <w:numId w:val="29"/>
              </w:numPr>
              <w:spacing w:before="0" w:after="0" w:line="240" w:lineRule="auto"/>
              <w:ind w:left="204"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Interviews with Program Staff and DFAT stakeholders</w:t>
            </w:r>
          </w:p>
          <w:p w14:paraId="0A98D954" w14:textId="77777777" w:rsidR="002F4F42" w:rsidRPr="00A96337" w:rsidRDefault="002F4F42" w:rsidP="00F8335C">
            <w:pPr>
              <w:pStyle w:val="ListParagraph"/>
              <w:numPr>
                <w:ilvl w:val="0"/>
                <w:numId w:val="29"/>
              </w:numPr>
              <w:spacing w:before="0" w:after="0" w:line="240" w:lineRule="auto"/>
              <w:ind w:left="204"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Interviews with Participants</w:t>
            </w:r>
          </w:p>
          <w:p w14:paraId="24D61268" w14:textId="77777777" w:rsidR="002F4F42" w:rsidRPr="00A96337" w:rsidRDefault="002F4F42" w:rsidP="00F8335C">
            <w:pPr>
              <w:pStyle w:val="ListParagraph"/>
              <w:numPr>
                <w:ilvl w:val="0"/>
                <w:numId w:val="29"/>
              </w:numPr>
              <w:spacing w:before="0" w:after="0" w:line="240" w:lineRule="auto"/>
              <w:ind w:left="204"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Literature scan</w:t>
            </w:r>
          </w:p>
        </w:tc>
      </w:tr>
      <w:tr w:rsidR="002F4F42" w:rsidRPr="00A96337" w14:paraId="08A19B92" w14:textId="77777777" w:rsidTr="000E1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single" w:sz="4" w:space="0" w:color="5482AB"/>
              <w:left w:val="nil"/>
              <w:bottom w:val="single" w:sz="4" w:space="0" w:color="5482AB"/>
              <w:right w:val="nil"/>
            </w:tcBorders>
            <w:shd w:val="clear" w:color="auto" w:fill="F2F2F2" w:themeFill="background1" w:themeFillShade="F2"/>
            <w:vAlign w:val="center"/>
          </w:tcPr>
          <w:p w14:paraId="0E20EAAD" w14:textId="131CBCD7" w:rsidR="002F4F42" w:rsidRPr="00A96337" w:rsidRDefault="002F4F42" w:rsidP="00F8335C">
            <w:pPr>
              <w:pStyle w:val="ListParagraph"/>
              <w:numPr>
                <w:ilvl w:val="0"/>
                <w:numId w:val="34"/>
              </w:numPr>
              <w:spacing w:before="0" w:after="0" w:line="240" w:lineRule="auto"/>
              <w:ind w:left="306"/>
              <w:rPr>
                <w:szCs w:val="20"/>
              </w:rPr>
            </w:pPr>
            <w:r w:rsidRPr="00A96337">
              <w:rPr>
                <w:szCs w:val="20"/>
              </w:rPr>
              <w:t xml:space="preserve">SUSTAINABILITY: What is the level of sustainability in the current NGO projects; how can </w:t>
            </w:r>
            <w:r w:rsidR="009B58A0" w:rsidRPr="00A96337">
              <w:rPr>
                <w:szCs w:val="20"/>
              </w:rPr>
              <w:t>AMENCA 3</w:t>
            </w:r>
            <w:r w:rsidRPr="00A96337">
              <w:rPr>
                <w:szCs w:val="20"/>
              </w:rPr>
              <w:t xml:space="preserve"> strengthen the sustainability of the outcomes by the end of the NGO projects?</w:t>
            </w:r>
          </w:p>
        </w:tc>
        <w:tc>
          <w:tcPr>
            <w:tcW w:w="826" w:type="pct"/>
            <w:tcBorders>
              <w:top w:val="single" w:sz="4" w:space="0" w:color="5482AB"/>
              <w:left w:val="nil"/>
              <w:bottom w:val="single" w:sz="4" w:space="0" w:color="5482AB"/>
              <w:right w:val="nil"/>
            </w:tcBorders>
            <w:shd w:val="clear" w:color="auto" w:fill="F2F2F2" w:themeFill="background1" w:themeFillShade="F2"/>
            <w:vAlign w:val="center"/>
          </w:tcPr>
          <w:p w14:paraId="1FD7A480" w14:textId="23A92A2C" w:rsidR="002F4F42" w:rsidRPr="00A96337" w:rsidRDefault="002F4F42" w:rsidP="00F8335C">
            <w:pPr>
              <w:pStyle w:val="ListParagraph"/>
              <w:numPr>
                <w:ilvl w:val="0"/>
                <w:numId w:val="39"/>
              </w:numPr>
              <w:spacing w:before="0" w:after="0" w:line="240" w:lineRule="auto"/>
              <w:ind w:left="232" w:hanging="284"/>
              <w:cnfStyle w:val="000000100000" w:firstRow="0" w:lastRow="0" w:firstColumn="0" w:lastColumn="0" w:oddVBand="0" w:evenVBand="0" w:oddHBand="1" w:evenHBand="0" w:firstRowFirstColumn="0" w:firstRowLastColumn="0" w:lastRowFirstColumn="0" w:lastRowLastColumn="0"/>
              <w:rPr>
                <w:szCs w:val="20"/>
              </w:rPr>
            </w:pPr>
            <w:r w:rsidRPr="00A96337">
              <w:rPr>
                <w:szCs w:val="20"/>
              </w:rPr>
              <w:t xml:space="preserve">Has </w:t>
            </w:r>
            <w:r w:rsidR="009B58A0" w:rsidRPr="00A96337">
              <w:rPr>
                <w:szCs w:val="20"/>
              </w:rPr>
              <w:t>AMENCA 3</w:t>
            </w:r>
            <w:r w:rsidRPr="00A96337">
              <w:rPr>
                <w:szCs w:val="20"/>
              </w:rPr>
              <w:t xml:space="preserve"> achieved (or is it likely to achieve) the impact and scale intended to ensure sustainability into the future, noting it is only three years into a five-year Investment Design Framework?</w:t>
            </w:r>
            <w:r w:rsidR="00E42BC8" w:rsidRPr="00A96337">
              <w:rPr>
                <w:szCs w:val="20"/>
              </w:rPr>
              <w:t xml:space="preserve"> </w:t>
            </w:r>
            <w:r w:rsidRPr="00A96337">
              <w:rPr>
                <w:szCs w:val="20"/>
              </w:rPr>
              <w:t>To what extent will outcomes be sustained beyond the program at the level of individuals, enterprises, and systemic change?</w:t>
            </w:r>
          </w:p>
          <w:p w14:paraId="2ECE7813" w14:textId="092D8D00" w:rsidR="002F4F42" w:rsidRPr="00A96337" w:rsidRDefault="002F4F42" w:rsidP="00F8335C">
            <w:pPr>
              <w:pStyle w:val="ListParagraph"/>
              <w:numPr>
                <w:ilvl w:val="0"/>
                <w:numId w:val="39"/>
              </w:numPr>
              <w:spacing w:before="0" w:after="0" w:line="240" w:lineRule="auto"/>
              <w:ind w:left="232" w:hanging="284"/>
              <w:cnfStyle w:val="000000100000" w:firstRow="0" w:lastRow="0" w:firstColumn="0" w:lastColumn="0" w:oddVBand="0" w:evenVBand="0" w:oddHBand="1" w:evenHBand="0" w:firstRowFirstColumn="0" w:firstRowLastColumn="0" w:lastRowFirstColumn="0" w:lastRowLastColumn="0"/>
              <w:rPr>
                <w:szCs w:val="20"/>
              </w:rPr>
            </w:pPr>
            <w:r w:rsidRPr="00A96337">
              <w:rPr>
                <w:szCs w:val="20"/>
              </w:rPr>
              <w:t xml:space="preserve">What factors have emerged that might prohibit </w:t>
            </w:r>
            <w:r w:rsidR="009B58A0" w:rsidRPr="00A96337">
              <w:rPr>
                <w:szCs w:val="20"/>
              </w:rPr>
              <w:t>AMENCA 3</w:t>
            </w:r>
            <w:r w:rsidRPr="00A96337">
              <w:rPr>
                <w:szCs w:val="20"/>
              </w:rPr>
              <w:t xml:space="preserve"> achieving impact and scale?</w:t>
            </w:r>
          </w:p>
          <w:p w14:paraId="41E145DF" w14:textId="57AF9292" w:rsidR="002F4F42" w:rsidRPr="00A96337" w:rsidRDefault="002F4F42" w:rsidP="00F8335C">
            <w:pPr>
              <w:pStyle w:val="ListParagraph"/>
              <w:numPr>
                <w:ilvl w:val="0"/>
                <w:numId w:val="39"/>
              </w:numPr>
              <w:spacing w:before="0" w:after="0" w:line="240" w:lineRule="auto"/>
              <w:ind w:left="232" w:hanging="284"/>
              <w:cnfStyle w:val="000000100000" w:firstRow="0" w:lastRow="0" w:firstColumn="0" w:lastColumn="0" w:oddVBand="0" w:evenVBand="0" w:oddHBand="1" w:evenHBand="0" w:firstRowFirstColumn="0" w:firstRowLastColumn="0" w:lastRowFirstColumn="0" w:lastRowLastColumn="0"/>
              <w:rPr>
                <w:szCs w:val="20"/>
              </w:rPr>
            </w:pPr>
            <w:r w:rsidRPr="00A96337">
              <w:rPr>
                <w:szCs w:val="20"/>
              </w:rPr>
              <w:t>Are the implementing partners working through existing market actors or being active market participants?</w:t>
            </w:r>
            <w:r w:rsidR="00E42BC8" w:rsidRPr="00A96337">
              <w:rPr>
                <w:szCs w:val="20"/>
              </w:rPr>
              <w:t xml:space="preserve"> </w:t>
            </w:r>
            <w:r w:rsidRPr="00A96337">
              <w:rPr>
                <w:szCs w:val="20"/>
              </w:rPr>
              <w:t xml:space="preserve">Have </w:t>
            </w:r>
            <w:r w:rsidR="009B58A0" w:rsidRPr="00A96337">
              <w:rPr>
                <w:szCs w:val="20"/>
              </w:rPr>
              <w:t>AMENCA 3</w:t>
            </w:r>
            <w:r w:rsidRPr="00A96337">
              <w:rPr>
                <w:szCs w:val="20"/>
              </w:rPr>
              <w:t>’s interventions engendered sufficient ownership from market actors to continue into the future?</w:t>
            </w:r>
          </w:p>
        </w:tc>
        <w:tc>
          <w:tcPr>
            <w:tcW w:w="985" w:type="pct"/>
            <w:tcBorders>
              <w:top w:val="single" w:sz="4" w:space="0" w:color="5482AB"/>
              <w:left w:val="nil"/>
              <w:bottom w:val="single" w:sz="4" w:space="0" w:color="5482AB"/>
              <w:right w:val="nil"/>
            </w:tcBorders>
            <w:shd w:val="clear" w:color="auto" w:fill="F2F2F2" w:themeFill="background1" w:themeFillShade="F2"/>
            <w:vAlign w:val="center"/>
          </w:tcPr>
          <w:p w14:paraId="7A425519" w14:textId="083BED2D" w:rsidR="002F4F42" w:rsidRPr="00A96337" w:rsidRDefault="002F4F42" w:rsidP="00613B55">
            <w:pPr>
              <w:ind w:left="332" w:hanging="39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C1.</w:t>
            </w:r>
            <w:r w:rsidRPr="00A96337">
              <w:rPr>
                <w:rFonts w:ascii="Arial" w:hAnsi="Arial" w:cs="Arial"/>
              </w:rPr>
              <w:tab/>
              <w:t xml:space="preserve">The Results Reported by </w:t>
            </w:r>
            <w:r w:rsidR="009B58A0" w:rsidRPr="00A96337">
              <w:rPr>
                <w:rFonts w:ascii="Arial" w:hAnsi="Arial" w:cs="Arial"/>
              </w:rPr>
              <w:t>AMENCA 3</w:t>
            </w:r>
            <w:r w:rsidRPr="00A96337">
              <w:rPr>
                <w:rFonts w:ascii="Arial" w:hAnsi="Arial" w:cs="Arial"/>
              </w:rPr>
              <w:t xml:space="preserve"> are consistent with its results framework and are considered to be sustainable</w:t>
            </w:r>
          </w:p>
          <w:p w14:paraId="5DC79F29" w14:textId="77777777" w:rsidR="002F4F42" w:rsidRPr="00A96337" w:rsidRDefault="002F4F42" w:rsidP="00613B55">
            <w:pPr>
              <w:ind w:left="332" w:hanging="39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C2.</w:t>
            </w:r>
            <w:r w:rsidRPr="00A96337">
              <w:rPr>
                <w:rFonts w:ascii="Arial" w:hAnsi="Arial" w:cs="Arial"/>
              </w:rPr>
              <w:tab/>
              <w:t>The evidence underpinning results reporting is of sound-to-high quality</w:t>
            </w:r>
          </w:p>
          <w:p w14:paraId="4E31C421" w14:textId="3175D148" w:rsidR="002F4F42" w:rsidRPr="00A96337" w:rsidRDefault="002F4F42" w:rsidP="00613B55">
            <w:pPr>
              <w:ind w:left="332" w:hanging="39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C3.</w:t>
            </w:r>
            <w:r w:rsidRPr="00A96337">
              <w:rPr>
                <w:rFonts w:ascii="Arial" w:hAnsi="Arial" w:cs="Arial"/>
              </w:rPr>
              <w:tab/>
              <w:t xml:space="preserve">The intervention model (i.e. hybrid MSD model) used by </w:t>
            </w:r>
            <w:r w:rsidR="009B58A0" w:rsidRPr="00A96337">
              <w:rPr>
                <w:rFonts w:ascii="Arial" w:hAnsi="Arial" w:cs="Arial"/>
              </w:rPr>
              <w:t>AMENCA 3</w:t>
            </w:r>
            <w:r w:rsidRPr="00A96337">
              <w:rPr>
                <w:rFonts w:ascii="Arial" w:hAnsi="Arial" w:cs="Arial"/>
              </w:rPr>
              <w:t xml:space="preserve"> is credibly able to achieve the objectives (for example, has the selection of value chains been appropriate and does it remain appropriate moving forward) and have partners implemented the hybrid model as intended and/or made any adaptations or innovations that have impacted </w:t>
            </w:r>
            <w:r w:rsidR="009B58A0" w:rsidRPr="00A96337">
              <w:rPr>
                <w:rFonts w:ascii="Arial" w:hAnsi="Arial" w:cs="Arial"/>
              </w:rPr>
              <w:t>AMENCA 3</w:t>
            </w:r>
            <w:r w:rsidRPr="00A96337">
              <w:rPr>
                <w:rFonts w:ascii="Arial" w:hAnsi="Arial" w:cs="Arial"/>
              </w:rPr>
              <w:t>.</w:t>
            </w:r>
          </w:p>
        </w:tc>
        <w:tc>
          <w:tcPr>
            <w:tcW w:w="842" w:type="pct"/>
            <w:tcBorders>
              <w:top w:val="single" w:sz="4" w:space="0" w:color="5482AB"/>
              <w:left w:val="nil"/>
              <w:bottom w:val="single" w:sz="4" w:space="0" w:color="5482AB"/>
              <w:right w:val="nil"/>
            </w:tcBorders>
            <w:shd w:val="clear" w:color="auto" w:fill="F2F2F2" w:themeFill="background1" w:themeFillShade="F2"/>
            <w:vAlign w:val="center"/>
          </w:tcPr>
          <w:p w14:paraId="663E16D4" w14:textId="30B30762" w:rsidR="002F4F42" w:rsidRPr="00A96337" w:rsidRDefault="002F4F42" w:rsidP="00613B55">
            <w:pPr>
              <w:ind w:left="280" w:hanging="30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C1.</w:t>
            </w:r>
            <w:r w:rsidRPr="00A96337">
              <w:rPr>
                <w:rFonts w:ascii="Arial" w:hAnsi="Arial" w:cs="Arial"/>
              </w:rPr>
              <w:tab/>
              <w:t xml:space="preserve">Collate all results reported by </w:t>
            </w:r>
            <w:r w:rsidR="009B58A0" w:rsidRPr="00A96337">
              <w:rPr>
                <w:rFonts w:ascii="Arial" w:hAnsi="Arial" w:cs="Arial"/>
              </w:rPr>
              <w:t>AMENCA 3</w:t>
            </w:r>
            <w:r w:rsidRPr="00A96337">
              <w:rPr>
                <w:rFonts w:ascii="Arial" w:hAnsi="Arial" w:cs="Arial"/>
              </w:rPr>
              <w:t>, both in formal reporting and through primary data collection, and map these against program logic model.</w:t>
            </w:r>
          </w:p>
          <w:p w14:paraId="76FEB1FB" w14:textId="77777777" w:rsidR="002F4F42" w:rsidRPr="00A96337" w:rsidRDefault="002F4F42" w:rsidP="00613B55">
            <w:pPr>
              <w:ind w:left="280" w:hanging="30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C2.</w:t>
            </w:r>
            <w:r w:rsidRPr="00A96337">
              <w:rPr>
                <w:rFonts w:ascii="Arial" w:hAnsi="Arial" w:cs="Arial"/>
              </w:rPr>
              <w:tab/>
              <w:t>Assess the evidence base for these results, and assign each results area with a ‘confidence rating’ based on the quality of evidence</w:t>
            </w:r>
          </w:p>
          <w:p w14:paraId="23FEEAC3" w14:textId="2CB43EC6" w:rsidR="002F4F42" w:rsidRPr="00A96337" w:rsidRDefault="002F4F42" w:rsidP="00613B55">
            <w:pPr>
              <w:ind w:left="280" w:hanging="30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C3.</w:t>
            </w:r>
            <w:r w:rsidRPr="00A96337">
              <w:rPr>
                <w:rFonts w:ascii="Arial" w:hAnsi="Arial" w:cs="Arial"/>
              </w:rPr>
              <w:tab/>
              <w:t xml:space="preserve">Assess the feasibility of the intervention model achieving </w:t>
            </w:r>
            <w:r w:rsidR="009B58A0" w:rsidRPr="00A96337">
              <w:rPr>
                <w:rFonts w:ascii="Arial" w:hAnsi="Arial" w:cs="Arial"/>
              </w:rPr>
              <w:t>AMENCA 3</w:t>
            </w:r>
            <w:r w:rsidRPr="00A96337">
              <w:rPr>
                <w:rFonts w:ascii="Arial" w:hAnsi="Arial" w:cs="Arial"/>
              </w:rPr>
              <w:t>’s objectives based on evidence to date, a literature review of the model, and feedback from program staff and participants.</w:t>
            </w:r>
          </w:p>
        </w:tc>
        <w:tc>
          <w:tcPr>
            <w:tcW w:w="769" w:type="pct"/>
            <w:tcBorders>
              <w:top w:val="single" w:sz="4" w:space="0" w:color="5482AB"/>
              <w:left w:val="nil"/>
              <w:bottom w:val="single" w:sz="4" w:space="0" w:color="5482AB"/>
              <w:right w:val="nil"/>
            </w:tcBorders>
            <w:shd w:val="clear" w:color="auto" w:fill="F2F2F2" w:themeFill="background1" w:themeFillShade="F2"/>
            <w:vAlign w:val="center"/>
          </w:tcPr>
          <w:p w14:paraId="058108FE" w14:textId="77777777" w:rsidR="002F4F42" w:rsidRPr="00A96337" w:rsidRDefault="002F4F42" w:rsidP="00F8335C">
            <w:pPr>
              <w:pStyle w:val="ListParagraph"/>
              <w:numPr>
                <w:ilvl w:val="0"/>
                <w:numId w:val="29"/>
              </w:numPr>
              <w:spacing w:before="0" w:after="0" w:line="240" w:lineRule="auto"/>
              <w:ind w:left="193"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Literature scan needs to review the evidence underpinning the intervention model, and its success in achieving intended outcomes</w:t>
            </w:r>
          </w:p>
          <w:p w14:paraId="4242BD0F" w14:textId="77777777" w:rsidR="002F4F42" w:rsidRPr="00A96337" w:rsidRDefault="002F4F42" w:rsidP="00F8335C">
            <w:pPr>
              <w:pStyle w:val="ListParagraph"/>
              <w:numPr>
                <w:ilvl w:val="0"/>
                <w:numId w:val="29"/>
              </w:numPr>
              <w:spacing w:before="0" w:after="0" w:line="240" w:lineRule="auto"/>
              <w:ind w:left="193"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Program Staff and DFAT stakeholders need to seek information about program results, quality of evidence, and progress against objectives</w:t>
            </w:r>
          </w:p>
          <w:p w14:paraId="155BB88D" w14:textId="77777777" w:rsidR="002F4F42" w:rsidRPr="00A96337" w:rsidRDefault="002F4F42" w:rsidP="00F8335C">
            <w:pPr>
              <w:pStyle w:val="ListParagraph"/>
              <w:numPr>
                <w:ilvl w:val="0"/>
                <w:numId w:val="29"/>
              </w:numPr>
              <w:spacing w:before="0" w:after="0" w:line="240" w:lineRule="auto"/>
              <w:ind w:left="193"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program participants need to seek their views on the results of participation in program activities, the value of the program / intervention model</w:t>
            </w:r>
          </w:p>
        </w:tc>
        <w:tc>
          <w:tcPr>
            <w:tcW w:w="632" w:type="pct"/>
            <w:tcBorders>
              <w:top w:val="single" w:sz="4" w:space="0" w:color="5482AB"/>
              <w:left w:val="nil"/>
              <w:bottom w:val="single" w:sz="4" w:space="0" w:color="5482AB"/>
              <w:right w:val="nil"/>
            </w:tcBorders>
            <w:shd w:val="clear" w:color="auto" w:fill="F2F2F2" w:themeFill="background1" w:themeFillShade="F2"/>
            <w:vAlign w:val="center"/>
          </w:tcPr>
          <w:p w14:paraId="7AC3B35D" w14:textId="77777777" w:rsidR="002F4F42" w:rsidRPr="00A96337" w:rsidRDefault="002F4F42" w:rsidP="00F8335C">
            <w:pPr>
              <w:pStyle w:val="ListParagraph"/>
              <w:numPr>
                <w:ilvl w:val="0"/>
                <w:numId w:val="29"/>
              </w:numPr>
              <w:spacing w:before="0" w:after="0" w:line="240" w:lineRule="auto"/>
              <w:ind w:left="204"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Desk Review</w:t>
            </w:r>
          </w:p>
          <w:p w14:paraId="40C4F531" w14:textId="77777777" w:rsidR="002F4F42" w:rsidRPr="00A96337" w:rsidRDefault="002F4F42" w:rsidP="00F8335C">
            <w:pPr>
              <w:pStyle w:val="ListParagraph"/>
              <w:numPr>
                <w:ilvl w:val="0"/>
                <w:numId w:val="29"/>
              </w:numPr>
              <w:spacing w:before="0" w:after="0" w:line="240" w:lineRule="auto"/>
              <w:ind w:left="204"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Program Staff and DFAT stakeholders</w:t>
            </w:r>
          </w:p>
          <w:p w14:paraId="5EFF1CC2" w14:textId="77777777" w:rsidR="002F4F42" w:rsidRPr="00A96337" w:rsidRDefault="002F4F42" w:rsidP="00F8335C">
            <w:pPr>
              <w:pStyle w:val="ListParagraph"/>
              <w:numPr>
                <w:ilvl w:val="0"/>
                <w:numId w:val="29"/>
              </w:numPr>
              <w:spacing w:before="0" w:after="0" w:line="240" w:lineRule="auto"/>
              <w:ind w:left="204"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Participants</w:t>
            </w:r>
          </w:p>
          <w:p w14:paraId="7BFF3503" w14:textId="77777777" w:rsidR="002F4F42" w:rsidRPr="00A96337" w:rsidRDefault="002F4F42" w:rsidP="00F8335C">
            <w:pPr>
              <w:pStyle w:val="ListParagraph"/>
              <w:numPr>
                <w:ilvl w:val="0"/>
                <w:numId w:val="29"/>
              </w:numPr>
              <w:spacing w:before="0" w:after="0" w:line="240" w:lineRule="auto"/>
              <w:ind w:left="204"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Literature scan</w:t>
            </w:r>
          </w:p>
        </w:tc>
      </w:tr>
      <w:tr w:rsidR="002F4F42" w:rsidRPr="00A96337" w14:paraId="34433794" w14:textId="77777777" w:rsidTr="000E1846">
        <w:tc>
          <w:tcPr>
            <w:cnfStyle w:val="001000000000" w:firstRow="0" w:lastRow="0" w:firstColumn="1" w:lastColumn="0" w:oddVBand="0" w:evenVBand="0" w:oddHBand="0" w:evenHBand="0" w:firstRowFirstColumn="0" w:firstRowLastColumn="0" w:lastRowFirstColumn="0" w:lastRowLastColumn="0"/>
            <w:tcW w:w="946" w:type="pct"/>
            <w:tcBorders>
              <w:top w:val="single" w:sz="4" w:space="0" w:color="5482AB"/>
              <w:left w:val="nil"/>
              <w:bottom w:val="single" w:sz="4" w:space="0" w:color="5482AB"/>
              <w:right w:val="nil"/>
            </w:tcBorders>
            <w:shd w:val="clear" w:color="auto" w:fill="auto"/>
            <w:vAlign w:val="center"/>
            <w:hideMark/>
          </w:tcPr>
          <w:p w14:paraId="3AD9DDAC" w14:textId="77777777" w:rsidR="002F4F42" w:rsidRPr="00A96337" w:rsidRDefault="002F4F42" w:rsidP="00F8335C">
            <w:pPr>
              <w:pStyle w:val="ListParagraph"/>
              <w:numPr>
                <w:ilvl w:val="0"/>
                <w:numId w:val="34"/>
              </w:numPr>
              <w:spacing w:before="0" w:after="0" w:line="240" w:lineRule="auto"/>
              <w:ind w:left="306"/>
              <w:rPr>
                <w:szCs w:val="20"/>
              </w:rPr>
            </w:pPr>
            <w:r w:rsidRPr="00A96337">
              <w:rPr>
                <w:szCs w:val="20"/>
              </w:rPr>
              <w:t>INCLUSION (WOMEN AND YOUTH): How effective are the NGO projects in improving the economic and social position of women and youth? What are the factors that contribute and / or hinder successful approaches?</w:t>
            </w:r>
          </w:p>
        </w:tc>
        <w:tc>
          <w:tcPr>
            <w:tcW w:w="826" w:type="pct"/>
            <w:tcBorders>
              <w:top w:val="single" w:sz="4" w:space="0" w:color="5482AB"/>
              <w:left w:val="nil"/>
              <w:bottom w:val="single" w:sz="4" w:space="0" w:color="5482AB"/>
              <w:right w:val="nil"/>
            </w:tcBorders>
            <w:shd w:val="clear" w:color="auto" w:fill="auto"/>
            <w:vAlign w:val="center"/>
          </w:tcPr>
          <w:p w14:paraId="5319DAB6" w14:textId="77777777" w:rsidR="002F4F42" w:rsidRPr="00A96337" w:rsidRDefault="002F4F42" w:rsidP="00F8335C">
            <w:pPr>
              <w:pStyle w:val="ListParagraph"/>
              <w:numPr>
                <w:ilvl w:val="0"/>
                <w:numId w:val="40"/>
              </w:numPr>
              <w:spacing w:before="0" w:after="0" w:line="240" w:lineRule="auto"/>
              <w:ind w:left="232" w:hanging="284"/>
              <w:cnfStyle w:val="000000000000" w:firstRow="0" w:lastRow="0" w:firstColumn="0" w:lastColumn="0" w:oddVBand="0" w:evenVBand="0" w:oddHBand="0" w:evenHBand="0" w:firstRowFirstColumn="0" w:firstRowLastColumn="0" w:lastRowFirstColumn="0" w:lastRowLastColumn="0"/>
              <w:rPr>
                <w:szCs w:val="20"/>
              </w:rPr>
            </w:pPr>
            <w:r w:rsidRPr="00A96337">
              <w:rPr>
                <w:szCs w:val="20"/>
              </w:rPr>
              <w:t>What access have women [and youth] had to project resources compared with men? (for example, access to project funding, market information, supply chains etc.)</w:t>
            </w:r>
          </w:p>
          <w:p w14:paraId="21E8600B" w14:textId="77777777" w:rsidR="002F4F42" w:rsidRPr="00A96337" w:rsidRDefault="002F4F42" w:rsidP="00F8335C">
            <w:pPr>
              <w:pStyle w:val="ListParagraph"/>
              <w:numPr>
                <w:ilvl w:val="0"/>
                <w:numId w:val="40"/>
              </w:numPr>
              <w:spacing w:before="0" w:after="0" w:line="240" w:lineRule="auto"/>
              <w:ind w:left="232" w:hanging="284"/>
              <w:cnfStyle w:val="000000000000" w:firstRow="0" w:lastRow="0" w:firstColumn="0" w:lastColumn="0" w:oddVBand="0" w:evenVBand="0" w:oddHBand="0" w:evenHBand="0" w:firstRowFirstColumn="0" w:firstRowLastColumn="0" w:lastRowFirstColumn="0" w:lastRowLastColumn="0"/>
              <w:rPr>
                <w:szCs w:val="20"/>
              </w:rPr>
            </w:pPr>
            <w:r w:rsidRPr="00A96337">
              <w:rPr>
                <w:szCs w:val="20"/>
              </w:rPr>
              <w:t>What practical benefits have been received by women and youth [compared with men]? (for example, increased income, better access to services in their community)</w:t>
            </w:r>
          </w:p>
          <w:p w14:paraId="6AB95D5C" w14:textId="77777777" w:rsidR="002F4F42" w:rsidRPr="00A96337" w:rsidRDefault="002F4F42" w:rsidP="00F8335C">
            <w:pPr>
              <w:pStyle w:val="ListParagraph"/>
              <w:numPr>
                <w:ilvl w:val="0"/>
                <w:numId w:val="40"/>
              </w:numPr>
              <w:spacing w:before="0" w:after="0" w:line="240" w:lineRule="auto"/>
              <w:ind w:left="232" w:hanging="284"/>
              <w:cnfStyle w:val="000000000000" w:firstRow="0" w:lastRow="0" w:firstColumn="0" w:lastColumn="0" w:oddVBand="0" w:evenVBand="0" w:oddHBand="0" w:evenHBand="0" w:firstRowFirstColumn="0" w:firstRowLastColumn="0" w:lastRowFirstColumn="0" w:lastRowLastColumn="0"/>
              <w:rPr>
                <w:szCs w:val="20"/>
              </w:rPr>
            </w:pPr>
            <w:r w:rsidRPr="00A96337">
              <w:rPr>
                <w:szCs w:val="20"/>
              </w:rPr>
              <w:t>Is there any evidence of changes in gender relations due to project activities? (E.g. differences in the way women are viewed or treated within the household, farming groups and in the community?)</w:t>
            </w:r>
          </w:p>
          <w:p w14:paraId="643F8AAE" w14:textId="77777777" w:rsidR="002F4F42" w:rsidRPr="00A96337" w:rsidRDefault="002F4F42" w:rsidP="00F8335C">
            <w:pPr>
              <w:pStyle w:val="ListParagraph"/>
              <w:numPr>
                <w:ilvl w:val="0"/>
                <w:numId w:val="40"/>
              </w:numPr>
              <w:spacing w:before="0" w:after="0" w:line="240" w:lineRule="auto"/>
              <w:ind w:left="232" w:hanging="284"/>
              <w:cnfStyle w:val="000000000000" w:firstRow="0" w:lastRow="0" w:firstColumn="0" w:lastColumn="0" w:oddVBand="0" w:evenVBand="0" w:oddHBand="0" w:evenHBand="0" w:firstRowFirstColumn="0" w:firstRowLastColumn="0" w:lastRowFirstColumn="0" w:lastRowLastColumn="0"/>
              <w:rPr>
                <w:szCs w:val="20"/>
              </w:rPr>
            </w:pPr>
            <w:r w:rsidRPr="00A96337">
              <w:rPr>
                <w:szCs w:val="20"/>
              </w:rPr>
              <w:t>What processes have been used to integrate gender equality into the project? (For example, to what extent have investments drawn on quality gender analysis to set priorities for assistance, and integrated gender equality effectively in their designs?)</w:t>
            </w:r>
          </w:p>
          <w:p w14:paraId="74B82381" w14:textId="36EA5323" w:rsidR="002F4F42" w:rsidRPr="00A96337" w:rsidRDefault="002F4F42" w:rsidP="00F8335C">
            <w:pPr>
              <w:pStyle w:val="ListParagraph"/>
              <w:numPr>
                <w:ilvl w:val="0"/>
                <w:numId w:val="40"/>
              </w:numPr>
              <w:spacing w:before="0" w:after="0" w:line="240" w:lineRule="auto"/>
              <w:ind w:left="232" w:hanging="284"/>
              <w:cnfStyle w:val="000000000000" w:firstRow="0" w:lastRow="0" w:firstColumn="0" w:lastColumn="0" w:oddVBand="0" w:evenVBand="0" w:oddHBand="0" w:evenHBand="0" w:firstRowFirstColumn="0" w:firstRowLastColumn="0" w:lastRowFirstColumn="0" w:lastRowLastColumn="0"/>
              <w:rPr>
                <w:szCs w:val="20"/>
              </w:rPr>
            </w:pPr>
            <w:r w:rsidRPr="00A96337">
              <w:rPr>
                <w:szCs w:val="20"/>
              </w:rPr>
              <w:t xml:space="preserve">To what extent are </w:t>
            </w:r>
            <w:r w:rsidR="009B58A0" w:rsidRPr="00A96337">
              <w:rPr>
                <w:szCs w:val="20"/>
              </w:rPr>
              <w:t>AMENCA 3</w:t>
            </w:r>
            <w:r w:rsidRPr="00A96337">
              <w:rPr>
                <w:szCs w:val="20"/>
              </w:rPr>
              <w:t>’s investments promoting women’s and youth economic empowerment?</w:t>
            </w:r>
          </w:p>
          <w:p w14:paraId="5736F416" w14:textId="2722E351" w:rsidR="002F4F42" w:rsidRPr="00A96337" w:rsidRDefault="002F4F42" w:rsidP="00F8335C">
            <w:pPr>
              <w:pStyle w:val="ListParagraph"/>
              <w:numPr>
                <w:ilvl w:val="0"/>
                <w:numId w:val="40"/>
              </w:numPr>
              <w:spacing w:before="0" w:after="0" w:line="240" w:lineRule="auto"/>
              <w:ind w:left="232" w:hanging="284"/>
              <w:cnfStyle w:val="000000000000" w:firstRow="0" w:lastRow="0" w:firstColumn="0" w:lastColumn="0" w:oddVBand="0" w:evenVBand="0" w:oddHBand="0" w:evenHBand="0" w:firstRowFirstColumn="0" w:firstRowLastColumn="0" w:lastRowFirstColumn="0" w:lastRowLastColumn="0"/>
              <w:rPr>
                <w:szCs w:val="20"/>
              </w:rPr>
            </w:pPr>
            <w:r w:rsidRPr="00A96337">
              <w:rPr>
                <w:szCs w:val="20"/>
              </w:rPr>
              <w:t xml:space="preserve">To what extent are </w:t>
            </w:r>
            <w:r w:rsidR="009B58A0" w:rsidRPr="00A96337">
              <w:rPr>
                <w:szCs w:val="20"/>
              </w:rPr>
              <w:t>AMENCA 3</w:t>
            </w:r>
            <w:r w:rsidRPr="00A96337">
              <w:rPr>
                <w:szCs w:val="20"/>
              </w:rPr>
              <w:t>’s investments supporting national and regional efforts to end violence against women and girls?</w:t>
            </w:r>
          </w:p>
          <w:p w14:paraId="723EE34E" w14:textId="77777777" w:rsidR="002F4F42" w:rsidRPr="00A96337" w:rsidRDefault="002F4F42" w:rsidP="00F8335C">
            <w:pPr>
              <w:pStyle w:val="ListParagraph"/>
              <w:numPr>
                <w:ilvl w:val="0"/>
                <w:numId w:val="40"/>
              </w:numPr>
              <w:spacing w:before="0" w:after="0" w:line="240" w:lineRule="auto"/>
              <w:ind w:left="232" w:hanging="284"/>
              <w:cnfStyle w:val="000000000000" w:firstRow="0" w:lastRow="0" w:firstColumn="0" w:lastColumn="0" w:oddVBand="0" w:evenVBand="0" w:oddHBand="0" w:evenHBand="0" w:firstRowFirstColumn="0" w:firstRowLastColumn="0" w:lastRowFirstColumn="0" w:lastRowLastColumn="0"/>
              <w:rPr>
                <w:szCs w:val="20"/>
              </w:rPr>
            </w:pPr>
            <w:r w:rsidRPr="00A96337">
              <w:rPr>
                <w:szCs w:val="20"/>
              </w:rPr>
              <w:t>To what extent has the project impacted on GBV and the safety of women in both public and private spaces?</w:t>
            </w:r>
          </w:p>
          <w:p w14:paraId="71A31614" w14:textId="7E6CCC22" w:rsidR="002F4F42" w:rsidRPr="00A96337" w:rsidRDefault="002F4F42" w:rsidP="00F8335C">
            <w:pPr>
              <w:pStyle w:val="ListParagraph"/>
              <w:numPr>
                <w:ilvl w:val="0"/>
                <w:numId w:val="40"/>
              </w:numPr>
              <w:spacing w:before="0" w:after="0" w:line="240" w:lineRule="auto"/>
              <w:ind w:left="232" w:hanging="284"/>
              <w:cnfStyle w:val="000000000000" w:firstRow="0" w:lastRow="0" w:firstColumn="0" w:lastColumn="0" w:oddVBand="0" w:evenVBand="0" w:oddHBand="0" w:evenHBand="0" w:firstRowFirstColumn="0" w:firstRowLastColumn="0" w:lastRowFirstColumn="0" w:lastRowLastColumn="0"/>
              <w:rPr>
                <w:szCs w:val="20"/>
              </w:rPr>
            </w:pPr>
            <w:r w:rsidRPr="00A96337">
              <w:rPr>
                <w:szCs w:val="20"/>
              </w:rPr>
              <w:t xml:space="preserve">To what extent are </w:t>
            </w:r>
            <w:r w:rsidR="009B58A0" w:rsidRPr="00A96337">
              <w:rPr>
                <w:szCs w:val="20"/>
              </w:rPr>
              <w:t>AMENCA 3</w:t>
            </w:r>
            <w:r w:rsidRPr="00A96337">
              <w:rPr>
                <w:szCs w:val="20"/>
              </w:rPr>
              <w:t>’s</w:t>
            </w:r>
            <w:r w:rsidR="00E42BC8" w:rsidRPr="00A96337">
              <w:rPr>
                <w:szCs w:val="20"/>
              </w:rPr>
              <w:t xml:space="preserve"> </w:t>
            </w:r>
            <w:r w:rsidRPr="00A96337">
              <w:rPr>
                <w:szCs w:val="20"/>
              </w:rPr>
              <w:t>investments promoting women’s leadership and participation in decision-making?</w:t>
            </w:r>
          </w:p>
        </w:tc>
        <w:tc>
          <w:tcPr>
            <w:tcW w:w="985" w:type="pct"/>
            <w:tcBorders>
              <w:top w:val="single" w:sz="4" w:space="0" w:color="5482AB"/>
              <w:left w:val="nil"/>
              <w:bottom w:val="single" w:sz="4" w:space="0" w:color="5482AB"/>
              <w:right w:val="nil"/>
            </w:tcBorders>
            <w:shd w:val="clear" w:color="auto" w:fill="auto"/>
            <w:vAlign w:val="center"/>
            <w:hideMark/>
          </w:tcPr>
          <w:p w14:paraId="1892E917" w14:textId="77777777" w:rsidR="002F4F42" w:rsidRPr="00A96337" w:rsidRDefault="002F4F42" w:rsidP="00613B55">
            <w:pPr>
              <w:ind w:left="332" w:hanging="39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C4.</w:t>
            </w:r>
            <w:r w:rsidRPr="00A96337">
              <w:rPr>
                <w:rFonts w:ascii="Arial" w:hAnsi="Arial" w:cs="Arial"/>
              </w:rPr>
              <w:tab/>
              <w:t>Program activities effectively address known barriers to women’s, men’s and youth’s participation in economic activities/livelihoods</w:t>
            </w:r>
          </w:p>
          <w:p w14:paraId="5704D984" w14:textId="77777777" w:rsidR="002F4F42" w:rsidRPr="00A96337" w:rsidRDefault="002F4F42" w:rsidP="00613B55">
            <w:pPr>
              <w:ind w:left="332" w:hanging="39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C5.</w:t>
            </w:r>
            <w:r w:rsidRPr="00A96337">
              <w:rPr>
                <w:rFonts w:ascii="Arial" w:hAnsi="Arial" w:cs="Arial"/>
              </w:rPr>
              <w:tab/>
              <w:t>Program activities are delivered in a way that facilitates participation by and results for women, men and youth</w:t>
            </w:r>
          </w:p>
          <w:p w14:paraId="701985B3" w14:textId="77777777" w:rsidR="002F4F42" w:rsidRPr="00A96337" w:rsidRDefault="002F4F42" w:rsidP="00613B55">
            <w:pPr>
              <w:ind w:left="332" w:hanging="39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C6.</w:t>
            </w:r>
            <w:r w:rsidRPr="00A96337">
              <w:rPr>
                <w:rFonts w:ascii="Arial" w:hAnsi="Arial" w:cs="Arial"/>
              </w:rPr>
              <w:tab/>
              <w:t>Women perceive the program activities to be of high value, and report (at least) equivalent results</w:t>
            </w:r>
          </w:p>
        </w:tc>
        <w:tc>
          <w:tcPr>
            <w:tcW w:w="842" w:type="pct"/>
            <w:tcBorders>
              <w:top w:val="single" w:sz="4" w:space="0" w:color="5482AB"/>
              <w:left w:val="nil"/>
              <w:bottom w:val="single" w:sz="4" w:space="0" w:color="5482AB"/>
              <w:right w:val="nil"/>
            </w:tcBorders>
            <w:shd w:val="clear" w:color="auto" w:fill="auto"/>
            <w:vAlign w:val="center"/>
          </w:tcPr>
          <w:p w14:paraId="1E2B21AF" w14:textId="7F8A547A" w:rsidR="002F4F42" w:rsidRPr="00A96337" w:rsidRDefault="002F4F42" w:rsidP="00613B55">
            <w:pPr>
              <w:ind w:left="280" w:hanging="30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C4.</w:t>
            </w:r>
            <w:r w:rsidRPr="00A96337">
              <w:rPr>
                <w:rFonts w:ascii="Arial" w:hAnsi="Arial" w:cs="Arial"/>
              </w:rPr>
              <w:tab/>
              <w:t xml:space="preserve">Use a review of targeted literature to map barriers and establish, if possible, a counterfactual argument to women’s, men’s and youth’s participation in economic and livelihood activities in the Palestinian Territories and effective strategies to address these and compare this against </w:t>
            </w:r>
            <w:r w:rsidR="009B58A0" w:rsidRPr="00A96337">
              <w:rPr>
                <w:rFonts w:ascii="Arial" w:hAnsi="Arial" w:cs="Arial"/>
              </w:rPr>
              <w:t>AMENCA 3</w:t>
            </w:r>
            <w:r w:rsidRPr="00A96337">
              <w:rPr>
                <w:rFonts w:ascii="Arial" w:hAnsi="Arial" w:cs="Arial"/>
              </w:rPr>
              <w:t xml:space="preserve"> activities and achievements.</w:t>
            </w:r>
            <w:r w:rsidR="00E42BC8" w:rsidRPr="00A96337">
              <w:rPr>
                <w:rFonts w:ascii="Arial" w:hAnsi="Arial" w:cs="Arial"/>
              </w:rPr>
              <w:t xml:space="preserve"> </w:t>
            </w:r>
            <w:r w:rsidRPr="00A96337">
              <w:rPr>
                <w:rFonts w:ascii="Arial" w:hAnsi="Arial" w:cs="Arial"/>
              </w:rPr>
              <w:t xml:space="preserve">Consider lessons from other DFAT and donor global program engagement with women, men and youth. Triangulate findings from the desktop research with key informant interviews and information collected on who are the key beneficiaries of </w:t>
            </w:r>
            <w:r w:rsidR="009B58A0" w:rsidRPr="00A96337">
              <w:rPr>
                <w:rFonts w:ascii="Arial" w:hAnsi="Arial" w:cs="Arial"/>
              </w:rPr>
              <w:t>AMENCA 3</w:t>
            </w:r>
          </w:p>
          <w:p w14:paraId="77B80193" w14:textId="1996DEE6" w:rsidR="002F4F42" w:rsidRPr="00A96337" w:rsidRDefault="002F4F42" w:rsidP="00613B55">
            <w:pPr>
              <w:ind w:left="280" w:hanging="30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C5.</w:t>
            </w:r>
            <w:r w:rsidRPr="00A96337">
              <w:rPr>
                <w:rFonts w:ascii="Arial" w:hAnsi="Arial" w:cs="Arial"/>
              </w:rPr>
              <w:tab/>
              <w:t xml:space="preserve">Review participation rates, participants’ exit / satisfaction reporting, and interview notes for evidence of gender sensitive practice and results for women, men and youth </w:t>
            </w:r>
            <w:r w:rsidR="001F3B11" w:rsidRPr="00A96337">
              <w:rPr>
                <w:rFonts w:ascii="Arial" w:hAnsi="Arial" w:cs="Arial"/>
              </w:rPr>
              <w:t>i.e.</w:t>
            </w:r>
            <w:r w:rsidRPr="00A96337">
              <w:rPr>
                <w:rFonts w:ascii="Arial" w:hAnsi="Arial" w:cs="Arial"/>
              </w:rPr>
              <w:t xml:space="preserve"> how women, men and youth have benefited from the Program</w:t>
            </w:r>
          </w:p>
          <w:p w14:paraId="69215DC9" w14:textId="77777777" w:rsidR="002F4F42" w:rsidRPr="00A96337" w:rsidRDefault="002F4F42" w:rsidP="00613B55">
            <w:pPr>
              <w:ind w:left="280" w:hanging="309"/>
              <w:cnfStyle w:val="000000000000" w:firstRow="0" w:lastRow="0" w:firstColumn="0" w:lastColumn="0" w:oddVBand="0" w:evenVBand="0" w:oddHBand="0" w:evenHBand="0" w:firstRowFirstColumn="0" w:firstRowLastColumn="0" w:lastRowFirstColumn="0" w:lastRowLastColumn="0"/>
              <w:rPr>
                <w:rFonts w:ascii="Arial" w:hAnsi="Arial" w:cs="Arial"/>
              </w:rPr>
            </w:pPr>
            <w:r w:rsidRPr="00A96337">
              <w:rPr>
                <w:rFonts w:ascii="Arial" w:hAnsi="Arial" w:cs="Arial"/>
              </w:rPr>
              <w:t>C6.</w:t>
            </w:r>
            <w:r w:rsidRPr="00A96337">
              <w:rPr>
                <w:rFonts w:ascii="Arial" w:hAnsi="Arial" w:cs="Arial"/>
              </w:rPr>
              <w:tab/>
              <w:t>Review interview notes and responses from women, and compare these to responses from men</w:t>
            </w:r>
          </w:p>
        </w:tc>
        <w:tc>
          <w:tcPr>
            <w:tcW w:w="769" w:type="pct"/>
            <w:tcBorders>
              <w:top w:val="single" w:sz="4" w:space="0" w:color="5482AB"/>
              <w:left w:val="nil"/>
              <w:bottom w:val="single" w:sz="4" w:space="0" w:color="5482AB"/>
              <w:right w:val="nil"/>
            </w:tcBorders>
            <w:shd w:val="clear" w:color="auto" w:fill="auto"/>
            <w:vAlign w:val="center"/>
          </w:tcPr>
          <w:p w14:paraId="4017CBC0" w14:textId="77777777" w:rsidR="002F4F42" w:rsidRPr="00A96337" w:rsidRDefault="002F4F42" w:rsidP="00F8335C">
            <w:pPr>
              <w:pStyle w:val="ListParagraph"/>
              <w:numPr>
                <w:ilvl w:val="0"/>
                <w:numId w:val="29"/>
              </w:numPr>
              <w:spacing w:before="0" w:after="0" w:line="240" w:lineRule="auto"/>
              <w:ind w:left="193"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Literature scan needs to map barriers to women’s leadership in the Pacific, and the most promising strategies to address these barriers</w:t>
            </w:r>
          </w:p>
          <w:p w14:paraId="6BF05585" w14:textId="77777777" w:rsidR="002F4F42" w:rsidRPr="00A96337" w:rsidRDefault="002F4F42" w:rsidP="00F8335C">
            <w:pPr>
              <w:pStyle w:val="ListParagraph"/>
              <w:numPr>
                <w:ilvl w:val="0"/>
                <w:numId w:val="29"/>
              </w:numPr>
              <w:spacing w:before="0" w:after="0" w:line="240" w:lineRule="auto"/>
              <w:ind w:left="193"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Interviews with Program Staff and DFAT stakeholders need to seek additional information about gender sensitive design &amp; implementation of program activities</w:t>
            </w:r>
          </w:p>
          <w:p w14:paraId="7E0DC82C" w14:textId="77777777" w:rsidR="002F4F42" w:rsidRPr="00A96337" w:rsidRDefault="002F4F42" w:rsidP="00F8335C">
            <w:pPr>
              <w:pStyle w:val="ListParagraph"/>
              <w:numPr>
                <w:ilvl w:val="0"/>
                <w:numId w:val="29"/>
              </w:numPr>
              <w:spacing w:before="0" w:after="0" w:line="240" w:lineRule="auto"/>
              <w:ind w:left="193"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Interviews with program participants need to include enough women, and to prompts about gender sensitive approaches</w:t>
            </w:r>
          </w:p>
          <w:p w14:paraId="71C53FBC" w14:textId="77777777" w:rsidR="002F4F42" w:rsidRPr="00A96337" w:rsidRDefault="002F4F42" w:rsidP="00613B55">
            <w:pPr>
              <w:ind w:left="193" w:hanging="247"/>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32" w:type="pct"/>
            <w:tcBorders>
              <w:top w:val="single" w:sz="4" w:space="0" w:color="5482AB"/>
              <w:left w:val="nil"/>
              <w:bottom w:val="single" w:sz="4" w:space="0" w:color="5482AB"/>
              <w:right w:val="nil"/>
            </w:tcBorders>
            <w:shd w:val="clear" w:color="auto" w:fill="auto"/>
            <w:vAlign w:val="center"/>
            <w:hideMark/>
          </w:tcPr>
          <w:p w14:paraId="372B03F6" w14:textId="77777777" w:rsidR="002F4F42" w:rsidRPr="00A96337" w:rsidRDefault="002F4F42" w:rsidP="00F8335C">
            <w:pPr>
              <w:pStyle w:val="ListParagraph"/>
              <w:numPr>
                <w:ilvl w:val="0"/>
                <w:numId w:val="29"/>
              </w:numPr>
              <w:spacing w:before="0" w:after="0" w:line="240" w:lineRule="auto"/>
              <w:ind w:left="204"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Desk Review</w:t>
            </w:r>
          </w:p>
          <w:p w14:paraId="0843C72B" w14:textId="77777777" w:rsidR="002F4F42" w:rsidRPr="00A96337" w:rsidRDefault="002F4F42" w:rsidP="00F8335C">
            <w:pPr>
              <w:pStyle w:val="ListParagraph"/>
              <w:numPr>
                <w:ilvl w:val="0"/>
                <w:numId w:val="29"/>
              </w:numPr>
              <w:spacing w:before="0" w:after="0" w:line="240" w:lineRule="auto"/>
              <w:ind w:left="204"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Interviews with Program Staff and DFAT stakeholders</w:t>
            </w:r>
          </w:p>
          <w:p w14:paraId="2B3C6515" w14:textId="77777777" w:rsidR="002F4F42" w:rsidRPr="00A96337" w:rsidRDefault="002F4F42" w:rsidP="00F8335C">
            <w:pPr>
              <w:pStyle w:val="ListParagraph"/>
              <w:numPr>
                <w:ilvl w:val="0"/>
                <w:numId w:val="29"/>
              </w:numPr>
              <w:spacing w:before="0" w:after="0" w:line="240" w:lineRule="auto"/>
              <w:ind w:left="204"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Interviews with Participants</w:t>
            </w:r>
          </w:p>
          <w:p w14:paraId="46FEB3C4" w14:textId="77777777" w:rsidR="002F4F42" w:rsidRPr="00A96337" w:rsidRDefault="002F4F42" w:rsidP="00F8335C">
            <w:pPr>
              <w:pStyle w:val="ListParagraph"/>
              <w:numPr>
                <w:ilvl w:val="0"/>
                <w:numId w:val="29"/>
              </w:numPr>
              <w:spacing w:before="0" w:after="0" w:line="240" w:lineRule="auto"/>
              <w:ind w:left="204" w:hanging="247"/>
              <w:cnfStyle w:val="000000000000" w:firstRow="0" w:lastRow="0" w:firstColumn="0" w:lastColumn="0" w:oddVBand="0" w:evenVBand="0" w:oddHBand="0" w:evenHBand="0" w:firstRowFirstColumn="0" w:firstRowLastColumn="0" w:lastRowFirstColumn="0" w:lastRowLastColumn="0"/>
              <w:rPr>
                <w:szCs w:val="20"/>
              </w:rPr>
            </w:pPr>
            <w:r w:rsidRPr="00A96337">
              <w:rPr>
                <w:szCs w:val="20"/>
              </w:rPr>
              <w:t>Literature scan</w:t>
            </w:r>
          </w:p>
        </w:tc>
      </w:tr>
      <w:tr w:rsidR="002F4F42" w:rsidRPr="00A96337" w14:paraId="2C134C93" w14:textId="77777777" w:rsidTr="000E1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single" w:sz="4" w:space="0" w:color="5482AB"/>
              <w:left w:val="nil"/>
              <w:bottom w:val="single" w:sz="4" w:space="0" w:color="5482AB"/>
              <w:right w:val="nil"/>
            </w:tcBorders>
            <w:shd w:val="clear" w:color="auto" w:fill="F2F2F2" w:themeFill="background1" w:themeFillShade="F2"/>
            <w:vAlign w:val="center"/>
          </w:tcPr>
          <w:p w14:paraId="11B7E649" w14:textId="3412F964" w:rsidR="002F4F42" w:rsidRPr="00A96337" w:rsidRDefault="002F4F42" w:rsidP="00F8335C">
            <w:pPr>
              <w:pStyle w:val="ListParagraph"/>
              <w:numPr>
                <w:ilvl w:val="0"/>
                <w:numId w:val="34"/>
              </w:numPr>
              <w:spacing w:before="0" w:after="0" w:line="240" w:lineRule="auto"/>
              <w:ind w:left="306"/>
              <w:rPr>
                <w:szCs w:val="20"/>
              </w:rPr>
            </w:pPr>
            <w:r w:rsidRPr="00A96337">
              <w:rPr>
                <w:szCs w:val="20"/>
              </w:rPr>
              <w:t>FUTURE OPPORTUNITIES:</w:t>
            </w:r>
            <w:r w:rsidR="00E42BC8" w:rsidRPr="00A96337">
              <w:rPr>
                <w:szCs w:val="20"/>
              </w:rPr>
              <w:t xml:space="preserve"> </w:t>
            </w:r>
            <w:r w:rsidRPr="00A96337">
              <w:rPr>
                <w:szCs w:val="20"/>
              </w:rPr>
              <w:t xml:space="preserve">Based on the assessments made above, are there any improvements to </w:t>
            </w:r>
            <w:r w:rsidR="009B58A0" w:rsidRPr="00A96337">
              <w:rPr>
                <w:szCs w:val="20"/>
              </w:rPr>
              <w:t>AMENCA 3</w:t>
            </w:r>
            <w:r w:rsidRPr="00A96337">
              <w:rPr>
                <w:szCs w:val="20"/>
              </w:rPr>
              <w:t xml:space="preserve"> that could be identified if DFAT determines to extend </w:t>
            </w:r>
            <w:r w:rsidR="009B58A0" w:rsidRPr="00A96337">
              <w:rPr>
                <w:szCs w:val="20"/>
              </w:rPr>
              <w:t>AMENCA 3</w:t>
            </w:r>
            <w:r w:rsidRPr="00A96337">
              <w:rPr>
                <w:szCs w:val="20"/>
              </w:rPr>
              <w:t xml:space="preserve"> for a further two years?</w:t>
            </w:r>
          </w:p>
        </w:tc>
        <w:tc>
          <w:tcPr>
            <w:tcW w:w="826" w:type="pct"/>
            <w:tcBorders>
              <w:top w:val="single" w:sz="4" w:space="0" w:color="5482AB"/>
              <w:left w:val="nil"/>
              <w:bottom w:val="single" w:sz="4" w:space="0" w:color="5482AB"/>
              <w:right w:val="nil"/>
            </w:tcBorders>
            <w:shd w:val="clear" w:color="auto" w:fill="F2F2F2" w:themeFill="background1" w:themeFillShade="F2"/>
            <w:vAlign w:val="center"/>
          </w:tcPr>
          <w:p w14:paraId="570A36DD" w14:textId="77777777" w:rsidR="002F4F42" w:rsidRPr="00A96337" w:rsidRDefault="002F4F42" w:rsidP="00F8335C">
            <w:pPr>
              <w:pStyle w:val="ListParagraph"/>
              <w:numPr>
                <w:ilvl w:val="0"/>
                <w:numId w:val="41"/>
              </w:numPr>
              <w:spacing w:before="0" w:after="0" w:line="240" w:lineRule="auto"/>
              <w:ind w:left="232" w:hanging="284"/>
              <w:cnfStyle w:val="000000100000" w:firstRow="0" w:lastRow="0" w:firstColumn="0" w:lastColumn="0" w:oddVBand="0" w:evenVBand="0" w:oddHBand="1" w:evenHBand="0" w:firstRowFirstColumn="0" w:firstRowLastColumn="0" w:lastRowFirstColumn="0" w:lastRowLastColumn="0"/>
              <w:rPr>
                <w:szCs w:val="20"/>
              </w:rPr>
            </w:pPr>
            <w:r w:rsidRPr="00A96337">
              <w:rPr>
                <w:szCs w:val="20"/>
              </w:rPr>
              <w:t>Are the assumptions and risk assessments in the original program logic still valid in the current environment?</w:t>
            </w:r>
          </w:p>
          <w:p w14:paraId="3DE7ACE7" w14:textId="77777777" w:rsidR="002F4F42" w:rsidRPr="00A96337" w:rsidRDefault="002F4F42" w:rsidP="00F8335C">
            <w:pPr>
              <w:pStyle w:val="ListParagraph"/>
              <w:numPr>
                <w:ilvl w:val="0"/>
                <w:numId w:val="41"/>
              </w:numPr>
              <w:spacing w:before="0" w:after="0" w:line="240" w:lineRule="auto"/>
              <w:ind w:left="232" w:hanging="284"/>
              <w:cnfStyle w:val="000000100000" w:firstRow="0" w:lastRow="0" w:firstColumn="0" w:lastColumn="0" w:oddVBand="0" w:evenVBand="0" w:oddHBand="1" w:evenHBand="0" w:firstRowFirstColumn="0" w:firstRowLastColumn="0" w:lastRowFirstColumn="0" w:lastRowLastColumn="0"/>
              <w:rPr>
                <w:szCs w:val="20"/>
              </w:rPr>
            </w:pPr>
            <w:r w:rsidRPr="00A96337">
              <w:rPr>
                <w:szCs w:val="20"/>
              </w:rPr>
              <w:t>How could the program structure be amended to enhance the effectiveness of individual projects?</w:t>
            </w:r>
          </w:p>
          <w:p w14:paraId="7BE0F3FA" w14:textId="40A04E73" w:rsidR="002F4F42" w:rsidRPr="00A96337" w:rsidRDefault="002F4F42" w:rsidP="00F8335C">
            <w:pPr>
              <w:pStyle w:val="ListParagraph"/>
              <w:numPr>
                <w:ilvl w:val="0"/>
                <w:numId w:val="41"/>
              </w:numPr>
              <w:spacing w:before="0" w:after="0" w:line="240" w:lineRule="auto"/>
              <w:ind w:left="232" w:hanging="284"/>
              <w:cnfStyle w:val="000000100000" w:firstRow="0" w:lastRow="0" w:firstColumn="0" w:lastColumn="0" w:oddVBand="0" w:evenVBand="0" w:oddHBand="1" w:evenHBand="0" w:firstRowFirstColumn="0" w:firstRowLastColumn="0" w:lastRowFirstColumn="0" w:lastRowLastColumn="0"/>
              <w:rPr>
                <w:szCs w:val="20"/>
              </w:rPr>
            </w:pPr>
            <w:r w:rsidRPr="00A96337">
              <w:rPr>
                <w:szCs w:val="20"/>
              </w:rPr>
              <w:t xml:space="preserve">How best could this level of funding (approx. AUD40m over 4 years) in this sector achieve the desired outcomes in the existing </w:t>
            </w:r>
            <w:r w:rsidR="009B58A0" w:rsidRPr="00A96337">
              <w:rPr>
                <w:szCs w:val="20"/>
              </w:rPr>
              <w:t>AMENCA 3</w:t>
            </w:r>
            <w:r w:rsidRPr="00A96337">
              <w:rPr>
                <w:szCs w:val="20"/>
              </w:rPr>
              <w:t xml:space="preserve"> design?</w:t>
            </w:r>
          </w:p>
        </w:tc>
        <w:tc>
          <w:tcPr>
            <w:tcW w:w="985" w:type="pct"/>
            <w:tcBorders>
              <w:top w:val="single" w:sz="4" w:space="0" w:color="5482AB"/>
              <w:left w:val="nil"/>
              <w:bottom w:val="single" w:sz="4" w:space="0" w:color="5482AB"/>
              <w:right w:val="nil"/>
            </w:tcBorders>
            <w:shd w:val="clear" w:color="auto" w:fill="F2F2F2" w:themeFill="background1" w:themeFillShade="F2"/>
            <w:vAlign w:val="center"/>
          </w:tcPr>
          <w:p w14:paraId="7FFCCAC2" w14:textId="2B408E9C" w:rsidR="002F4F42" w:rsidRPr="00A96337" w:rsidRDefault="002F4F42" w:rsidP="00613B55">
            <w:pPr>
              <w:ind w:left="332" w:hanging="39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C3.</w:t>
            </w:r>
            <w:r w:rsidRPr="00A96337">
              <w:rPr>
                <w:rFonts w:ascii="Arial" w:hAnsi="Arial" w:cs="Arial"/>
              </w:rPr>
              <w:tab/>
              <w:t xml:space="preserve">The intervention model (i.e. hybrid MSD model) used by </w:t>
            </w:r>
            <w:r w:rsidR="009B58A0" w:rsidRPr="00A96337">
              <w:rPr>
                <w:rFonts w:ascii="Arial" w:hAnsi="Arial" w:cs="Arial"/>
              </w:rPr>
              <w:t>AMENCA 3</w:t>
            </w:r>
            <w:r w:rsidRPr="00A96337">
              <w:rPr>
                <w:rFonts w:ascii="Arial" w:hAnsi="Arial" w:cs="Arial"/>
              </w:rPr>
              <w:t xml:space="preserve"> is credibly able to achieve the objectives (for example, has the selection of value chains been appropriate and does it remain appropriate moving forward) and have partners implemented the hybrid model as intended and/or made any adaptations or innovations that have impacted </w:t>
            </w:r>
            <w:r w:rsidR="009B58A0" w:rsidRPr="00A96337">
              <w:rPr>
                <w:rFonts w:ascii="Arial" w:hAnsi="Arial" w:cs="Arial"/>
              </w:rPr>
              <w:t>AMENCA 3</w:t>
            </w:r>
            <w:r w:rsidRPr="00A96337">
              <w:rPr>
                <w:rFonts w:ascii="Arial" w:hAnsi="Arial" w:cs="Arial"/>
              </w:rPr>
              <w:t>.</w:t>
            </w:r>
          </w:p>
          <w:p w14:paraId="1FFB67F1" w14:textId="77777777" w:rsidR="002F4F42" w:rsidRPr="00A96337" w:rsidRDefault="002F4F42" w:rsidP="00613B55">
            <w:pPr>
              <w:ind w:left="332" w:hanging="39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C10.</w:t>
            </w:r>
            <w:r w:rsidRPr="00A96337">
              <w:rPr>
                <w:rFonts w:ascii="Arial" w:hAnsi="Arial" w:cs="Arial"/>
              </w:rPr>
              <w:tab/>
              <w:t>Program staff are performing their roles effectively, and no significant gaps or governance concerns are identified.</w:t>
            </w:r>
          </w:p>
          <w:p w14:paraId="0ACF5EF2" w14:textId="77777777" w:rsidR="002F4F42" w:rsidRPr="00A96337" w:rsidRDefault="002F4F42" w:rsidP="00613B55">
            <w:pPr>
              <w:ind w:left="332" w:hanging="39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C11.</w:t>
            </w:r>
            <w:r w:rsidRPr="00A96337">
              <w:rPr>
                <w:rFonts w:ascii="Arial" w:hAnsi="Arial" w:cs="Arial"/>
              </w:rPr>
              <w:tab/>
              <w:t>The Program architecture and governance structures (i.e. the AHLD and TPAG) are efficiently fulfilling DFAT’s standards for program management and is engaging effectively to oversee the Program.</w:t>
            </w:r>
          </w:p>
        </w:tc>
        <w:tc>
          <w:tcPr>
            <w:tcW w:w="842" w:type="pct"/>
            <w:tcBorders>
              <w:top w:val="single" w:sz="4" w:space="0" w:color="5482AB"/>
              <w:left w:val="nil"/>
              <w:bottom w:val="single" w:sz="4" w:space="0" w:color="5482AB"/>
              <w:right w:val="nil"/>
            </w:tcBorders>
            <w:shd w:val="clear" w:color="auto" w:fill="F2F2F2" w:themeFill="background1" w:themeFillShade="F2"/>
            <w:vAlign w:val="center"/>
          </w:tcPr>
          <w:p w14:paraId="507A2DF3" w14:textId="66151E29" w:rsidR="002F4F42" w:rsidRPr="00A96337" w:rsidRDefault="002F4F42" w:rsidP="00613B55">
            <w:pPr>
              <w:ind w:left="280" w:hanging="30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C3.</w:t>
            </w:r>
            <w:r w:rsidRPr="00A96337">
              <w:rPr>
                <w:rFonts w:ascii="Arial" w:hAnsi="Arial" w:cs="Arial"/>
              </w:rPr>
              <w:tab/>
              <w:t xml:space="preserve">Assess the feasibility of the intervention model achieving </w:t>
            </w:r>
            <w:r w:rsidR="009B58A0" w:rsidRPr="00A96337">
              <w:rPr>
                <w:rFonts w:ascii="Arial" w:hAnsi="Arial" w:cs="Arial"/>
              </w:rPr>
              <w:t>AMENCA 3</w:t>
            </w:r>
            <w:r w:rsidRPr="00A96337">
              <w:rPr>
                <w:rFonts w:ascii="Arial" w:hAnsi="Arial" w:cs="Arial"/>
              </w:rPr>
              <w:t>’s objectives based on evidence to date, a literature review of the model, and feedback from program staff and participants.</w:t>
            </w:r>
          </w:p>
          <w:p w14:paraId="7A419A6A" w14:textId="77777777" w:rsidR="002F4F42" w:rsidRPr="00A96337" w:rsidRDefault="002F4F42" w:rsidP="00613B55">
            <w:pPr>
              <w:ind w:left="280" w:hanging="30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C10.</w:t>
            </w:r>
            <w:r w:rsidRPr="00A96337">
              <w:rPr>
                <w:rFonts w:ascii="Arial" w:hAnsi="Arial" w:cs="Arial"/>
              </w:rPr>
              <w:tab/>
              <w:t>Compare staffing profile against the intent set out at design. Review performance reporting and interviews with program staff and stakeholders to identify any budget, governance or staffing issues.</w:t>
            </w:r>
          </w:p>
          <w:p w14:paraId="41CDDE3A" w14:textId="77777777" w:rsidR="002F4F42" w:rsidRPr="00A96337" w:rsidRDefault="002F4F42" w:rsidP="00613B55">
            <w:pPr>
              <w:ind w:left="280" w:hanging="309"/>
              <w:cnfStyle w:val="000000100000" w:firstRow="0" w:lastRow="0" w:firstColumn="0" w:lastColumn="0" w:oddVBand="0" w:evenVBand="0" w:oddHBand="1" w:evenHBand="0" w:firstRowFirstColumn="0" w:firstRowLastColumn="0" w:lastRowFirstColumn="0" w:lastRowLastColumn="0"/>
              <w:rPr>
                <w:rFonts w:ascii="Arial" w:hAnsi="Arial" w:cs="Arial"/>
              </w:rPr>
            </w:pPr>
            <w:r w:rsidRPr="00A96337">
              <w:rPr>
                <w:rFonts w:ascii="Arial" w:hAnsi="Arial" w:cs="Arial"/>
              </w:rPr>
              <w:t>C11.</w:t>
            </w:r>
            <w:r w:rsidRPr="00A96337">
              <w:rPr>
                <w:rFonts w:ascii="Arial" w:hAnsi="Arial" w:cs="Arial"/>
              </w:rPr>
              <w:tab/>
              <w:t>Compare investment management records and feedback from DFAT and program staff with the standards described in the Aid Management Guide. Identify any specific concerns of the AHLD and TGAP team.</w:t>
            </w:r>
          </w:p>
        </w:tc>
        <w:tc>
          <w:tcPr>
            <w:tcW w:w="769" w:type="pct"/>
            <w:tcBorders>
              <w:top w:val="single" w:sz="4" w:space="0" w:color="5482AB"/>
              <w:left w:val="nil"/>
              <w:bottom w:val="single" w:sz="4" w:space="0" w:color="5482AB"/>
              <w:right w:val="nil"/>
            </w:tcBorders>
            <w:shd w:val="clear" w:color="auto" w:fill="F2F2F2" w:themeFill="background1" w:themeFillShade="F2"/>
            <w:vAlign w:val="center"/>
          </w:tcPr>
          <w:p w14:paraId="11D32B85" w14:textId="77777777" w:rsidR="002F4F42" w:rsidRPr="00A96337" w:rsidRDefault="002F4F42" w:rsidP="00F8335C">
            <w:pPr>
              <w:pStyle w:val="ListParagraph"/>
              <w:numPr>
                <w:ilvl w:val="0"/>
                <w:numId w:val="29"/>
              </w:numPr>
              <w:spacing w:before="0" w:after="0" w:line="240" w:lineRule="auto"/>
              <w:ind w:left="193"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Literature scan needs to review the evidence underpinning the intervention model, and its success in achieving intended outcomes.</w:t>
            </w:r>
          </w:p>
          <w:p w14:paraId="6D3935A0" w14:textId="77777777" w:rsidR="002F4F42" w:rsidRPr="00A96337" w:rsidRDefault="002F4F42" w:rsidP="00F8335C">
            <w:pPr>
              <w:pStyle w:val="ListParagraph"/>
              <w:numPr>
                <w:ilvl w:val="0"/>
                <w:numId w:val="29"/>
              </w:numPr>
              <w:spacing w:before="0" w:after="0" w:line="240" w:lineRule="auto"/>
              <w:ind w:left="193"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Program Staff and DFAT stakeholders need to seek information about improvements or adaptations to the program that could be made to enhance progress towards objectives.</w:t>
            </w:r>
          </w:p>
          <w:p w14:paraId="46CB30B0" w14:textId="77777777" w:rsidR="002F4F42" w:rsidRPr="00A96337" w:rsidRDefault="002F4F42" w:rsidP="00F8335C">
            <w:pPr>
              <w:pStyle w:val="ListParagraph"/>
              <w:numPr>
                <w:ilvl w:val="0"/>
                <w:numId w:val="29"/>
              </w:numPr>
              <w:spacing w:before="0" w:after="0" w:line="240" w:lineRule="auto"/>
              <w:ind w:left="193"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program participants need to seek their views on the value of the program / intervention model and opportunities for improvements.</w:t>
            </w:r>
          </w:p>
        </w:tc>
        <w:tc>
          <w:tcPr>
            <w:tcW w:w="632" w:type="pct"/>
            <w:tcBorders>
              <w:top w:val="single" w:sz="4" w:space="0" w:color="5482AB"/>
              <w:left w:val="nil"/>
              <w:bottom w:val="single" w:sz="4" w:space="0" w:color="5482AB"/>
              <w:right w:val="nil"/>
            </w:tcBorders>
            <w:shd w:val="clear" w:color="auto" w:fill="F2F2F2" w:themeFill="background1" w:themeFillShade="F2"/>
            <w:vAlign w:val="center"/>
          </w:tcPr>
          <w:p w14:paraId="7C17A9A0" w14:textId="77777777" w:rsidR="002F4F42" w:rsidRPr="00A96337" w:rsidRDefault="002F4F42" w:rsidP="00F8335C">
            <w:pPr>
              <w:pStyle w:val="ListParagraph"/>
              <w:numPr>
                <w:ilvl w:val="0"/>
                <w:numId w:val="29"/>
              </w:numPr>
              <w:spacing w:before="0" w:after="0" w:line="240" w:lineRule="auto"/>
              <w:ind w:left="204"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Desk Review</w:t>
            </w:r>
          </w:p>
          <w:p w14:paraId="32D34939" w14:textId="77777777" w:rsidR="002F4F42" w:rsidRPr="00A96337" w:rsidRDefault="002F4F42" w:rsidP="00F8335C">
            <w:pPr>
              <w:pStyle w:val="ListParagraph"/>
              <w:numPr>
                <w:ilvl w:val="0"/>
                <w:numId w:val="29"/>
              </w:numPr>
              <w:spacing w:before="0" w:after="0" w:line="240" w:lineRule="auto"/>
              <w:ind w:left="204"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Program Staff and DFAT stakeholders</w:t>
            </w:r>
          </w:p>
          <w:p w14:paraId="6EACF156" w14:textId="77777777" w:rsidR="002F4F42" w:rsidRPr="00A96337" w:rsidRDefault="002F4F42" w:rsidP="00F8335C">
            <w:pPr>
              <w:pStyle w:val="ListParagraph"/>
              <w:numPr>
                <w:ilvl w:val="0"/>
                <w:numId w:val="29"/>
              </w:numPr>
              <w:spacing w:before="0" w:after="0" w:line="240" w:lineRule="auto"/>
              <w:ind w:left="204"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Interviews with Participants</w:t>
            </w:r>
          </w:p>
          <w:p w14:paraId="7BB36414" w14:textId="77777777" w:rsidR="002F4F42" w:rsidRPr="00A96337" w:rsidRDefault="002F4F42" w:rsidP="00F8335C">
            <w:pPr>
              <w:pStyle w:val="ListParagraph"/>
              <w:numPr>
                <w:ilvl w:val="0"/>
                <w:numId w:val="29"/>
              </w:numPr>
              <w:spacing w:before="0" w:after="0" w:line="240" w:lineRule="auto"/>
              <w:ind w:left="204" w:hanging="247"/>
              <w:cnfStyle w:val="000000100000" w:firstRow="0" w:lastRow="0" w:firstColumn="0" w:lastColumn="0" w:oddVBand="0" w:evenVBand="0" w:oddHBand="1" w:evenHBand="0" w:firstRowFirstColumn="0" w:firstRowLastColumn="0" w:lastRowFirstColumn="0" w:lastRowLastColumn="0"/>
              <w:rPr>
                <w:szCs w:val="20"/>
              </w:rPr>
            </w:pPr>
            <w:r w:rsidRPr="00A96337">
              <w:rPr>
                <w:szCs w:val="20"/>
              </w:rPr>
              <w:t>Literature scan</w:t>
            </w:r>
          </w:p>
        </w:tc>
      </w:tr>
    </w:tbl>
    <w:p w14:paraId="7B6D803C" w14:textId="77777777" w:rsidR="002F4F42" w:rsidRPr="00A96337" w:rsidRDefault="002F4F42" w:rsidP="002F4F42">
      <w:pPr>
        <w:sectPr w:rsidR="002F4F42" w:rsidRPr="00A96337" w:rsidSect="001A4889">
          <w:footerReference w:type="default" r:id="rId62"/>
          <w:footerReference w:type="first" r:id="rId63"/>
          <w:pgSz w:w="16838" w:h="11906" w:orient="landscape"/>
          <w:pgMar w:top="1440" w:right="1440" w:bottom="1440" w:left="1440" w:header="708" w:footer="708" w:gutter="0"/>
          <w:cols w:space="708"/>
          <w:docGrid w:linePitch="360"/>
        </w:sectPr>
      </w:pPr>
    </w:p>
    <w:p w14:paraId="32DD8006" w14:textId="00CF3295" w:rsidR="002F4F42" w:rsidRPr="00A96337" w:rsidRDefault="002F4F42" w:rsidP="007F6FE5">
      <w:pPr>
        <w:pStyle w:val="Heading1"/>
        <w:numPr>
          <w:ilvl w:val="0"/>
          <w:numId w:val="0"/>
        </w:numPr>
      </w:pPr>
      <w:bookmarkStart w:id="470" w:name="_Toc8978071"/>
      <w:bookmarkStart w:id="471" w:name="_Toc12364852"/>
      <w:r w:rsidRPr="00A96337">
        <w:t>Annex 5:</w:t>
      </w:r>
      <w:r w:rsidR="00E42BC8" w:rsidRPr="00A96337">
        <w:t xml:space="preserve"> </w:t>
      </w:r>
      <w:r w:rsidRPr="00A96337">
        <w:t xml:space="preserve">Stakeholders </w:t>
      </w:r>
      <w:r w:rsidR="00C54621" w:rsidRPr="00A96337">
        <w:t>c</w:t>
      </w:r>
      <w:r w:rsidRPr="00A96337">
        <w:t>onsulted</w:t>
      </w:r>
      <w:bookmarkEnd w:id="470"/>
      <w:bookmarkEnd w:id="471"/>
    </w:p>
    <w:tbl>
      <w:tblPr>
        <w:tblStyle w:val="GridTable4-Accent5"/>
        <w:tblW w:w="0" w:type="auto"/>
        <w:tblBorders>
          <w:top w:val="single" w:sz="4" w:space="0" w:color="5482AB"/>
          <w:left w:val="none" w:sz="0" w:space="0" w:color="auto"/>
          <w:bottom w:val="single" w:sz="4" w:space="0" w:color="5482AB"/>
          <w:right w:val="none" w:sz="0" w:space="0" w:color="auto"/>
          <w:insideH w:val="single" w:sz="4" w:space="0" w:color="5482AB"/>
          <w:insideV w:val="none" w:sz="0" w:space="0" w:color="auto"/>
        </w:tblBorders>
        <w:tblLook w:val="04A0" w:firstRow="1" w:lastRow="0" w:firstColumn="1" w:lastColumn="0" w:noHBand="0" w:noVBand="1"/>
      </w:tblPr>
      <w:tblGrid>
        <w:gridCol w:w="2268"/>
        <w:gridCol w:w="2410"/>
        <w:gridCol w:w="2410"/>
        <w:gridCol w:w="1928"/>
      </w:tblGrid>
      <w:tr w:rsidR="002F4F42" w:rsidRPr="00A96337" w14:paraId="4D8C0BF1" w14:textId="77777777" w:rsidTr="00160A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5482AB"/>
            <w:hideMark/>
          </w:tcPr>
          <w:p w14:paraId="76853454" w14:textId="77777777" w:rsidR="002F4F42" w:rsidRPr="00A96337" w:rsidRDefault="002F4F42" w:rsidP="000E1846">
            <w:pPr>
              <w:spacing w:before="60" w:after="60"/>
              <w:ind w:left="170" w:right="170"/>
              <w:rPr>
                <w:rFonts w:ascii="Arial" w:hAnsi="Arial" w:cs="Arial"/>
                <w:sz w:val="18"/>
                <w:szCs w:val="18"/>
              </w:rPr>
            </w:pPr>
            <w:r w:rsidRPr="00A96337">
              <w:rPr>
                <w:rFonts w:ascii="Arial" w:hAnsi="Arial" w:cs="Arial"/>
                <w:sz w:val="18"/>
                <w:szCs w:val="18"/>
              </w:rPr>
              <w:t>Stakeholder(s)</w:t>
            </w:r>
          </w:p>
        </w:tc>
        <w:tc>
          <w:tcPr>
            <w:tcW w:w="2410" w:type="dxa"/>
            <w:tcBorders>
              <w:top w:val="none" w:sz="0" w:space="0" w:color="auto"/>
              <w:left w:val="none" w:sz="0" w:space="0" w:color="auto"/>
              <w:bottom w:val="none" w:sz="0" w:space="0" w:color="auto"/>
              <w:right w:val="none" w:sz="0" w:space="0" w:color="auto"/>
            </w:tcBorders>
            <w:shd w:val="clear" w:color="auto" w:fill="5482AB"/>
            <w:hideMark/>
          </w:tcPr>
          <w:p w14:paraId="6F3565A9" w14:textId="77777777" w:rsidR="002F4F42" w:rsidRPr="00A96337" w:rsidRDefault="002F4F42" w:rsidP="000E1846">
            <w:pPr>
              <w:spacing w:before="60" w:after="60"/>
              <w:ind w:left="170" w:right="17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Role</w:t>
            </w:r>
          </w:p>
        </w:tc>
        <w:tc>
          <w:tcPr>
            <w:tcW w:w="2410" w:type="dxa"/>
            <w:tcBorders>
              <w:top w:val="none" w:sz="0" w:space="0" w:color="auto"/>
              <w:left w:val="none" w:sz="0" w:space="0" w:color="auto"/>
              <w:bottom w:val="none" w:sz="0" w:space="0" w:color="auto"/>
              <w:right w:val="none" w:sz="0" w:space="0" w:color="auto"/>
            </w:tcBorders>
            <w:shd w:val="clear" w:color="auto" w:fill="5482AB"/>
          </w:tcPr>
          <w:p w14:paraId="6E89FB01" w14:textId="77777777" w:rsidR="002F4F42" w:rsidRPr="00A96337" w:rsidRDefault="002F4F42" w:rsidP="000E1846">
            <w:pPr>
              <w:spacing w:before="60" w:after="60"/>
              <w:ind w:left="170" w:right="17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Organisation</w:t>
            </w:r>
          </w:p>
        </w:tc>
        <w:tc>
          <w:tcPr>
            <w:tcW w:w="1928" w:type="dxa"/>
            <w:tcBorders>
              <w:top w:val="none" w:sz="0" w:space="0" w:color="auto"/>
              <w:left w:val="none" w:sz="0" w:space="0" w:color="auto"/>
              <w:bottom w:val="none" w:sz="0" w:space="0" w:color="auto"/>
              <w:right w:val="none" w:sz="0" w:space="0" w:color="auto"/>
            </w:tcBorders>
            <w:shd w:val="clear" w:color="auto" w:fill="5482AB"/>
          </w:tcPr>
          <w:p w14:paraId="3E6F43E2" w14:textId="77777777" w:rsidR="002F4F42" w:rsidRPr="00A96337" w:rsidRDefault="002F4F42" w:rsidP="000E1846">
            <w:pPr>
              <w:spacing w:before="60" w:after="60"/>
              <w:ind w:left="170" w:right="17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Date</w:t>
            </w:r>
          </w:p>
        </w:tc>
      </w:tr>
      <w:tr w:rsidR="002F4F42" w:rsidRPr="00A96337" w14:paraId="5E4C4632"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3"/>
            <w:shd w:val="clear" w:color="auto" w:fill="F2F2F2" w:themeFill="background1" w:themeFillShade="F2"/>
          </w:tcPr>
          <w:p w14:paraId="10B30A66" w14:textId="77777777" w:rsidR="002F4F42" w:rsidRPr="00A96337" w:rsidRDefault="002F4F42" w:rsidP="000E1846">
            <w:pPr>
              <w:spacing w:before="60" w:after="60"/>
              <w:ind w:left="170" w:right="170"/>
              <w:rPr>
                <w:rFonts w:ascii="Arial" w:hAnsi="Arial" w:cs="Arial"/>
                <w:sz w:val="18"/>
                <w:szCs w:val="18"/>
              </w:rPr>
            </w:pPr>
            <w:r w:rsidRPr="00A96337">
              <w:rPr>
                <w:rFonts w:ascii="Arial" w:hAnsi="Arial" w:cs="Arial"/>
                <w:sz w:val="18"/>
                <w:szCs w:val="18"/>
              </w:rPr>
              <w:t>DFAT Policy Leaders (Canberra/desk based)</w:t>
            </w:r>
          </w:p>
        </w:tc>
        <w:tc>
          <w:tcPr>
            <w:tcW w:w="1928" w:type="dxa"/>
            <w:shd w:val="clear" w:color="auto" w:fill="F2F2F2" w:themeFill="background1" w:themeFillShade="F2"/>
          </w:tcPr>
          <w:p w14:paraId="3FA2A978" w14:textId="77777777" w:rsidR="002F4F42" w:rsidRPr="00A96337" w:rsidRDefault="002F4F42" w:rsidP="000E1846">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60AB1" w:rsidRPr="00A96337" w14:paraId="72009A13"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F2DD1B1" w14:textId="524A8086"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Luke Wild</w:t>
            </w:r>
          </w:p>
        </w:tc>
        <w:tc>
          <w:tcPr>
            <w:tcW w:w="2410" w:type="dxa"/>
            <w:shd w:val="clear" w:color="auto" w:fill="auto"/>
          </w:tcPr>
          <w:p w14:paraId="0BD251DD"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Director Middle East Branch (MEB)</w:t>
            </w:r>
          </w:p>
        </w:tc>
        <w:tc>
          <w:tcPr>
            <w:tcW w:w="2410" w:type="dxa"/>
            <w:shd w:val="clear" w:color="auto" w:fill="auto"/>
          </w:tcPr>
          <w:p w14:paraId="1E9B479B"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Department of Foreign Affairs and Trade (DFAT)</w:t>
            </w:r>
          </w:p>
        </w:tc>
        <w:tc>
          <w:tcPr>
            <w:tcW w:w="1928" w:type="dxa"/>
            <w:shd w:val="clear" w:color="auto" w:fill="auto"/>
          </w:tcPr>
          <w:p w14:paraId="4616C140"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January 31, 2019</w:t>
            </w:r>
          </w:p>
        </w:tc>
      </w:tr>
      <w:tr w:rsidR="00160AB1" w:rsidRPr="00A96337" w14:paraId="015CD5BD"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C23C556" w14:textId="0F318680"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Courtenay Prettyman</w:t>
            </w:r>
          </w:p>
        </w:tc>
        <w:tc>
          <w:tcPr>
            <w:tcW w:w="2410" w:type="dxa"/>
            <w:shd w:val="clear" w:color="auto" w:fill="auto"/>
          </w:tcPr>
          <w:p w14:paraId="23564697"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DFAT MEB, Program Officer</w:t>
            </w:r>
            <w:r w:rsidRPr="00A96337">
              <w:rPr>
                <w:rFonts w:ascii="Arial" w:hAnsi="Arial" w:cs="Arial"/>
                <w:sz w:val="18"/>
                <w:szCs w:val="18"/>
                <w:highlight w:val="yellow"/>
              </w:rPr>
              <w:t xml:space="preserve"> </w:t>
            </w:r>
          </w:p>
        </w:tc>
        <w:tc>
          <w:tcPr>
            <w:tcW w:w="2410" w:type="dxa"/>
            <w:shd w:val="clear" w:color="auto" w:fill="auto"/>
          </w:tcPr>
          <w:p w14:paraId="3FDEDA3C"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DFAT</w:t>
            </w:r>
          </w:p>
        </w:tc>
        <w:tc>
          <w:tcPr>
            <w:tcW w:w="1928" w:type="dxa"/>
            <w:shd w:val="clear" w:color="auto" w:fill="auto"/>
          </w:tcPr>
          <w:p w14:paraId="6366FF4B"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January 31, 2019</w:t>
            </w:r>
          </w:p>
        </w:tc>
      </w:tr>
      <w:tr w:rsidR="00160AB1" w:rsidRPr="00A96337" w14:paraId="0D4C1D33"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1805FF1" w14:textId="7A018C9A"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Ishara Davey</w:t>
            </w:r>
          </w:p>
        </w:tc>
        <w:tc>
          <w:tcPr>
            <w:tcW w:w="2410" w:type="dxa"/>
            <w:shd w:val="clear" w:color="auto" w:fill="auto"/>
          </w:tcPr>
          <w:p w14:paraId="14ED87CE"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DFAT MEB Program Officer</w:t>
            </w:r>
          </w:p>
        </w:tc>
        <w:tc>
          <w:tcPr>
            <w:tcW w:w="2410" w:type="dxa"/>
            <w:shd w:val="clear" w:color="auto" w:fill="auto"/>
          </w:tcPr>
          <w:p w14:paraId="777FB450"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DFAT</w:t>
            </w:r>
          </w:p>
        </w:tc>
        <w:tc>
          <w:tcPr>
            <w:tcW w:w="1928" w:type="dxa"/>
            <w:shd w:val="clear" w:color="auto" w:fill="auto"/>
          </w:tcPr>
          <w:p w14:paraId="79355007"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January 31, 2019</w:t>
            </w:r>
          </w:p>
        </w:tc>
      </w:tr>
      <w:tr w:rsidR="00160AB1" w:rsidRPr="00A96337" w14:paraId="53C73EA3"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C08DC5C" w14:textId="287BE150"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Grant Morrison</w:t>
            </w:r>
          </w:p>
        </w:tc>
        <w:tc>
          <w:tcPr>
            <w:tcW w:w="2410" w:type="dxa"/>
            <w:shd w:val="clear" w:color="auto" w:fill="auto"/>
          </w:tcPr>
          <w:p w14:paraId="3AFA7D0E"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Director, NGO Policy Sector</w:t>
            </w:r>
          </w:p>
        </w:tc>
        <w:tc>
          <w:tcPr>
            <w:tcW w:w="2410" w:type="dxa"/>
            <w:shd w:val="clear" w:color="auto" w:fill="auto"/>
          </w:tcPr>
          <w:p w14:paraId="369C4E70"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DFAT</w:t>
            </w:r>
          </w:p>
        </w:tc>
        <w:tc>
          <w:tcPr>
            <w:tcW w:w="1928" w:type="dxa"/>
            <w:shd w:val="clear" w:color="auto" w:fill="auto"/>
          </w:tcPr>
          <w:p w14:paraId="2579FC0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2 April 2019</w:t>
            </w:r>
          </w:p>
        </w:tc>
      </w:tr>
      <w:tr w:rsidR="00160AB1" w:rsidRPr="00A96337" w14:paraId="7FCE1040" w14:textId="77777777" w:rsidTr="00160AB1">
        <w:tc>
          <w:tcPr>
            <w:cnfStyle w:val="001000000000" w:firstRow="0" w:lastRow="0" w:firstColumn="1" w:lastColumn="0" w:oddVBand="0" w:evenVBand="0" w:oddHBand="0" w:evenHBand="0" w:firstRowFirstColumn="0" w:firstRowLastColumn="0" w:lastRowFirstColumn="0" w:lastRowLastColumn="0"/>
            <w:tcW w:w="7088" w:type="dxa"/>
            <w:gridSpan w:val="3"/>
            <w:shd w:val="clear" w:color="auto" w:fill="F2F2F2" w:themeFill="background1" w:themeFillShade="F2"/>
          </w:tcPr>
          <w:p w14:paraId="1DBACABC" w14:textId="77777777" w:rsidR="00160AB1" w:rsidRPr="00A96337" w:rsidRDefault="00160AB1" w:rsidP="00160AB1">
            <w:pPr>
              <w:spacing w:before="60" w:after="60"/>
              <w:ind w:left="170" w:right="170"/>
              <w:rPr>
                <w:rFonts w:ascii="Arial" w:hAnsi="Arial" w:cs="Arial"/>
                <w:sz w:val="18"/>
                <w:szCs w:val="18"/>
              </w:rPr>
            </w:pPr>
            <w:r w:rsidRPr="00A96337">
              <w:rPr>
                <w:rFonts w:ascii="Arial" w:hAnsi="Arial" w:cs="Arial"/>
                <w:sz w:val="18"/>
                <w:szCs w:val="18"/>
              </w:rPr>
              <w:t>DFAT Australian Representative Office Palestinian Territories</w:t>
            </w:r>
          </w:p>
        </w:tc>
        <w:tc>
          <w:tcPr>
            <w:tcW w:w="1928" w:type="dxa"/>
            <w:shd w:val="clear" w:color="auto" w:fill="F2F2F2" w:themeFill="background1" w:themeFillShade="F2"/>
          </w:tcPr>
          <w:p w14:paraId="220047C5"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160AB1" w:rsidRPr="00A96337" w14:paraId="20F0B125"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F527697" w14:textId="6C5CFB97"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Tawfic Raad</w:t>
            </w:r>
          </w:p>
        </w:tc>
        <w:tc>
          <w:tcPr>
            <w:tcW w:w="2410" w:type="dxa"/>
            <w:shd w:val="clear" w:color="auto" w:fill="auto"/>
          </w:tcPr>
          <w:p w14:paraId="399C44C4"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Program Manager</w:t>
            </w:r>
          </w:p>
        </w:tc>
        <w:tc>
          <w:tcPr>
            <w:tcW w:w="2410" w:type="dxa"/>
            <w:shd w:val="clear" w:color="auto" w:fill="auto"/>
          </w:tcPr>
          <w:p w14:paraId="3B06D8B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DFAT</w:t>
            </w:r>
          </w:p>
        </w:tc>
        <w:tc>
          <w:tcPr>
            <w:tcW w:w="1928" w:type="dxa"/>
            <w:shd w:val="clear" w:color="auto" w:fill="auto"/>
          </w:tcPr>
          <w:p w14:paraId="10B593B8"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18, 2019</w:t>
            </w:r>
          </w:p>
        </w:tc>
      </w:tr>
      <w:tr w:rsidR="00160AB1" w:rsidRPr="00A96337" w14:paraId="278FF626"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CC88DDD" w14:textId="462CCFFC"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Mark Bailey</w:t>
            </w:r>
          </w:p>
        </w:tc>
        <w:tc>
          <w:tcPr>
            <w:tcW w:w="2410" w:type="dxa"/>
            <w:shd w:val="clear" w:color="auto" w:fill="auto"/>
          </w:tcPr>
          <w:p w14:paraId="44F744AE"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Head of Office (ARO Ramallah)</w:t>
            </w:r>
          </w:p>
        </w:tc>
        <w:tc>
          <w:tcPr>
            <w:tcW w:w="2410" w:type="dxa"/>
            <w:shd w:val="clear" w:color="auto" w:fill="auto"/>
          </w:tcPr>
          <w:p w14:paraId="5D12A88B"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DFAT</w:t>
            </w:r>
          </w:p>
        </w:tc>
        <w:tc>
          <w:tcPr>
            <w:tcW w:w="1928" w:type="dxa"/>
            <w:shd w:val="clear" w:color="auto" w:fill="auto"/>
          </w:tcPr>
          <w:p w14:paraId="2FD8B477"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18, 2019</w:t>
            </w:r>
          </w:p>
        </w:tc>
      </w:tr>
      <w:tr w:rsidR="00160AB1" w:rsidRPr="00A96337" w14:paraId="29C9F2C9"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8E2DD21" w14:textId="4033C167"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Warren Hoye</w:t>
            </w:r>
          </w:p>
        </w:tc>
        <w:tc>
          <w:tcPr>
            <w:tcW w:w="2410" w:type="dxa"/>
            <w:shd w:val="clear" w:color="auto" w:fill="auto"/>
          </w:tcPr>
          <w:p w14:paraId="124A2637"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Head of Cooperation (ARO Ramallah)</w:t>
            </w:r>
          </w:p>
        </w:tc>
        <w:tc>
          <w:tcPr>
            <w:tcW w:w="2410" w:type="dxa"/>
            <w:shd w:val="clear" w:color="auto" w:fill="auto"/>
          </w:tcPr>
          <w:p w14:paraId="41A8BCAF"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DFAT</w:t>
            </w:r>
          </w:p>
        </w:tc>
        <w:tc>
          <w:tcPr>
            <w:tcW w:w="1928" w:type="dxa"/>
            <w:shd w:val="clear" w:color="auto" w:fill="auto"/>
          </w:tcPr>
          <w:p w14:paraId="015B61F7"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18, 2019</w:t>
            </w:r>
          </w:p>
        </w:tc>
      </w:tr>
      <w:tr w:rsidR="00160AB1" w:rsidRPr="00A96337" w14:paraId="7137E11A"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373C962" w14:textId="1C8F5181"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Lima Anfous</w:t>
            </w:r>
          </w:p>
        </w:tc>
        <w:tc>
          <w:tcPr>
            <w:tcW w:w="2410" w:type="dxa"/>
            <w:shd w:val="clear" w:color="auto" w:fill="auto"/>
          </w:tcPr>
          <w:p w14:paraId="4C019B11"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Public Affairs Officer</w:t>
            </w:r>
          </w:p>
        </w:tc>
        <w:tc>
          <w:tcPr>
            <w:tcW w:w="2410" w:type="dxa"/>
            <w:shd w:val="clear" w:color="auto" w:fill="auto"/>
          </w:tcPr>
          <w:p w14:paraId="74A6B0E4"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DFAT</w:t>
            </w:r>
          </w:p>
        </w:tc>
        <w:tc>
          <w:tcPr>
            <w:tcW w:w="1928" w:type="dxa"/>
            <w:shd w:val="clear" w:color="auto" w:fill="auto"/>
          </w:tcPr>
          <w:p w14:paraId="39DD133D"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18, 2019</w:t>
            </w:r>
          </w:p>
        </w:tc>
      </w:tr>
      <w:tr w:rsidR="00160AB1" w:rsidRPr="00A96337" w14:paraId="4AB229CC"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3"/>
            <w:shd w:val="clear" w:color="auto" w:fill="F2F2F2" w:themeFill="background1" w:themeFillShade="F2"/>
          </w:tcPr>
          <w:p w14:paraId="07C38967" w14:textId="21D09AAF"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Partner Government</w:t>
            </w:r>
          </w:p>
        </w:tc>
        <w:tc>
          <w:tcPr>
            <w:tcW w:w="1928" w:type="dxa"/>
            <w:shd w:val="clear" w:color="auto" w:fill="F2F2F2" w:themeFill="background1" w:themeFillShade="F2"/>
          </w:tcPr>
          <w:p w14:paraId="737AD7B5"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60AB1" w:rsidRPr="00A96337" w14:paraId="78F64AFB"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FFA5871" w14:textId="34CC48B5"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Abdullah Lahlouh</w:t>
            </w:r>
          </w:p>
        </w:tc>
        <w:tc>
          <w:tcPr>
            <w:tcW w:w="2410" w:type="dxa"/>
            <w:shd w:val="clear" w:color="auto" w:fill="auto"/>
          </w:tcPr>
          <w:p w14:paraId="321FBF05"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Deputy Minister</w:t>
            </w:r>
          </w:p>
        </w:tc>
        <w:tc>
          <w:tcPr>
            <w:tcW w:w="2410" w:type="dxa"/>
            <w:shd w:val="clear" w:color="auto" w:fill="auto"/>
          </w:tcPr>
          <w:p w14:paraId="06EFDFBD"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Palestinian Ministry of Agriculture</w:t>
            </w:r>
          </w:p>
        </w:tc>
        <w:tc>
          <w:tcPr>
            <w:tcW w:w="1928" w:type="dxa"/>
            <w:shd w:val="clear" w:color="auto" w:fill="auto"/>
          </w:tcPr>
          <w:p w14:paraId="3B66FCA0"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21, 2019</w:t>
            </w:r>
          </w:p>
        </w:tc>
      </w:tr>
      <w:tr w:rsidR="00160AB1" w:rsidRPr="00A96337" w14:paraId="0F8DA347"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BA77C9E" w14:textId="1C0E2617"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Ahmad Zakarneh</w:t>
            </w:r>
          </w:p>
        </w:tc>
        <w:tc>
          <w:tcPr>
            <w:tcW w:w="2410" w:type="dxa"/>
            <w:shd w:val="clear" w:color="auto" w:fill="auto"/>
          </w:tcPr>
          <w:p w14:paraId="03646F93"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Director General of Planning</w:t>
            </w:r>
          </w:p>
        </w:tc>
        <w:tc>
          <w:tcPr>
            <w:tcW w:w="2410" w:type="dxa"/>
            <w:shd w:val="clear" w:color="auto" w:fill="auto"/>
          </w:tcPr>
          <w:p w14:paraId="3F191A64"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Palestinian Ministry of Agriculture</w:t>
            </w:r>
          </w:p>
        </w:tc>
        <w:tc>
          <w:tcPr>
            <w:tcW w:w="1928" w:type="dxa"/>
            <w:shd w:val="clear" w:color="auto" w:fill="auto"/>
          </w:tcPr>
          <w:p w14:paraId="41164CD0"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21, 2019</w:t>
            </w:r>
          </w:p>
        </w:tc>
      </w:tr>
      <w:tr w:rsidR="00160AB1" w:rsidRPr="00A96337" w14:paraId="33008E06"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7BD9ADB" w14:textId="65D80E21"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Amjad Salah</w:t>
            </w:r>
          </w:p>
        </w:tc>
        <w:tc>
          <w:tcPr>
            <w:tcW w:w="2410" w:type="dxa"/>
            <w:shd w:val="clear" w:color="auto" w:fill="auto"/>
          </w:tcPr>
          <w:p w14:paraId="4FEAA903"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Director General of Plant Protection</w:t>
            </w:r>
          </w:p>
        </w:tc>
        <w:tc>
          <w:tcPr>
            <w:tcW w:w="2410" w:type="dxa"/>
            <w:shd w:val="clear" w:color="auto" w:fill="auto"/>
          </w:tcPr>
          <w:p w14:paraId="7862AFAE"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Palestinian Ministry of Agriculture</w:t>
            </w:r>
          </w:p>
        </w:tc>
        <w:tc>
          <w:tcPr>
            <w:tcW w:w="1928" w:type="dxa"/>
            <w:shd w:val="clear" w:color="auto" w:fill="auto"/>
          </w:tcPr>
          <w:p w14:paraId="7CFA8D02"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21, 2019</w:t>
            </w:r>
          </w:p>
        </w:tc>
      </w:tr>
      <w:tr w:rsidR="00160AB1" w:rsidRPr="00A96337" w14:paraId="7EBBCB9A"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7553F3E" w14:textId="77777777" w:rsidR="00160AB1" w:rsidRPr="00A96337" w:rsidRDefault="00160AB1" w:rsidP="00160AB1">
            <w:pPr>
              <w:spacing w:before="60" w:after="60"/>
              <w:ind w:left="170" w:right="170"/>
              <w:rPr>
                <w:rFonts w:ascii="Arial" w:hAnsi="Arial" w:cs="Arial"/>
                <w:sz w:val="18"/>
                <w:szCs w:val="18"/>
              </w:rPr>
            </w:pPr>
            <w:r w:rsidRPr="00A96337">
              <w:rPr>
                <w:rFonts w:ascii="Arial" w:hAnsi="Arial" w:cs="Arial"/>
                <w:sz w:val="18"/>
                <w:szCs w:val="18"/>
              </w:rPr>
              <w:t>Other Donors</w:t>
            </w:r>
          </w:p>
        </w:tc>
        <w:tc>
          <w:tcPr>
            <w:tcW w:w="2410" w:type="dxa"/>
            <w:shd w:val="clear" w:color="auto" w:fill="auto"/>
          </w:tcPr>
          <w:p w14:paraId="5C67F6C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410" w:type="dxa"/>
            <w:shd w:val="clear" w:color="auto" w:fill="auto"/>
          </w:tcPr>
          <w:p w14:paraId="1B74090A"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928" w:type="dxa"/>
            <w:shd w:val="clear" w:color="auto" w:fill="auto"/>
          </w:tcPr>
          <w:p w14:paraId="4D8B940E"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60AB1" w:rsidRPr="00A96337" w14:paraId="226EDCBE"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57ED014" w14:textId="09363848"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Miral Al-Far</w:t>
            </w:r>
          </w:p>
        </w:tc>
        <w:tc>
          <w:tcPr>
            <w:tcW w:w="2410" w:type="dxa"/>
            <w:shd w:val="clear" w:color="auto" w:fill="auto"/>
          </w:tcPr>
          <w:p w14:paraId="6D014FED"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Deputy Head of Cooperation, Danish Representative Office Ramallah</w:t>
            </w:r>
          </w:p>
        </w:tc>
        <w:tc>
          <w:tcPr>
            <w:tcW w:w="2410" w:type="dxa"/>
            <w:shd w:val="clear" w:color="auto" w:fill="auto"/>
          </w:tcPr>
          <w:p w14:paraId="66642DEF"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Ministry of Foreign Affairs of Denmark</w:t>
            </w:r>
          </w:p>
        </w:tc>
        <w:tc>
          <w:tcPr>
            <w:tcW w:w="1928" w:type="dxa"/>
            <w:shd w:val="clear" w:color="auto" w:fill="auto"/>
          </w:tcPr>
          <w:p w14:paraId="2C4306F6"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19, 2019</w:t>
            </w:r>
          </w:p>
        </w:tc>
      </w:tr>
      <w:tr w:rsidR="00160AB1" w:rsidRPr="00A96337" w14:paraId="783B8AA4"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217228B" w14:textId="0019C527"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Rula Daghash</w:t>
            </w:r>
          </w:p>
        </w:tc>
        <w:tc>
          <w:tcPr>
            <w:tcW w:w="2410" w:type="dxa"/>
            <w:shd w:val="clear" w:color="auto" w:fill="auto"/>
          </w:tcPr>
          <w:p w14:paraId="1C94E6D8"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Program Manager</w:t>
            </w:r>
          </w:p>
        </w:tc>
        <w:tc>
          <w:tcPr>
            <w:tcW w:w="2410" w:type="dxa"/>
            <w:shd w:val="clear" w:color="auto" w:fill="auto"/>
          </w:tcPr>
          <w:p w14:paraId="1768B6BA"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Swedish Consulate</w:t>
            </w:r>
          </w:p>
        </w:tc>
        <w:tc>
          <w:tcPr>
            <w:tcW w:w="1928" w:type="dxa"/>
            <w:shd w:val="clear" w:color="auto" w:fill="auto"/>
          </w:tcPr>
          <w:p w14:paraId="2736B146"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22, 2019</w:t>
            </w:r>
          </w:p>
        </w:tc>
      </w:tr>
      <w:tr w:rsidR="00160AB1" w:rsidRPr="00A96337" w14:paraId="6C7E52E1"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F42A8F8" w14:textId="77AD15F9"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Ayman Daraghmeh</w:t>
            </w:r>
          </w:p>
        </w:tc>
        <w:tc>
          <w:tcPr>
            <w:tcW w:w="2410" w:type="dxa"/>
            <w:shd w:val="clear" w:color="auto" w:fill="auto"/>
          </w:tcPr>
          <w:p w14:paraId="5B590171"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Senior Program Manager</w:t>
            </w:r>
          </w:p>
        </w:tc>
        <w:tc>
          <w:tcPr>
            <w:tcW w:w="2410" w:type="dxa"/>
            <w:shd w:val="clear" w:color="auto" w:fill="auto"/>
          </w:tcPr>
          <w:p w14:paraId="0099339B"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Swiss Agency for Development and Cooperation</w:t>
            </w:r>
          </w:p>
        </w:tc>
        <w:tc>
          <w:tcPr>
            <w:tcW w:w="1928" w:type="dxa"/>
            <w:shd w:val="clear" w:color="auto" w:fill="auto"/>
          </w:tcPr>
          <w:p w14:paraId="105D75D6"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22, 2019</w:t>
            </w:r>
          </w:p>
        </w:tc>
      </w:tr>
      <w:tr w:rsidR="00160AB1" w:rsidRPr="00A96337" w14:paraId="68461AFB"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3"/>
            <w:shd w:val="clear" w:color="auto" w:fill="F2F2F2" w:themeFill="background1" w:themeFillShade="F2"/>
          </w:tcPr>
          <w:p w14:paraId="453E79A9" w14:textId="77777777" w:rsidR="00160AB1" w:rsidRPr="00A96337" w:rsidRDefault="00160AB1" w:rsidP="00160AB1">
            <w:pPr>
              <w:spacing w:before="60" w:after="60"/>
              <w:ind w:left="170" w:right="170"/>
              <w:rPr>
                <w:rFonts w:ascii="Arial" w:hAnsi="Arial" w:cs="Arial"/>
                <w:sz w:val="18"/>
                <w:szCs w:val="18"/>
              </w:rPr>
            </w:pPr>
            <w:r w:rsidRPr="00A96337">
              <w:rPr>
                <w:rFonts w:ascii="Arial" w:hAnsi="Arial" w:cs="Arial"/>
                <w:sz w:val="18"/>
                <w:szCs w:val="18"/>
              </w:rPr>
              <w:t>Implementation and Delivery Partners (INGOs, PNGOs, Consortia)</w:t>
            </w:r>
          </w:p>
        </w:tc>
        <w:tc>
          <w:tcPr>
            <w:tcW w:w="1928" w:type="dxa"/>
            <w:shd w:val="clear" w:color="auto" w:fill="F2F2F2" w:themeFill="background1" w:themeFillShade="F2"/>
          </w:tcPr>
          <w:p w14:paraId="08CE2AA1"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60AB1" w:rsidRPr="00A96337" w14:paraId="76053167"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4860DBC" w14:textId="487E4D62"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Patrick McCloskey</w:t>
            </w:r>
          </w:p>
        </w:tc>
        <w:tc>
          <w:tcPr>
            <w:tcW w:w="2410" w:type="dxa"/>
            <w:shd w:val="clear" w:color="auto" w:fill="auto"/>
          </w:tcPr>
          <w:p w14:paraId="05C9DD7C"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Portfolio Manager</w:t>
            </w:r>
          </w:p>
        </w:tc>
        <w:tc>
          <w:tcPr>
            <w:tcW w:w="2410" w:type="dxa"/>
            <w:shd w:val="clear" w:color="auto" w:fill="auto"/>
          </w:tcPr>
          <w:p w14:paraId="2C429F03"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w:t>
            </w:r>
          </w:p>
        </w:tc>
        <w:tc>
          <w:tcPr>
            <w:tcW w:w="1928" w:type="dxa"/>
            <w:shd w:val="clear" w:color="auto" w:fill="auto"/>
          </w:tcPr>
          <w:p w14:paraId="12DAFC13"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27 Feb 2019</w:t>
            </w:r>
          </w:p>
        </w:tc>
      </w:tr>
      <w:tr w:rsidR="00160AB1" w:rsidRPr="00A96337" w14:paraId="06540D8F"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04527B7" w14:textId="306B7A93"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May Abdelhadi</w:t>
            </w:r>
          </w:p>
        </w:tc>
        <w:tc>
          <w:tcPr>
            <w:tcW w:w="2410" w:type="dxa"/>
            <w:shd w:val="clear" w:color="auto" w:fill="auto"/>
          </w:tcPr>
          <w:p w14:paraId="38117584"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MEL coordinator for Gaza</w:t>
            </w:r>
          </w:p>
        </w:tc>
        <w:tc>
          <w:tcPr>
            <w:tcW w:w="2410" w:type="dxa"/>
            <w:shd w:val="clear" w:color="auto" w:fill="auto"/>
          </w:tcPr>
          <w:p w14:paraId="10D62139"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w:t>
            </w:r>
          </w:p>
        </w:tc>
        <w:tc>
          <w:tcPr>
            <w:tcW w:w="1928" w:type="dxa"/>
            <w:shd w:val="clear" w:color="auto" w:fill="auto"/>
          </w:tcPr>
          <w:p w14:paraId="01C53A23"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27 Feb 2019</w:t>
            </w:r>
          </w:p>
        </w:tc>
      </w:tr>
      <w:tr w:rsidR="00160AB1" w:rsidRPr="00A96337" w14:paraId="0B34BA44"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198ED4F" w14:textId="264A284E"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Hiba Tibi</w:t>
            </w:r>
          </w:p>
        </w:tc>
        <w:tc>
          <w:tcPr>
            <w:tcW w:w="2410" w:type="dxa"/>
            <w:shd w:val="clear" w:color="auto" w:fill="auto"/>
          </w:tcPr>
          <w:p w14:paraId="42D4CFAC"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Gender advisor Westbank &amp; Gaza</w:t>
            </w:r>
          </w:p>
        </w:tc>
        <w:tc>
          <w:tcPr>
            <w:tcW w:w="2410" w:type="dxa"/>
            <w:shd w:val="clear" w:color="auto" w:fill="auto"/>
          </w:tcPr>
          <w:p w14:paraId="792FDE2F"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w:t>
            </w:r>
          </w:p>
        </w:tc>
        <w:tc>
          <w:tcPr>
            <w:tcW w:w="1928" w:type="dxa"/>
            <w:shd w:val="clear" w:color="auto" w:fill="auto"/>
          </w:tcPr>
          <w:p w14:paraId="3C6BB613"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27 Feb 2019</w:t>
            </w:r>
          </w:p>
        </w:tc>
      </w:tr>
      <w:tr w:rsidR="00160AB1" w:rsidRPr="00A96337" w14:paraId="4F92212F"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0DA817F" w14:textId="05F8F615"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Hasan Jabbar</w:t>
            </w:r>
          </w:p>
        </w:tc>
        <w:tc>
          <w:tcPr>
            <w:tcW w:w="2410" w:type="dxa"/>
            <w:shd w:val="clear" w:color="auto" w:fill="auto"/>
          </w:tcPr>
          <w:p w14:paraId="59A6A0DA"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Project Manager</w:t>
            </w:r>
          </w:p>
        </w:tc>
        <w:tc>
          <w:tcPr>
            <w:tcW w:w="2410" w:type="dxa"/>
            <w:shd w:val="clear" w:color="auto" w:fill="auto"/>
          </w:tcPr>
          <w:p w14:paraId="6875C27B"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w:t>
            </w:r>
          </w:p>
        </w:tc>
        <w:tc>
          <w:tcPr>
            <w:tcW w:w="1928" w:type="dxa"/>
            <w:shd w:val="clear" w:color="auto" w:fill="auto"/>
          </w:tcPr>
          <w:p w14:paraId="08B2D496"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27 Feb 2019</w:t>
            </w:r>
          </w:p>
        </w:tc>
      </w:tr>
      <w:tr w:rsidR="00160AB1" w:rsidRPr="00A96337" w14:paraId="797BCC8D"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40FE5BC" w14:textId="3B052A84"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Ken Davis</w:t>
            </w:r>
          </w:p>
        </w:tc>
        <w:tc>
          <w:tcPr>
            <w:tcW w:w="2410" w:type="dxa"/>
            <w:shd w:val="clear" w:color="auto" w:fill="auto"/>
          </w:tcPr>
          <w:p w14:paraId="60ED3915"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International Program Manager Union Aid Abroad</w:t>
            </w:r>
          </w:p>
        </w:tc>
        <w:tc>
          <w:tcPr>
            <w:tcW w:w="2410" w:type="dxa"/>
            <w:shd w:val="clear" w:color="auto" w:fill="auto"/>
          </w:tcPr>
          <w:p w14:paraId="07B3C807"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Australian People for Health, Education and Development Abroad (APHEDA)</w:t>
            </w:r>
          </w:p>
        </w:tc>
        <w:tc>
          <w:tcPr>
            <w:tcW w:w="1928" w:type="dxa"/>
            <w:shd w:val="clear" w:color="auto" w:fill="auto"/>
          </w:tcPr>
          <w:p w14:paraId="170D6F84"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27 Feb 2019</w:t>
            </w:r>
          </w:p>
        </w:tc>
      </w:tr>
      <w:tr w:rsidR="00160AB1" w:rsidRPr="00A96337" w14:paraId="6EA6A061"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D6346DE" w14:textId="503CEE35"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James Riturban</w:t>
            </w:r>
          </w:p>
        </w:tc>
        <w:tc>
          <w:tcPr>
            <w:tcW w:w="2410" w:type="dxa"/>
            <w:shd w:val="clear" w:color="auto" w:fill="auto"/>
          </w:tcPr>
          <w:p w14:paraId="04A2800E"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Portfolio Manager</w:t>
            </w:r>
          </w:p>
        </w:tc>
        <w:tc>
          <w:tcPr>
            <w:tcW w:w="2410" w:type="dxa"/>
            <w:shd w:val="clear" w:color="auto" w:fill="auto"/>
          </w:tcPr>
          <w:p w14:paraId="69173E8C"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Oxfam</w:t>
            </w:r>
          </w:p>
        </w:tc>
        <w:tc>
          <w:tcPr>
            <w:tcW w:w="1928" w:type="dxa"/>
            <w:shd w:val="clear" w:color="auto" w:fill="auto"/>
          </w:tcPr>
          <w:p w14:paraId="3BC77A2B"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27 Feb 2019</w:t>
            </w:r>
          </w:p>
        </w:tc>
      </w:tr>
      <w:tr w:rsidR="00160AB1" w:rsidRPr="00A96337" w14:paraId="3052E4E1"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963A480" w14:textId="4C8B4271"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Cindy Colla</w:t>
            </w:r>
          </w:p>
        </w:tc>
        <w:tc>
          <w:tcPr>
            <w:tcW w:w="2410" w:type="dxa"/>
            <w:shd w:val="clear" w:color="auto" w:fill="auto"/>
          </w:tcPr>
          <w:p w14:paraId="4EAA6E55"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Contractor Representative</w:t>
            </w:r>
          </w:p>
        </w:tc>
        <w:tc>
          <w:tcPr>
            <w:tcW w:w="2410" w:type="dxa"/>
            <w:shd w:val="clear" w:color="auto" w:fill="auto"/>
          </w:tcPr>
          <w:p w14:paraId="7B5796AE"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Cardno</w:t>
            </w:r>
          </w:p>
        </w:tc>
        <w:tc>
          <w:tcPr>
            <w:tcW w:w="1928" w:type="dxa"/>
            <w:shd w:val="clear" w:color="auto" w:fill="auto"/>
          </w:tcPr>
          <w:p w14:paraId="6A3C8F50"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28 Feb 2019</w:t>
            </w:r>
          </w:p>
        </w:tc>
      </w:tr>
      <w:tr w:rsidR="00160AB1" w:rsidRPr="00A96337" w14:paraId="065D0413"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7234608" w14:textId="1580C511"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Mike Freeman</w:t>
            </w:r>
          </w:p>
        </w:tc>
        <w:tc>
          <w:tcPr>
            <w:tcW w:w="2410" w:type="dxa"/>
            <w:shd w:val="clear" w:color="auto" w:fill="auto"/>
          </w:tcPr>
          <w:p w14:paraId="1F4286E3"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M&amp;E Advisor</w:t>
            </w:r>
          </w:p>
        </w:tc>
        <w:tc>
          <w:tcPr>
            <w:tcW w:w="2410" w:type="dxa"/>
            <w:shd w:val="clear" w:color="auto" w:fill="auto"/>
          </w:tcPr>
          <w:p w14:paraId="563D6E2F"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Cardno (Contracted)</w:t>
            </w:r>
          </w:p>
        </w:tc>
        <w:tc>
          <w:tcPr>
            <w:tcW w:w="1928" w:type="dxa"/>
            <w:shd w:val="clear" w:color="auto" w:fill="auto"/>
          </w:tcPr>
          <w:p w14:paraId="0DB8D200"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28 Feb 2019</w:t>
            </w:r>
          </w:p>
        </w:tc>
      </w:tr>
      <w:tr w:rsidR="00160AB1" w:rsidRPr="00A96337" w14:paraId="31AB36B8"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971F79D" w14:textId="0814D2C1"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Fiona McCulloch</w:t>
            </w:r>
          </w:p>
        </w:tc>
        <w:tc>
          <w:tcPr>
            <w:tcW w:w="2410" w:type="dxa"/>
            <w:shd w:val="clear" w:color="auto" w:fill="auto"/>
          </w:tcPr>
          <w:p w14:paraId="64350A0A"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Social Inclusion Advisor</w:t>
            </w:r>
          </w:p>
        </w:tc>
        <w:tc>
          <w:tcPr>
            <w:tcW w:w="2410" w:type="dxa"/>
            <w:shd w:val="clear" w:color="auto" w:fill="auto"/>
          </w:tcPr>
          <w:p w14:paraId="61CF10D3"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Cardno (Contracted)</w:t>
            </w:r>
          </w:p>
        </w:tc>
        <w:tc>
          <w:tcPr>
            <w:tcW w:w="1928" w:type="dxa"/>
            <w:shd w:val="clear" w:color="auto" w:fill="auto"/>
          </w:tcPr>
          <w:p w14:paraId="5FC55DC5"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19, 2019</w:t>
            </w:r>
          </w:p>
        </w:tc>
      </w:tr>
      <w:tr w:rsidR="00160AB1" w:rsidRPr="00A96337" w14:paraId="6D78A86A"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05EF6C1" w14:textId="21E5E4B9"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Mark Winters</w:t>
            </w:r>
          </w:p>
        </w:tc>
        <w:tc>
          <w:tcPr>
            <w:tcW w:w="2410" w:type="dxa"/>
            <w:shd w:val="clear" w:color="auto" w:fill="auto"/>
          </w:tcPr>
          <w:p w14:paraId="262D0FA6"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Market Systems Development Technical Advisor</w:t>
            </w:r>
          </w:p>
        </w:tc>
        <w:tc>
          <w:tcPr>
            <w:tcW w:w="2410" w:type="dxa"/>
            <w:shd w:val="clear" w:color="auto" w:fill="auto"/>
          </w:tcPr>
          <w:p w14:paraId="29BE1C5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Cardno</w:t>
            </w:r>
          </w:p>
        </w:tc>
        <w:tc>
          <w:tcPr>
            <w:tcW w:w="1928" w:type="dxa"/>
            <w:shd w:val="clear" w:color="auto" w:fill="auto"/>
          </w:tcPr>
          <w:p w14:paraId="7D52D314"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22 March 2019</w:t>
            </w:r>
          </w:p>
        </w:tc>
      </w:tr>
      <w:tr w:rsidR="00160AB1" w:rsidRPr="00A96337" w14:paraId="522E253D"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8E1D7FA" w14:textId="0B843FF0"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Tariq Shamieh</w:t>
            </w:r>
          </w:p>
        </w:tc>
        <w:tc>
          <w:tcPr>
            <w:tcW w:w="2410" w:type="dxa"/>
            <w:shd w:val="clear" w:color="auto" w:fill="auto"/>
          </w:tcPr>
          <w:p w14:paraId="1B277A33"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Market Systems Development Technical Advisor</w:t>
            </w:r>
          </w:p>
        </w:tc>
        <w:tc>
          <w:tcPr>
            <w:tcW w:w="2410" w:type="dxa"/>
            <w:shd w:val="clear" w:color="auto" w:fill="auto"/>
          </w:tcPr>
          <w:p w14:paraId="5487AAFA"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Cardno</w:t>
            </w:r>
          </w:p>
        </w:tc>
        <w:tc>
          <w:tcPr>
            <w:tcW w:w="1928" w:type="dxa"/>
            <w:shd w:val="clear" w:color="auto" w:fill="auto"/>
          </w:tcPr>
          <w:p w14:paraId="73B7185A"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19, 2019</w:t>
            </w:r>
          </w:p>
        </w:tc>
      </w:tr>
      <w:tr w:rsidR="00160AB1" w:rsidRPr="00A96337" w14:paraId="2D14E53A"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F576868" w14:textId="6B958C89"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Izzat Zaidan</w:t>
            </w:r>
          </w:p>
        </w:tc>
        <w:tc>
          <w:tcPr>
            <w:tcW w:w="2410" w:type="dxa"/>
            <w:shd w:val="clear" w:color="auto" w:fill="auto"/>
          </w:tcPr>
          <w:p w14:paraId="674D300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Takamol Consortia Members</w:t>
            </w:r>
          </w:p>
        </w:tc>
        <w:tc>
          <w:tcPr>
            <w:tcW w:w="2410" w:type="dxa"/>
            <w:shd w:val="clear" w:color="auto" w:fill="auto"/>
          </w:tcPr>
          <w:p w14:paraId="17394D80"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 xml:space="preserve">Agricultural Development Association (PARC) </w:t>
            </w:r>
          </w:p>
        </w:tc>
        <w:tc>
          <w:tcPr>
            <w:tcW w:w="1928" w:type="dxa"/>
            <w:shd w:val="clear" w:color="auto" w:fill="auto"/>
          </w:tcPr>
          <w:p w14:paraId="0C5ED4C3"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07293DD8"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5AAB83E" w14:textId="633D665E"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Mekky Alhafeth</w:t>
            </w:r>
          </w:p>
        </w:tc>
        <w:tc>
          <w:tcPr>
            <w:tcW w:w="2410" w:type="dxa"/>
            <w:shd w:val="clear" w:color="auto" w:fill="auto"/>
          </w:tcPr>
          <w:p w14:paraId="516AD1A7"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Takamol Consortia Members</w:t>
            </w:r>
          </w:p>
        </w:tc>
        <w:tc>
          <w:tcPr>
            <w:tcW w:w="2410" w:type="dxa"/>
            <w:shd w:val="clear" w:color="auto" w:fill="auto"/>
          </w:tcPr>
          <w:p w14:paraId="09F9D72D"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 xml:space="preserve">Agricultural Development Association (PARC) </w:t>
            </w:r>
          </w:p>
        </w:tc>
        <w:tc>
          <w:tcPr>
            <w:tcW w:w="1928" w:type="dxa"/>
            <w:shd w:val="clear" w:color="auto" w:fill="auto"/>
          </w:tcPr>
          <w:p w14:paraId="50C09537"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27BF4A27"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436394C" w14:textId="458D1511"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Dr. Abed Alghani Saya’reh</w:t>
            </w:r>
          </w:p>
        </w:tc>
        <w:tc>
          <w:tcPr>
            <w:tcW w:w="2410" w:type="dxa"/>
            <w:shd w:val="clear" w:color="auto" w:fill="auto"/>
          </w:tcPr>
          <w:p w14:paraId="3F40EA6E"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Takamol Consortia Members</w:t>
            </w:r>
          </w:p>
        </w:tc>
        <w:tc>
          <w:tcPr>
            <w:tcW w:w="2410" w:type="dxa"/>
            <w:shd w:val="clear" w:color="auto" w:fill="auto"/>
          </w:tcPr>
          <w:p w14:paraId="386E654A"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Agricultural Development Association (PARC)</w:t>
            </w:r>
          </w:p>
        </w:tc>
        <w:tc>
          <w:tcPr>
            <w:tcW w:w="1928" w:type="dxa"/>
            <w:shd w:val="clear" w:color="auto" w:fill="auto"/>
          </w:tcPr>
          <w:p w14:paraId="7E308DD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26, 2019</w:t>
            </w:r>
          </w:p>
        </w:tc>
      </w:tr>
      <w:tr w:rsidR="00160AB1" w:rsidRPr="00A96337" w14:paraId="113C11C1"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08C7F2D" w14:textId="506DFCC0"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Haneen Zaidan</w:t>
            </w:r>
          </w:p>
        </w:tc>
        <w:tc>
          <w:tcPr>
            <w:tcW w:w="2410" w:type="dxa"/>
            <w:shd w:val="clear" w:color="auto" w:fill="auto"/>
          </w:tcPr>
          <w:p w14:paraId="58F7C65A"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Takamol Consortia Members</w:t>
            </w:r>
          </w:p>
        </w:tc>
        <w:tc>
          <w:tcPr>
            <w:tcW w:w="2410" w:type="dxa"/>
            <w:shd w:val="clear" w:color="auto" w:fill="auto"/>
          </w:tcPr>
          <w:p w14:paraId="34813ED7"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Rural Women’s Development Society (RWDS)</w:t>
            </w:r>
          </w:p>
        </w:tc>
        <w:tc>
          <w:tcPr>
            <w:tcW w:w="1928" w:type="dxa"/>
            <w:shd w:val="clear" w:color="auto" w:fill="auto"/>
          </w:tcPr>
          <w:p w14:paraId="5D549745"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7989BD7C"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881CADE" w14:textId="268627D8"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Luay Qasrawi</w:t>
            </w:r>
          </w:p>
        </w:tc>
        <w:tc>
          <w:tcPr>
            <w:tcW w:w="2410" w:type="dxa"/>
            <w:shd w:val="clear" w:color="auto" w:fill="auto"/>
          </w:tcPr>
          <w:p w14:paraId="36507181"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Takamol Consortia Members</w:t>
            </w:r>
          </w:p>
        </w:tc>
        <w:tc>
          <w:tcPr>
            <w:tcW w:w="2410" w:type="dxa"/>
            <w:shd w:val="clear" w:color="auto" w:fill="auto"/>
          </w:tcPr>
          <w:p w14:paraId="471F26F2"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Rural Women’s Development Society (RWDS)</w:t>
            </w:r>
          </w:p>
        </w:tc>
        <w:tc>
          <w:tcPr>
            <w:tcW w:w="1928" w:type="dxa"/>
            <w:shd w:val="clear" w:color="auto" w:fill="auto"/>
          </w:tcPr>
          <w:p w14:paraId="1125FDE4"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4C42D3AD"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4373DF3" w14:textId="03B357FF"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Ahmad Sawafta</w:t>
            </w:r>
          </w:p>
        </w:tc>
        <w:tc>
          <w:tcPr>
            <w:tcW w:w="2410" w:type="dxa"/>
            <w:shd w:val="clear" w:color="auto" w:fill="auto"/>
          </w:tcPr>
          <w:p w14:paraId="46506F84"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Takamol Consortia Members</w:t>
            </w:r>
          </w:p>
        </w:tc>
        <w:tc>
          <w:tcPr>
            <w:tcW w:w="2410" w:type="dxa"/>
            <w:shd w:val="clear" w:color="auto" w:fill="auto"/>
          </w:tcPr>
          <w:p w14:paraId="16D2E56F"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Palestinian Livestock Development Society (PLDC)</w:t>
            </w:r>
          </w:p>
        </w:tc>
        <w:tc>
          <w:tcPr>
            <w:tcW w:w="1928" w:type="dxa"/>
            <w:shd w:val="clear" w:color="auto" w:fill="auto"/>
          </w:tcPr>
          <w:p w14:paraId="33B89BEE"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1FBB6DD3"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ABF6200" w14:textId="124392E7"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Ma’re Shawahneh</w:t>
            </w:r>
          </w:p>
        </w:tc>
        <w:tc>
          <w:tcPr>
            <w:tcW w:w="2410" w:type="dxa"/>
            <w:shd w:val="clear" w:color="auto" w:fill="auto"/>
          </w:tcPr>
          <w:p w14:paraId="5B1F5EC8"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Takamol Consortia Members</w:t>
            </w:r>
          </w:p>
        </w:tc>
        <w:tc>
          <w:tcPr>
            <w:tcW w:w="2410" w:type="dxa"/>
            <w:shd w:val="clear" w:color="auto" w:fill="auto"/>
          </w:tcPr>
          <w:p w14:paraId="5D84151E"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Palestinian Livestock Development Society (PLDC)</w:t>
            </w:r>
          </w:p>
        </w:tc>
        <w:tc>
          <w:tcPr>
            <w:tcW w:w="1928" w:type="dxa"/>
            <w:shd w:val="clear" w:color="auto" w:fill="auto"/>
          </w:tcPr>
          <w:p w14:paraId="2F2B0068"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459D3357"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470FB89" w14:textId="45676369"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Murad Abu Muais</w:t>
            </w:r>
          </w:p>
        </w:tc>
        <w:tc>
          <w:tcPr>
            <w:tcW w:w="2410" w:type="dxa"/>
            <w:shd w:val="clear" w:color="auto" w:fill="auto"/>
          </w:tcPr>
          <w:p w14:paraId="2D6EA657"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410" w:type="dxa"/>
            <w:shd w:val="clear" w:color="auto" w:fill="auto"/>
          </w:tcPr>
          <w:p w14:paraId="08F01CEB"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Paltrade</w:t>
            </w:r>
          </w:p>
        </w:tc>
        <w:tc>
          <w:tcPr>
            <w:tcW w:w="1928" w:type="dxa"/>
            <w:shd w:val="clear" w:color="auto" w:fill="auto"/>
          </w:tcPr>
          <w:p w14:paraId="7E921785"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5FC02C32"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AC76B58" w14:textId="2A5D9587"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Feras Badran</w:t>
            </w:r>
          </w:p>
        </w:tc>
        <w:tc>
          <w:tcPr>
            <w:tcW w:w="2410" w:type="dxa"/>
            <w:shd w:val="clear" w:color="auto" w:fill="auto"/>
          </w:tcPr>
          <w:p w14:paraId="0F6DE78A"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Project Agronomist</w:t>
            </w:r>
          </w:p>
        </w:tc>
        <w:tc>
          <w:tcPr>
            <w:tcW w:w="2410" w:type="dxa"/>
            <w:shd w:val="clear" w:color="auto" w:fill="auto"/>
          </w:tcPr>
          <w:p w14:paraId="06584113"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Advanced Research Institute Jerusalem (ARIJ)</w:t>
            </w:r>
          </w:p>
        </w:tc>
        <w:tc>
          <w:tcPr>
            <w:tcW w:w="1928" w:type="dxa"/>
            <w:shd w:val="clear" w:color="auto" w:fill="auto"/>
          </w:tcPr>
          <w:p w14:paraId="02C52244"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35E8C24C"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A6C5B6C" w14:textId="633E2279"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Nader Hrimat</w:t>
            </w:r>
          </w:p>
        </w:tc>
        <w:tc>
          <w:tcPr>
            <w:tcW w:w="2410" w:type="dxa"/>
            <w:shd w:val="clear" w:color="auto" w:fill="auto"/>
          </w:tcPr>
          <w:p w14:paraId="59FC263C"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Project Agronomist</w:t>
            </w:r>
          </w:p>
        </w:tc>
        <w:tc>
          <w:tcPr>
            <w:tcW w:w="2410" w:type="dxa"/>
            <w:shd w:val="clear" w:color="auto" w:fill="auto"/>
          </w:tcPr>
          <w:p w14:paraId="3953AA22"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Advanced Research Institute Jerusalem (ARIJ)</w:t>
            </w:r>
          </w:p>
        </w:tc>
        <w:tc>
          <w:tcPr>
            <w:tcW w:w="1928" w:type="dxa"/>
            <w:shd w:val="clear" w:color="auto" w:fill="auto"/>
          </w:tcPr>
          <w:p w14:paraId="59B2A820"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621C57E7"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D729BF3" w14:textId="61BD7244"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Tareq Bremer</w:t>
            </w:r>
          </w:p>
        </w:tc>
        <w:tc>
          <w:tcPr>
            <w:tcW w:w="2410" w:type="dxa"/>
            <w:shd w:val="clear" w:color="auto" w:fill="auto"/>
          </w:tcPr>
          <w:p w14:paraId="70D597E9"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Technical Officer</w:t>
            </w:r>
          </w:p>
        </w:tc>
        <w:tc>
          <w:tcPr>
            <w:tcW w:w="2410" w:type="dxa"/>
            <w:shd w:val="clear" w:color="auto" w:fill="auto"/>
          </w:tcPr>
          <w:p w14:paraId="4D31AF4B"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International Centre for Agricultural Research in the Dry Areas (ICARDA)</w:t>
            </w:r>
          </w:p>
        </w:tc>
        <w:tc>
          <w:tcPr>
            <w:tcW w:w="1928" w:type="dxa"/>
            <w:shd w:val="clear" w:color="auto" w:fill="auto"/>
          </w:tcPr>
          <w:p w14:paraId="061EAE96"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23, 2019</w:t>
            </w:r>
          </w:p>
        </w:tc>
      </w:tr>
      <w:tr w:rsidR="00160AB1" w:rsidRPr="00A96337" w14:paraId="6D4E8DA9"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4652796" w14:textId="3BD593A3"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Mustafa Tamaizeh</w:t>
            </w:r>
          </w:p>
        </w:tc>
        <w:tc>
          <w:tcPr>
            <w:tcW w:w="2410" w:type="dxa"/>
            <w:shd w:val="clear" w:color="auto" w:fill="auto"/>
          </w:tcPr>
          <w:p w14:paraId="67AC8A32"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Program Manager</w:t>
            </w:r>
          </w:p>
        </w:tc>
        <w:tc>
          <w:tcPr>
            <w:tcW w:w="2410" w:type="dxa"/>
            <w:shd w:val="clear" w:color="auto" w:fill="auto"/>
          </w:tcPr>
          <w:p w14:paraId="613E7ECC"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OXFAM Implementation Team</w:t>
            </w:r>
          </w:p>
        </w:tc>
        <w:tc>
          <w:tcPr>
            <w:tcW w:w="1928" w:type="dxa"/>
            <w:shd w:val="clear" w:color="auto" w:fill="auto"/>
          </w:tcPr>
          <w:p w14:paraId="359341C2"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20, 2019</w:t>
            </w:r>
          </w:p>
        </w:tc>
      </w:tr>
      <w:tr w:rsidR="00160AB1" w:rsidRPr="00A96337" w14:paraId="77682374"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99D7298" w14:textId="0B8DB480" w:rsidR="00160AB1" w:rsidRPr="00A96337" w:rsidRDefault="00160AB1" w:rsidP="00160AB1">
            <w:pPr>
              <w:spacing w:before="60" w:after="60"/>
              <w:ind w:left="170" w:right="170"/>
              <w:rPr>
                <w:rFonts w:ascii="Arial" w:hAnsi="Arial" w:cs="Arial"/>
                <w:sz w:val="18"/>
                <w:szCs w:val="18"/>
                <w:highlight w:val="yellow"/>
              </w:rPr>
            </w:pPr>
            <w:r w:rsidRPr="000E1846">
              <w:rPr>
                <w:rFonts w:ascii="Arial" w:hAnsi="Arial" w:cs="Arial"/>
                <w:sz w:val="18"/>
                <w:szCs w:val="18"/>
              </w:rPr>
              <w:t>Mohammed Sawafta</w:t>
            </w:r>
          </w:p>
        </w:tc>
        <w:tc>
          <w:tcPr>
            <w:tcW w:w="2410" w:type="dxa"/>
            <w:shd w:val="clear" w:color="auto" w:fill="auto"/>
          </w:tcPr>
          <w:p w14:paraId="28422822"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Economic Development Program Manager</w:t>
            </w:r>
          </w:p>
        </w:tc>
        <w:tc>
          <w:tcPr>
            <w:tcW w:w="2410" w:type="dxa"/>
            <w:shd w:val="clear" w:color="auto" w:fill="auto"/>
          </w:tcPr>
          <w:p w14:paraId="0D0A5E05"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OXFAM Implementation Team</w:t>
            </w:r>
          </w:p>
        </w:tc>
        <w:tc>
          <w:tcPr>
            <w:tcW w:w="1928" w:type="dxa"/>
            <w:shd w:val="clear" w:color="auto" w:fill="auto"/>
          </w:tcPr>
          <w:p w14:paraId="61C5AC19"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20, 2019</w:t>
            </w:r>
          </w:p>
        </w:tc>
      </w:tr>
      <w:tr w:rsidR="00160AB1" w:rsidRPr="00A96337" w14:paraId="4841C13B"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1251A50" w14:textId="565255A2" w:rsidR="00160AB1" w:rsidRPr="00A96337" w:rsidRDefault="00160AB1" w:rsidP="00160AB1">
            <w:pPr>
              <w:spacing w:before="60" w:after="60"/>
              <w:ind w:left="170" w:right="170"/>
              <w:rPr>
                <w:rFonts w:ascii="Arial" w:hAnsi="Arial" w:cs="Arial"/>
                <w:sz w:val="18"/>
                <w:szCs w:val="18"/>
                <w:highlight w:val="yellow"/>
              </w:rPr>
            </w:pPr>
            <w:r w:rsidRPr="000E1846">
              <w:rPr>
                <w:rFonts w:ascii="Arial" w:hAnsi="Arial" w:cs="Arial"/>
                <w:sz w:val="18"/>
                <w:szCs w:val="18"/>
              </w:rPr>
              <w:t>Alaa Eid</w:t>
            </w:r>
          </w:p>
        </w:tc>
        <w:tc>
          <w:tcPr>
            <w:tcW w:w="2410" w:type="dxa"/>
            <w:shd w:val="clear" w:color="auto" w:fill="auto"/>
          </w:tcPr>
          <w:p w14:paraId="376F74F6"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Economic Development Project Manager</w:t>
            </w:r>
          </w:p>
        </w:tc>
        <w:tc>
          <w:tcPr>
            <w:tcW w:w="2410" w:type="dxa"/>
            <w:shd w:val="clear" w:color="auto" w:fill="auto"/>
          </w:tcPr>
          <w:p w14:paraId="49E6CB9F"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OXFAM Implementation Team</w:t>
            </w:r>
          </w:p>
        </w:tc>
        <w:tc>
          <w:tcPr>
            <w:tcW w:w="1928" w:type="dxa"/>
            <w:shd w:val="clear" w:color="auto" w:fill="auto"/>
          </w:tcPr>
          <w:p w14:paraId="361E6CD4"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20, 2019</w:t>
            </w:r>
          </w:p>
        </w:tc>
      </w:tr>
      <w:tr w:rsidR="00160AB1" w:rsidRPr="00A96337" w14:paraId="424EC391"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D9EC176" w14:textId="2FAC1E77"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Sami Khader</w:t>
            </w:r>
          </w:p>
        </w:tc>
        <w:tc>
          <w:tcPr>
            <w:tcW w:w="2410" w:type="dxa"/>
            <w:shd w:val="clear" w:color="auto" w:fill="auto"/>
          </w:tcPr>
          <w:p w14:paraId="6E709B37"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Director</w:t>
            </w:r>
          </w:p>
        </w:tc>
        <w:tc>
          <w:tcPr>
            <w:tcW w:w="2410" w:type="dxa"/>
            <w:shd w:val="clear" w:color="auto" w:fill="auto"/>
          </w:tcPr>
          <w:p w14:paraId="70FF7487"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APHEDA Implementation Team (Ma’an Development Centre)</w:t>
            </w:r>
          </w:p>
        </w:tc>
        <w:tc>
          <w:tcPr>
            <w:tcW w:w="1928" w:type="dxa"/>
            <w:shd w:val="clear" w:color="auto" w:fill="auto"/>
          </w:tcPr>
          <w:p w14:paraId="13266072"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21, 2019</w:t>
            </w:r>
          </w:p>
        </w:tc>
      </w:tr>
      <w:tr w:rsidR="00160AB1" w:rsidRPr="00A96337" w14:paraId="6162CAC6"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2B15675" w14:textId="7919834F"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Wahbeh Asfour</w:t>
            </w:r>
          </w:p>
        </w:tc>
        <w:tc>
          <w:tcPr>
            <w:tcW w:w="2410" w:type="dxa"/>
            <w:shd w:val="clear" w:color="auto" w:fill="auto"/>
          </w:tcPr>
          <w:p w14:paraId="484EBCF7"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National Project Manager</w:t>
            </w:r>
          </w:p>
        </w:tc>
        <w:tc>
          <w:tcPr>
            <w:tcW w:w="2410" w:type="dxa"/>
            <w:shd w:val="clear" w:color="auto" w:fill="auto"/>
          </w:tcPr>
          <w:p w14:paraId="0FB4303E"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APHEDA Implementation Team (Ma’an Development Centre)</w:t>
            </w:r>
          </w:p>
        </w:tc>
        <w:tc>
          <w:tcPr>
            <w:tcW w:w="1928" w:type="dxa"/>
            <w:shd w:val="clear" w:color="auto" w:fill="auto"/>
          </w:tcPr>
          <w:p w14:paraId="0EAB6C34"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21, 2019</w:t>
            </w:r>
          </w:p>
        </w:tc>
      </w:tr>
      <w:tr w:rsidR="00160AB1" w:rsidRPr="00A96337" w14:paraId="7FFEC289"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609FD80" w14:textId="62CF63DC"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Nibal Nasser</w:t>
            </w:r>
          </w:p>
        </w:tc>
        <w:tc>
          <w:tcPr>
            <w:tcW w:w="2410" w:type="dxa"/>
            <w:shd w:val="clear" w:color="auto" w:fill="auto"/>
          </w:tcPr>
          <w:p w14:paraId="684EDCBB"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Deputy Director of ICP</w:t>
            </w:r>
          </w:p>
        </w:tc>
        <w:tc>
          <w:tcPr>
            <w:tcW w:w="2410" w:type="dxa"/>
            <w:shd w:val="clear" w:color="auto" w:fill="auto"/>
          </w:tcPr>
          <w:p w14:paraId="3476EBD8"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APHEDA Implementation Team (Bethlehem University)</w:t>
            </w:r>
          </w:p>
        </w:tc>
        <w:tc>
          <w:tcPr>
            <w:tcW w:w="1928" w:type="dxa"/>
            <w:shd w:val="clear" w:color="auto" w:fill="auto"/>
          </w:tcPr>
          <w:p w14:paraId="51428540"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21, 2019</w:t>
            </w:r>
          </w:p>
        </w:tc>
      </w:tr>
      <w:tr w:rsidR="00160AB1" w:rsidRPr="00A96337" w14:paraId="560C83C7"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B79FD40" w14:textId="4936D9FF"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Hana Abu Nahla</w:t>
            </w:r>
          </w:p>
        </w:tc>
        <w:tc>
          <w:tcPr>
            <w:tcW w:w="2410" w:type="dxa"/>
            <w:shd w:val="clear" w:color="auto" w:fill="auto"/>
          </w:tcPr>
          <w:p w14:paraId="41F56747"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Gaza Project Coordinator</w:t>
            </w:r>
          </w:p>
        </w:tc>
        <w:tc>
          <w:tcPr>
            <w:tcW w:w="2410" w:type="dxa"/>
            <w:shd w:val="clear" w:color="auto" w:fill="auto"/>
          </w:tcPr>
          <w:p w14:paraId="7E87DF56"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APHEDA Implementation Team</w:t>
            </w:r>
          </w:p>
        </w:tc>
        <w:tc>
          <w:tcPr>
            <w:tcW w:w="1928" w:type="dxa"/>
            <w:shd w:val="clear" w:color="auto" w:fill="auto"/>
          </w:tcPr>
          <w:p w14:paraId="3D8FF08F"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21, 2019</w:t>
            </w:r>
          </w:p>
        </w:tc>
      </w:tr>
      <w:tr w:rsidR="00160AB1" w:rsidRPr="00A96337" w14:paraId="2415040C"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9283D5D" w14:textId="5855D4C4"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Merna Ziadeh</w:t>
            </w:r>
          </w:p>
        </w:tc>
        <w:tc>
          <w:tcPr>
            <w:tcW w:w="2410" w:type="dxa"/>
            <w:shd w:val="clear" w:color="auto" w:fill="auto"/>
          </w:tcPr>
          <w:p w14:paraId="57C6EAFB"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Program Manager</w:t>
            </w:r>
          </w:p>
        </w:tc>
        <w:tc>
          <w:tcPr>
            <w:tcW w:w="2410" w:type="dxa"/>
            <w:shd w:val="clear" w:color="auto" w:fill="auto"/>
          </w:tcPr>
          <w:p w14:paraId="053182FE"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APHEDA Implementation Team (Asala)</w:t>
            </w:r>
          </w:p>
        </w:tc>
        <w:tc>
          <w:tcPr>
            <w:tcW w:w="1928" w:type="dxa"/>
            <w:shd w:val="clear" w:color="auto" w:fill="auto"/>
          </w:tcPr>
          <w:p w14:paraId="577AFBA6"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21, 2019</w:t>
            </w:r>
          </w:p>
        </w:tc>
      </w:tr>
      <w:tr w:rsidR="00160AB1" w:rsidRPr="00A96337" w14:paraId="663E2A1D" w14:textId="77777777" w:rsidTr="00160AB1">
        <w:tc>
          <w:tcPr>
            <w:cnfStyle w:val="001000000000" w:firstRow="0" w:lastRow="0" w:firstColumn="1" w:lastColumn="0" w:oddVBand="0" w:evenVBand="0" w:oddHBand="0" w:evenHBand="0" w:firstRowFirstColumn="0" w:firstRowLastColumn="0" w:lastRowFirstColumn="0" w:lastRowLastColumn="0"/>
            <w:tcW w:w="7088" w:type="dxa"/>
            <w:gridSpan w:val="3"/>
            <w:shd w:val="clear" w:color="auto" w:fill="F2F2F2" w:themeFill="background1" w:themeFillShade="F2"/>
          </w:tcPr>
          <w:p w14:paraId="5548F3AF" w14:textId="77777777" w:rsidR="00160AB1" w:rsidRPr="00A96337" w:rsidRDefault="00160AB1" w:rsidP="00160AB1">
            <w:pPr>
              <w:spacing w:before="60" w:after="60"/>
              <w:ind w:left="170" w:right="170"/>
              <w:rPr>
                <w:rFonts w:ascii="Arial" w:hAnsi="Arial" w:cs="Arial"/>
                <w:sz w:val="18"/>
                <w:szCs w:val="18"/>
              </w:rPr>
            </w:pPr>
            <w:r w:rsidRPr="00A96337">
              <w:rPr>
                <w:rFonts w:ascii="Arial" w:hAnsi="Arial" w:cs="Arial"/>
                <w:sz w:val="18"/>
                <w:szCs w:val="18"/>
              </w:rPr>
              <w:t>Private Sector Actors</w:t>
            </w:r>
          </w:p>
        </w:tc>
        <w:tc>
          <w:tcPr>
            <w:tcW w:w="1928" w:type="dxa"/>
            <w:shd w:val="clear" w:color="auto" w:fill="F2F2F2" w:themeFill="background1" w:themeFillShade="F2"/>
          </w:tcPr>
          <w:p w14:paraId="6AB96AAC"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160AB1" w:rsidRPr="00A96337" w14:paraId="65524801"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9E28E5F" w14:textId="3AA68327"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037CCBA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 xml:space="preserve">Chairperson </w:t>
            </w:r>
          </w:p>
        </w:tc>
        <w:tc>
          <w:tcPr>
            <w:tcW w:w="2410" w:type="dxa"/>
            <w:shd w:val="clear" w:color="auto" w:fill="auto"/>
          </w:tcPr>
          <w:p w14:paraId="659E5462"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Golden Sheep Company</w:t>
            </w:r>
          </w:p>
        </w:tc>
        <w:tc>
          <w:tcPr>
            <w:tcW w:w="1928" w:type="dxa"/>
            <w:shd w:val="clear" w:color="auto" w:fill="auto"/>
          </w:tcPr>
          <w:p w14:paraId="061817B6"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34E7FD71"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0A1329F" w14:textId="2102366D"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31FB296"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Director</w:t>
            </w:r>
          </w:p>
        </w:tc>
        <w:tc>
          <w:tcPr>
            <w:tcW w:w="2410" w:type="dxa"/>
            <w:shd w:val="clear" w:color="auto" w:fill="auto"/>
          </w:tcPr>
          <w:p w14:paraId="52130081"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Golden Sheep Company</w:t>
            </w:r>
          </w:p>
        </w:tc>
        <w:tc>
          <w:tcPr>
            <w:tcW w:w="1928" w:type="dxa"/>
            <w:shd w:val="clear" w:color="auto" w:fill="auto"/>
          </w:tcPr>
          <w:p w14:paraId="3E0730CD"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3A44BC18"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2F2B124" w14:textId="6CEEC378"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73828ACA"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Executive Director</w:t>
            </w:r>
          </w:p>
        </w:tc>
        <w:tc>
          <w:tcPr>
            <w:tcW w:w="2410" w:type="dxa"/>
            <w:shd w:val="clear" w:color="auto" w:fill="auto"/>
          </w:tcPr>
          <w:p w14:paraId="721369FB"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Sharakat</w:t>
            </w:r>
          </w:p>
        </w:tc>
        <w:tc>
          <w:tcPr>
            <w:tcW w:w="1928" w:type="dxa"/>
            <w:shd w:val="clear" w:color="auto" w:fill="auto"/>
          </w:tcPr>
          <w:p w14:paraId="6DD5B319"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21, 2019</w:t>
            </w:r>
          </w:p>
        </w:tc>
      </w:tr>
      <w:tr w:rsidR="00160AB1" w:rsidRPr="00A96337" w14:paraId="0C1D4277"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9F0C1DA" w14:textId="1ECDC490"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2449BFEF"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Director</w:t>
            </w:r>
          </w:p>
        </w:tc>
        <w:tc>
          <w:tcPr>
            <w:tcW w:w="2410" w:type="dxa"/>
            <w:shd w:val="clear" w:color="auto" w:fill="auto"/>
          </w:tcPr>
          <w:p w14:paraId="3C54F17E"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Jenin Investment Company (APHEDA Private Sector Partner)</w:t>
            </w:r>
          </w:p>
        </w:tc>
        <w:tc>
          <w:tcPr>
            <w:tcW w:w="1928" w:type="dxa"/>
            <w:shd w:val="clear" w:color="auto" w:fill="auto"/>
          </w:tcPr>
          <w:p w14:paraId="21C1350F"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21, 2019</w:t>
            </w:r>
          </w:p>
        </w:tc>
      </w:tr>
      <w:tr w:rsidR="00160AB1" w:rsidRPr="00A96337" w14:paraId="5C1BC743"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98B83AE" w14:textId="56FA866D"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584789BE" w14:textId="46043B28"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Water well owner and avocado farmer</w:t>
            </w:r>
          </w:p>
        </w:tc>
        <w:tc>
          <w:tcPr>
            <w:tcW w:w="2410" w:type="dxa"/>
            <w:shd w:val="clear" w:color="auto" w:fill="auto"/>
          </w:tcPr>
          <w:p w14:paraId="4B7C2E91"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Azoun cooperative</w:t>
            </w:r>
          </w:p>
        </w:tc>
        <w:tc>
          <w:tcPr>
            <w:tcW w:w="1928" w:type="dxa"/>
            <w:shd w:val="clear" w:color="auto" w:fill="auto"/>
          </w:tcPr>
          <w:p w14:paraId="761343C5"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0189013D"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0B8485B" w14:textId="6403F3B0"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28BC9DEE" w14:textId="5D90FA6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 and member at the cooperative benefiting from AFAQ and Golden Sheep services</w:t>
            </w:r>
          </w:p>
        </w:tc>
        <w:tc>
          <w:tcPr>
            <w:tcW w:w="2410" w:type="dxa"/>
            <w:shd w:val="clear" w:color="auto" w:fill="auto"/>
          </w:tcPr>
          <w:p w14:paraId="67038940"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Al-jadedeh cooperative</w:t>
            </w:r>
          </w:p>
        </w:tc>
        <w:tc>
          <w:tcPr>
            <w:tcW w:w="1928" w:type="dxa"/>
            <w:shd w:val="clear" w:color="auto" w:fill="auto"/>
          </w:tcPr>
          <w:p w14:paraId="0DB55BA2"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28279FB9"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0013B29" w14:textId="06A89CF4"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4A4737A3"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Chairman</w:t>
            </w:r>
          </w:p>
        </w:tc>
        <w:tc>
          <w:tcPr>
            <w:tcW w:w="2410" w:type="dxa"/>
            <w:shd w:val="clear" w:color="auto" w:fill="auto"/>
          </w:tcPr>
          <w:p w14:paraId="292E3FD8"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North Hebron Chamber of Commerce Industry and Agriculture</w:t>
            </w:r>
          </w:p>
        </w:tc>
        <w:tc>
          <w:tcPr>
            <w:tcW w:w="1928" w:type="dxa"/>
            <w:shd w:val="clear" w:color="auto" w:fill="auto"/>
          </w:tcPr>
          <w:p w14:paraId="6E5403E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783C6181"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327432B" w14:textId="0D99F357"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4487C9F" w14:textId="353441AC"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Head of the board of director</w:t>
            </w:r>
          </w:p>
        </w:tc>
        <w:tc>
          <w:tcPr>
            <w:tcW w:w="2410" w:type="dxa"/>
            <w:shd w:val="clear" w:color="auto" w:fill="auto"/>
          </w:tcPr>
          <w:p w14:paraId="4BE1BBD9"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Hebron agriculture cooperative</w:t>
            </w:r>
          </w:p>
        </w:tc>
        <w:tc>
          <w:tcPr>
            <w:tcW w:w="1928" w:type="dxa"/>
            <w:shd w:val="clear" w:color="auto" w:fill="auto"/>
          </w:tcPr>
          <w:p w14:paraId="2DF056BD"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0529D124"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F7591B1" w14:textId="66191B02"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1C6308A6"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General Director</w:t>
            </w:r>
          </w:p>
        </w:tc>
        <w:tc>
          <w:tcPr>
            <w:tcW w:w="2410" w:type="dxa"/>
            <w:shd w:val="clear" w:color="auto" w:fill="auto"/>
          </w:tcPr>
          <w:p w14:paraId="1E4F7783"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AFAQ</w:t>
            </w:r>
          </w:p>
        </w:tc>
        <w:tc>
          <w:tcPr>
            <w:tcW w:w="1928" w:type="dxa"/>
            <w:shd w:val="clear" w:color="auto" w:fill="auto"/>
          </w:tcPr>
          <w:p w14:paraId="69A8A0B3"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132D6C12"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0490AF3" w14:textId="6C2E03BA"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7D35E0F1" w14:textId="3F6995AA"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Marketing officer</w:t>
            </w:r>
          </w:p>
        </w:tc>
        <w:tc>
          <w:tcPr>
            <w:tcW w:w="2410" w:type="dxa"/>
            <w:shd w:val="clear" w:color="auto" w:fill="auto"/>
          </w:tcPr>
          <w:p w14:paraId="1703877F"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Bair Zeit university students</w:t>
            </w:r>
          </w:p>
        </w:tc>
        <w:tc>
          <w:tcPr>
            <w:tcW w:w="1928" w:type="dxa"/>
            <w:shd w:val="clear" w:color="auto" w:fill="auto"/>
          </w:tcPr>
          <w:p w14:paraId="7D71D60B"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33929D66"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0979C9F" w14:textId="3C51D4E8"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3604E6F" w14:textId="0CE1EA71"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 xml:space="preserve">General manager </w:t>
            </w:r>
          </w:p>
        </w:tc>
        <w:tc>
          <w:tcPr>
            <w:tcW w:w="2410" w:type="dxa"/>
            <w:shd w:val="clear" w:color="auto" w:fill="auto"/>
          </w:tcPr>
          <w:p w14:paraId="00ADEDE4"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Saniora company</w:t>
            </w:r>
          </w:p>
        </w:tc>
        <w:tc>
          <w:tcPr>
            <w:tcW w:w="1928" w:type="dxa"/>
            <w:shd w:val="clear" w:color="auto" w:fill="auto"/>
          </w:tcPr>
          <w:p w14:paraId="2B8BF715"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5127E17A"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AAD1CF3" w14:textId="2A619622"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7E3C4BA9" w14:textId="5B2A1D26"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Business development manager</w:t>
            </w:r>
          </w:p>
        </w:tc>
        <w:tc>
          <w:tcPr>
            <w:tcW w:w="2410" w:type="dxa"/>
            <w:shd w:val="clear" w:color="auto" w:fill="auto"/>
          </w:tcPr>
          <w:p w14:paraId="6A2F8F7C"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Alhedmey company</w:t>
            </w:r>
          </w:p>
        </w:tc>
        <w:tc>
          <w:tcPr>
            <w:tcW w:w="1928" w:type="dxa"/>
            <w:shd w:val="clear" w:color="auto" w:fill="auto"/>
          </w:tcPr>
          <w:p w14:paraId="3DA07EA9"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6186BB05"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201D520" w14:textId="7CC9659F"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1B59CAE6" w14:textId="02901200"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Marketing officer</w:t>
            </w:r>
          </w:p>
        </w:tc>
        <w:tc>
          <w:tcPr>
            <w:tcW w:w="2410" w:type="dxa"/>
            <w:shd w:val="clear" w:color="auto" w:fill="auto"/>
          </w:tcPr>
          <w:p w14:paraId="5EC99BB8"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Imarets delights company</w:t>
            </w:r>
          </w:p>
        </w:tc>
        <w:tc>
          <w:tcPr>
            <w:tcW w:w="1928" w:type="dxa"/>
            <w:shd w:val="clear" w:color="auto" w:fill="auto"/>
          </w:tcPr>
          <w:p w14:paraId="633E3AB0"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p w14:paraId="7767BB3B" w14:textId="31213D6D"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60AB1" w:rsidRPr="00A96337" w14:paraId="0747BCCE" w14:textId="77777777" w:rsidTr="000E1846">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F2F2F2" w:themeFill="background1" w:themeFillShade="F2"/>
          </w:tcPr>
          <w:p w14:paraId="08C1A0F0" w14:textId="77777777" w:rsidR="00160AB1" w:rsidRPr="00A96337" w:rsidRDefault="00160AB1" w:rsidP="00160AB1">
            <w:pPr>
              <w:spacing w:before="60" w:after="60"/>
              <w:ind w:left="170" w:right="170"/>
              <w:rPr>
                <w:rFonts w:ascii="Arial" w:hAnsi="Arial" w:cs="Arial"/>
                <w:sz w:val="18"/>
                <w:szCs w:val="18"/>
              </w:rPr>
            </w:pPr>
            <w:r w:rsidRPr="00A96337">
              <w:rPr>
                <w:rFonts w:ascii="Arial" w:hAnsi="Arial" w:cs="Arial"/>
                <w:sz w:val="18"/>
                <w:szCs w:val="18"/>
              </w:rPr>
              <w:t>Beneficiaries</w:t>
            </w:r>
          </w:p>
        </w:tc>
      </w:tr>
      <w:tr w:rsidR="00160AB1" w:rsidRPr="00A96337" w14:paraId="6B4D12B2"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622E55A" w14:textId="554C8BB5"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3C5A893"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Chairwoman &amp; Technical Operator</w:t>
            </w:r>
          </w:p>
        </w:tc>
        <w:tc>
          <w:tcPr>
            <w:tcW w:w="2410" w:type="dxa"/>
            <w:shd w:val="clear" w:color="auto" w:fill="auto"/>
          </w:tcPr>
          <w:p w14:paraId="30E10B69"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Beit Fourik Milk Collection Hub</w:t>
            </w:r>
          </w:p>
        </w:tc>
        <w:tc>
          <w:tcPr>
            <w:tcW w:w="1928" w:type="dxa"/>
            <w:shd w:val="clear" w:color="auto" w:fill="auto"/>
          </w:tcPr>
          <w:p w14:paraId="447F8639"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27, 2019</w:t>
            </w:r>
          </w:p>
        </w:tc>
      </w:tr>
      <w:tr w:rsidR="00160AB1" w:rsidRPr="00A96337" w14:paraId="054F362C"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6D31647" w14:textId="74987DD6"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B0A4C93"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 xml:space="preserve">Head of milk collection hub </w:t>
            </w:r>
          </w:p>
        </w:tc>
        <w:tc>
          <w:tcPr>
            <w:tcW w:w="2410" w:type="dxa"/>
            <w:shd w:val="clear" w:color="auto" w:fill="auto"/>
          </w:tcPr>
          <w:p w14:paraId="052898BE"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Beit Fourik Milk Collection Hub</w:t>
            </w:r>
          </w:p>
        </w:tc>
        <w:tc>
          <w:tcPr>
            <w:tcW w:w="1928" w:type="dxa"/>
            <w:shd w:val="clear" w:color="auto" w:fill="auto"/>
          </w:tcPr>
          <w:p w14:paraId="017875E3"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26, 2019</w:t>
            </w:r>
          </w:p>
        </w:tc>
      </w:tr>
      <w:tr w:rsidR="00160AB1" w:rsidRPr="00A96337" w14:paraId="580E4FC8"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ADDEC02" w14:textId="192067D7"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3EB3ECA4"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178A16F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Beit Fourik Milk Collection Hub</w:t>
            </w:r>
          </w:p>
        </w:tc>
        <w:tc>
          <w:tcPr>
            <w:tcW w:w="1928" w:type="dxa"/>
            <w:shd w:val="clear" w:color="auto" w:fill="auto"/>
          </w:tcPr>
          <w:p w14:paraId="27A09F5C"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26, 2019</w:t>
            </w:r>
          </w:p>
        </w:tc>
      </w:tr>
      <w:tr w:rsidR="00160AB1" w:rsidRPr="00A96337" w14:paraId="227D6D1A"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81790CF" w14:textId="0B3C6891"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7B1B3747"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5E249614"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Beit Fourik Milk Collection Hub</w:t>
            </w:r>
          </w:p>
        </w:tc>
        <w:tc>
          <w:tcPr>
            <w:tcW w:w="1928" w:type="dxa"/>
            <w:shd w:val="clear" w:color="auto" w:fill="auto"/>
          </w:tcPr>
          <w:p w14:paraId="3C9E5DB3"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26, 2019</w:t>
            </w:r>
          </w:p>
        </w:tc>
      </w:tr>
      <w:tr w:rsidR="00160AB1" w:rsidRPr="00A96337" w14:paraId="523B6758"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0CF4674" w14:textId="278444C4"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ACE98F8"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12CF5137"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Beit Fourik Milk Collection Hub</w:t>
            </w:r>
          </w:p>
        </w:tc>
        <w:tc>
          <w:tcPr>
            <w:tcW w:w="1928" w:type="dxa"/>
            <w:shd w:val="clear" w:color="auto" w:fill="auto"/>
          </w:tcPr>
          <w:p w14:paraId="366B6CD8"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26, 2019</w:t>
            </w:r>
          </w:p>
        </w:tc>
      </w:tr>
      <w:tr w:rsidR="00160AB1" w:rsidRPr="00A96337" w14:paraId="57676F53"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BF882BE" w14:textId="184ECEA0"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17BCA2D2"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3ABF0611"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Beit Fourik Milk Collection Hub</w:t>
            </w:r>
          </w:p>
        </w:tc>
        <w:tc>
          <w:tcPr>
            <w:tcW w:w="1928" w:type="dxa"/>
            <w:shd w:val="clear" w:color="auto" w:fill="auto"/>
          </w:tcPr>
          <w:p w14:paraId="4D58815B"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26, 2019</w:t>
            </w:r>
          </w:p>
        </w:tc>
      </w:tr>
      <w:tr w:rsidR="00160AB1" w:rsidRPr="00A96337" w14:paraId="10A1D62E"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626B93E" w14:textId="2259852D"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069D3D31"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59414715"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Bardala CBO Milk Collection Hub</w:t>
            </w:r>
          </w:p>
        </w:tc>
        <w:tc>
          <w:tcPr>
            <w:tcW w:w="1928" w:type="dxa"/>
            <w:shd w:val="clear" w:color="auto" w:fill="auto"/>
          </w:tcPr>
          <w:p w14:paraId="3850D901"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6649EBED"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BA25BE2" w14:textId="5F56D9E6"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0EABB749"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6CA31840"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Bardala CBO Milk Collection Hub</w:t>
            </w:r>
          </w:p>
        </w:tc>
        <w:tc>
          <w:tcPr>
            <w:tcW w:w="1928" w:type="dxa"/>
            <w:shd w:val="clear" w:color="auto" w:fill="auto"/>
          </w:tcPr>
          <w:p w14:paraId="47E639F3"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0CDF9E3F"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CECDC55" w14:textId="21F2427E"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5CD7EAB"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17816581"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Al Nassarieh CBO Milk Collection Hub</w:t>
            </w:r>
          </w:p>
        </w:tc>
        <w:tc>
          <w:tcPr>
            <w:tcW w:w="1928" w:type="dxa"/>
            <w:shd w:val="clear" w:color="auto" w:fill="auto"/>
          </w:tcPr>
          <w:p w14:paraId="5A1FB13F"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70F4C10F"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9C6A0FD" w14:textId="65EDB1DD"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541AFC66"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2A51C3E0"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Faquaa CBO</w:t>
            </w:r>
          </w:p>
        </w:tc>
        <w:tc>
          <w:tcPr>
            <w:tcW w:w="1928" w:type="dxa"/>
            <w:shd w:val="clear" w:color="auto" w:fill="auto"/>
          </w:tcPr>
          <w:p w14:paraId="1DD434A8"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2E87BD8D"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89F46D8" w14:textId="6ACD602C"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116DC9FA"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3BEA38E3"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Al Yamouni Feed Factory</w:t>
            </w:r>
          </w:p>
        </w:tc>
        <w:tc>
          <w:tcPr>
            <w:tcW w:w="1928" w:type="dxa"/>
            <w:shd w:val="clear" w:color="auto" w:fill="auto"/>
          </w:tcPr>
          <w:p w14:paraId="239537BB"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6294F8DF"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87FA20A" w14:textId="63EF5F9C"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43782EFA"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74AF0263"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Al Yamouni Feed Factory</w:t>
            </w:r>
          </w:p>
        </w:tc>
        <w:tc>
          <w:tcPr>
            <w:tcW w:w="1928" w:type="dxa"/>
            <w:shd w:val="clear" w:color="auto" w:fill="auto"/>
          </w:tcPr>
          <w:p w14:paraId="78FB7A6F"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6D6379ED"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81C694B" w14:textId="7133C59A"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45001366"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2EF50FE4"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Al Byara Dairy Factory</w:t>
            </w:r>
          </w:p>
        </w:tc>
        <w:tc>
          <w:tcPr>
            <w:tcW w:w="1928" w:type="dxa"/>
            <w:shd w:val="clear" w:color="auto" w:fill="auto"/>
          </w:tcPr>
          <w:p w14:paraId="0A6F5D85"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667DB20A"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C49654C" w14:textId="6A308E4B"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46BFD32D"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48153286"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Natural Alternatives- Badael Tabeeieh Silage Factory</w:t>
            </w:r>
          </w:p>
        </w:tc>
        <w:tc>
          <w:tcPr>
            <w:tcW w:w="1928" w:type="dxa"/>
            <w:shd w:val="clear" w:color="auto" w:fill="auto"/>
          </w:tcPr>
          <w:p w14:paraId="70401BF6"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6961D81E"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F240544" w14:textId="63CFBC12"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23EB0787"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0A8C8968" w14:textId="293F89F4"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Silage Intervention</w:t>
            </w:r>
          </w:p>
        </w:tc>
        <w:tc>
          <w:tcPr>
            <w:tcW w:w="1928" w:type="dxa"/>
            <w:shd w:val="clear" w:color="auto" w:fill="auto"/>
          </w:tcPr>
          <w:p w14:paraId="4C801992"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49716403"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9ACEE2F" w14:textId="336EDCCD"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2A3A6182"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1CBB894D" w14:textId="3CD5773B"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Silage Intervention</w:t>
            </w:r>
          </w:p>
        </w:tc>
        <w:tc>
          <w:tcPr>
            <w:tcW w:w="1928" w:type="dxa"/>
            <w:shd w:val="clear" w:color="auto" w:fill="auto"/>
          </w:tcPr>
          <w:p w14:paraId="618F16FA"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0ABC5FCD"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E16B636" w14:textId="3F196B48"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858F767"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381816B1" w14:textId="5338C3B0"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Milk Powder Intervention</w:t>
            </w:r>
          </w:p>
        </w:tc>
        <w:tc>
          <w:tcPr>
            <w:tcW w:w="1928" w:type="dxa"/>
            <w:shd w:val="clear" w:color="auto" w:fill="auto"/>
          </w:tcPr>
          <w:p w14:paraId="0F2B49D6"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25,2019</w:t>
            </w:r>
          </w:p>
        </w:tc>
      </w:tr>
      <w:tr w:rsidR="00160AB1" w:rsidRPr="00A96337" w14:paraId="1F8F79CC"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7B3F2C4" w14:textId="4D357595"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4D754B5A"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27D8A92B" w14:textId="54D13460"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Milk Powder Intervention</w:t>
            </w:r>
          </w:p>
        </w:tc>
        <w:tc>
          <w:tcPr>
            <w:tcW w:w="1928" w:type="dxa"/>
            <w:shd w:val="clear" w:color="auto" w:fill="auto"/>
          </w:tcPr>
          <w:p w14:paraId="3DDE988F"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25,2019</w:t>
            </w:r>
          </w:p>
        </w:tc>
      </w:tr>
      <w:tr w:rsidR="00160AB1" w:rsidRPr="00A96337" w14:paraId="7C64B27E"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E404466" w14:textId="16ECB976"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28CED38"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53757A53" w14:textId="62DD43D6"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Milk Powder Intervention</w:t>
            </w:r>
          </w:p>
        </w:tc>
        <w:tc>
          <w:tcPr>
            <w:tcW w:w="1928" w:type="dxa"/>
            <w:shd w:val="clear" w:color="auto" w:fill="auto"/>
          </w:tcPr>
          <w:p w14:paraId="5CE29B17"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25,2019</w:t>
            </w:r>
          </w:p>
        </w:tc>
      </w:tr>
      <w:tr w:rsidR="00160AB1" w:rsidRPr="00A96337" w14:paraId="0DFC0968"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E20969E" w14:textId="12939FAA"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033EF535"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2151A283" w14:textId="78B1CCAA"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Milk Powder Intervention</w:t>
            </w:r>
          </w:p>
        </w:tc>
        <w:tc>
          <w:tcPr>
            <w:tcW w:w="1928" w:type="dxa"/>
            <w:shd w:val="clear" w:color="auto" w:fill="auto"/>
          </w:tcPr>
          <w:p w14:paraId="53D42E2B"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25,2019</w:t>
            </w:r>
          </w:p>
        </w:tc>
      </w:tr>
      <w:tr w:rsidR="00160AB1" w:rsidRPr="00A96337" w14:paraId="4F4D6B12"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9018FD5" w14:textId="4460EE49"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BF7A8EE"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1718A867" w14:textId="1D5EF2D4"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High Protein Intervention</w:t>
            </w:r>
          </w:p>
        </w:tc>
        <w:tc>
          <w:tcPr>
            <w:tcW w:w="1928" w:type="dxa"/>
            <w:shd w:val="clear" w:color="auto" w:fill="auto"/>
          </w:tcPr>
          <w:p w14:paraId="2801274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37DF4F95"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81170EC" w14:textId="55A242D5"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0025F058"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4A8214F1" w14:textId="7CFA6C75"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High Protein Intervention</w:t>
            </w:r>
          </w:p>
        </w:tc>
        <w:tc>
          <w:tcPr>
            <w:tcW w:w="1928" w:type="dxa"/>
            <w:shd w:val="clear" w:color="auto" w:fill="auto"/>
          </w:tcPr>
          <w:p w14:paraId="7B6A4B7F"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46287BA0"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CFCD821" w14:textId="4CEAB6D3"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5AFC2B06"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170B787F" w14:textId="1C2DD9F5"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High Protein Intervention</w:t>
            </w:r>
          </w:p>
        </w:tc>
        <w:tc>
          <w:tcPr>
            <w:tcW w:w="1928" w:type="dxa"/>
            <w:shd w:val="clear" w:color="auto" w:fill="auto"/>
          </w:tcPr>
          <w:p w14:paraId="2E1A6885"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40832DAC"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A1B83A4" w14:textId="6374A780"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2C95EE3D"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0EE174D4" w14:textId="075C94A8"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Safer Product Intervention</w:t>
            </w:r>
          </w:p>
        </w:tc>
        <w:tc>
          <w:tcPr>
            <w:tcW w:w="1928" w:type="dxa"/>
            <w:shd w:val="clear" w:color="auto" w:fill="auto"/>
          </w:tcPr>
          <w:p w14:paraId="7A4B943F"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5EE71F8F"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37BF1D6" w14:textId="0D4AB417"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44F943C2"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29A938FA" w14:textId="76E82C3B"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Safer Product Intervention</w:t>
            </w:r>
          </w:p>
        </w:tc>
        <w:tc>
          <w:tcPr>
            <w:tcW w:w="1928" w:type="dxa"/>
            <w:shd w:val="clear" w:color="auto" w:fill="auto"/>
          </w:tcPr>
          <w:p w14:paraId="5BFB9DF1"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2BA57AAA"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3B29833" w14:textId="05EBA0FD"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5585C1E8"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076CB1E8" w14:textId="489B519E"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Safer Product Intervention</w:t>
            </w:r>
          </w:p>
        </w:tc>
        <w:tc>
          <w:tcPr>
            <w:tcW w:w="1928" w:type="dxa"/>
            <w:shd w:val="clear" w:color="auto" w:fill="auto"/>
          </w:tcPr>
          <w:p w14:paraId="6FF1D5D7"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06D3B126"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65F926B" w14:textId="3B8BBA17"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1B80D15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37ECA2FE" w14:textId="06E87B82"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Safer Product Intervention</w:t>
            </w:r>
          </w:p>
        </w:tc>
        <w:tc>
          <w:tcPr>
            <w:tcW w:w="1928" w:type="dxa"/>
            <w:shd w:val="clear" w:color="auto" w:fill="auto"/>
          </w:tcPr>
          <w:p w14:paraId="0C35CBAF"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1E1E06FA"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23FB79B" w14:textId="7A6ED653"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1735CA5"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21B60DA6" w14:textId="1F830ED5"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Safer Product Intervention</w:t>
            </w:r>
          </w:p>
        </w:tc>
        <w:tc>
          <w:tcPr>
            <w:tcW w:w="1928" w:type="dxa"/>
            <w:shd w:val="clear" w:color="auto" w:fill="auto"/>
          </w:tcPr>
          <w:p w14:paraId="60364C67"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0DBB1339"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0FE6C75" w14:textId="0921236B"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3B936A7E"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21694123" w14:textId="5669D8E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Safer Product Intervention</w:t>
            </w:r>
          </w:p>
        </w:tc>
        <w:tc>
          <w:tcPr>
            <w:tcW w:w="1928" w:type="dxa"/>
            <w:shd w:val="clear" w:color="auto" w:fill="auto"/>
          </w:tcPr>
          <w:p w14:paraId="5DF4A717"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5C5D454D"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CDD1A77" w14:textId="57587DB0"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294D403E"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13A64B6A" w14:textId="1DFB15CA"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Gherkin Intervention</w:t>
            </w:r>
          </w:p>
        </w:tc>
        <w:tc>
          <w:tcPr>
            <w:tcW w:w="1928" w:type="dxa"/>
            <w:shd w:val="clear" w:color="auto" w:fill="auto"/>
          </w:tcPr>
          <w:p w14:paraId="6DA7E085"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4168B899"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13885E6" w14:textId="78DA9D27"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707583BF"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674C2342" w14:textId="0701D236"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Gherkin Intervention</w:t>
            </w:r>
          </w:p>
        </w:tc>
        <w:tc>
          <w:tcPr>
            <w:tcW w:w="1928" w:type="dxa"/>
            <w:shd w:val="clear" w:color="auto" w:fill="auto"/>
          </w:tcPr>
          <w:p w14:paraId="6EF17D81"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3F8F0150"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97E8D70" w14:textId="75CBE7A9"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3704E2F2"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51832EE9" w14:textId="463493AF"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Gherkin Intervention</w:t>
            </w:r>
          </w:p>
        </w:tc>
        <w:tc>
          <w:tcPr>
            <w:tcW w:w="1928" w:type="dxa"/>
            <w:shd w:val="clear" w:color="auto" w:fill="auto"/>
          </w:tcPr>
          <w:p w14:paraId="30AB880C"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26750434"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C322271" w14:textId="2A834066"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5A6034B9"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37D377CC" w14:textId="6305B0C5"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Water Network Intervention</w:t>
            </w:r>
          </w:p>
        </w:tc>
        <w:tc>
          <w:tcPr>
            <w:tcW w:w="1928" w:type="dxa"/>
            <w:shd w:val="clear" w:color="auto" w:fill="auto"/>
          </w:tcPr>
          <w:p w14:paraId="46A797B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7EE8D082"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22F10DC" w14:textId="084A423B"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12A6BD30"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21B49841" w14:textId="000B3000"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Agricultural Roads</w:t>
            </w:r>
          </w:p>
        </w:tc>
        <w:tc>
          <w:tcPr>
            <w:tcW w:w="1928" w:type="dxa"/>
            <w:shd w:val="clear" w:color="auto" w:fill="auto"/>
          </w:tcPr>
          <w:p w14:paraId="2841C9D6"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419C9F23"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4940D27" w14:textId="23DB7540"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7EC969CE"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0FECFF79" w14:textId="58431D76"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Roads &amp; Water Networks Intervention</w:t>
            </w:r>
          </w:p>
        </w:tc>
        <w:tc>
          <w:tcPr>
            <w:tcW w:w="1928" w:type="dxa"/>
            <w:shd w:val="clear" w:color="auto" w:fill="auto"/>
          </w:tcPr>
          <w:p w14:paraId="12116D59"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7F0DE439"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091D736" w14:textId="352DEB59"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5F9EFC2"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406FC7B5"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Beneficiary</w:t>
            </w:r>
          </w:p>
        </w:tc>
        <w:tc>
          <w:tcPr>
            <w:tcW w:w="1928" w:type="dxa"/>
            <w:shd w:val="clear" w:color="auto" w:fill="auto"/>
          </w:tcPr>
          <w:p w14:paraId="1B4D499E"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17808571"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2F956E4" w14:textId="3DAA79AB"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42875028"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Farmer/Breeder</w:t>
            </w:r>
          </w:p>
        </w:tc>
        <w:tc>
          <w:tcPr>
            <w:tcW w:w="2410" w:type="dxa"/>
            <w:shd w:val="clear" w:color="auto" w:fill="auto"/>
          </w:tcPr>
          <w:p w14:paraId="5C1AD483"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Beneficiary</w:t>
            </w:r>
          </w:p>
        </w:tc>
        <w:tc>
          <w:tcPr>
            <w:tcW w:w="1928" w:type="dxa"/>
            <w:shd w:val="clear" w:color="auto" w:fill="auto"/>
          </w:tcPr>
          <w:p w14:paraId="0C579875"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69236D72"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88BF7B9" w14:textId="500A61C6"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CAB4C78"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Yoghurt Seller</w:t>
            </w:r>
          </w:p>
        </w:tc>
        <w:tc>
          <w:tcPr>
            <w:tcW w:w="2410" w:type="dxa"/>
            <w:shd w:val="clear" w:color="auto" w:fill="auto"/>
          </w:tcPr>
          <w:p w14:paraId="02A196C0"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Beneficiary</w:t>
            </w:r>
          </w:p>
        </w:tc>
        <w:tc>
          <w:tcPr>
            <w:tcW w:w="1928" w:type="dxa"/>
            <w:shd w:val="clear" w:color="auto" w:fill="auto"/>
          </w:tcPr>
          <w:p w14:paraId="0C2100AC"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02146DA9"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F2AB0A2" w14:textId="3955BBCD"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73C6F590"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Animator</w:t>
            </w:r>
          </w:p>
        </w:tc>
        <w:tc>
          <w:tcPr>
            <w:tcW w:w="2410" w:type="dxa"/>
            <w:shd w:val="clear" w:color="auto" w:fill="auto"/>
          </w:tcPr>
          <w:p w14:paraId="32C796CA"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Beneficiary</w:t>
            </w:r>
          </w:p>
        </w:tc>
        <w:tc>
          <w:tcPr>
            <w:tcW w:w="1928" w:type="dxa"/>
            <w:shd w:val="clear" w:color="auto" w:fill="auto"/>
          </w:tcPr>
          <w:p w14:paraId="2DF0986E"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3BEEA55C"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4BF9AA0" w14:textId="29127D44"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259BC8BE"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Animator</w:t>
            </w:r>
          </w:p>
        </w:tc>
        <w:tc>
          <w:tcPr>
            <w:tcW w:w="2410" w:type="dxa"/>
            <w:shd w:val="clear" w:color="auto" w:fill="auto"/>
          </w:tcPr>
          <w:p w14:paraId="6470D89E"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Beneficiary</w:t>
            </w:r>
          </w:p>
        </w:tc>
        <w:tc>
          <w:tcPr>
            <w:tcW w:w="1928" w:type="dxa"/>
            <w:shd w:val="clear" w:color="auto" w:fill="auto"/>
          </w:tcPr>
          <w:p w14:paraId="58331D0F"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492342AD"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D4A9D40" w14:textId="455C72B8"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427F907E"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Animator</w:t>
            </w:r>
          </w:p>
        </w:tc>
        <w:tc>
          <w:tcPr>
            <w:tcW w:w="2410" w:type="dxa"/>
            <w:shd w:val="clear" w:color="auto" w:fill="auto"/>
          </w:tcPr>
          <w:p w14:paraId="32D70F5C"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Beneficiary</w:t>
            </w:r>
          </w:p>
        </w:tc>
        <w:tc>
          <w:tcPr>
            <w:tcW w:w="1928" w:type="dxa"/>
            <w:shd w:val="clear" w:color="auto" w:fill="auto"/>
          </w:tcPr>
          <w:p w14:paraId="7F75113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055D11AF"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8C1C7E1" w14:textId="06A9CE98"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D1DE531"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Animator</w:t>
            </w:r>
          </w:p>
        </w:tc>
        <w:tc>
          <w:tcPr>
            <w:tcW w:w="2410" w:type="dxa"/>
            <w:shd w:val="clear" w:color="auto" w:fill="auto"/>
          </w:tcPr>
          <w:p w14:paraId="2EEE7C91"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Beneficiary</w:t>
            </w:r>
          </w:p>
        </w:tc>
        <w:tc>
          <w:tcPr>
            <w:tcW w:w="1928" w:type="dxa"/>
            <w:shd w:val="clear" w:color="auto" w:fill="auto"/>
          </w:tcPr>
          <w:p w14:paraId="0E2D9295"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48335868"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E7C18D9" w14:textId="3B675737"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59D23876"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Animator</w:t>
            </w:r>
          </w:p>
        </w:tc>
        <w:tc>
          <w:tcPr>
            <w:tcW w:w="2410" w:type="dxa"/>
            <w:shd w:val="clear" w:color="auto" w:fill="auto"/>
          </w:tcPr>
          <w:p w14:paraId="70CCFBD4"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CARE Beneficiary</w:t>
            </w:r>
          </w:p>
        </w:tc>
        <w:tc>
          <w:tcPr>
            <w:tcW w:w="1928" w:type="dxa"/>
            <w:shd w:val="clear" w:color="auto" w:fill="auto"/>
          </w:tcPr>
          <w:p w14:paraId="02E5E29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44480B89"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4D37089" w14:textId="0689A317"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E91380B"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541FFD00"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CARE Beneficiary</w:t>
            </w:r>
          </w:p>
        </w:tc>
        <w:tc>
          <w:tcPr>
            <w:tcW w:w="1928" w:type="dxa"/>
            <w:shd w:val="clear" w:color="auto" w:fill="auto"/>
          </w:tcPr>
          <w:p w14:paraId="6A39BE57"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25, 2019</w:t>
            </w:r>
          </w:p>
        </w:tc>
      </w:tr>
      <w:tr w:rsidR="00160AB1" w:rsidRPr="00A96337" w14:paraId="2E9E95EC"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AEF713F" w14:textId="69424F1E"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ED835A1"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778E6715"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OXFAM Beneficiary</w:t>
            </w:r>
          </w:p>
        </w:tc>
        <w:tc>
          <w:tcPr>
            <w:tcW w:w="1928" w:type="dxa"/>
            <w:shd w:val="clear" w:color="auto" w:fill="auto"/>
          </w:tcPr>
          <w:p w14:paraId="2D158BB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2A277574"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4EA446C" w14:textId="2FE220B8"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7A4F93DC"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59E85AB4"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OXFAM Beneficiary</w:t>
            </w:r>
          </w:p>
        </w:tc>
        <w:tc>
          <w:tcPr>
            <w:tcW w:w="1928" w:type="dxa"/>
            <w:shd w:val="clear" w:color="auto" w:fill="auto"/>
          </w:tcPr>
          <w:p w14:paraId="41EC87ED"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52C0E070"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6D19B43" w14:textId="110DFF20"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723E350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57861A26"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OXFAM Beneficiary</w:t>
            </w:r>
          </w:p>
        </w:tc>
        <w:tc>
          <w:tcPr>
            <w:tcW w:w="1928" w:type="dxa"/>
            <w:shd w:val="clear" w:color="auto" w:fill="auto"/>
          </w:tcPr>
          <w:p w14:paraId="4EA60955"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7B7CF573"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C6F0B5E" w14:textId="61011EA7"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5B13F774"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280902F8"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OXFAM Beneficiary</w:t>
            </w:r>
          </w:p>
        </w:tc>
        <w:tc>
          <w:tcPr>
            <w:tcW w:w="1928" w:type="dxa"/>
            <w:shd w:val="clear" w:color="auto" w:fill="auto"/>
          </w:tcPr>
          <w:p w14:paraId="7CC3B829"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0B1D2044"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3E14706" w14:textId="0301D712"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746E6999"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4AD60A2B"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OXFAM Beneficiary</w:t>
            </w:r>
          </w:p>
        </w:tc>
        <w:tc>
          <w:tcPr>
            <w:tcW w:w="1928" w:type="dxa"/>
            <w:shd w:val="clear" w:color="auto" w:fill="auto"/>
          </w:tcPr>
          <w:p w14:paraId="1050E991"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6AC3F09B"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76B9A34" w14:textId="78A47E50"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7607C45C"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2304E6D9"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OXFAM Beneficiary</w:t>
            </w:r>
          </w:p>
        </w:tc>
        <w:tc>
          <w:tcPr>
            <w:tcW w:w="1928" w:type="dxa"/>
            <w:shd w:val="clear" w:color="auto" w:fill="auto"/>
          </w:tcPr>
          <w:p w14:paraId="0E18DC31"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0C14C311"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9F25BF9" w14:textId="598ECCC8"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61BF4E59"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032DA5F2"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OXFAM Beneficiary</w:t>
            </w:r>
          </w:p>
        </w:tc>
        <w:tc>
          <w:tcPr>
            <w:tcW w:w="1928" w:type="dxa"/>
            <w:shd w:val="clear" w:color="auto" w:fill="auto"/>
          </w:tcPr>
          <w:p w14:paraId="0943E0D3"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3CE13A03"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38C276E" w14:textId="56530007"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02D15D64"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34F87B47"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OXFAM Beneficiary</w:t>
            </w:r>
          </w:p>
        </w:tc>
        <w:tc>
          <w:tcPr>
            <w:tcW w:w="1928" w:type="dxa"/>
            <w:shd w:val="clear" w:color="auto" w:fill="auto"/>
          </w:tcPr>
          <w:p w14:paraId="3B9E243E"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44412F0B"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77B569D" w14:textId="4934F18C"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41B6907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13D1E1E1"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OXFAM Beneficiary</w:t>
            </w:r>
          </w:p>
        </w:tc>
        <w:tc>
          <w:tcPr>
            <w:tcW w:w="1928" w:type="dxa"/>
            <w:shd w:val="clear" w:color="auto" w:fill="auto"/>
          </w:tcPr>
          <w:p w14:paraId="75D33FB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6E25561D"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3B69CBB" w14:textId="0F235C02"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5FA75C57"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w:t>
            </w:r>
          </w:p>
        </w:tc>
        <w:tc>
          <w:tcPr>
            <w:tcW w:w="2410" w:type="dxa"/>
            <w:shd w:val="clear" w:color="auto" w:fill="auto"/>
          </w:tcPr>
          <w:p w14:paraId="328E6E77"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OXFAM Beneficiary</w:t>
            </w:r>
          </w:p>
        </w:tc>
        <w:tc>
          <w:tcPr>
            <w:tcW w:w="1928" w:type="dxa"/>
            <w:shd w:val="clear" w:color="auto" w:fill="auto"/>
          </w:tcPr>
          <w:p w14:paraId="1D30A48C"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24, 2019</w:t>
            </w:r>
          </w:p>
        </w:tc>
      </w:tr>
      <w:tr w:rsidR="00160AB1" w:rsidRPr="00A96337" w14:paraId="4F132654"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9658CC6" w14:textId="5A8D6B87"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37D653AF"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Cooperative’ olive campaign contractors</w:t>
            </w:r>
          </w:p>
        </w:tc>
        <w:tc>
          <w:tcPr>
            <w:tcW w:w="2410" w:type="dxa"/>
            <w:shd w:val="clear" w:color="auto" w:fill="auto"/>
          </w:tcPr>
          <w:p w14:paraId="34552C8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OXFAM Beneficiary</w:t>
            </w:r>
          </w:p>
        </w:tc>
        <w:tc>
          <w:tcPr>
            <w:tcW w:w="1928" w:type="dxa"/>
            <w:shd w:val="clear" w:color="auto" w:fill="auto"/>
          </w:tcPr>
          <w:p w14:paraId="429AFE1B"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26, 2019</w:t>
            </w:r>
          </w:p>
        </w:tc>
      </w:tr>
      <w:tr w:rsidR="00160AB1" w:rsidRPr="00A96337" w14:paraId="62A0B753"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CB23A29" w14:textId="7E62F9B9" w:rsidR="00160AB1" w:rsidRPr="00A96337" w:rsidRDefault="00160AB1" w:rsidP="00160AB1">
            <w:pPr>
              <w:spacing w:before="60" w:after="60"/>
              <w:ind w:left="170" w:right="170"/>
              <w:rPr>
                <w:rFonts w:ascii="Arial" w:hAnsi="Arial" w:cs="Arial"/>
                <w:sz w:val="18"/>
                <w:szCs w:val="18"/>
              </w:rPr>
            </w:pPr>
          </w:p>
        </w:tc>
        <w:tc>
          <w:tcPr>
            <w:tcW w:w="2410" w:type="dxa"/>
            <w:shd w:val="clear" w:color="auto" w:fill="auto"/>
          </w:tcPr>
          <w:p w14:paraId="4C6E01F9"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Farmers in Surief</w:t>
            </w:r>
          </w:p>
        </w:tc>
        <w:tc>
          <w:tcPr>
            <w:tcW w:w="2410" w:type="dxa"/>
            <w:shd w:val="clear" w:color="auto" w:fill="auto"/>
          </w:tcPr>
          <w:p w14:paraId="334E8772"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OXFAM Beneficiary</w:t>
            </w:r>
          </w:p>
        </w:tc>
        <w:tc>
          <w:tcPr>
            <w:tcW w:w="1928" w:type="dxa"/>
            <w:shd w:val="clear" w:color="auto" w:fill="auto"/>
          </w:tcPr>
          <w:p w14:paraId="66AF0005"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26, 2019</w:t>
            </w:r>
          </w:p>
        </w:tc>
      </w:tr>
      <w:tr w:rsidR="00160AB1" w:rsidRPr="00A96337" w14:paraId="5ADF8C2D"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3"/>
            <w:shd w:val="clear" w:color="auto" w:fill="F2F2F2" w:themeFill="background1" w:themeFillShade="F2"/>
          </w:tcPr>
          <w:p w14:paraId="4AA5E07D" w14:textId="77777777" w:rsidR="00160AB1" w:rsidRPr="00A96337" w:rsidRDefault="00160AB1" w:rsidP="00160AB1">
            <w:pPr>
              <w:spacing w:before="60" w:after="60"/>
              <w:ind w:left="170" w:right="170"/>
              <w:rPr>
                <w:rFonts w:ascii="Arial" w:hAnsi="Arial" w:cs="Arial"/>
                <w:sz w:val="18"/>
                <w:szCs w:val="18"/>
              </w:rPr>
            </w:pPr>
            <w:r w:rsidRPr="00A96337">
              <w:rPr>
                <w:rFonts w:ascii="Arial" w:hAnsi="Arial" w:cs="Arial"/>
                <w:sz w:val="18"/>
                <w:szCs w:val="18"/>
              </w:rPr>
              <w:t>Other Donors</w:t>
            </w:r>
          </w:p>
        </w:tc>
        <w:tc>
          <w:tcPr>
            <w:tcW w:w="1928" w:type="dxa"/>
            <w:shd w:val="clear" w:color="auto" w:fill="F2F2F2" w:themeFill="background1" w:themeFillShade="F2"/>
          </w:tcPr>
          <w:p w14:paraId="58A2067B"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60AB1" w:rsidRPr="00A96337" w14:paraId="69CC9F05"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D117EFA" w14:textId="14391E3A"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Mark Ahern</w:t>
            </w:r>
          </w:p>
        </w:tc>
        <w:tc>
          <w:tcPr>
            <w:tcW w:w="2410" w:type="dxa"/>
            <w:shd w:val="clear" w:color="auto" w:fill="auto"/>
          </w:tcPr>
          <w:p w14:paraId="3341147D"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Program Leader for Governance and Jobs (West Bank/Gaza)</w:t>
            </w:r>
          </w:p>
        </w:tc>
        <w:tc>
          <w:tcPr>
            <w:tcW w:w="2410" w:type="dxa"/>
            <w:shd w:val="clear" w:color="auto" w:fill="auto"/>
          </w:tcPr>
          <w:p w14:paraId="62BBC6D1"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World Bank</w:t>
            </w:r>
          </w:p>
        </w:tc>
        <w:tc>
          <w:tcPr>
            <w:tcW w:w="1928" w:type="dxa"/>
            <w:shd w:val="clear" w:color="auto" w:fill="auto"/>
          </w:tcPr>
          <w:p w14:paraId="58C71DBC"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21, 2019</w:t>
            </w:r>
          </w:p>
        </w:tc>
      </w:tr>
      <w:tr w:rsidR="00160AB1" w:rsidRPr="00A96337" w14:paraId="2A539493"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9FD67F8" w14:textId="6E495928" w:rsidR="00160AB1" w:rsidRPr="00A96337" w:rsidRDefault="00160AB1" w:rsidP="00160AB1">
            <w:pPr>
              <w:spacing w:before="60" w:after="60"/>
              <w:ind w:left="170" w:right="170"/>
              <w:rPr>
                <w:rFonts w:ascii="Arial" w:hAnsi="Arial" w:cs="Arial"/>
                <w:sz w:val="18"/>
                <w:szCs w:val="18"/>
              </w:rPr>
            </w:pPr>
            <w:r>
              <w:rPr>
                <w:rFonts w:ascii="Arial" w:hAnsi="Arial" w:cs="Arial"/>
                <w:sz w:val="18"/>
                <w:szCs w:val="18"/>
              </w:rPr>
              <w:t>Damir Cosic</w:t>
            </w:r>
          </w:p>
        </w:tc>
        <w:tc>
          <w:tcPr>
            <w:tcW w:w="2410" w:type="dxa"/>
            <w:shd w:val="clear" w:color="auto" w:fill="auto"/>
          </w:tcPr>
          <w:p w14:paraId="398A772D" w14:textId="057AE26B"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Senior Economist</w:t>
            </w:r>
          </w:p>
        </w:tc>
        <w:tc>
          <w:tcPr>
            <w:tcW w:w="2410" w:type="dxa"/>
            <w:shd w:val="clear" w:color="auto" w:fill="auto"/>
          </w:tcPr>
          <w:p w14:paraId="100ACA46"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World Bank</w:t>
            </w:r>
          </w:p>
        </w:tc>
        <w:tc>
          <w:tcPr>
            <w:tcW w:w="1928" w:type="dxa"/>
            <w:shd w:val="clear" w:color="auto" w:fill="auto"/>
          </w:tcPr>
          <w:p w14:paraId="4BE03BEE" w14:textId="77777777" w:rsidR="00160AB1"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21, 2019</w:t>
            </w:r>
          </w:p>
          <w:p w14:paraId="08FE9981" w14:textId="083DF4AD"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60AB1" w:rsidRPr="00A96337" w14:paraId="65B8CE5D"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3779368" w14:textId="0EEE3551" w:rsidR="00160AB1" w:rsidRPr="00A96337" w:rsidRDefault="00160AB1" w:rsidP="00160AB1">
            <w:pPr>
              <w:spacing w:before="60" w:after="60"/>
              <w:ind w:left="170" w:right="170"/>
              <w:rPr>
                <w:rFonts w:ascii="Arial" w:hAnsi="Arial" w:cs="Arial"/>
                <w:sz w:val="18"/>
                <w:szCs w:val="18"/>
              </w:rPr>
            </w:pPr>
            <w:r>
              <w:rPr>
                <w:rFonts w:ascii="Arial" w:hAnsi="Arial" w:cs="Arial"/>
                <w:sz w:val="18"/>
                <w:szCs w:val="18"/>
              </w:rPr>
              <w:t>Nur Nassin Eddin</w:t>
            </w:r>
          </w:p>
        </w:tc>
        <w:tc>
          <w:tcPr>
            <w:tcW w:w="2410" w:type="dxa"/>
            <w:shd w:val="clear" w:color="auto" w:fill="auto"/>
          </w:tcPr>
          <w:p w14:paraId="7D5EEBF9" w14:textId="32FF7CAF"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Economist</w:t>
            </w:r>
          </w:p>
        </w:tc>
        <w:tc>
          <w:tcPr>
            <w:tcW w:w="2410" w:type="dxa"/>
            <w:shd w:val="clear" w:color="auto" w:fill="auto"/>
          </w:tcPr>
          <w:p w14:paraId="3D8F9E93"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World Bank</w:t>
            </w:r>
          </w:p>
        </w:tc>
        <w:tc>
          <w:tcPr>
            <w:tcW w:w="1928" w:type="dxa"/>
            <w:shd w:val="clear" w:color="auto" w:fill="auto"/>
          </w:tcPr>
          <w:p w14:paraId="7BB5CB1C" w14:textId="77777777" w:rsidR="00160AB1"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21, 2019</w:t>
            </w:r>
          </w:p>
          <w:p w14:paraId="49C355A1" w14:textId="7B6563E2"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160AB1" w:rsidRPr="00A96337" w14:paraId="44905AD4"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7DD1AD8F" w14:textId="27081048" w:rsidR="00160AB1" w:rsidRPr="00A96337" w:rsidRDefault="00160AB1" w:rsidP="00160AB1">
            <w:pPr>
              <w:spacing w:before="60" w:after="60"/>
              <w:ind w:left="170" w:right="170"/>
              <w:rPr>
                <w:rFonts w:ascii="Arial" w:hAnsi="Arial" w:cs="Arial"/>
                <w:sz w:val="18"/>
                <w:szCs w:val="18"/>
              </w:rPr>
            </w:pPr>
            <w:r>
              <w:rPr>
                <w:rFonts w:ascii="Arial" w:hAnsi="Arial" w:cs="Arial"/>
                <w:sz w:val="18"/>
                <w:szCs w:val="18"/>
              </w:rPr>
              <w:t>Other Stakeholders</w:t>
            </w:r>
          </w:p>
        </w:tc>
        <w:tc>
          <w:tcPr>
            <w:tcW w:w="2410" w:type="dxa"/>
            <w:shd w:val="clear" w:color="auto" w:fill="F2F2F2" w:themeFill="background1" w:themeFillShade="F2"/>
          </w:tcPr>
          <w:p w14:paraId="6FFC36BD"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410" w:type="dxa"/>
            <w:shd w:val="clear" w:color="auto" w:fill="F2F2F2" w:themeFill="background1" w:themeFillShade="F2"/>
          </w:tcPr>
          <w:p w14:paraId="39CCF12A"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928" w:type="dxa"/>
            <w:shd w:val="clear" w:color="auto" w:fill="F2F2F2" w:themeFill="background1" w:themeFillShade="F2"/>
          </w:tcPr>
          <w:p w14:paraId="064C9F85"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60AB1" w:rsidRPr="00A96337" w14:paraId="50E79662"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0F9429E" w14:textId="71E47400"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Ammar Nada</w:t>
            </w:r>
          </w:p>
        </w:tc>
        <w:tc>
          <w:tcPr>
            <w:tcW w:w="2410" w:type="dxa"/>
            <w:shd w:val="clear" w:color="auto" w:fill="auto"/>
          </w:tcPr>
          <w:p w14:paraId="257D8BCE"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Economic Mapping Project Manager</w:t>
            </w:r>
          </w:p>
        </w:tc>
        <w:tc>
          <w:tcPr>
            <w:tcW w:w="2410" w:type="dxa"/>
            <w:shd w:val="clear" w:color="auto" w:fill="auto"/>
          </w:tcPr>
          <w:p w14:paraId="5C692098"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Office of the Quartet</w:t>
            </w:r>
          </w:p>
        </w:tc>
        <w:tc>
          <w:tcPr>
            <w:tcW w:w="1928" w:type="dxa"/>
            <w:shd w:val="clear" w:color="auto" w:fill="auto"/>
          </w:tcPr>
          <w:p w14:paraId="4814615A"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21, 2019</w:t>
            </w:r>
          </w:p>
        </w:tc>
      </w:tr>
      <w:tr w:rsidR="00160AB1" w:rsidRPr="00A96337" w14:paraId="2369D506" w14:textId="77777777" w:rsidTr="0016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F80FB86" w14:textId="64430554"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Rami Siam</w:t>
            </w:r>
          </w:p>
        </w:tc>
        <w:tc>
          <w:tcPr>
            <w:tcW w:w="2410" w:type="dxa"/>
            <w:shd w:val="clear" w:color="auto" w:fill="auto"/>
          </w:tcPr>
          <w:p w14:paraId="723E4048"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Associate Advisor- Movement &amp; Trade</w:t>
            </w:r>
          </w:p>
        </w:tc>
        <w:tc>
          <w:tcPr>
            <w:tcW w:w="2410" w:type="dxa"/>
            <w:shd w:val="clear" w:color="auto" w:fill="auto"/>
          </w:tcPr>
          <w:p w14:paraId="59350CFB"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Office of the Quartet</w:t>
            </w:r>
          </w:p>
        </w:tc>
        <w:tc>
          <w:tcPr>
            <w:tcW w:w="1928" w:type="dxa"/>
            <w:shd w:val="clear" w:color="auto" w:fill="auto"/>
          </w:tcPr>
          <w:p w14:paraId="633FD8B7" w14:textId="77777777" w:rsidR="00160AB1" w:rsidRPr="00A96337" w:rsidRDefault="00160AB1" w:rsidP="00160AB1">
            <w:pPr>
              <w:spacing w:before="60" w:after="60"/>
              <w:ind w:left="170" w:right="17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21, 2019</w:t>
            </w:r>
          </w:p>
        </w:tc>
      </w:tr>
      <w:tr w:rsidR="00160AB1" w:rsidRPr="00A96337" w14:paraId="2CCA8F92" w14:textId="77777777" w:rsidTr="00160AB1">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E1E1A47" w14:textId="7A3065EB" w:rsidR="00160AB1" w:rsidRPr="00A96337" w:rsidRDefault="00160AB1" w:rsidP="00160AB1">
            <w:pPr>
              <w:spacing w:before="60" w:after="60"/>
              <w:ind w:left="170" w:right="170"/>
              <w:rPr>
                <w:rFonts w:ascii="Arial" w:hAnsi="Arial" w:cs="Arial"/>
                <w:sz w:val="18"/>
                <w:szCs w:val="18"/>
              </w:rPr>
            </w:pPr>
            <w:r w:rsidRPr="000E1846">
              <w:rPr>
                <w:rFonts w:ascii="Arial" w:hAnsi="Arial" w:cs="Arial"/>
                <w:sz w:val="18"/>
                <w:szCs w:val="18"/>
              </w:rPr>
              <w:t>Michael Pilbrow</w:t>
            </w:r>
          </w:p>
        </w:tc>
        <w:tc>
          <w:tcPr>
            <w:tcW w:w="2410" w:type="dxa"/>
            <w:shd w:val="clear" w:color="auto" w:fill="auto"/>
          </w:tcPr>
          <w:p w14:paraId="53E2DA20"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Independent Consultant</w:t>
            </w:r>
          </w:p>
        </w:tc>
        <w:tc>
          <w:tcPr>
            <w:tcW w:w="2410" w:type="dxa"/>
            <w:shd w:val="clear" w:color="auto" w:fill="auto"/>
          </w:tcPr>
          <w:p w14:paraId="40D6F0A4"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Strategic Development Group</w:t>
            </w:r>
          </w:p>
        </w:tc>
        <w:tc>
          <w:tcPr>
            <w:tcW w:w="1928" w:type="dxa"/>
            <w:shd w:val="clear" w:color="auto" w:fill="auto"/>
          </w:tcPr>
          <w:p w14:paraId="10DA9674" w14:textId="77777777" w:rsidR="00160AB1" w:rsidRPr="00A96337" w:rsidRDefault="00160AB1" w:rsidP="00160AB1">
            <w:pPr>
              <w:spacing w:before="60" w:after="60"/>
              <w:ind w:left="170" w:right="17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6337">
              <w:rPr>
                <w:rFonts w:ascii="Arial" w:hAnsi="Arial" w:cs="Arial"/>
                <w:sz w:val="18"/>
                <w:szCs w:val="18"/>
              </w:rPr>
              <w:t>March 14, 2019</w:t>
            </w:r>
          </w:p>
        </w:tc>
      </w:tr>
    </w:tbl>
    <w:p w14:paraId="05E5C3D6" w14:textId="77777777" w:rsidR="007C50E3" w:rsidRPr="00A96337" w:rsidRDefault="007C50E3" w:rsidP="00670043">
      <w:pPr>
        <w:pStyle w:val="EvaluationNumbered"/>
        <w:numPr>
          <w:ilvl w:val="0"/>
          <w:numId w:val="0"/>
        </w:numPr>
        <w:rPr>
          <w:lang w:val="en-AU"/>
        </w:rPr>
      </w:pPr>
    </w:p>
    <w:sectPr w:rsidR="007C50E3" w:rsidRPr="00A96337" w:rsidSect="001A4889">
      <w:footerReference w:type="default" r:id="rId64"/>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28F5C" w14:textId="77777777" w:rsidR="00AE1954" w:rsidRDefault="00AE1954" w:rsidP="00C55087">
      <w:pPr>
        <w:spacing w:after="0"/>
      </w:pPr>
      <w:r>
        <w:separator/>
      </w:r>
    </w:p>
    <w:p w14:paraId="2CD29C42" w14:textId="77777777" w:rsidR="00AE1954" w:rsidRDefault="00AE1954"/>
  </w:endnote>
  <w:endnote w:type="continuationSeparator" w:id="0">
    <w:p w14:paraId="611A15BB" w14:textId="77777777" w:rsidR="00AE1954" w:rsidRDefault="00AE1954" w:rsidP="00C55087">
      <w:pPr>
        <w:spacing w:after="0"/>
      </w:pPr>
      <w:r>
        <w:continuationSeparator/>
      </w:r>
    </w:p>
    <w:p w14:paraId="40C09321" w14:textId="77777777" w:rsidR="00AE1954" w:rsidRDefault="00AE1954"/>
  </w:endnote>
  <w:endnote w:type="continuationNotice" w:id="1">
    <w:p w14:paraId="47292D8C" w14:textId="77777777" w:rsidR="00AE1954" w:rsidRDefault="00AE1954">
      <w:pPr>
        <w:spacing w:after="0"/>
      </w:pPr>
    </w:p>
    <w:p w14:paraId="11C53126" w14:textId="77777777" w:rsidR="00AE1954" w:rsidRDefault="00AE19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Bold">
    <w:panose1 w:val="020B0704020202020204"/>
    <w:charset w:val="00"/>
    <w:family w:val="auto"/>
    <w:pitch w:val="variable"/>
    <w:sig w:usb0="00000000" w:usb1="C0007843" w:usb2="00000009" w:usb3="00000000" w:csb0="000001FF" w:csb1="00000000"/>
  </w:font>
  <w:font w:name="Arial (T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Helvetica LT Std Light">
    <w:panose1 w:val="00000000000000000000"/>
    <w:charset w:val="00"/>
    <w:family w:val="swiss"/>
    <w:notTrueType/>
    <w:pitch w:val="variable"/>
    <w:sig w:usb0="00000003" w:usb1="00000000" w:usb2="00000000" w:usb3="00000000" w:csb0="00000001" w:csb1="00000000"/>
  </w:font>
  <w:font w:name="Unlimited Sans Medium">
    <w:panose1 w:val="00000000000000000000"/>
    <w:charset w:val="00"/>
    <w:family w:val="modern"/>
    <w:notTrueType/>
    <w:pitch w:val="variable"/>
    <w:sig w:usb0="E10002FF" w:usb1="5000205B" w:usb2="00000000" w:usb3="00000000" w:csb0="0000019F" w:csb1="00000000"/>
  </w:font>
  <w:font w:name="VistaSansBook">
    <w:charset w:val="00"/>
    <w:family w:val="auto"/>
    <w:pitch w:val="variable"/>
    <w:sig w:usb0="A000002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2DDE3" w14:textId="77777777" w:rsidR="003B525D" w:rsidRDefault="003B525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700365361"/>
      <w:docPartObj>
        <w:docPartGallery w:val="Page Numbers (Bottom of Page)"/>
        <w:docPartUnique/>
      </w:docPartObj>
    </w:sdtPr>
    <w:sdtEndPr>
      <w:rPr>
        <w:noProof/>
        <w:sz w:val="18"/>
        <w:szCs w:val="18"/>
      </w:rPr>
    </w:sdtEndPr>
    <w:sdtContent>
      <w:p w14:paraId="05B28880" w14:textId="77ED00C7" w:rsidR="00AE1954" w:rsidRPr="000E1846" w:rsidRDefault="00AE1954" w:rsidP="000E1846">
        <w:pPr>
          <w:pStyle w:val="Footer"/>
          <w:tabs>
            <w:tab w:val="clear" w:pos="4680"/>
          </w:tabs>
          <w:jc w:val="right"/>
          <w:rPr>
            <w:rFonts w:ascii="Arial" w:hAnsi="Arial" w:cs="Arial"/>
            <w:sz w:val="18"/>
            <w:szCs w:val="18"/>
          </w:rPr>
        </w:pPr>
        <w:r w:rsidRPr="00C928B1">
          <w:rPr>
            <w:rFonts w:ascii="Arial" w:hAnsi="Arial" w:cs="Arial"/>
            <w:sz w:val="18"/>
            <w:szCs w:val="18"/>
          </w:rPr>
          <w:t>Tetra Tech Coffey</w:t>
        </w:r>
        <w:r>
          <w:rPr>
            <w:rFonts w:ascii="Arial" w:hAnsi="Arial" w:cs="Arial"/>
            <w:sz w:val="18"/>
            <w:szCs w:val="18"/>
          </w:rPr>
          <w:t xml:space="preserve"> |</w:t>
        </w:r>
        <w:r w:rsidRPr="00C928B1">
          <w:rPr>
            <w:rFonts w:ascii="Arial" w:hAnsi="Arial" w:cs="Arial"/>
            <w:sz w:val="18"/>
            <w:szCs w:val="18"/>
          </w:rPr>
          <w:t xml:space="preserve"> </w:t>
        </w:r>
        <w:r w:rsidRPr="0095406D">
          <w:rPr>
            <w:rFonts w:ascii="Arial" w:hAnsi="Arial" w:cs="Arial"/>
            <w:sz w:val="18"/>
            <w:szCs w:val="18"/>
          </w:rPr>
          <w:t>AMENCA 3</w:t>
        </w:r>
        <w:r>
          <w:rPr>
            <w:rFonts w:ascii="Arial" w:hAnsi="Arial" w:cs="Arial"/>
            <w:sz w:val="18"/>
            <w:szCs w:val="18"/>
          </w:rPr>
          <w:t xml:space="preserve"> – Mid Term Review Final Report | Annexes</w:t>
        </w:r>
        <w:r>
          <w:rPr>
            <w:rFonts w:ascii="Arial" w:hAnsi="Arial" w:cs="Arial"/>
            <w:sz w:val="18"/>
            <w:szCs w:val="18"/>
          </w:rPr>
          <w:tab/>
        </w:r>
        <w:r w:rsidRPr="00C928B1">
          <w:rPr>
            <w:rFonts w:ascii="Arial" w:hAnsi="Arial" w:cs="Arial"/>
            <w:sz w:val="18"/>
            <w:szCs w:val="18"/>
          </w:rPr>
          <w:fldChar w:fldCharType="begin"/>
        </w:r>
        <w:r w:rsidRPr="00C928B1">
          <w:rPr>
            <w:rFonts w:ascii="Arial" w:hAnsi="Arial" w:cs="Arial"/>
            <w:sz w:val="18"/>
            <w:szCs w:val="18"/>
          </w:rPr>
          <w:instrText xml:space="preserve"> PAGE   \* MERGEFORMAT </w:instrText>
        </w:r>
        <w:r w:rsidRPr="00C928B1">
          <w:rPr>
            <w:rFonts w:ascii="Arial" w:hAnsi="Arial" w:cs="Arial"/>
            <w:sz w:val="18"/>
            <w:szCs w:val="18"/>
          </w:rPr>
          <w:fldChar w:fldCharType="separate"/>
        </w:r>
        <w:r w:rsidR="003B525D">
          <w:rPr>
            <w:rFonts w:ascii="Arial" w:hAnsi="Arial" w:cs="Arial"/>
            <w:noProof/>
            <w:sz w:val="18"/>
            <w:szCs w:val="18"/>
          </w:rPr>
          <w:t>48</w:t>
        </w:r>
        <w:r w:rsidRPr="00C928B1">
          <w:rPr>
            <w:rFonts w:ascii="Arial" w:hAnsi="Arial" w:cs="Arial"/>
            <w:noProof/>
            <w:sz w:val="18"/>
            <w:szCs w:val="18"/>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178475456"/>
      <w:docPartObj>
        <w:docPartGallery w:val="Page Numbers (Bottom of Page)"/>
        <w:docPartUnique/>
      </w:docPartObj>
    </w:sdtPr>
    <w:sdtEndPr>
      <w:rPr>
        <w:noProof/>
        <w:sz w:val="18"/>
        <w:szCs w:val="18"/>
      </w:rPr>
    </w:sdtEndPr>
    <w:sdtContent>
      <w:p w14:paraId="6270E0BB" w14:textId="14E100EC" w:rsidR="00AE1954" w:rsidRPr="000E1846" w:rsidRDefault="00AE1954" w:rsidP="000E1846">
        <w:pPr>
          <w:pStyle w:val="Footer"/>
          <w:tabs>
            <w:tab w:val="clear" w:pos="4680"/>
            <w:tab w:val="clear" w:pos="9360"/>
            <w:tab w:val="right" w:pos="13892"/>
          </w:tabs>
          <w:jc w:val="right"/>
          <w:rPr>
            <w:rFonts w:ascii="Arial" w:hAnsi="Arial" w:cs="Arial"/>
            <w:sz w:val="18"/>
            <w:szCs w:val="18"/>
          </w:rPr>
        </w:pPr>
        <w:r w:rsidRPr="00C928B1">
          <w:rPr>
            <w:rFonts w:ascii="Arial" w:hAnsi="Arial" w:cs="Arial"/>
            <w:sz w:val="18"/>
            <w:szCs w:val="18"/>
          </w:rPr>
          <w:t>Tetra Tech Coffey</w:t>
        </w:r>
        <w:r>
          <w:rPr>
            <w:rFonts w:ascii="Arial" w:hAnsi="Arial" w:cs="Arial"/>
            <w:sz w:val="18"/>
            <w:szCs w:val="18"/>
          </w:rPr>
          <w:t xml:space="preserve"> |</w:t>
        </w:r>
        <w:r w:rsidRPr="00C928B1">
          <w:rPr>
            <w:rFonts w:ascii="Arial" w:hAnsi="Arial" w:cs="Arial"/>
            <w:sz w:val="18"/>
            <w:szCs w:val="18"/>
          </w:rPr>
          <w:t xml:space="preserve"> </w:t>
        </w:r>
        <w:r w:rsidRPr="0095406D">
          <w:rPr>
            <w:rFonts w:ascii="Arial" w:hAnsi="Arial" w:cs="Arial"/>
            <w:sz w:val="18"/>
            <w:szCs w:val="18"/>
          </w:rPr>
          <w:t>AMENCA 3</w:t>
        </w:r>
        <w:r>
          <w:rPr>
            <w:rFonts w:ascii="Arial" w:hAnsi="Arial" w:cs="Arial"/>
            <w:sz w:val="18"/>
            <w:szCs w:val="18"/>
          </w:rPr>
          <w:t xml:space="preserve"> – Mid Term Review Final Report | Annexes</w:t>
        </w:r>
        <w:r>
          <w:rPr>
            <w:rFonts w:ascii="Arial" w:hAnsi="Arial" w:cs="Arial"/>
            <w:sz w:val="18"/>
            <w:szCs w:val="18"/>
          </w:rPr>
          <w:tab/>
        </w:r>
        <w:r w:rsidRPr="00C928B1">
          <w:rPr>
            <w:rFonts w:ascii="Arial" w:hAnsi="Arial" w:cs="Arial"/>
            <w:sz w:val="18"/>
            <w:szCs w:val="18"/>
          </w:rPr>
          <w:fldChar w:fldCharType="begin"/>
        </w:r>
        <w:r w:rsidRPr="00C928B1">
          <w:rPr>
            <w:rFonts w:ascii="Arial" w:hAnsi="Arial" w:cs="Arial"/>
            <w:sz w:val="18"/>
            <w:szCs w:val="18"/>
          </w:rPr>
          <w:instrText xml:space="preserve"> PAGE   \* MERGEFORMAT </w:instrText>
        </w:r>
        <w:r w:rsidRPr="00C928B1">
          <w:rPr>
            <w:rFonts w:ascii="Arial" w:hAnsi="Arial" w:cs="Arial"/>
            <w:sz w:val="18"/>
            <w:szCs w:val="18"/>
          </w:rPr>
          <w:fldChar w:fldCharType="separate"/>
        </w:r>
        <w:r w:rsidR="003B525D">
          <w:rPr>
            <w:rFonts w:ascii="Arial" w:hAnsi="Arial" w:cs="Arial"/>
            <w:noProof/>
            <w:sz w:val="18"/>
            <w:szCs w:val="18"/>
          </w:rPr>
          <w:t>55</w:t>
        </w:r>
        <w:r w:rsidRPr="00C928B1">
          <w:rPr>
            <w:rFonts w:ascii="Arial" w:hAnsi="Arial" w:cs="Arial"/>
            <w:noProof/>
            <w:sz w:val="18"/>
            <w:szCs w:val="18"/>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697631423"/>
      <w:docPartObj>
        <w:docPartGallery w:val="Page Numbers (Bottom of Page)"/>
        <w:docPartUnique/>
      </w:docPartObj>
    </w:sdtPr>
    <w:sdtEndPr>
      <w:rPr>
        <w:noProof/>
        <w:sz w:val="18"/>
        <w:szCs w:val="18"/>
      </w:rPr>
    </w:sdtEndPr>
    <w:sdtContent>
      <w:p w14:paraId="2AB9B2EB" w14:textId="75233893" w:rsidR="00AE1954" w:rsidRPr="000E1846" w:rsidRDefault="00AE1954" w:rsidP="000E1846">
        <w:pPr>
          <w:pStyle w:val="Footer"/>
          <w:tabs>
            <w:tab w:val="clear" w:pos="4680"/>
            <w:tab w:val="clear" w:pos="9360"/>
            <w:tab w:val="right" w:pos="13892"/>
          </w:tabs>
          <w:jc w:val="right"/>
          <w:rPr>
            <w:rFonts w:ascii="Arial" w:hAnsi="Arial" w:cs="Arial"/>
            <w:sz w:val="18"/>
            <w:szCs w:val="18"/>
          </w:rPr>
        </w:pPr>
        <w:r w:rsidRPr="00C928B1">
          <w:rPr>
            <w:rFonts w:ascii="Arial" w:hAnsi="Arial" w:cs="Arial"/>
            <w:sz w:val="18"/>
            <w:szCs w:val="18"/>
          </w:rPr>
          <w:t>Tetra Tech Coffey</w:t>
        </w:r>
        <w:r>
          <w:rPr>
            <w:rFonts w:ascii="Arial" w:hAnsi="Arial" w:cs="Arial"/>
            <w:sz w:val="18"/>
            <w:szCs w:val="18"/>
          </w:rPr>
          <w:t xml:space="preserve"> |</w:t>
        </w:r>
        <w:r w:rsidRPr="00C928B1">
          <w:rPr>
            <w:rFonts w:ascii="Arial" w:hAnsi="Arial" w:cs="Arial"/>
            <w:sz w:val="18"/>
            <w:szCs w:val="18"/>
          </w:rPr>
          <w:t xml:space="preserve"> </w:t>
        </w:r>
        <w:r w:rsidRPr="0095406D">
          <w:rPr>
            <w:rFonts w:ascii="Arial" w:hAnsi="Arial" w:cs="Arial"/>
            <w:sz w:val="18"/>
            <w:szCs w:val="18"/>
          </w:rPr>
          <w:t>AMENCA 3</w:t>
        </w:r>
        <w:r>
          <w:rPr>
            <w:rFonts w:ascii="Arial" w:hAnsi="Arial" w:cs="Arial"/>
            <w:sz w:val="18"/>
            <w:szCs w:val="18"/>
          </w:rPr>
          <w:t xml:space="preserve"> – Mid Term Review Final Report | Annexes</w:t>
        </w:r>
        <w:r>
          <w:rPr>
            <w:rFonts w:ascii="Arial" w:hAnsi="Arial" w:cs="Arial"/>
            <w:sz w:val="18"/>
            <w:szCs w:val="18"/>
          </w:rPr>
          <w:tab/>
        </w:r>
        <w:r w:rsidRPr="00C928B1">
          <w:rPr>
            <w:rFonts w:ascii="Arial" w:hAnsi="Arial" w:cs="Arial"/>
            <w:sz w:val="18"/>
            <w:szCs w:val="18"/>
          </w:rPr>
          <w:fldChar w:fldCharType="begin"/>
        </w:r>
        <w:r w:rsidRPr="00C928B1">
          <w:rPr>
            <w:rFonts w:ascii="Arial" w:hAnsi="Arial" w:cs="Arial"/>
            <w:sz w:val="18"/>
            <w:szCs w:val="18"/>
          </w:rPr>
          <w:instrText xml:space="preserve"> PAGE   \* MERGEFORMAT </w:instrText>
        </w:r>
        <w:r w:rsidRPr="00C928B1">
          <w:rPr>
            <w:rFonts w:ascii="Arial" w:hAnsi="Arial" w:cs="Arial"/>
            <w:sz w:val="18"/>
            <w:szCs w:val="18"/>
          </w:rPr>
          <w:fldChar w:fldCharType="separate"/>
        </w:r>
        <w:r w:rsidR="003B525D">
          <w:rPr>
            <w:rFonts w:ascii="Arial" w:hAnsi="Arial" w:cs="Arial"/>
            <w:noProof/>
            <w:sz w:val="18"/>
            <w:szCs w:val="18"/>
          </w:rPr>
          <w:t>54</w:t>
        </w:r>
        <w:r w:rsidRPr="00C928B1">
          <w:rPr>
            <w:rFonts w:ascii="Arial" w:hAnsi="Arial" w:cs="Arial"/>
            <w:noProof/>
            <w:sz w:val="18"/>
            <w:szCs w:val="18"/>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560594228"/>
      <w:docPartObj>
        <w:docPartGallery w:val="Page Numbers (Bottom of Page)"/>
        <w:docPartUnique/>
      </w:docPartObj>
    </w:sdtPr>
    <w:sdtEndPr>
      <w:rPr>
        <w:noProof/>
        <w:sz w:val="18"/>
        <w:szCs w:val="18"/>
      </w:rPr>
    </w:sdtEndPr>
    <w:sdtContent>
      <w:p w14:paraId="703AB391" w14:textId="1F751965" w:rsidR="00AE1954" w:rsidRPr="000E1846" w:rsidRDefault="00AE1954" w:rsidP="000E1846">
        <w:pPr>
          <w:pStyle w:val="Footer"/>
          <w:tabs>
            <w:tab w:val="clear" w:pos="4680"/>
            <w:tab w:val="clear" w:pos="9360"/>
            <w:tab w:val="right" w:pos="13892"/>
          </w:tabs>
          <w:jc w:val="right"/>
          <w:rPr>
            <w:rFonts w:ascii="Arial" w:hAnsi="Arial" w:cs="Arial"/>
            <w:sz w:val="18"/>
            <w:szCs w:val="18"/>
          </w:rPr>
        </w:pPr>
        <w:r w:rsidRPr="00C928B1">
          <w:rPr>
            <w:rFonts w:ascii="Arial" w:hAnsi="Arial" w:cs="Arial"/>
            <w:sz w:val="18"/>
            <w:szCs w:val="18"/>
          </w:rPr>
          <w:t>Tetra Tech Coffey</w:t>
        </w:r>
        <w:r>
          <w:rPr>
            <w:rFonts w:ascii="Arial" w:hAnsi="Arial" w:cs="Arial"/>
            <w:sz w:val="18"/>
            <w:szCs w:val="18"/>
          </w:rPr>
          <w:t xml:space="preserve"> |</w:t>
        </w:r>
        <w:r w:rsidRPr="00C928B1">
          <w:rPr>
            <w:rFonts w:ascii="Arial" w:hAnsi="Arial" w:cs="Arial"/>
            <w:sz w:val="18"/>
            <w:szCs w:val="18"/>
          </w:rPr>
          <w:t xml:space="preserve"> </w:t>
        </w:r>
        <w:r w:rsidRPr="0095406D">
          <w:rPr>
            <w:rFonts w:ascii="Arial" w:hAnsi="Arial" w:cs="Arial"/>
            <w:sz w:val="18"/>
            <w:szCs w:val="18"/>
          </w:rPr>
          <w:t>AMENCA 3</w:t>
        </w:r>
        <w:r>
          <w:rPr>
            <w:rFonts w:ascii="Arial" w:hAnsi="Arial" w:cs="Arial"/>
            <w:sz w:val="18"/>
            <w:szCs w:val="18"/>
          </w:rPr>
          <w:t xml:space="preserve"> – Mid Term Review Final Report | Annexes</w:t>
        </w:r>
        <w:r>
          <w:rPr>
            <w:rFonts w:ascii="Arial" w:hAnsi="Arial" w:cs="Arial"/>
            <w:sz w:val="18"/>
            <w:szCs w:val="18"/>
          </w:rPr>
          <w:tab/>
        </w:r>
        <w:r w:rsidRPr="00C928B1">
          <w:rPr>
            <w:rFonts w:ascii="Arial" w:hAnsi="Arial" w:cs="Arial"/>
            <w:sz w:val="18"/>
            <w:szCs w:val="18"/>
          </w:rPr>
          <w:fldChar w:fldCharType="begin"/>
        </w:r>
        <w:r w:rsidRPr="00C928B1">
          <w:rPr>
            <w:rFonts w:ascii="Arial" w:hAnsi="Arial" w:cs="Arial"/>
            <w:sz w:val="18"/>
            <w:szCs w:val="18"/>
          </w:rPr>
          <w:instrText xml:space="preserve"> PAGE   \* MERGEFORMAT </w:instrText>
        </w:r>
        <w:r w:rsidRPr="00C928B1">
          <w:rPr>
            <w:rFonts w:ascii="Arial" w:hAnsi="Arial" w:cs="Arial"/>
            <w:sz w:val="18"/>
            <w:szCs w:val="18"/>
          </w:rPr>
          <w:fldChar w:fldCharType="separate"/>
        </w:r>
        <w:r w:rsidR="003B525D">
          <w:rPr>
            <w:rFonts w:ascii="Arial" w:hAnsi="Arial" w:cs="Arial"/>
            <w:noProof/>
            <w:sz w:val="18"/>
            <w:szCs w:val="18"/>
          </w:rPr>
          <w:t>64</w:t>
        </w:r>
        <w:r w:rsidRPr="00C928B1">
          <w:rPr>
            <w:rFonts w:ascii="Arial" w:hAnsi="Arial" w:cs="Arial"/>
            <w:noProof/>
            <w:sz w:val="18"/>
            <w:szCs w:val="18"/>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557311"/>
      <w:docPartObj>
        <w:docPartGallery w:val="Page Numbers (Bottom of Page)"/>
        <w:docPartUnique/>
      </w:docPartObj>
    </w:sdtPr>
    <w:sdtEndPr>
      <w:rPr>
        <w:color w:val="7F7F7F" w:themeColor="background1" w:themeShade="7F"/>
        <w:spacing w:val="60"/>
      </w:rPr>
    </w:sdtEndPr>
    <w:sdtContent>
      <w:p w14:paraId="1FDC441B" w14:textId="77777777" w:rsidR="00AE1954" w:rsidRDefault="00AE1954" w:rsidP="002F4F4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Annexes</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217873375"/>
      <w:docPartObj>
        <w:docPartGallery w:val="Page Numbers (Bottom of Page)"/>
        <w:docPartUnique/>
      </w:docPartObj>
    </w:sdtPr>
    <w:sdtEndPr>
      <w:rPr>
        <w:noProof/>
        <w:sz w:val="18"/>
        <w:szCs w:val="18"/>
      </w:rPr>
    </w:sdtEndPr>
    <w:sdtContent>
      <w:p w14:paraId="4C7594A1" w14:textId="187F5349" w:rsidR="00AE1954" w:rsidRPr="000E1846" w:rsidRDefault="00AE1954" w:rsidP="000E1846">
        <w:pPr>
          <w:pStyle w:val="Footer"/>
          <w:tabs>
            <w:tab w:val="clear" w:pos="4680"/>
          </w:tabs>
          <w:jc w:val="right"/>
          <w:rPr>
            <w:rFonts w:ascii="Arial" w:hAnsi="Arial" w:cs="Arial"/>
            <w:sz w:val="18"/>
            <w:szCs w:val="18"/>
          </w:rPr>
        </w:pPr>
        <w:r w:rsidRPr="00C928B1">
          <w:rPr>
            <w:rFonts w:ascii="Arial" w:hAnsi="Arial" w:cs="Arial"/>
            <w:sz w:val="18"/>
            <w:szCs w:val="18"/>
          </w:rPr>
          <w:t>Tetra Tech Coffey</w:t>
        </w:r>
        <w:r>
          <w:rPr>
            <w:rFonts w:ascii="Arial" w:hAnsi="Arial" w:cs="Arial"/>
            <w:sz w:val="18"/>
            <w:szCs w:val="18"/>
          </w:rPr>
          <w:t xml:space="preserve"> |</w:t>
        </w:r>
        <w:r w:rsidRPr="00C928B1">
          <w:rPr>
            <w:rFonts w:ascii="Arial" w:hAnsi="Arial" w:cs="Arial"/>
            <w:sz w:val="18"/>
            <w:szCs w:val="18"/>
          </w:rPr>
          <w:t xml:space="preserve"> </w:t>
        </w:r>
        <w:r w:rsidRPr="0095406D">
          <w:rPr>
            <w:rFonts w:ascii="Arial" w:hAnsi="Arial" w:cs="Arial"/>
            <w:sz w:val="18"/>
            <w:szCs w:val="18"/>
          </w:rPr>
          <w:t>AMENCA 3</w:t>
        </w:r>
        <w:r>
          <w:rPr>
            <w:rFonts w:ascii="Arial" w:hAnsi="Arial" w:cs="Arial"/>
            <w:sz w:val="18"/>
            <w:szCs w:val="18"/>
          </w:rPr>
          <w:t xml:space="preserve"> – Mid Term Review Final Report | Annexes</w:t>
        </w:r>
        <w:r>
          <w:rPr>
            <w:rFonts w:ascii="Arial" w:hAnsi="Arial" w:cs="Arial"/>
            <w:sz w:val="18"/>
            <w:szCs w:val="18"/>
          </w:rPr>
          <w:tab/>
        </w:r>
        <w:r w:rsidRPr="00C928B1">
          <w:rPr>
            <w:rFonts w:ascii="Arial" w:hAnsi="Arial" w:cs="Arial"/>
            <w:sz w:val="18"/>
            <w:szCs w:val="18"/>
          </w:rPr>
          <w:fldChar w:fldCharType="begin"/>
        </w:r>
        <w:r w:rsidRPr="00C928B1">
          <w:rPr>
            <w:rFonts w:ascii="Arial" w:hAnsi="Arial" w:cs="Arial"/>
            <w:sz w:val="18"/>
            <w:szCs w:val="18"/>
          </w:rPr>
          <w:instrText xml:space="preserve"> PAGE   \* MERGEFORMAT </w:instrText>
        </w:r>
        <w:r w:rsidRPr="00C928B1">
          <w:rPr>
            <w:rFonts w:ascii="Arial" w:hAnsi="Arial" w:cs="Arial"/>
            <w:sz w:val="18"/>
            <w:szCs w:val="18"/>
          </w:rPr>
          <w:fldChar w:fldCharType="separate"/>
        </w:r>
        <w:r w:rsidR="003B525D">
          <w:rPr>
            <w:rFonts w:ascii="Arial" w:hAnsi="Arial" w:cs="Arial"/>
            <w:noProof/>
            <w:sz w:val="18"/>
            <w:szCs w:val="18"/>
          </w:rPr>
          <w:t>70</w:t>
        </w:r>
        <w:r w:rsidRPr="00C928B1">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CC745" w14:textId="77777777" w:rsidR="00AE1954" w:rsidRPr="00591602" w:rsidRDefault="00AE1954" w:rsidP="00113BEE">
    <w:pPr>
      <w:pStyle w:val="Footer"/>
      <w:jc w:val="right"/>
    </w:pPr>
    <w:r>
      <w:rPr>
        <w:rFonts w:ascii="Arial" w:hAnsi="Arial"/>
        <w:sz w:val="18"/>
        <w:szCs w:val="18"/>
      </w:rPr>
      <w:fldChar w:fldCharType="begin"/>
    </w:r>
    <w:r>
      <w:rPr>
        <w:rFonts w:ascii="Arial" w:hAnsi="Arial"/>
        <w:sz w:val="18"/>
        <w:szCs w:val="18"/>
      </w:rPr>
      <w:instrText xml:space="preserve"> PAGE </w:instrText>
    </w:r>
    <w:r>
      <w:rPr>
        <w:rFonts w:ascii="Arial" w:hAnsi="Arial"/>
        <w:sz w:val="18"/>
        <w:szCs w:val="18"/>
      </w:rPr>
      <w:fldChar w:fldCharType="separate"/>
    </w:r>
    <w:r>
      <w:rPr>
        <w:rFonts w:ascii="Arial" w:hAnsi="Arial"/>
        <w:noProof/>
        <w:sz w:val="18"/>
        <w:szCs w:val="18"/>
      </w:rPr>
      <w:t>ii</w:t>
    </w:r>
    <w:r>
      <w:rPr>
        <w:rFonts w:ascii="Arial" w:hAnsi="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D3267" w14:textId="77777777" w:rsidR="00AE1954" w:rsidRPr="000F6217" w:rsidRDefault="00AE1954" w:rsidP="000F6217">
    <w:pPr>
      <w:pStyle w:val="Footer"/>
      <w:jc w:val="right"/>
      <w:rPr>
        <w:rFonts w:ascii="Arial" w:hAnsi="Arial"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566428821"/>
      <w:docPartObj>
        <w:docPartGallery w:val="Page Numbers (Bottom of Page)"/>
        <w:docPartUnique/>
      </w:docPartObj>
    </w:sdtPr>
    <w:sdtEndPr>
      <w:rPr>
        <w:noProof/>
        <w:sz w:val="18"/>
        <w:szCs w:val="18"/>
      </w:rPr>
    </w:sdtEndPr>
    <w:sdtContent>
      <w:p w14:paraId="23573EC7" w14:textId="6D6DD518" w:rsidR="00AE1954" w:rsidRPr="000E1846" w:rsidRDefault="00AE1954" w:rsidP="000E1846">
        <w:pPr>
          <w:pStyle w:val="Footer"/>
          <w:tabs>
            <w:tab w:val="clear" w:pos="4680"/>
          </w:tabs>
          <w:jc w:val="right"/>
          <w:rPr>
            <w:rFonts w:ascii="Arial" w:hAnsi="Arial" w:cs="Arial"/>
            <w:sz w:val="18"/>
            <w:szCs w:val="18"/>
          </w:rPr>
        </w:pPr>
        <w:r w:rsidRPr="00C928B1">
          <w:rPr>
            <w:rFonts w:ascii="Arial" w:hAnsi="Arial" w:cs="Arial"/>
            <w:sz w:val="18"/>
            <w:szCs w:val="18"/>
          </w:rPr>
          <w:t>Tetra Tech Coffey</w:t>
        </w:r>
        <w:r>
          <w:rPr>
            <w:rFonts w:ascii="Arial" w:hAnsi="Arial" w:cs="Arial"/>
            <w:sz w:val="18"/>
            <w:szCs w:val="18"/>
          </w:rPr>
          <w:t xml:space="preserve"> </w:t>
        </w:r>
        <w:bookmarkStart w:id="3" w:name="_Hlk11926849"/>
        <w:r>
          <w:rPr>
            <w:rFonts w:ascii="Arial" w:hAnsi="Arial" w:cs="Arial"/>
            <w:sz w:val="18"/>
            <w:szCs w:val="18"/>
          </w:rPr>
          <w:t>|</w:t>
        </w:r>
        <w:r w:rsidRPr="00C928B1">
          <w:rPr>
            <w:rFonts w:ascii="Arial" w:hAnsi="Arial" w:cs="Arial"/>
            <w:sz w:val="18"/>
            <w:szCs w:val="18"/>
          </w:rPr>
          <w:t xml:space="preserve"> </w:t>
        </w:r>
        <w:bookmarkEnd w:id="3"/>
        <w:r w:rsidRPr="0095406D">
          <w:rPr>
            <w:rFonts w:ascii="Arial" w:hAnsi="Arial" w:cs="Arial"/>
            <w:sz w:val="18"/>
            <w:szCs w:val="18"/>
          </w:rPr>
          <w:t>AMENCA 3</w:t>
        </w:r>
        <w:r>
          <w:rPr>
            <w:rFonts w:ascii="Arial" w:hAnsi="Arial" w:cs="Arial"/>
            <w:sz w:val="18"/>
            <w:szCs w:val="18"/>
          </w:rPr>
          <w:t xml:space="preserve"> – Mid Term Review Final Report | Prefaces</w:t>
        </w:r>
        <w:r>
          <w:rPr>
            <w:rFonts w:ascii="Arial" w:hAnsi="Arial" w:cs="Arial"/>
            <w:sz w:val="18"/>
            <w:szCs w:val="18"/>
          </w:rPr>
          <w:tab/>
        </w:r>
        <w:r w:rsidRPr="00C928B1">
          <w:rPr>
            <w:rFonts w:ascii="Arial" w:hAnsi="Arial" w:cs="Arial"/>
            <w:sz w:val="18"/>
            <w:szCs w:val="18"/>
          </w:rPr>
          <w:fldChar w:fldCharType="begin"/>
        </w:r>
        <w:r w:rsidRPr="00C928B1">
          <w:rPr>
            <w:rFonts w:ascii="Arial" w:hAnsi="Arial" w:cs="Arial"/>
            <w:sz w:val="18"/>
            <w:szCs w:val="18"/>
          </w:rPr>
          <w:instrText xml:space="preserve"> PAGE   \* MERGEFORMAT </w:instrText>
        </w:r>
        <w:r w:rsidRPr="00C928B1">
          <w:rPr>
            <w:rFonts w:ascii="Arial" w:hAnsi="Arial" w:cs="Arial"/>
            <w:sz w:val="18"/>
            <w:szCs w:val="18"/>
          </w:rPr>
          <w:fldChar w:fldCharType="separate"/>
        </w:r>
        <w:r w:rsidR="003B525D">
          <w:rPr>
            <w:rFonts w:ascii="Arial" w:hAnsi="Arial" w:cs="Arial"/>
            <w:noProof/>
            <w:sz w:val="18"/>
            <w:szCs w:val="18"/>
          </w:rPr>
          <w:t>iii</w:t>
        </w:r>
        <w:r w:rsidRPr="00C928B1">
          <w:rPr>
            <w:rFonts w:ascii="Arial" w:hAnsi="Arial" w:cs="Arial"/>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935860625"/>
      <w:docPartObj>
        <w:docPartGallery w:val="Page Numbers (Bottom of Page)"/>
        <w:docPartUnique/>
      </w:docPartObj>
    </w:sdtPr>
    <w:sdtEndPr>
      <w:rPr>
        <w:noProof/>
        <w:sz w:val="18"/>
        <w:szCs w:val="18"/>
      </w:rPr>
    </w:sdtEndPr>
    <w:sdtContent>
      <w:p w14:paraId="370D0ECB" w14:textId="0629ECC7" w:rsidR="00AE1954" w:rsidRPr="000E1846" w:rsidRDefault="00AE1954" w:rsidP="000E1846">
        <w:pPr>
          <w:pStyle w:val="Footer"/>
          <w:tabs>
            <w:tab w:val="clear" w:pos="4680"/>
          </w:tabs>
          <w:jc w:val="right"/>
          <w:rPr>
            <w:rFonts w:ascii="Arial" w:hAnsi="Arial" w:cs="Arial"/>
            <w:sz w:val="18"/>
            <w:szCs w:val="18"/>
          </w:rPr>
        </w:pPr>
        <w:r w:rsidRPr="00C928B1">
          <w:rPr>
            <w:rFonts w:ascii="Arial" w:hAnsi="Arial" w:cs="Arial"/>
            <w:sz w:val="18"/>
            <w:szCs w:val="18"/>
          </w:rPr>
          <w:t>Tetra Tech Coffey</w:t>
        </w:r>
        <w:r>
          <w:rPr>
            <w:rFonts w:ascii="Arial" w:hAnsi="Arial" w:cs="Arial"/>
            <w:sz w:val="18"/>
            <w:szCs w:val="18"/>
          </w:rPr>
          <w:t xml:space="preserve"> |</w:t>
        </w:r>
        <w:r w:rsidRPr="00C928B1">
          <w:rPr>
            <w:rFonts w:ascii="Arial" w:hAnsi="Arial" w:cs="Arial"/>
            <w:sz w:val="18"/>
            <w:szCs w:val="18"/>
          </w:rPr>
          <w:t xml:space="preserve"> </w:t>
        </w:r>
        <w:r w:rsidRPr="0095406D">
          <w:rPr>
            <w:rFonts w:ascii="Arial" w:hAnsi="Arial" w:cs="Arial"/>
            <w:sz w:val="18"/>
            <w:szCs w:val="18"/>
          </w:rPr>
          <w:t>AMENCA</w:t>
        </w:r>
        <w:r>
          <w:rPr>
            <w:rFonts w:ascii="Arial" w:hAnsi="Arial" w:cs="Arial"/>
            <w:sz w:val="18"/>
            <w:szCs w:val="18"/>
          </w:rPr>
          <w:t> </w:t>
        </w:r>
        <w:r w:rsidRPr="0095406D">
          <w:rPr>
            <w:rFonts w:ascii="Arial" w:hAnsi="Arial" w:cs="Arial"/>
            <w:sz w:val="18"/>
            <w:szCs w:val="18"/>
          </w:rPr>
          <w:t>3</w:t>
        </w:r>
        <w:r>
          <w:rPr>
            <w:rFonts w:ascii="Arial" w:hAnsi="Arial" w:cs="Arial"/>
            <w:sz w:val="18"/>
            <w:szCs w:val="18"/>
          </w:rPr>
          <w:t xml:space="preserve"> – Mid Term Review Final Report</w:t>
        </w:r>
        <w:r>
          <w:rPr>
            <w:rFonts w:ascii="Arial" w:hAnsi="Arial" w:cs="Arial"/>
            <w:sz w:val="18"/>
            <w:szCs w:val="18"/>
          </w:rPr>
          <w:tab/>
        </w:r>
        <w:r w:rsidRPr="00C928B1">
          <w:rPr>
            <w:rFonts w:ascii="Arial" w:hAnsi="Arial" w:cs="Arial"/>
            <w:sz w:val="18"/>
            <w:szCs w:val="18"/>
          </w:rPr>
          <w:fldChar w:fldCharType="begin"/>
        </w:r>
        <w:r w:rsidRPr="00C928B1">
          <w:rPr>
            <w:rFonts w:ascii="Arial" w:hAnsi="Arial" w:cs="Arial"/>
            <w:sz w:val="18"/>
            <w:szCs w:val="18"/>
          </w:rPr>
          <w:instrText xml:space="preserve"> PAGE   \* MERGEFORMAT </w:instrText>
        </w:r>
        <w:r w:rsidRPr="00C928B1">
          <w:rPr>
            <w:rFonts w:ascii="Arial" w:hAnsi="Arial" w:cs="Arial"/>
            <w:sz w:val="18"/>
            <w:szCs w:val="18"/>
          </w:rPr>
          <w:fldChar w:fldCharType="separate"/>
        </w:r>
        <w:r w:rsidR="003B525D">
          <w:rPr>
            <w:rFonts w:ascii="Arial" w:hAnsi="Arial" w:cs="Arial"/>
            <w:noProof/>
            <w:sz w:val="18"/>
            <w:szCs w:val="18"/>
          </w:rPr>
          <w:t>14</w:t>
        </w:r>
        <w:r w:rsidRPr="00C928B1">
          <w:rPr>
            <w:rFonts w:ascii="Arial" w:hAnsi="Arial" w:cs="Arial"/>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663697708"/>
      <w:docPartObj>
        <w:docPartGallery w:val="Page Numbers (Bottom of Page)"/>
        <w:docPartUnique/>
      </w:docPartObj>
    </w:sdtPr>
    <w:sdtEndPr>
      <w:rPr>
        <w:noProof/>
        <w:sz w:val="18"/>
        <w:szCs w:val="18"/>
      </w:rPr>
    </w:sdtEndPr>
    <w:sdtContent>
      <w:p w14:paraId="35F9EC4B" w14:textId="1BA7B1A8" w:rsidR="00AE1954" w:rsidRPr="000E1846" w:rsidRDefault="00AE1954" w:rsidP="000E1846">
        <w:pPr>
          <w:pStyle w:val="Footer"/>
          <w:tabs>
            <w:tab w:val="clear" w:pos="4680"/>
          </w:tabs>
          <w:jc w:val="right"/>
          <w:rPr>
            <w:rFonts w:ascii="Arial" w:hAnsi="Arial" w:cs="Arial"/>
            <w:sz w:val="18"/>
            <w:szCs w:val="18"/>
          </w:rPr>
        </w:pPr>
        <w:r w:rsidRPr="00C928B1">
          <w:rPr>
            <w:rFonts w:ascii="Arial" w:hAnsi="Arial" w:cs="Arial"/>
            <w:sz w:val="18"/>
            <w:szCs w:val="18"/>
          </w:rPr>
          <w:t>Tetra Tech Coffey</w:t>
        </w:r>
        <w:r>
          <w:rPr>
            <w:rFonts w:ascii="Arial" w:hAnsi="Arial" w:cs="Arial"/>
            <w:sz w:val="18"/>
            <w:szCs w:val="18"/>
          </w:rPr>
          <w:t xml:space="preserve"> |</w:t>
        </w:r>
        <w:r w:rsidRPr="00C928B1">
          <w:rPr>
            <w:rFonts w:ascii="Arial" w:hAnsi="Arial" w:cs="Arial"/>
            <w:sz w:val="18"/>
            <w:szCs w:val="18"/>
          </w:rPr>
          <w:t xml:space="preserve"> </w:t>
        </w:r>
        <w:r w:rsidRPr="0095406D">
          <w:rPr>
            <w:rFonts w:ascii="Arial" w:hAnsi="Arial" w:cs="Arial"/>
            <w:sz w:val="18"/>
            <w:szCs w:val="18"/>
          </w:rPr>
          <w:t>AMENCA 3</w:t>
        </w:r>
        <w:r>
          <w:rPr>
            <w:rFonts w:ascii="Arial" w:hAnsi="Arial" w:cs="Arial"/>
            <w:sz w:val="18"/>
            <w:szCs w:val="18"/>
          </w:rPr>
          <w:t xml:space="preserve"> – Mid Term Review Final Report</w:t>
        </w:r>
        <w:r>
          <w:rPr>
            <w:rFonts w:ascii="Arial" w:hAnsi="Arial" w:cs="Arial"/>
            <w:sz w:val="18"/>
            <w:szCs w:val="18"/>
          </w:rPr>
          <w:tab/>
        </w:r>
        <w:r w:rsidRPr="00C928B1">
          <w:rPr>
            <w:rFonts w:ascii="Arial" w:hAnsi="Arial" w:cs="Arial"/>
            <w:sz w:val="18"/>
            <w:szCs w:val="18"/>
          </w:rPr>
          <w:fldChar w:fldCharType="begin"/>
        </w:r>
        <w:r w:rsidRPr="00C928B1">
          <w:rPr>
            <w:rFonts w:ascii="Arial" w:hAnsi="Arial" w:cs="Arial"/>
            <w:sz w:val="18"/>
            <w:szCs w:val="18"/>
          </w:rPr>
          <w:instrText xml:space="preserve"> PAGE   \* MERGEFORMAT </w:instrText>
        </w:r>
        <w:r w:rsidRPr="00C928B1">
          <w:rPr>
            <w:rFonts w:ascii="Arial" w:hAnsi="Arial" w:cs="Arial"/>
            <w:sz w:val="18"/>
            <w:szCs w:val="18"/>
          </w:rPr>
          <w:fldChar w:fldCharType="separate"/>
        </w:r>
        <w:r w:rsidR="003B525D">
          <w:rPr>
            <w:rFonts w:ascii="Arial" w:hAnsi="Arial" w:cs="Arial"/>
            <w:noProof/>
            <w:sz w:val="18"/>
            <w:szCs w:val="18"/>
          </w:rPr>
          <w:t>1</w:t>
        </w:r>
        <w:r w:rsidRPr="00C928B1">
          <w:rPr>
            <w:rFonts w:ascii="Arial" w:hAnsi="Arial" w:cs="Arial"/>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819348521"/>
      <w:docPartObj>
        <w:docPartGallery w:val="Page Numbers (Bottom of Page)"/>
        <w:docPartUnique/>
      </w:docPartObj>
    </w:sdtPr>
    <w:sdtEndPr>
      <w:rPr>
        <w:noProof/>
        <w:sz w:val="18"/>
        <w:szCs w:val="18"/>
      </w:rPr>
    </w:sdtEndPr>
    <w:sdtContent>
      <w:p w14:paraId="0810DB11" w14:textId="5ECB5FBF" w:rsidR="00AE1954" w:rsidRPr="000E1846" w:rsidRDefault="00AE1954" w:rsidP="000E1846">
        <w:pPr>
          <w:pStyle w:val="Footer"/>
          <w:tabs>
            <w:tab w:val="clear" w:pos="4680"/>
          </w:tabs>
          <w:jc w:val="right"/>
          <w:rPr>
            <w:rFonts w:ascii="Arial" w:hAnsi="Arial" w:cs="Arial"/>
            <w:sz w:val="18"/>
            <w:szCs w:val="18"/>
          </w:rPr>
        </w:pPr>
        <w:r w:rsidRPr="00C928B1">
          <w:rPr>
            <w:rFonts w:ascii="Arial" w:hAnsi="Arial" w:cs="Arial"/>
            <w:sz w:val="18"/>
            <w:szCs w:val="18"/>
          </w:rPr>
          <w:t>Tetra Tech Coffey</w:t>
        </w:r>
        <w:r>
          <w:rPr>
            <w:rFonts w:ascii="Arial" w:hAnsi="Arial" w:cs="Arial"/>
            <w:sz w:val="18"/>
            <w:szCs w:val="18"/>
          </w:rPr>
          <w:t xml:space="preserve"> |</w:t>
        </w:r>
        <w:r w:rsidRPr="00C928B1">
          <w:rPr>
            <w:rFonts w:ascii="Arial" w:hAnsi="Arial" w:cs="Arial"/>
            <w:sz w:val="18"/>
            <w:szCs w:val="18"/>
          </w:rPr>
          <w:t xml:space="preserve"> </w:t>
        </w:r>
        <w:r w:rsidRPr="0095406D">
          <w:rPr>
            <w:rFonts w:ascii="Arial" w:hAnsi="Arial" w:cs="Arial"/>
            <w:sz w:val="18"/>
            <w:szCs w:val="18"/>
          </w:rPr>
          <w:t>AMENCA 3</w:t>
        </w:r>
        <w:r>
          <w:rPr>
            <w:rFonts w:ascii="Arial" w:hAnsi="Arial" w:cs="Arial"/>
            <w:sz w:val="18"/>
            <w:szCs w:val="18"/>
          </w:rPr>
          <w:t xml:space="preserve"> – Mid Term Review Final Report</w:t>
        </w:r>
        <w:r>
          <w:rPr>
            <w:rFonts w:ascii="Arial" w:hAnsi="Arial" w:cs="Arial"/>
            <w:sz w:val="18"/>
            <w:szCs w:val="18"/>
          </w:rPr>
          <w:tab/>
        </w:r>
        <w:r w:rsidRPr="00C928B1">
          <w:rPr>
            <w:rFonts w:ascii="Arial" w:hAnsi="Arial" w:cs="Arial"/>
            <w:sz w:val="18"/>
            <w:szCs w:val="18"/>
          </w:rPr>
          <w:fldChar w:fldCharType="begin"/>
        </w:r>
        <w:r w:rsidRPr="00C928B1">
          <w:rPr>
            <w:rFonts w:ascii="Arial" w:hAnsi="Arial" w:cs="Arial"/>
            <w:sz w:val="18"/>
            <w:szCs w:val="18"/>
          </w:rPr>
          <w:instrText xml:space="preserve"> PAGE   \* MERGEFORMAT </w:instrText>
        </w:r>
        <w:r w:rsidRPr="00C928B1">
          <w:rPr>
            <w:rFonts w:ascii="Arial" w:hAnsi="Arial" w:cs="Arial"/>
            <w:sz w:val="18"/>
            <w:szCs w:val="18"/>
          </w:rPr>
          <w:fldChar w:fldCharType="separate"/>
        </w:r>
        <w:r w:rsidR="003B525D">
          <w:rPr>
            <w:rFonts w:ascii="Arial" w:hAnsi="Arial" w:cs="Arial"/>
            <w:noProof/>
            <w:sz w:val="18"/>
            <w:szCs w:val="18"/>
          </w:rPr>
          <w:t>47</w:t>
        </w:r>
        <w:r w:rsidRPr="00C928B1">
          <w:rPr>
            <w:rFonts w:ascii="Arial" w:hAnsi="Arial" w:cs="Arial"/>
            <w:noProof/>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2131817839"/>
      <w:docPartObj>
        <w:docPartGallery w:val="Page Numbers (Bottom of Page)"/>
        <w:docPartUnique/>
      </w:docPartObj>
    </w:sdtPr>
    <w:sdtEndPr>
      <w:rPr>
        <w:noProof/>
        <w:sz w:val="18"/>
        <w:szCs w:val="18"/>
      </w:rPr>
    </w:sdtEndPr>
    <w:sdtContent>
      <w:p w14:paraId="5D4B417B" w14:textId="1B3FCA6D" w:rsidR="00AE1954" w:rsidRPr="000E1846" w:rsidRDefault="00AE1954" w:rsidP="000E1846">
        <w:pPr>
          <w:pStyle w:val="Footer"/>
          <w:tabs>
            <w:tab w:val="clear" w:pos="4680"/>
          </w:tabs>
          <w:jc w:val="right"/>
          <w:rPr>
            <w:rFonts w:ascii="Arial" w:hAnsi="Arial" w:cs="Arial"/>
            <w:sz w:val="18"/>
            <w:szCs w:val="18"/>
          </w:rPr>
        </w:pPr>
        <w:r w:rsidRPr="00C928B1">
          <w:rPr>
            <w:rFonts w:ascii="Arial" w:hAnsi="Arial" w:cs="Arial"/>
            <w:sz w:val="18"/>
            <w:szCs w:val="18"/>
          </w:rPr>
          <w:t>Tetra Tech Coffey</w:t>
        </w:r>
        <w:r>
          <w:rPr>
            <w:rFonts w:ascii="Arial" w:hAnsi="Arial" w:cs="Arial"/>
            <w:sz w:val="18"/>
            <w:szCs w:val="18"/>
          </w:rPr>
          <w:t xml:space="preserve"> |</w:t>
        </w:r>
        <w:r w:rsidRPr="00C928B1">
          <w:rPr>
            <w:rFonts w:ascii="Arial" w:hAnsi="Arial" w:cs="Arial"/>
            <w:sz w:val="18"/>
            <w:szCs w:val="18"/>
          </w:rPr>
          <w:t xml:space="preserve"> </w:t>
        </w:r>
        <w:r w:rsidRPr="0095406D">
          <w:rPr>
            <w:rFonts w:ascii="Arial" w:hAnsi="Arial" w:cs="Arial"/>
            <w:sz w:val="18"/>
            <w:szCs w:val="18"/>
          </w:rPr>
          <w:t>AMENCA 3</w:t>
        </w:r>
        <w:r>
          <w:rPr>
            <w:rFonts w:ascii="Arial" w:hAnsi="Arial" w:cs="Arial"/>
            <w:sz w:val="18"/>
            <w:szCs w:val="18"/>
          </w:rPr>
          <w:t xml:space="preserve"> – Mid Term Review Final Report</w:t>
        </w:r>
        <w:r>
          <w:rPr>
            <w:rFonts w:ascii="Arial" w:hAnsi="Arial" w:cs="Arial"/>
            <w:sz w:val="18"/>
            <w:szCs w:val="18"/>
          </w:rPr>
          <w:tab/>
        </w:r>
        <w:r w:rsidRPr="00C928B1">
          <w:rPr>
            <w:rFonts w:ascii="Arial" w:hAnsi="Arial" w:cs="Arial"/>
            <w:sz w:val="18"/>
            <w:szCs w:val="18"/>
          </w:rPr>
          <w:fldChar w:fldCharType="begin"/>
        </w:r>
        <w:r w:rsidRPr="00C928B1">
          <w:rPr>
            <w:rFonts w:ascii="Arial" w:hAnsi="Arial" w:cs="Arial"/>
            <w:sz w:val="18"/>
            <w:szCs w:val="18"/>
          </w:rPr>
          <w:instrText xml:space="preserve"> PAGE   \* MERGEFORMAT </w:instrText>
        </w:r>
        <w:r w:rsidRPr="00C928B1">
          <w:rPr>
            <w:rFonts w:ascii="Arial" w:hAnsi="Arial" w:cs="Arial"/>
            <w:sz w:val="18"/>
            <w:szCs w:val="18"/>
          </w:rPr>
          <w:fldChar w:fldCharType="separate"/>
        </w:r>
        <w:r w:rsidR="003B525D">
          <w:rPr>
            <w:rFonts w:ascii="Arial" w:hAnsi="Arial" w:cs="Arial"/>
            <w:noProof/>
            <w:sz w:val="18"/>
            <w:szCs w:val="18"/>
          </w:rPr>
          <w:t>17</w:t>
        </w:r>
        <w:r w:rsidRPr="00C928B1">
          <w:rPr>
            <w:rFonts w:ascii="Arial" w:hAnsi="Arial" w:cs="Arial"/>
            <w:noProof/>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524988722"/>
      <w:docPartObj>
        <w:docPartGallery w:val="Page Numbers (Bottom of Page)"/>
        <w:docPartUnique/>
      </w:docPartObj>
    </w:sdtPr>
    <w:sdtEndPr>
      <w:rPr>
        <w:noProof/>
        <w:sz w:val="18"/>
        <w:szCs w:val="18"/>
      </w:rPr>
    </w:sdtEndPr>
    <w:sdtContent>
      <w:p w14:paraId="55937CCC" w14:textId="18EC60B4" w:rsidR="00AE1954" w:rsidRPr="000E1846" w:rsidRDefault="00AE1954" w:rsidP="000E1846">
        <w:pPr>
          <w:pStyle w:val="Footer"/>
          <w:tabs>
            <w:tab w:val="clear" w:pos="4680"/>
          </w:tabs>
          <w:jc w:val="right"/>
          <w:rPr>
            <w:rFonts w:ascii="Arial" w:hAnsi="Arial" w:cs="Arial"/>
            <w:sz w:val="18"/>
            <w:szCs w:val="18"/>
          </w:rPr>
        </w:pPr>
        <w:r w:rsidRPr="00C928B1">
          <w:rPr>
            <w:rFonts w:ascii="Arial" w:hAnsi="Arial" w:cs="Arial"/>
            <w:sz w:val="18"/>
            <w:szCs w:val="18"/>
          </w:rPr>
          <w:t>Tetra Tech Coffey</w:t>
        </w:r>
        <w:r>
          <w:rPr>
            <w:rFonts w:ascii="Arial" w:hAnsi="Arial" w:cs="Arial"/>
            <w:sz w:val="18"/>
            <w:szCs w:val="18"/>
          </w:rPr>
          <w:t xml:space="preserve"> |</w:t>
        </w:r>
        <w:r w:rsidRPr="00C928B1">
          <w:rPr>
            <w:rFonts w:ascii="Arial" w:hAnsi="Arial" w:cs="Arial"/>
            <w:sz w:val="18"/>
            <w:szCs w:val="18"/>
          </w:rPr>
          <w:t xml:space="preserve"> </w:t>
        </w:r>
        <w:r w:rsidRPr="0095406D">
          <w:rPr>
            <w:rFonts w:ascii="Arial" w:hAnsi="Arial" w:cs="Arial"/>
            <w:sz w:val="18"/>
            <w:szCs w:val="18"/>
          </w:rPr>
          <w:t>AMENCA 3</w:t>
        </w:r>
        <w:r>
          <w:rPr>
            <w:rFonts w:ascii="Arial" w:hAnsi="Arial" w:cs="Arial"/>
            <w:sz w:val="18"/>
            <w:szCs w:val="18"/>
          </w:rPr>
          <w:t xml:space="preserve"> – Mid Term Review Final Report | Annexes</w:t>
        </w:r>
        <w:r>
          <w:rPr>
            <w:rFonts w:ascii="Arial" w:hAnsi="Arial" w:cs="Arial"/>
            <w:sz w:val="18"/>
            <w:szCs w:val="18"/>
          </w:rPr>
          <w:tab/>
        </w:r>
        <w:r w:rsidRPr="00C928B1">
          <w:rPr>
            <w:rFonts w:ascii="Arial" w:hAnsi="Arial" w:cs="Arial"/>
            <w:sz w:val="18"/>
            <w:szCs w:val="18"/>
          </w:rPr>
          <w:fldChar w:fldCharType="begin"/>
        </w:r>
        <w:r w:rsidRPr="00C928B1">
          <w:rPr>
            <w:rFonts w:ascii="Arial" w:hAnsi="Arial" w:cs="Arial"/>
            <w:sz w:val="18"/>
            <w:szCs w:val="18"/>
          </w:rPr>
          <w:instrText xml:space="preserve"> PAGE   \* MERGEFORMAT </w:instrText>
        </w:r>
        <w:r w:rsidRPr="00C928B1">
          <w:rPr>
            <w:rFonts w:ascii="Arial" w:hAnsi="Arial" w:cs="Arial"/>
            <w:sz w:val="18"/>
            <w:szCs w:val="18"/>
          </w:rPr>
          <w:fldChar w:fldCharType="separate"/>
        </w:r>
        <w:r w:rsidR="003B525D">
          <w:rPr>
            <w:rFonts w:ascii="Arial" w:hAnsi="Arial" w:cs="Arial"/>
            <w:noProof/>
            <w:sz w:val="18"/>
            <w:szCs w:val="18"/>
          </w:rPr>
          <w:t>53</w:t>
        </w:r>
        <w:r w:rsidRPr="00C928B1">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2FAC9" w14:textId="77777777" w:rsidR="00AE1954" w:rsidRDefault="00AE1954" w:rsidP="0003393B">
      <w:pPr>
        <w:spacing w:after="0"/>
      </w:pPr>
      <w:r>
        <w:separator/>
      </w:r>
    </w:p>
  </w:footnote>
  <w:footnote w:type="continuationSeparator" w:id="0">
    <w:p w14:paraId="60D9D272" w14:textId="77777777" w:rsidR="00AE1954" w:rsidRDefault="00AE1954" w:rsidP="00C55087">
      <w:pPr>
        <w:spacing w:after="0"/>
      </w:pPr>
      <w:r>
        <w:continuationSeparator/>
      </w:r>
    </w:p>
    <w:p w14:paraId="1F6B5368" w14:textId="77777777" w:rsidR="00AE1954" w:rsidRDefault="00AE1954"/>
  </w:footnote>
  <w:footnote w:type="continuationNotice" w:id="1">
    <w:p w14:paraId="7CC6D9BF" w14:textId="77777777" w:rsidR="00AE1954" w:rsidRPr="00847527" w:rsidRDefault="00AE1954" w:rsidP="00847527">
      <w:pPr>
        <w:pStyle w:val="Footer"/>
      </w:pPr>
    </w:p>
  </w:footnote>
  <w:footnote w:id="2">
    <w:p w14:paraId="2463B143" w14:textId="77777777" w:rsidR="00AE1954" w:rsidRPr="006837B7" w:rsidRDefault="00AE1954" w:rsidP="002F4F42">
      <w:pPr>
        <w:pStyle w:val="FootnoteText"/>
        <w:rPr>
          <w:sz w:val="16"/>
        </w:rPr>
      </w:pPr>
      <w:r w:rsidRPr="006837B7">
        <w:rPr>
          <w:rStyle w:val="FootnoteReference"/>
          <w:sz w:val="16"/>
        </w:rPr>
        <w:footnoteRef/>
      </w:r>
      <w:r w:rsidRPr="006837B7">
        <w:rPr>
          <w:sz w:val="16"/>
        </w:rPr>
        <w:t xml:space="preserve"> A panel of technical advisers is being managed by Cardno on behalf of DFAT.</w:t>
      </w:r>
    </w:p>
  </w:footnote>
  <w:footnote w:id="3">
    <w:p w14:paraId="1F941B74" w14:textId="0D26C9C7" w:rsidR="00AE1954" w:rsidRPr="006837B7" w:rsidRDefault="00AE1954" w:rsidP="002F4F42">
      <w:pPr>
        <w:pStyle w:val="FootnoteText"/>
        <w:rPr>
          <w:sz w:val="16"/>
        </w:rPr>
      </w:pPr>
      <w:r w:rsidRPr="006837B7">
        <w:rPr>
          <w:rStyle w:val="FootnoteReference"/>
          <w:sz w:val="16"/>
        </w:rPr>
        <w:footnoteRef/>
      </w:r>
      <w:r w:rsidRPr="006837B7">
        <w:rPr>
          <w:sz w:val="16"/>
        </w:rPr>
        <w:t xml:space="preserve"> Tim Gill has no involvement in </w:t>
      </w:r>
      <w:r>
        <w:rPr>
          <w:sz w:val="16"/>
        </w:rPr>
        <w:t>AMENCA 3</w:t>
      </w:r>
      <w:r w:rsidRPr="006837B7">
        <w:rPr>
          <w:sz w:val="16"/>
        </w:rPr>
        <w:t>’s program management.</w:t>
      </w:r>
    </w:p>
  </w:footnote>
  <w:footnote w:id="4">
    <w:p w14:paraId="00BEF303" w14:textId="0A834FFC" w:rsidR="00AE1954" w:rsidRPr="006837B7" w:rsidRDefault="00AE1954" w:rsidP="002F4F42">
      <w:pPr>
        <w:pStyle w:val="FootnoteText"/>
        <w:rPr>
          <w:sz w:val="16"/>
        </w:rPr>
      </w:pPr>
      <w:r w:rsidRPr="006837B7">
        <w:rPr>
          <w:rStyle w:val="FootnoteReference"/>
          <w:sz w:val="16"/>
        </w:rPr>
        <w:footnoteRef/>
      </w:r>
      <w:r w:rsidRPr="006837B7">
        <w:rPr>
          <w:sz w:val="16"/>
        </w:rPr>
        <w:t xml:space="preserve"> AMENCA 1 was a five-year program (2005-2009), implemented by three Australian NGOs (CARE, Austcare and World Vision)</w:t>
      </w:r>
      <w:sdt>
        <w:sdtPr>
          <w:rPr>
            <w:sz w:val="16"/>
          </w:rPr>
          <w:id w:val="-830596839"/>
          <w:citation/>
        </w:sdtPr>
        <w:sdtEndPr/>
        <w:sdtContent>
          <w:r w:rsidRPr="006837B7">
            <w:rPr>
              <w:sz w:val="16"/>
            </w:rPr>
            <w:fldChar w:fldCharType="begin"/>
          </w:r>
          <w:r w:rsidRPr="006837B7">
            <w:rPr>
              <w:sz w:val="16"/>
            </w:rPr>
            <w:instrText xml:space="preserve"> CITATION Aus08 \l 5129 </w:instrText>
          </w:r>
          <w:r w:rsidRPr="006837B7">
            <w:rPr>
              <w:sz w:val="16"/>
            </w:rPr>
            <w:fldChar w:fldCharType="separate"/>
          </w:r>
          <w:r>
            <w:rPr>
              <w:noProof/>
              <w:sz w:val="16"/>
            </w:rPr>
            <w:t xml:space="preserve"> </w:t>
          </w:r>
          <w:r w:rsidRPr="00981396">
            <w:rPr>
              <w:noProof/>
              <w:sz w:val="16"/>
            </w:rPr>
            <w:t>(AusAID, January 2008)</w:t>
          </w:r>
          <w:r w:rsidRPr="006837B7">
            <w:rPr>
              <w:sz w:val="16"/>
            </w:rPr>
            <w:fldChar w:fldCharType="end"/>
          </w:r>
        </w:sdtContent>
      </w:sdt>
      <w:r w:rsidRPr="006837B7">
        <w:rPr>
          <w:sz w:val="16"/>
        </w:rPr>
        <w:t>.</w:t>
      </w:r>
    </w:p>
    <w:p w14:paraId="387D700A" w14:textId="4426AD71" w:rsidR="00AE1954" w:rsidRPr="006837B7" w:rsidRDefault="00AE1954" w:rsidP="002F4F42">
      <w:pPr>
        <w:pStyle w:val="FootnoteText"/>
        <w:rPr>
          <w:sz w:val="16"/>
        </w:rPr>
      </w:pPr>
      <w:r w:rsidRPr="006837B7">
        <w:rPr>
          <w:sz w:val="16"/>
        </w:rPr>
        <w:t>AMENCA 2 was a six-year, A</w:t>
      </w:r>
      <w:r>
        <w:rPr>
          <w:sz w:val="16"/>
        </w:rPr>
        <w:t>UD</w:t>
      </w:r>
      <w:r w:rsidRPr="006837B7">
        <w:rPr>
          <w:sz w:val="16"/>
        </w:rPr>
        <w:t>39m program (July 2009 to June 2015), implemented by 4 Australian NGOs and 7 Palestinian NGOs</w:t>
      </w:r>
      <w:sdt>
        <w:sdtPr>
          <w:rPr>
            <w:sz w:val="16"/>
          </w:rPr>
          <w:id w:val="412823462"/>
          <w:citation/>
        </w:sdtPr>
        <w:sdtEndPr/>
        <w:sdtContent>
          <w:r w:rsidRPr="006837B7">
            <w:rPr>
              <w:sz w:val="16"/>
            </w:rPr>
            <w:fldChar w:fldCharType="begin"/>
          </w:r>
          <w:r w:rsidRPr="006837B7">
            <w:rPr>
              <w:sz w:val="16"/>
            </w:rPr>
            <w:instrText xml:space="preserve"> CITATION Van16 \l 5129 </w:instrText>
          </w:r>
          <w:r w:rsidRPr="006837B7">
            <w:rPr>
              <w:sz w:val="16"/>
            </w:rPr>
            <w:fldChar w:fldCharType="separate"/>
          </w:r>
          <w:r>
            <w:rPr>
              <w:noProof/>
              <w:sz w:val="16"/>
            </w:rPr>
            <w:t xml:space="preserve"> </w:t>
          </w:r>
          <w:r w:rsidRPr="00981396">
            <w:rPr>
              <w:noProof/>
              <w:sz w:val="16"/>
            </w:rPr>
            <w:t>(Van der Velde, May 2016)</w:t>
          </w:r>
          <w:r w:rsidRPr="006837B7">
            <w:rPr>
              <w:sz w:val="16"/>
            </w:rPr>
            <w:fldChar w:fldCharType="end"/>
          </w:r>
        </w:sdtContent>
      </w:sdt>
      <w:r w:rsidRPr="006837B7">
        <w:rPr>
          <w:sz w:val="16"/>
        </w:rPr>
        <w:t xml:space="preserve"> </w:t>
      </w:r>
      <w:sdt>
        <w:sdtPr>
          <w:rPr>
            <w:sz w:val="16"/>
          </w:rPr>
          <w:id w:val="1032837259"/>
          <w:citation/>
        </w:sdtPr>
        <w:sdtEndPr/>
        <w:sdtContent>
          <w:r w:rsidRPr="006837B7">
            <w:rPr>
              <w:sz w:val="16"/>
            </w:rPr>
            <w:fldChar w:fldCharType="begin"/>
          </w:r>
          <w:r w:rsidRPr="006837B7">
            <w:rPr>
              <w:sz w:val="16"/>
            </w:rPr>
            <w:instrText xml:space="preserve"> CITATION Ran15 \l 5129 </w:instrText>
          </w:r>
          <w:r w:rsidRPr="006837B7">
            <w:rPr>
              <w:sz w:val="16"/>
            </w:rPr>
            <w:fldChar w:fldCharType="separate"/>
          </w:r>
          <w:r w:rsidRPr="00981396">
            <w:rPr>
              <w:noProof/>
              <w:sz w:val="16"/>
            </w:rPr>
            <w:t>(Rankin, 2015)</w:t>
          </w:r>
          <w:r w:rsidRPr="006837B7">
            <w:rPr>
              <w:sz w:val="16"/>
            </w:rPr>
            <w:fldChar w:fldCharType="end"/>
          </w:r>
        </w:sdtContent>
      </w:sdt>
    </w:p>
  </w:footnote>
  <w:footnote w:id="5">
    <w:p w14:paraId="3F400115" w14:textId="16C0D098" w:rsidR="00AE1954" w:rsidRPr="006837B7" w:rsidRDefault="00AE1954" w:rsidP="002F4F42">
      <w:pPr>
        <w:pStyle w:val="FootnoteText"/>
        <w:rPr>
          <w:sz w:val="16"/>
        </w:rPr>
      </w:pPr>
      <w:r w:rsidRPr="006837B7">
        <w:rPr>
          <w:rStyle w:val="FootnoteReference"/>
          <w:sz w:val="16"/>
        </w:rPr>
        <w:footnoteRef/>
      </w:r>
      <w:r w:rsidRPr="006837B7">
        <w:rPr>
          <w:sz w:val="16"/>
        </w:rPr>
        <w:t xml:space="preserve"> On 4 August 2016, the Israeli authorities charged a Palestinian World Vision employee, Mr Mohammed El Halabi, with diverting funds from World Vision projects in Gaza to Hamas. The court case is </w:t>
      </w:r>
      <w:r>
        <w:rPr>
          <w:sz w:val="16"/>
        </w:rPr>
        <w:t>ongoing</w:t>
      </w:r>
      <w:r w:rsidRPr="006837B7">
        <w:rPr>
          <w:sz w:val="16"/>
        </w:rPr>
        <w:t>.</w:t>
      </w:r>
    </w:p>
  </w:footnote>
  <w:footnote w:id="6">
    <w:p w14:paraId="15765295" w14:textId="77777777" w:rsidR="00AE1954" w:rsidRPr="006837B7" w:rsidRDefault="00AE1954" w:rsidP="002F4F42">
      <w:pPr>
        <w:pStyle w:val="FootnoteText"/>
        <w:rPr>
          <w:sz w:val="16"/>
          <w:lang w:val="en-US"/>
        </w:rPr>
      </w:pPr>
      <w:r w:rsidRPr="006837B7">
        <w:rPr>
          <w:rStyle w:val="FootnoteReference"/>
          <w:sz w:val="16"/>
        </w:rPr>
        <w:footnoteRef/>
      </w:r>
      <w:r w:rsidRPr="006837B7">
        <w:rPr>
          <w:sz w:val="16"/>
        </w:rPr>
        <w:t xml:space="preserve"> Oxfam’s Economic Justice Programme was one of the pioneers of the MSD approach in the Palestinian Territories.</w:t>
      </w:r>
    </w:p>
  </w:footnote>
  <w:footnote w:id="7">
    <w:p w14:paraId="654D2443" w14:textId="77777777" w:rsidR="00AE1954" w:rsidRPr="006837B7" w:rsidRDefault="00AE1954" w:rsidP="002F4F42">
      <w:pPr>
        <w:pStyle w:val="FootnoteText"/>
        <w:rPr>
          <w:sz w:val="16"/>
          <w:lang w:val="en-US"/>
        </w:rPr>
      </w:pPr>
      <w:r w:rsidRPr="006837B7">
        <w:rPr>
          <w:rStyle w:val="FootnoteReference"/>
          <w:sz w:val="16"/>
        </w:rPr>
        <w:footnoteRef/>
      </w:r>
      <w:r w:rsidRPr="006837B7">
        <w:rPr>
          <w:sz w:val="16"/>
        </w:rPr>
        <w:t xml:space="preserve"> One funded by Denmark/Switzerland, and one by Sweden.</w:t>
      </w:r>
    </w:p>
  </w:footnote>
  <w:footnote w:id="8">
    <w:p w14:paraId="500736D5" w14:textId="19A7CB46" w:rsidR="00AE1954" w:rsidRPr="005D3FAC" w:rsidRDefault="00AE1954">
      <w:pPr>
        <w:pStyle w:val="FootnoteText"/>
        <w:rPr>
          <w:lang w:val="en-NZ"/>
        </w:rPr>
      </w:pPr>
      <w:r>
        <w:rPr>
          <w:rStyle w:val="FootnoteReference"/>
        </w:rPr>
        <w:footnoteRef/>
      </w:r>
      <w:r>
        <w:t xml:space="preserve"> </w:t>
      </w:r>
      <w:r>
        <w:rPr>
          <w:lang w:val="en-NZ"/>
        </w:rPr>
        <w:t>‘Crowding-in’ refers to the largely independent replication of the business model by other private sector actors.</w:t>
      </w:r>
    </w:p>
  </w:footnote>
  <w:footnote w:id="9">
    <w:p w14:paraId="5B751660" w14:textId="77777777" w:rsidR="00AE1954" w:rsidRPr="006837B7" w:rsidRDefault="00AE1954" w:rsidP="002F4F42">
      <w:pPr>
        <w:pStyle w:val="FootnoteText"/>
        <w:rPr>
          <w:sz w:val="16"/>
        </w:rPr>
      </w:pPr>
      <w:r w:rsidRPr="006837B7">
        <w:rPr>
          <w:rStyle w:val="FootnoteReference"/>
          <w:sz w:val="16"/>
        </w:rPr>
        <w:footnoteRef/>
      </w:r>
      <w:r w:rsidRPr="006837B7">
        <w:rPr>
          <w:sz w:val="16"/>
        </w:rPr>
        <w:t xml:space="preserve"> In this case significant care is needed to ensure that support is both sustainable and that there are clear exit strategies for NGO involvement.</w:t>
      </w:r>
    </w:p>
  </w:footnote>
  <w:footnote w:id="10">
    <w:p w14:paraId="35E83A44" w14:textId="66322F57" w:rsidR="00AE1954" w:rsidRPr="006837B7" w:rsidRDefault="00AE1954" w:rsidP="002F4F42">
      <w:pPr>
        <w:pStyle w:val="FootnoteText"/>
        <w:rPr>
          <w:sz w:val="16"/>
        </w:rPr>
      </w:pPr>
      <w:r w:rsidRPr="006837B7">
        <w:rPr>
          <w:rStyle w:val="FootnoteReference"/>
          <w:sz w:val="16"/>
        </w:rPr>
        <w:footnoteRef/>
      </w:r>
      <w:r w:rsidRPr="006837B7">
        <w:rPr>
          <w:sz w:val="16"/>
        </w:rPr>
        <w:t xml:space="preserve"> excluding a target </w:t>
      </w:r>
      <w:r>
        <w:rPr>
          <w:sz w:val="16"/>
        </w:rPr>
        <w:t>to which only APHEDA was contributing</w:t>
      </w:r>
      <w:r w:rsidRPr="006837B7">
        <w:rPr>
          <w:sz w:val="16"/>
        </w:rPr>
        <w:t>.</w:t>
      </w:r>
    </w:p>
  </w:footnote>
  <w:footnote w:id="11">
    <w:p w14:paraId="653DE7D4" w14:textId="3752EC4E" w:rsidR="00AE1954" w:rsidRPr="006837B7" w:rsidRDefault="00AE1954" w:rsidP="002F4F42">
      <w:pPr>
        <w:pStyle w:val="FootnoteText"/>
        <w:rPr>
          <w:sz w:val="16"/>
        </w:rPr>
      </w:pPr>
      <w:r w:rsidRPr="006837B7">
        <w:rPr>
          <w:rStyle w:val="FootnoteReference"/>
          <w:sz w:val="16"/>
        </w:rPr>
        <w:footnoteRef/>
      </w:r>
      <w:r w:rsidRPr="006837B7">
        <w:rPr>
          <w:sz w:val="16"/>
        </w:rPr>
        <w:t xml:space="preserve"> The whole field of MSD has been growing, learning and evolving over the last 10 years. Importantly for </w:t>
      </w:r>
      <w:r>
        <w:rPr>
          <w:sz w:val="16"/>
        </w:rPr>
        <w:t>AMENCA 3</w:t>
      </w:r>
      <w:r w:rsidRPr="006837B7">
        <w:rPr>
          <w:sz w:val="16"/>
        </w:rPr>
        <w:t>, the global thinking on MSD ‘hybrid’ approaches was only just beginning to take shape when the program commenced.</w:t>
      </w:r>
    </w:p>
  </w:footnote>
  <w:footnote w:id="12">
    <w:p w14:paraId="12F39A58" w14:textId="553B2DB9" w:rsidR="00AE1954" w:rsidRPr="006837B7" w:rsidRDefault="00AE1954" w:rsidP="002F4F42">
      <w:pPr>
        <w:pStyle w:val="FootnoteText"/>
        <w:rPr>
          <w:sz w:val="16"/>
        </w:rPr>
      </w:pPr>
      <w:r w:rsidRPr="006837B7">
        <w:rPr>
          <w:rStyle w:val="FootnoteReference"/>
          <w:sz w:val="16"/>
        </w:rPr>
        <w:footnoteRef/>
      </w:r>
      <w:r w:rsidRPr="006837B7">
        <w:rPr>
          <w:sz w:val="16"/>
        </w:rPr>
        <w:t xml:space="preserve"> </w:t>
      </w:r>
      <w:r>
        <w:rPr>
          <w:sz w:val="16"/>
        </w:rPr>
        <w:t>AMENCA 3</w:t>
      </w:r>
      <w:r w:rsidRPr="006837B7">
        <w:rPr>
          <w:sz w:val="16"/>
        </w:rPr>
        <w:t xml:space="preserve">’s indicators are largely derived from DFAT’s Aggregate Development Results </w:t>
      </w:r>
      <w:sdt>
        <w:sdtPr>
          <w:rPr>
            <w:sz w:val="16"/>
          </w:rPr>
          <w:id w:val="-720055944"/>
          <w:citation/>
        </w:sdtPr>
        <w:sdtEndPr/>
        <w:sdtContent>
          <w:r w:rsidRPr="006837B7">
            <w:rPr>
              <w:sz w:val="16"/>
            </w:rPr>
            <w:fldChar w:fldCharType="begin"/>
          </w:r>
          <w:r w:rsidRPr="006837B7">
            <w:rPr>
              <w:sz w:val="16"/>
            </w:rPr>
            <w:instrText xml:space="preserve"> CITATION AME192 \l 5129 </w:instrText>
          </w:r>
          <w:r w:rsidRPr="006837B7">
            <w:rPr>
              <w:sz w:val="16"/>
            </w:rPr>
            <w:fldChar w:fldCharType="separate"/>
          </w:r>
          <w:r w:rsidRPr="00981396">
            <w:rPr>
              <w:noProof/>
              <w:sz w:val="16"/>
            </w:rPr>
            <w:t>(AMENCA 3, Jan 2019)</w:t>
          </w:r>
          <w:r w:rsidRPr="006837B7">
            <w:rPr>
              <w:sz w:val="16"/>
            </w:rPr>
            <w:fldChar w:fldCharType="end"/>
          </w:r>
        </w:sdtContent>
      </w:sdt>
    </w:p>
  </w:footnote>
  <w:footnote w:id="13">
    <w:p w14:paraId="13F6BB69" w14:textId="77777777" w:rsidR="00AE1954" w:rsidRPr="00B020C1" w:rsidRDefault="00AE1954" w:rsidP="00987028">
      <w:pPr>
        <w:pStyle w:val="FootnoteText"/>
        <w:rPr>
          <w:sz w:val="16"/>
        </w:rPr>
      </w:pPr>
      <w:r>
        <w:rPr>
          <w:rStyle w:val="FootnoteReference"/>
        </w:rPr>
        <w:footnoteRef/>
      </w:r>
      <w:r>
        <w:t xml:space="preserve"> </w:t>
      </w:r>
      <w:r w:rsidRPr="00B020C1">
        <w:rPr>
          <w:sz w:val="16"/>
        </w:rPr>
        <w:t>This intervention will be subject to an evaluation in the coming months.</w:t>
      </w:r>
    </w:p>
  </w:footnote>
  <w:footnote w:id="14">
    <w:p w14:paraId="61A65830" w14:textId="6C491258" w:rsidR="00AE1954" w:rsidRPr="009161CA" w:rsidRDefault="00AE1954">
      <w:pPr>
        <w:pStyle w:val="FootnoteText"/>
        <w:rPr>
          <w:lang w:val="en-NZ"/>
        </w:rPr>
      </w:pPr>
      <w:r>
        <w:rPr>
          <w:rStyle w:val="FootnoteReference"/>
        </w:rPr>
        <w:footnoteRef/>
      </w:r>
      <w:r>
        <w:t xml:space="preserve"> </w:t>
      </w:r>
      <w:r w:rsidRPr="009161CA">
        <w:t>https://beamexchange.org/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D9AD" w14:textId="77777777" w:rsidR="003B525D" w:rsidRDefault="003B52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0F2B3" w14:textId="77777777" w:rsidR="003B525D" w:rsidRDefault="003B52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F6EEE" w14:textId="77777777" w:rsidR="003B525D" w:rsidRDefault="003B52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44E2A" w14:textId="77777777" w:rsidR="00AE1954" w:rsidRPr="00A8710B" w:rsidRDefault="00AE1954" w:rsidP="00F477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48D"/>
    <w:multiLevelType w:val="hybridMultilevel"/>
    <w:tmpl w:val="8F4274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5F7256"/>
    <w:multiLevelType w:val="hybridMultilevel"/>
    <w:tmpl w:val="109CA5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481746C"/>
    <w:multiLevelType w:val="hybridMultilevel"/>
    <w:tmpl w:val="D94AA402"/>
    <w:lvl w:ilvl="0" w:tplc="7376D554">
      <w:start w:val="1"/>
      <w:numFmt w:val="decimal"/>
      <w:pStyle w:val="EvaluationNumbered"/>
      <w:lvlText w:val="%1."/>
      <w:lvlJc w:val="left"/>
      <w:pPr>
        <w:ind w:left="720" w:hanging="360"/>
      </w:pPr>
      <w:rPr>
        <w:rFonts w:hint="default"/>
        <w:b w:val="0"/>
        <w:i w:val="0"/>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5F1248C"/>
    <w:multiLevelType w:val="hybridMultilevel"/>
    <w:tmpl w:val="9754F8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74B6FB8"/>
    <w:multiLevelType w:val="hybridMultilevel"/>
    <w:tmpl w:val="FA9E37C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86A77B6"/>
    <w:multiLevelType w:val="hybridMultilevel"/>
    <w:tmpl w:val="436E44AA"/>
    <w:lvl w:ilvl="0" w:tplc="95B266FC">
      <w:start w:val="1"/>
      <w:numFmt w:val="bullet"/>
      <w:pStyle w:val="Dotpoint"/>
      <w:lvlText w:val=""/>
      <w:lvlJc w:val="left"/>
      <w:pPr>
        <w:ind w:left="360" w:hanging="360"/>
      </w:pPr>
      <w:rPr>
        <w:rFonts w:ascii="Symbol" w:hAnsi="Symbol" w:hint="default"/>
        <w:color w:val="003478"/>
      </w:rPr>
    </w:lvl>
    <w:lvl w:ilvl="1" w:tplc="9E3E4ABC">
      <w:numFmt w:val="bullet"/>
      <w:lvlText w:val="•"/>
      <w:lvlJc w:val="left"/>
      <w:pPr>
        <w:ind w:left="1440" w:hanging="720"/>
      </w:pPr>
      <w:rPr>
        <w:rFonts w:ascii="Arial" w:eastAsia="Arial"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CB5A48"/>
    <w:multiLevelType w:val="hybridMultilevel"/>
    <w:tmpl w:val="0D3CFA48"/>
    <w:lvl w:ilvl="0" w:tplc="485C5D4E">
      <w:start w:val="1"/>
      <w:numFmt w:val="decimal"/>
      <w:pStyle w:val="ListParagraph"/>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2A45D18"/>
    <w:multiLevelType w:val="hybridMultilevel"/>
    <w:tmpl w:val="FAC048B8"/>
    <w:lvl w:ilvl="0" w:tplc="ADB4620E">
      <w:start w:val="1"/>
      <w:numFmt w:val="decimal"/>
      <w:lvlText w:val="C%1."/>
      <w:lvlJc w:val="left"/>
      <w:pPr>
        <w:ind w:left="720" w:hanging="360"/>
      </w:pPr>
      <w:rPr>
        <w:rFonts w:hint="default"/>
      </w:rPr>
    </w:lvl>
    <w:lvl w:ilvl="1" w:tplc="1AEADAE8">
      <w:start w:val="1"/>
      <w:numFmt w:val="decimal"/>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7DF70A2"/>
    <w:multiLevelType w:val="multilevel"/>
    <w:tmpl w:val="C16002BE"/>
    <w:styleLink w:val="ListBullets"/>
    <w:lvl w:ilvl="0">
      <w:start w:val="1"/>
      <w:numFmt w:val="bullet"/>
      <w:pStyle w:val="ListBullet"/>
      <w:lvlText w:val=""/>
      <w:lvlJc w:val="left"/>
      <w:pPr>
        <w:ind w:left="714" w:hanging="357"/>
      </w:pPr>
      <w:rPr>
        <w:rFonts w:ascii="Symbol" w:hAnsi="Symbol" w:hint="default"/>
      </w:rPr>
    </w:lvl>
    <w:lvl w:ilvl="1">
      <w:start w:val="1"/>
      <w:numFmt w:val="bullet"/>
      <w:pStyle w:val="ListBullet2"/>
      <w:lvlText w:val=""/>
      <w:lvlJc w:val="left"/>
      <w:pPr>
        <w:ind w:left="1071" w:hanging="357"/>
      </w:pPr>
      <w:rPr>
        <w:rFonts w:ascii="Wingdings" w:hAnsi="Wingdings" w:hint="default"/>
      </w:rPr>
    </w:lvl>
    <w:lvl w:ilvl="2">
      <w:start w:val="1"/>
      <w:numFmt w:val="bullet"/>
      <w:pStyle w:val="ListBullet3"/>
      <w:lvlText w:val=""/>
      <w:lvlJc w:val="left"/>
      <w:pPr>
        <w:ind w:left="1428" w:hanging="357"/>
      </w:pPr>
      <w:rPr>
        <w:rFonts w:ascii="Symbol" w:hAnsi="Symbol"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7"/>
      <w:lvlJc w:val="left"/>
      <w:pPr>
        <w:ind w:left="2856" w:hanging="357"/>
      </w:pPr>
      <w:rPr>
        <w:rFonts w:hint="default"/>
      </w:rPr>
    </w:lvl>
    <w:lvl w:ilvl="7">
      <w:start w:val="1"/>
      <w:numFmt w:val="none"/>
      <w:lvlText w:val="%8"/>
      <w:lvlJc w:val="left"/>
      <w:pPr>
        <w:ind w:left="3213" w:hanging="357"/>
      </w:pPr>
      <w:rPr>
        <w:rFonts w:hint="default"/>
      </w:rPr>
    </w:lvl>
    <w:lvl w:ilvl="8">
      <w:start w:val="1"/>
      <w:numFmt w:val="none"/>
      <w:lvlText w:val="%9"/>
      <w:lvlJc w:val="left"/>
      <w:pPr>
        <w:ind w:left="3570" w:hanging="357"/>
      </w:pPr>
      <w:rPr>
        <w:rFonts w:hint="default"/>
      </w:rPr>
    </w:lvl>
  </w:abstractNum>
  <w:abstractNum w:abstractNumId="9" w15:restartNumberingAfterBreak="0">
    <w:nsid w:val="1A9C0688"/>
    <w:multiLevelType w:val="hybridMultilevel"/>
    <w:tmpl w:val="6FB852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D4D5306"/>
    <w:multiLevelType w:val="hybridMultilevel"/>
    <w:tmpl w:val="5F7EF51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06707784">
      <w:start w:val="1"/>
      <w:numFmt w:val="lowerLetter"/>
      <w:lvlText w:val="(%3)"/>
      <w:lvlJc w:val="left"/>
      <w:pPr>
        <w:ind w:left="2340" w:hanging="36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EAA25D5"/>
    <w:multiLevelType w:val="hybridMultilevel"/>
    <w:tmpl w:val="109CA5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F2218CF"/>
    <w:multiLevelType w:val="multilevel"/>
    <w:tmpl w:val="0C09001D"/>
    <w:styleLink w:val="NewBulle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none"/>
      <w:lvlText w:val="%4"/>
      <w:lvlJc w:val="left"/>
      <w:pPr>
        <w:ind w:left="1440" w:hanging="360"/>
      </w:pPr>
      <w:rPr>
        <w:rFonts w:ascii="Symbol" w:hAnsi="Symbol" w:hint="default"/>
        <w:color w:val="auto"/>
      </w:rPr>
    </w:lvl>
    <w:lvl w:ilvl="4">
      <w:start w:val="1"/>
      <w:numFmt w:val="none"/>
      <w:lvlText w:val="%5"/>
      <w:lvlJc w:val="left"/>
      <w:pPr>
        <w:ind w:left="1800" w:hanging="360"/>
      </w:pPr>
      <w:rPr>
        <w:rFonts w:ascii="Symbol" w:hAnsi="Symbol" w:hint="default"/>
        <w:color w:val="auto"/>
      </w:rPr>
    </w:lvl>
    <w:lvl w:ilvl="5">
      <w:start w:val="1"/>
      <w:numFmt w:val="none"/>
      <w:lvlText w:val="%6"/>
      <w:lvlJc w:val="left"/>
      <w:pPr>
        <w:ind w:left="2160" w:hanging="360"/>
      </w:pPr>
      <w:rPr>
        <w:rFonts w:ascii="Symbol" w:hAnsi="Symbol" w:hint="default"/>
        <w:color w:val="auto"/>
      </w:rPr>
    </w:lvl>
    <w:lvl w:ilvl="6">
      <w:start w:val="1"/>
      <w:numFmt w:val="none"/>
      <w:lvlText w:val="%7"/>
      <w:lvlJc w:val="left"/>
      <w:pPr>
        <w:ind w:left="2520" w:hanging="360"/>
      </w:pPr>
      <w:rPr>
        <w:rFonts w:ascii="Symbol" w:hAnsi="Symbol" w:hint="default"/>
      </w:rPr>
    </w:lvl>
    <w:lvl w:ilvl="7">
      <w:start w:val="1"/>
      <w:numFmt w:val="none"/>
      <w:lvlText w:val="%8"/>
      <w:lvlJc w:val="left"/>
      <w:pPr>
        <w:ind w:left="2880" w:hanging="360"/>
      </w:pPr>
      <w:rPr>
        <w:rFonts w:ascii="Symbol" w:hAnsi="Symbol" w:hint="default"/>
      </w:rPr>
    </w:lvl>
    <w:lvl w:ilvl="8">
      <w:start w:val="1"/>
      <w:numFmt w:val="none"/>
      <w:lvlText w:val="%9"/>
      <w:lvlJc w:val="left"/>
      <w:pPr>
        <w:ind w:left="3240" w:hanging="360"/>
      </w:pPr>
      <w:rPr>
        <w:rFonts w:ascii="Symbol" w:hAnsi="Symbol" w:hint="default"/>
      </w:rPr>
    </w:lvl>
  </w:abstractNum>
  <w:abstractNum w:abstractNumId="13" w15:restartNumberingAfterBreak="0">
    <w:nsid w:val="211F5C86"/>
    <w:multiLevelType w:val="hybridMultilevel"/>
    <w:tmpl w:val="109CA5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32923BB"/>
    <w:multiLevelType w:val="multilevel"/>
    <w:tmpl w:val="4C0CD092"/>
    <w:styleLink w:val="Numbersfor9ptnumbers"/>
    <w:lvl w:ilvl="0">
      <w:start w:val="1"/>
      <w:numFmt w:val="decimal"/>
      <w:pStyle w:val="9ptL1"/>
      <w:lvlText w:val="%1."/>
      <w:lvlJc w:val="left"/>
      <w:pPr>
        <w:ind w:left="360" w:hanging="360"/>
      </w:pPr>
      <w:rPr>
        <w:rFonts w:hint="default"/>
      </w:rPr>
    </w:lvl>
    <w:lvl w:ilvl="1">
      <w:start w:val="1"/>
      <w:numFmt w:val="lowerLetter"/>
      <w:pStyle w:val="9ptL2"/>
      <w:lvlText w:val="(%2)"/>
      <w:lvlJc w:val="left"/>
      <w:pPr>
        <w:ind w:left="284" w:hanging="284"/>
      </w:pPr>
      <w:rPr>
        <w:rFonts w:hint="default"/>
      </w:rPr>
    </w:lvl>
    <w:lvl w:ilvl="2">
      <w:start w:val="1"/>
      <w:numFmt w:val="lowerRoman"/>
      <w:pStyle w:val="9ptL3"/>
      <w:lvlText w:val="(%3)"/>
      <w:lvlJc w:val="left"/>
      <w:pPr>
        <w:ind w:left="567"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C7179A"/>
    <w:multiLevelType w:val="hybridMultilevel"/>
    <w:tmpl w:val="13D07412"/>
    <w:lvl w:ilvl="0" w:tplc="43A8FCE2">
      <w:start w:val="1"/>
      <w:numFmt w:val="bullet"/>
      <w:pStyle w:val="Body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81C664B"/>
    <w:multiLevelType w:val="multilevel"/>
    <w:tmpl w:val="9030ECEE"/>
    <w:styleLink w:val="CoffeyBullets"/>
    <w:lvl w:ilvl="0">
      <w:start w:val="1"/>
      <w:numFmt w:val="bullet"/>
      <w:lvlText w:val=""/>
      <w:lvlJc w:val="left"/>
      <w:pPr>
        <w:tabs>
          <w:tab w:val="num" w:pos="717"/>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Wingdings" w:hAnsi="Wingdings" w:hint="default"/>
        <w:color w:val="auto"/>
        <w:sz w:val="12"/>
      </w:rPr>
    </w:lvl>
    <w:lvl w:ilvl="2">
      <w:start w:val="1"/>
      <w:numFmt w:val="bullet"/>
      <w:lvlText w:val=""/>
      <w:lvlJc w:val="left"/>
      <w:pPr>
        <w:tabs>
          <w:tab w:val="num" w:pos="1437"/>
        </w:tabs>
        <w:ind w:left="1440" w:hanging="360"/>
      </w:pPr>
      <w:rPr>
        <w:rFonts w:ascii="Symbol" w:hAnsi="Symbo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2A217667"/>
    <w:multiLevelType w:val="multilevel"/>
    <w:tmpl w:val="FA58B8FC"/>
    <w:numStyleLink w:val="ListNumbers"/>
  </w:abstractNum>
  <w:abstractNum w:abstractNumId="18" w15:restartNumberingAfterBreak="0">
    <w:nsid w:val="2A62267C"/>
    <w:multiLevelType w:val="hybridMultilevel"/>
    <w:tmpl w:val="208AA586"/>
    <w:lvl w:ilvl="0" w:tplc="B08A2C18">
      <w:start w:val="1"/>
      <w:numFmt w:val="decimal"/>
      <w:pStyle w:val="Surveyq"/>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8F1C45"/>
    <w:multiLevelType w:val="hybridMultilevel"/>
    <w:tmpl w:val="DC2897EE"/>
    <w:lvl w:ilvl="0" w:tplc="F4864A86">
      <w:start w:val="1"/>
      <w:numFmt w:val="bullet"/>
      <w:pStyle w:val="CoffeyBulletsL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D76777"/>
    <w:multiLevelType w:val="hybridMultilevel"/>
    <w:tmpl w:val="2D7C4630"/>
    <w:lvl w:ilvl="0" w:tplc="E91A17BA">
      <w:start w:val="1"/>
      <w:numFmt w:val="bullet"/>
      <w:lvlText w:val=""/>
      <w:lvlJc w:val="left"/>
      <w:pPr>
        <w:ind w:left="717" w:hanging="360"/>
      </w:pPr>
      <w:rPr>
        <w:rFonts w:ascii="Symbol" w:hAnsi="Symbol" w:hint="default"/>
        <w:color w:val="003478"/>
      </w:rPr>
    </w:lvl>
    <w:lvl w:ilvl="1" w:tplc="9E3E4ABC">
      <w:numFmt w:val="bullet"/>
      <w:lvlText w:val="•"/>
      <w:lvlJc w:val="left"/>
      <w:pPr>
        <w:ind w:left="1797" w:hanging="720"/>
      </w:pPr>
      <w:rPr>
        <w:rFonts w:ascii="Arial" w:eastAsia="Arial" w:hAnsi="Arial" w:cs="Arial"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1" w15:restartNumberingAfterBreak="0">
    <w:nsid w:val="2DDA4ABA"/>
    <w:multiLevelType w:val="hybridMultilevel"/>
    <w:tmpl w:val="EB5CCC56"/>
    <w:lvl w:ilvl="0" w:tplc="A3044CF2">
      <w:start w:val="1"/>
      <w:numFmt w:val="bullet"/>
      <w:pStyle w:val="EvaluationBullet"/>
      <w:lvlText w:val=""/>
      <w:lvlJc w:val="left"/>
      <w:pPr>
        <w:ind w:left="720" w:hanging="360"/>
      </w:pPr>
      <w:rPr>
        <w:rFonts w:ascii="Symbol" w:hAnsi="Symbol" w:hint="default"/>
        <w:b w:val="0"/>
        <w:i w:val="0"/>
        <w:color w:val="999999"/>
        <w:sz w:val="20"/>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FDD5C87"/>
    <w:multiLevelType w:val="hybridMultilevel"/>
    <w:tmpl w:val="FA9E37C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3672156"/>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5E72994"/>
    <w:multiLevelType w:val="hybridMultilevel"/>
    <w:tmpl w:val="C228165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8B110E8"/>
    <w:multiLevelType w:val="hybridMultilevel"/>
    <w:tmpl w:val="46047DE8"/>
    <w:lvl w:ilvl="0" w:tplc="9162C6D6">
      <w:start w:val="1"/>
      <w:numFmt w:val="decimal"/>
      <w:lvlText w:val="Recommendation %1."/>
      <w:lvlJc w:val="left"/>
      <w:pPr>
        <w:ind w:left="360" w:hanging="360"/>
      </w:pPr>
      <w:rPr>
        <w:rFonts w:ascii="Arial Black" w:hAnsi="Arial Black" w:hint="default"/>
        <w:b/>
        <w:bCs/>
        <w:i w:val="0"/>
        <w:iCs w:val="0"/>
        <w:color w:val="5482AB"/>
      </w:rPr>
    </w:lvl>
    <w:lvl w:ilvl="1" w:tplc="14090019">
      <w:start w:val="1"/>
      <w:numFmt w:val="lowerLetter"/>
      <w:lvlText w:val="%2."/>
      <w:lvlJc w:val="left"/>
      <w:pPr>
        <w:ind w:left="2304" w:hanging="360"/>
      </w:pPr>
    </w:lvl>
    <w:lvl w:ilvl="2" w:tplc="D0F4BA5E">
      <w:start w:val="1"/>
      <w:numFmt w:val="decimal"/>
      <w:lvlText w:val="%3)"/>
      <w:lvlJc w:val="left"/>
      <w:pPr>
        <w:ind w:left="3204" w:hanging="360"/>
      </w:pPr>
      <w:rPr>
        <w:rFonts w:hint="default"/>
      </w:rPr>
    </w:lvl>
    <w:lvl w:ilvl="3" w:tplc="1409000F" w:tentative="1">
      <w:start w:val="1"/>
      <w:numFmt w:val="decimal"/>
      <w:lvlText w:val="%4."/>
      <w:lvlJc w:val="left"/>
      <w:pPr>
        <w:ind w:left="3744" w:hanging="360"/>
      </w:pPr>
    </w:lvl>
    <w:lvl w:ilvl="4" w:tplc="14090019" w:tentative="1">
      <w:start w:val="1"/>
      <w:numFmt w:val="lowerLetter"/>
      <w:lvlText w:val="%5."/>
      <w:lvlJc w:val="left"/>
      <w:pPr>
        <w:ind w:left="4464" w:hanging="360"/>
      </w:pPr>
    </w:lvl>
    <w:lvl w:ilvl="5" w:tplc="1409001B" w:tentative="1">
      <w:start w:val="1"/>
      <w:numFmt w:val="lowerRoman"/>
      <w:lvlText w:val="%6."/>
      <w:lvlJc w:val="right"/>
      <w:pPr>
        <w:ind w:left="5184" w:hanging="180"/>
      </w:pPr>
    </w:lvl>
    <w:lvl w:ilvl="6" w:tplc="1409000F" w:tentative="1">
      <w:start w:val="1"/>
      <w:numFmt w:val="decimal"/>
      <w:lvlText w:val="%7."/>
      <w:lvlJc w:val="left"/>
      <w:pPr>
        <w:ind w:left="5904" w:hanging="360"/>
      </w:pPr>
    </w:lvl>
    <w:lvl w:ilvl="7" w:tplc="14090019" w:tentative="1">
      <w:start w:val="1"/>
      <w:numFmt w:val="lowerLetter"/>
      <w:lvlText w:val="%8."/>
      <w:lvlJc w:val="left"/>
      <w:pPr>
        <w:ind w:left="6624" w:hanging="360"/>
      </w:pPr>
    </w:lvl>
    <w:lvl w:ilvl="8" w:tplc="1409001B" w:tentative="1">
      <w:start w:val="1"/>
      <w:numFmt w:val="lowerRoman"/>
      <w:lvlText w:val="%9."/>
      <w:lvlJc w:val="right"/>
      <w:pPr>
        <w:ind w:left="7344" w:hanging="180"/>
      </w:pPr>
    </w:lvl>
  </w:abstractNum>
  <w:abstractNum w:abstractNumId="26" w15:restartNumberingAfterBreak="0">
    <w:nsid w:val="3D8963D8"/>
    <w:multiLevelType w:val="hybridMultilevel"/>
    <w:tmpl w:val="A1FCC7C2"/>
    <w:lvl w:ilvl="0" w:tplc="D9DA3C70">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09F58B4"/>
    <w:multiLevelType w:val="hybridMultilevel"/>
    <w:tmpl w:val="109CA5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437A6789"/>
    <w:multiLevelType w:val="hybridMultilevel"/>
    <w:tmpl w:val="109CA5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45BF065E"/>
    <w:multiLevelType w:val="hybridMultilevel"/>
    <w:tmpl w:val="DC5EB08C"/>
    <w:lvl w:ilvl="0" w:tplc="04090001">
      <w:start w:val="1"/>
      <w:numFmt w:val="bullet"/>
      <w:lvlText w:val=""/>
      <w:lvlJc w:val="left"/>
      <w:pPr>
        <w:ind w:left="720" w:hanging="360"/>
      </w:pPr>
      <w:rPr>
        <w:rFonts w:ascii="Symbol" w:hAnsi="Symbol" w:hint="default"/>
      </w:rPr>
    </w:lvl>
    <w:lvl w:ilvl="1" w:tplc="61989CC4">
      <w:start w:val="8"/>
      <w:numFmt w:val="bullet"/>
      <w:pStyle w:val="ListParagraph2"/>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B07B06"/>
    <w:multiLevelType w:val="multilevel"/>
    <w:tmpl w:val="7F963E1A"/>
    <w:styleLink w:val="CoffeyNumbers"/>
    <w:lvl w:ilvl="0">
      <w:start w:val="1"/>
      <w:numFmt w:val="decimal"/>
      <w:pStyle w:val="CoffeyNumbersL1"/>
      <w:lvlText w:val="%1."/>
      <w:lvlJc w:val="left"/>
      <w:pPr>
        <w:tabs>
          <w:tab w:val="num" w:pos="357"/>
        </w:tabs>
        <w:ind w:left="360" w:hanging="360"/>
      </w:pPr>
      <w:rPr>
        <w:rFonts w:hint="default"/>
      </w:rPr>
    </w:lvl>
    <w:lvl w:ilvl="1">
      <w:start w:val="1"/>
      <w:numFmt w:val="lowerLetter"/>
      <w:pStyle w:val="CoffeyNumbersL2"/>
      <w:lvlText w:val="%2."/>
      <w:lvlJc w:val="left"/>
      <w:pPr>
        <w:tabs>
          <w:tab w:val="num" w:pos="720"/>
        </w:tabs>
        <w:ind w:left="720" w:hanging="360"/>
      </w:pPr>
      <w:rPr>
        <w:rFonts w:hint="default"/>
      </w:rPr>
    </w:lvl>
    <w:lvl w:ilvl="2">
      <w:start w:val="1"/>
      <w:numFmt w:val="lowerRoman"/>
      <w:pStyle w:val="CoffeyNumbersL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AF67BA5"/>
    <w:multiLevelType w:val="hybridMultilevel"/>
    <w:tmpl w:val="BD1C71EC"/>
    <w:lvl w:ilvl="0" w:tplc="C5025440">
      <w:start w:val="3"/>
      <w:numFmt w:val="bullet"/>
      <w:lvlText w:val="•"/>
      <w:lvlJc w:val="left"/>
      <w:pPr>
        <w:ind w:left="1080" w:hanging="720"/>
      </w:pPr>
      <w:rPr>
        <w:rFonts w:ascii="Calibri" w:eastAsiaTheme="minorHAns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CA344DA"/>
    <w:multiLevelType w:val="hybridMultilevel"/>
    <w:tmpl w:val="E034ED3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CEB0733"/>
    <w:multiLevelType w:val="hybridMultilevel"/>
    <w:tmpl w:val="109CA5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4DE338DE"/>
    <w:multiLevelType w:val="multilevel"/>
    <w:tmpl w:val="C16002BE"/>
    <w:numStyleLink w:val="ListBullets"/>
  </w:abstractNum>
  <w:abstractNum w:abstractNumId="35" w15:restartNumberingAfterBreak="0">
    <w:nsid w:val="4E6E0996"/>
    <w:multiLevelType w:val="multilevel"/>
    <w:tmpl w:val="7B167C1A"/>
    <w:lvl w:ilvl="0">
      <w:start w:val="1"/>
      <w:numFmt w:val="bullet"/>
      <w:pStyle w:val="List-BulletLvl1"/>
      <w:lvlText w:val=""/>
      <w:lvlJc w:val="left"/>
      <w:pPr>
        <w:ind w:left="851" w:hanging="567"/>
      </w:pPr>
      <w:rPr>
        <w:rFonts w:ascii="Symbol" w:hAnsi="Symbol" w:hint="default"/>
        <w:color w:val="1F497D" w:themeColor="text2"/>
        <w:sz w:val="22"/>
      </w:rPr>
    </w:lvl>
    <w:lvl w:ilvl="1">
      <w:start w:val="1"/>
      <w:numFmt w:val="bullet"/>
      <w:pStyle w:val="List-BulletLvl2"/>
      <w:lvlText w:val="-"/>
      <w:lvlJc w:val="left"/>
      <w:pPr>
        <w:ind w:left="1418" w:hanging="567"/>
      </w:pPr>
      <w:rPr>
        <w:rFonts w:ascii="Calibri" w:hAnsi="Calibri" w:hint="default"/>
        <w:color w:val="1F497D" w:themeColor="text2"/>
        <w:sz w:val="24"/>
      </w:rPr>
    </w:lvl>
    <w:lvl w:ilvl="2">
      <w:start w:val="1"/>
      <w:numFmt w:val="bullet"/>
      <w:pStyle w:val="List-BulletLvl3"/>
      <w:lvlText w:val=""/>
      <w:lvlJc w:val="left"/>
      <w:pPr>
        <w:ind w:left="1985" w:hanging="567"/>
      </w:pPr>
      <w:rPr>
        <w:rFonts w:ascii="Symbol" w:hAnsi="Symbol" w:hint="default"/>
        <w:color w:val="1F497D"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36" w15:restartNumberingAfterBreak="0">
    <w:nsid w:val="5A9E312F"/>
    <w:multiLevelType w:val="multilevel"/>
    <w:tmpl w:val="59BCE080"/>
    <w:styleLink w:val="Headings"/>
    <w:lvl w:ilvl="0">
      <w:start w:val="1"/>
      <w:numFmt w:val="decimal"/>
      <w:pStyle w:val="Heading1"/>
      <w:lvlText w:val="%1."/>
      <w:lvlJc w:val="left"/>
      <w:pPr>
        <w:tabs>
          <w:tab w:val="num" w:pos="782"/>
        </w:tabs>
        <w:ind w:left="782" w:hanging="782"/>
      </w:pPr>
      <w:rPr>
        <w:rFonts w:hint="default"/>
      </w:rPr>
    </w:lvl>
    <w:lvl w:ilvl="1">
      <w:start w:val="1"/>
      <w:numFmt w:val="decimal"/>
      <w:pStyle w:val="Heading2"/>
      <w:lvlText w:val="%1.%2."/>
      <w:lvlJc w:val="left"/>
      <w:pPr>
        <w:tabs>
          <w:tab w:val="num" w:pos="782"/>
        </w:tabs>
        <w:ind w:left="782" w:hanging="782"/>
      </w:pPr>
      <w:rPr>
        <w:rFonts w:hint="default"/>
      </w:rPr>
    </w:lvl>
    <w:lvl w:ilvl="2">
      <w:start w:val="1"/>
      <w:numFmt w:val="decimal"/>
      <w:pStyle w:val="Heading3"/>
      <w:lvlText w:val="%1.%2.%3."/>
      <w:lvlJc w:val="left"/>
      <w:pPr>
        <w:tabs>
          <w:tab w:val="num" w:pos="1072"/>
        </w:tabs>
        <w:ind w:left="1072" w:hanging="1072"/>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upperLetter"/>
      <w:suff w:val="space"/>
      <w:lvlText w:val="Appendix %7"/>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37" w15:restartNumberingAfterBreak="0">
    <w:nsid w:val="5D427812"/>
    <w:multiLevelType w:val="hybridMultilevel"/>
    <w:tmpl w:val="50CAE8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5F5D30CC"/>
    <w:multiLevelType w:val="hybridMultilevel"/>
    <w:tmpl w:val="BB4275C2"/>
    <w:lvl w:ilvl="0" w:tplc="04090001">
      <w:start w:val="1"/>
      <w:numFmt w:val="bullet"/>
      <w:lvlText w:val=""/>
      <w:lvlJc w:val="left"/>
      <w:pPr>
        <w:ind w:left="360" w:hanging="360"/>
      </w:pPr>
      <w:rPr>
        <w:rFonts w:ascii="Symbol" w:hAnsi="Symbol" w:hint="default"/>
      </w:rPr>
    </w:lvl>
    <w:lvl w:ilvl="1" w:tplc="2DBC0182">
      <w:start w:val="1"/>
      <w:numFmt w:val="bullet"/>
      <w:pStyle w:val="CoffeyBulletsL2"/>
      <w:lvlText w:val=""/>
      <w:lvlJc w:val="left"/>
      <w:pPr>
        <w:ind w:left="1080" w:hanging="360"/>
      </w:pPr>
      <w:rPr>
        <w:rFonts w:ascii="Symbol" w:hAnsi="Symbol" w:hint="default"/>
      </w:rPr>
    </w:lvl>
    <w:lvl w:ilvl="2" w:tplc="04090005">
      <w:start w:val="1"/>
      <w:numFmt w:val="bullet"/>
      <w:pStyle w:val="CoffeyBulletsL3"/>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0957809"/>
    <w:multiLevelType w:val="hybridMultilevel"/>
    <w:tmpl w:val="BACE096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61F113EC"/>
    <w:multiLevelType w:val="hybridMultilevel"/>
    <w:tmpl w:val="E034ED3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43E5C87"/>
    <w:multiLevelType w:val="multilevel"/>
    <w:tmpl w:val="FA58B8FC"/>
    <w:styleLink w:val="ListNumbers"/>
    <w:lvl w:ilvl="0">
      <w:start w:val="1"/>
      <w:numFmt w:val="decimal"/>
      <w:pStyle w:val="ListNumber"/>
      <w:lvlText w:val="%1."/>
      <w:lvlJc w:val="left"/>
      <w:pPr>
        <w:ind w:left="714" w:hanging="357"/>
      </w:pPr>
      <w:rPr>
        <w:rFonts w:hint="default"/>
      </w:rPr>
    </w:lvl>
    <w:lvl w:ilvl="1">
      <w:start w:val="1"/>
      <w:numFmt w:val="lowerLetter"/>
      <w:pStyle w:val="ListNumber2"/>
      <w:lvlText w:val="%2."/>
      <w:lvlJc w:val="left"/>
      <w:pPr>
        <w:ind w:left="1071" w:hanging="357"/>
      </w:pPr>
      <w:rPr>
        <w:rFonts w:hint="default"/>
      </w:rPr>
    </w:lvl>
    <w:lvl w:ilvl="2">
      <w:start w:val="1"/>
      <w:numFmt w:val="lowerRoman"/>
      <w:pStyle w:val="ListNumber3"/>
      <w:lvlText w:val="%3."/>
      <w:lvlJc w:val="left"/>
      <w:pPr>
        <w:ind w:left="1428" w:hanging="357"/>
      </w:pPr>
      <w:rPr>
        <w:rFonts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
      <w:lvlJc w:val="left"/>
      <w:pPr>
        <w:ind w:left="2856" w:hanging="357"/>
      </w:pPr>
      <w:rPr>
        <w:rFonts w:hint="default"/>
      </w:rPr>
    </w:lvl>
    <w:lvl w:ilvl="7">
      <w:start w:val="1"/>
      <w:numFmt w:val="none"/>
      <w:lvlText w:val=""/>
      <w:lvlJc w:val="left"/>
      <w:pPr>
        <w:ind w:left="3213" w:hanging="357"/>
      </w:pPr>
      <w:rPr>
        <w:rFonts w:hint="default"/>
      </w:rPr>
    </w:lvl>
    <w:lvl w:ilvl="8">
      <w:start w:val="1"/>
      <w:numFmt w:val="none"/>
      <w:lvlText w:val=""/>
      <w:lvlJc w:val="left"/>
      <w:pPr>
        <w:ind w:left="3570" w:hanging="357"/>
      </w:pPr>
      <w:rPr>
        <w:rFonts w:hint="default"/>
      </w:rPr>
    </w:lvl>
  </w:abstractNum>
  <w:abstractNum w:abstractNumId="42" w15:restartNumberingAfterBreak="0">
    <w:nsid w:val="6840305E"/>
    <w:multiLevelType w:val="hybridMultilevel"/>
    <w:tmpl w:val="85464F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6ABA1FFB"/>
    <w:multiLevelType w:val="hybridMultilevel"/>
    <w:tmpl w:val="109CA5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6E3374A9"/>
    <w:multiLevelType w:val="hybridMultilevel"/>
    <w:tmpl w:val="67E2AB32"/>
    <w:lvl w:ilvl="0" w:tplc="271E11A0">
      <w:start w:val="1"/>
      <w:numFmt w:val="bullet"/>
      <w:pStyle w:val="BodyBullets"/>
      <w:lvlText w:val=""/>
      <w:lvlJc w:val="left"/>
      <w:pPr>
        <w:tabs>
          <w:tab w:val="num" w:pos="0"/>
        </w:tabs>
        <w:ind w:left="284" w:firstLine="0"/>
      </w:pPr>
      <w:rPr>
        <w:rFonts w:ascii="Symbol" w:hAnsi="Symbol" w:hint="default"/>
        <w:color w:val="00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7966E9"/>
    <w:multiLevelType w:val="hybridMultilevel"/>
    <w:tmpl w:val="E034ED3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8750231"/>
    <w:multiLevelType w:val="hybridMultilevel"/>
    <w:tmpl w:val="6B3426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789945B4"/>
    <w:multiLevelType w:val="hybridMultilevel"/>
    <w:tmpl w:val="BA9EEE6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EDDCC742">
      <w:start w:val="1"/>
      <w:numFmt w:val="lowerRoman"/>
      <w:lvlText w:val="%3."/>
      <w:lvlJc w:val="left"/>
      <w:pPr>
        <w:ind w:left="2160" w:hanging="180"/>
      </w:pPr>
      <w:rPr>
        <w:rFonts w:hint="default"/>
      </w:r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790577E2"/>
    <w:multiLevelType w:val="multilevel"/>
    <w:tmpl w:val="57523E74"/>
    <w:lvl w:ilvl="0">
      <w:start w:val="1"/>
      <w:numFmt w:val="decimal"/>
      <w:pStyle w:val="AttachmentHeading"/>
      <w:suff w:val="space"/>
      <w:lvlText w:val="Attachment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360"/>
      </w:pPr>
      <w:rPr>
        <w:rFonts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9" w15:restartNumberingAfterBreak="0">
    <w:nsid w:val="7F390BCE"/>
    <w:multiLevelType w:val="hybridMultilevel"/>
    <w:tmpl w:val="0270F2A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6"/>
    <w:lvlOverride w:ilvl="0">
      <w:lvl w:ilvl="0">
        <w:start w:val="1"/>
        <w:numFmt w:val="decimal"/>
        <w:pStyle w:val="Heading1"/>
        <w:lvlText w:val="%1"/>
        <w:lvlJc w:val="left"/>
        <w:pPr>
          <w:ind w:left="432" w:hanging="432"/>
        </w:pPr>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2">
    <w:abstractNumId w:val="36"/>
  </w:num>
  <w:num w:numId="3">
    <w:abstractNumId w:val="29"/>
  </w:num>
  <w:num w:numId="4">
    <w:abstractNumId w:val="44"/>
  </w:num>
  <w:num w:numId="5">
    <w:abstractNumId w:val="12"/>
  </w:num>
  <w:num w:numId="6">
    <w:abstractNumId w:val="26"/>
  </w:num>
  <w:num w:numId="7">
    <w:abstractNumId w:val="8"/>
  </w:num>
  <w:num w:numId="8">
    <w:abstractNumId w:val="41"/>
  </w:num>
  <w:num w:numId="9">
    <w:abstractNumId w:val="34"/>
  </w:num>
  <w:num w:numId="10">
    <w:abstractNumId w:val="17"/>
  </w:num>
  <w:num w:numId="11">
    <w:abstractNumId w:val="16"/>
  </w:num>
  <w:num w:numId="12">
    <w:abstractNumId w:val="30"/>
  </w:num>
  <w:num w:numId="13">
    <w:abstractNumId w:val="36"/>
    <w:lvlOverride w:ilvl="0">
      <w:lvl w:ilvl="0">
        <w:start w:val="1"/>
        <w:numFmt w:val="decimal"/>
        <w:pStyle w:val="Heading1"/>
        <w:lvlText w:val="%1."/>
        <w:lvlJc w:val="left"/>
        <w:pPr>
          <w:tabs>
            <w:tab w:val="num" w:pos="782"/>
          </w:tabs>
          <w:ind w:left="782" w:hanging="782"/>
        </w:pPr>
        <w:rPr>
          <w:rFonts w:hint="default"/>
        </w:rPr>
      </w:lvl>
    </w:lvlOverride>
    <w:lvlOverride w:ilvl="1">
      <w:lvl w:ilvl="1">
        <w:start w:val="1"/>
        <w:numFmt w:val="decimal"/>
        <w:pStyle w:val="Heading2"/>
        <w:lvlText w:val="%1.%2."/>
        <w:lvlJc w:val="left"/>
        <w:pPr>
          <w:tabs>
            <w:tab w:val="num" w:pos="782"/>
          </w:tabs>
          <w:ind w:left="782" w:hanging="782"/>
        </w:pPr>
        <w:rPr>
          <w:rFonts w:hint="default"/>
        </w:rPr>
      </w:lvl>
    </w:lvlOverride>
    <w:lvlOverride w:ilvl="2">
      <w:lvl w:ilvl="2">
        <w:start w:val="1"/>
        <w:numFmt w:val="decimal"/>
        <w:pStyle w:val="Heading3"/>
        <w:lvlText w:val="%1.%2.%3."/>
        <w:lvlJc w:val="left"/>
        <w:pPr>
          <w:tabs>
            <w:tab w:val="num" w:pos="1072"/>
          </w:tabs>
          <w:ind w:left="1072" w:hanging="1072"/>
        </w:pPr>
        <w:rPr>
          <w:rFonts w:hint="default"/>
          <w:b/>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space"/>
        <w:lvlText w:val=""/>
        <w:lvlJc w:val="left"/>
        <w:pPr>
          <w:ind w:left="0" w:firstLine="0"/>
        </w:pPr>
        <w:rPr>
          <w:rFonts w:hint="default"/>
        </w:rPr>
      </w:lvl>
    </w:lvlOverride>
    <w:lvlOverride w:ilvl="6">
      <w:lvl w:ilvl="6">
        <w:start w:val="1"/>
        <w:numFmt w:val="upperLetter"/>
        <w:suff w:val="space"/>
        <w:lvlText w:val="Appendix %7"/>
        <w:lvlJc w:val="left"/>
        <w:pPr>
          <w:ind w:left="0" w:firstLine="0"/>
        </w:pPr>
        <w:rPr>
          <w:rFonts w:hint="default"/>
        </w:rPr>
      </w:lvl>
    </w:lvlOverride>
    <w:lvlOverride w:ilvl="7">
      <w:lvl w:ilvl="7">
        <w:start w:val="1"/>
        <w:numFmt w:val="none"/>
        <w:suff w:val="space"/>
        <w:lvlText w:val=""/>
        <w:lvlJc w:val="left"/>
        <w:pPr>
          <w:ind w:left="0" w:firstLine="0"/>
        </w:pPr>
        <w:rPr>
          <w:rFonts w:hint="default"/>
        </w:rPr>
      </w:lvl>
    </w:lvlOverride>
    <w:lvlOverride w:ilvl="8">
      <w:lvl w:ilvl="8">
        <w:start w:val="1"/>
        <w:numFmt w:val="none"/>
        <w:suff w:val="space"/>
        <w:lvlText w:val=""/>
        <w:lvlJc w:val="left"/>
        <w:pPr>
          <w:ind w:left="0" w:firstLine="0"/>
        </w:pPr>
        <w:rPr>
          <w:rFonts w:hint="default"/>
        </w:rPr>
      </w:lvl>
    </w:lvlOverride>
  </w:num>
  <w:num w:numId="14">
    <w:abstractNumId w:val="14"/>
  </w:num>
  <w:num w:numId="15">
    <w:abstractNumId w:val="19"/>
  </w:num>
  <w:num w:numId="16">
    <w:abstractNumId w:val="38"/>
  </w:num>
  <w:num w:numId="17">
    <w:abstractNumId w:val="48"/>
  </w:num>
  <w:num w:numId="18">
    <w:abstractNumId w:val="21"/>
  </w:num>
  <w:num w:numId="19">
    <w:abstractNumId w:val="2"/>
  </w:num>
  <w:num w:numId="20">
    <w:abstractNumId w:val="35"/>
  </w:num>
  <w:num w:numId="21">
    <w:abstractNumId w:val="18"/>
  </w:num>
  <w:num w:numId="22">
    <w:abstractNumId w:val="5"/>
  </w:num>
  <w:num w:numId="23">
    <w:abstractNumId w:val="15"/>
  </w:num>
  <w:num w:numId="24">
    <w:abstractNumId w:val="23"/>
  </w:num>
  <w:num w:numId="25">
    <w:abstractNumId w:val="7"/>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31"/>
  </w:num>
  <w:num w:numId="30">
    <w:abstractNumId w:val="25"/>
  </w:num>
  <w:num w:numId="31">
    <w:abstractNumId w:val="22"/>
  </w:num>
  <w:num w:numId="32">
    <w:abstractNumId w:val="24"/>
  </w:num>
  <w:num w:numId="33">
    <w:abstractNumId w:val="4"/>
  </w:num>
  <w:num w:numId="34">
    <w:abstractNumId w:val="46"/>
  </w:num>
  <w:num w:numId="35">
    <w:abstractNumId w:val="43"/>
  </w:num>
  <w:num w:numId="36">
    <w:abstractNumId w:val="28"/>
  </w:num>
  <w:num w:numId="37">
    <w:abstractNumId w:val="11"/>
  </w:num>
  <w:num w:numId="38">
    <w:abstractNumId w:val="27"/>
  </w:num>
  <w:num w:numId="39">
    <w:abstractNumId w:val="13"/>
  </w:num>
  <w:num w:numId="40">
    <w:abstractNumId w:val="33"/>
  </w:num>
  <w:num w:numId="41">
    <w:abstractNumId w:val="1"/>
  </w:num>
  <w:num w:numId="42">
    <w:abstractNumId w:val="0"/>
  </w:num>
  <w:num w:numId="43">
    <w:abstractNumId w:val="47"/>
  </w:num>
  <w:num w:numId="44">
    <w:abstractNumId w:val="39"/>
  </w:num>
  <w:num w:numId="45">
    <w:abstractNumId w:val="9"/>
  </w:num>
  <w:num w:numId="46">
    <w:abstractNumId w:val="40"/>
  </w:num>
  <w:num w:numId="47">
    <w:abstractNumId w:val="6"/>
  </w:num>
  <w:num w:numId="48">
    <w:abstractNumId w:val="49"/>
  </w:num>
  <w:num w:numId="49">
    <w:abstractNumId w:val="3"/>
  </w:num>
  <w:num w:numId="50">
    <w:abstractNumId w:val="37"/>
  </w:num>
  <w:num w:numId="51">
    <w:abstractNumId w:val="10"/>
  </w:num>
  <w:num w:numId="52">
    <w:abstractNumId w:val="42"/>
  </w:num>
  <w:num w:numId="53">
    <w:abstractNumId w:val="2"/>
    <w:lvlOverride w:ilvl="0">
      <w:startOverride w:val="1"/>
    </w:lvlOverride>
  </w:num>
  <w:num w:numId="54">
    <w:abstractNumId w:val="2"/>
    <w:lvlOverride w:ilvl="0">
      <w:startOverride w:val="1"/>
    </w:lvlOverride>
  </w:num>
  <w:num w:numId="55">
    <w:abstractNumId w:val="20"/>
  </w:num>
  <w:num w:numId="56">
    <w:abstractNumId w:val="45"/>
  </w:num>
  <w:num w:numId="57">
    <w:abstractNumId w:val="32"/>
  </w:num>
  <w:num w:numId="58">
    <w:abstractNumId w:val="6"/>
  </w:num>
  <w:num w:numId="59">
    <w:abstractNumId w:val="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NZ" w:vendorID="64" w:dllVersion="0" w:nlCheck="1" w:checkStyle="0"/>
  <w:activeWritingStyle w:appName="MSWord" w:lang="fr-FR" w:vendorID="64" w:dllVersion="0" w:nlCheck="1" w:checkStyle="0"/>
  <w:activeWritingStyle w:appName="MSWord" w:lang="en-NZ" w:vendorID="64" w:dllVersion="6" w:nlCheck="1" w:checkStyle="1"/>
  <w:activeWritingStyle w:appName="MSWord" w:lang="en-AU" w:vendorID="64" w:dllVersion="131078" w:nlCheck="1" w:checkStyle="1"/>
  <w:activeWritingStyle w:appName="MSWord" w:lang="en-US" w:vendorID="64" w:dllVersion="131078" w:nlCheck="1" w:checkStyle="1"/>
  <w:activeWritingStyle w:appName="MSWord" w:lang="en-NZ" w:vendorID="64" w:dllVersion="131078" w:nlCheck="1" w:checkStyle="1"/>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C6F"/>
    <w:rsid w:val="0000029A"/>
    <w:rsid w:val="0000054F"/>
    <w:rsid w:val="000005D9"/>
    <w:rsid w:val="00000776"/>
    <w:rsid w:val="00000FB5"/>
    <w:rsid w:val="00002693"/>
    <w:rsid w:val="0000292C"/>
    <w:rsid w:val="0000319E"/>
    <w:rsid w:val="00003221"/>
    <w:rsid w:val="00003959"/>
    <w:rsid w:val="00004801"/>
    <w:rsid w:val="00004962"/>
    <w:rsid w:val="000054BE"/>
    <w:rsid w:val="00005E31"/>
    <w:rsid w:val="00005F45"/>
    <w:rsid w:val="00006D58"/>
    <w:rsid w:val="00007B85"/>
    <w:rsid w:val="00010016"/>
    <w:rsid w:val="00010759"/>
    <w:rsid w:val="00011178"/>
    <w:rsid w:val="00012470"/>
    <w:rsid w:val="0001279D"/>
    <w:rsid w:val="000135DF"/>
    <w:rsid w:val="00013B01"/>
    <w:rsid w:val="00013BB9"/>
    <w:rsid w:val="00013D0F"/>
    <w:rsid w:val="00013EFC"/>
    <w:rsid w:val="000159E6"/>
    <w:rsid w:val="00015BE1"/>
    <w:rsid w:val="00015FE6"/>
    <w:rsid w:val="000161CA"/>
    <w:rsid w:val="000169DD"/>
    <w:rsid w:val="00017128"/>
    <w:rsid w:val="000179EB"/>
    <w:rsid w:val="00017ABF"/>
    <w:rsid w:val="00020577"/>
    <w:rsid w:val="00020594"/>
    <w:rsid w:val="000210AD"/>
    <w:rsid w:val="000216AD"/>
    <w:rsid w:val="00021845"/>
    <w:rsid w:val="000220FE"/>
    <w:rsid w:val="00022843"/>
    <w:rsid w:val="0002297F"/>
    <w:rsid w:val="00022E8A"/>
    <w:rsid w:val="00023A38"/>
    <w:rsid w:val="00023BB0"/>
    <w:rsid w:val="00024DCF"/>
    <w:rsid w:val="00025051"/>
    <w:rsid w:val="000257F2"/>
    <w:rsid w:val="0002592E"/>
    <w:rsid w:val="00025E75"/>
    <w:rsid w:val="00026031"/>
    <w:rsid w:val="0002605B"/>
    <w:rsid w:val="00026153"/>
    <w:rsid w:val="00026555"/>
    <w:rsid w:val="00026869"/>
    <w:rsid w:val="00026895"/>
    <w:rsid w:val="000268B6"/>
    <w:rsid w:val="00027F60"/>
    <w:rsid w:val="000301D2"/>
    <w:rsid w:val="00030569"/>
    <w:rsid w:val="00031D0C"/>
    <w:rsid w:val="00031F3E"/>
    <w:rsid w:val="00032CD0"/>
    <w:rsid w:val="000335D8"/>
    <w:rsid w:val="00033660"/>
    <w:rsid w:val="0003393B"/>
    <w:rsid w:val="00033A49"/>
    <w:rsid w:val="00034523"/>
    <w:rsid w:val="0003473C"/>
    <w:rsid w:val="00034829"/>
    <w:rsid w:val="00034A27"/>
    <w:rsid w:val="00034B9D"/>
    <w:rsid w:val="00035E71"/>
    <w:rsid w:val="000363CE"/>
    <w:rsid w:val="00036521"/>
    <w:rsid w:val="0003684C"/>
    <w:rsid w:val="00036E0E"/>
    <w:rsid w:val="00037183"/>
    <w:rsid w:val="00037335"/>
    <w:rsid w:val="00037D78"/>
    <w:rsid w:val="00040758"/>
    <w:rsid w:val="00040CDA"/>
    <w:rsid w:val="00040E56"/>
    <w:rsid w:val="00041666"/>
    <w:rsid w:val="00041B1C"/>
    <w:rsid w:val="00042F82"/>
    <w:rsid w:val="00043651"/>
    <w:rsid w:val="0004447B"/>
    <w:rsid w:val="000444E4"/>
    <w:rsid w:val="0004463E"/>
    <w:rsid w:val="0004544C"/>
    <w:rsid w:val="00046451"/>
    <w:rsid w:val="00046728"/>
    <w:rsid w:val="000468CF"/>
    <w:rsid w:val="00046F25"/>
    <w:rsid w:val="00047016"/>
    <w:rsid w:val="000474D6"/>
    <w:rsid w:val="00047BE0"/>
    <w:rsid w:val="00047D35"/>
    <w:rsid w:val="00047EF1"/>
    <w:rsid w:val="000503F4"/>
    <w:rsid w:val="00050503"/>
    <w:rsid w:val="00050FE5"/>
    <w:rsid w:val="00052052"/>
    <w:rsid w:val="000528BB"/>
    <w:rsid w:val="00052E49"/>
    <w:rsid w:val="00052F4C"/>
    <w:rsid w:val="000530C2"/>
    <w:rsid w:val="00053345"/>
    <w:rsid w:val="000535B0"/>
    <w:rsid w:val="00053863"/>
    <w:rsid w:val="00053FFB"/>
    <w:rsid w:val="00054469"/>
    <w:rsid w:val="0005450F"/>
    <w:rsid w:val="00054939"/>
    <w:rsid w:val="00054C0F"/>
    <w:rsid w:val="00054F8C"/>
    <w:rsid w:val="000552AE"/>
    <w:rsid w:val="000566C8"/>
    <w:rsid w:val="00056D71"/>
    <w:rsid w:val="0005758F"/>
    <w:rsid w:val="00057841"/>
    <w:rsid w:val="00060A26"/>
    <w:rsid w:val="00060A27"/>
    <w:rsid w:val="00060F4F"/>
    <w:rsid w:val="000614FD"/>
    <w:rsid w:val="000615E0"/>
    <w:rsid w:val="000622CB"/>
    <w:rsid w:val="00062810"/>
    <w:rsid w:val="0006289F"/>
    <w:rsid w:val="00062D77"/>
    <w:rsid w:val="00063083"/>
    <w:rsid w:val="000631B0"/>
    <w:rsid w:val="00063EB2"/>
    <w:rsid w:val="00064BFD"/>
    <w:rsid w:val="000650D7"/>
    <w:rsid w:val="00065548"/>
    <w:rsid w:val="00067440"/>
    <w:rsid w:val="00067E99"/>
    <w:rsid w:val="000701CA"/>
    <w:rsid w:val="00070409"/>
    <w:rsid w:val="00070FF3"/>
    <w:rsid w:val="0007174E"/>
    <w:rsid w:val="00071E8E"/>
    <w:rsid w:val="000722DE"/>
    <w:rsid w:val="00072B38"/>
    <w:rsid w:val="0007355F"/>
    <w:rsid w:val="00073C5A"/>
    <w:rsid w:val="00073F2E"/>
    <w:rsid w:val="00074203"/>
    <w:rsid w:val="00074277"/>
    <w:rsid w:val="000759EC"/>
    <w:rsid w:val="00076ADD"/>
    <w:rsid w:val="00076BDA"/>
    <w:rsid w:val="00077643"/>
    <w:rsid w:val="00077A4E"/>
    <w:rsid w:val="0008137B"/>
    <w:rsid w:val="000824EF"/>
    <w:rsid w:val="000829AA"/>
    <w:rsid w:val="00082CDE"/>
    <w:rsid w:val="0008342C"/>
    <w:rsid w:val="000834F4"/>
    <w:rsid w:val="0008440B"/>
    <w:rsid w:val="000848EF"/>
    <w:rsid w:val="00084A6D"/>
    <w:rsid w:val="00085FEE"/>
    <w:rsid w:val="00086728"/>
    <w:rsid w:val="00086A8E"/>
    <w:rsid w:val="00086B25"/>
    <w:rsid w:val="00086BB8"/>
    <w:rsid w:val="00087092"/>
    <w:rsid w:val="0008731E"/>
    <w:rsid w:val="00087C1F"/>
    <w:rsid w:val="0009192E"/>
    <w:rsid w:val="00091F2A"/>
    <w:rsid w:val="0009223C"/>
    <w:rsid w:val="00092B57"/>
    <w:rsid w:val="00092E0A"/>
    <w:rsid w:val="00093753"/>
    <w:rsid w:val="00095EE1"/>
    <w:rsid w:val="0009653B"/>
    <w:rsid w:val="000966C4"/>
    <w:rsid w:val="000969C6"/>
    <w:rsid w:val="000A01F2"/>
    <w:rsid w:val="000A01F7"/>
    <w:rsid w:val="000A02A0"/>
    <w:rsid w:val="000A0815"/>
    <w:rsid w:val="000A1CC5"/>
    <w:rsid w:val="000A2995"/>
    <w:rsid w:val="000A3994"/>
    <w:rsid w:val="000A3CA4"/>
    <w:rsid w:val="000A5897"/>
    <w:rsid w:val="000A6253"/>
    <w:rsid w:val="000A6C73"/>
    <w:rsid w:val="000A6DB3"/>
    <w:rsid w:val="000A7AE2"/>
    <w:rsid w:val="000A7F85"/>
    <w:rsid w:val="000B11BF"/>
    <w:rsid w:val="000B26B7"/>
    <w:rsid w:val="000B2E06"/>
    <w:rsid w:val="000B32FC"/>
    <w:rsid w:val="000B4F81"/>
    <w:rsid w:val="000B65E1"/>
    <w:rsid w:val="000B6CC7"/>
    <w:rsid w:val="000B731E"/>
    <w:rsid w:val="000B74C6"/>
    <w:rsid w:val="000B7684"/>
    <w:rsid w:val="000B7710"/>
    <w:rsid w:val="000B7A66"/>
    <w:rsid w:val="000B7B26"/>
    <w:rsid w:val="000B7F38"/>
    <w:rsid w:val="000C0540"/>
    <w:rsid w:val="000C09A3"/>
    <w:rsid w:val="000C1C6C"/>
    <w:rsid w:val="000C2598"/>
    <w:rsid w:val="000C27AC"/>
    <w:rsid w:val="000C2F9D"/>
    <w:rsid w:val="000C2FA7"/>
    <w:rsid w:val="000C321C"/>
    <w:rsid w:val="000C37C1"/>
    <w:rsid w:val="000C38E5"/>
    <w:rsid w:val="000C5837"/>
    <w:rsid w:val="000C6308"/>
    <w:rsid w:val="000C661F"/>
    <w:rsid w:val="000C67BF"/>
    <w:rsid w:val="000C6F25"/>
    <w:rsid w:val="000C7413"/>
    <w:rsid w:val="000C7F61"/>
    <w:rsid w:val="000D0F67"/>
    <w:rsid w:val="000D1633"/>
    <w:rsid w:val="000D16BC"/>
    <w:rsid w:val="000D2251"/>
    <w:rsid w:val="000D231C"/>
    <w:rsid w:val="000D2C93"/>
    <w:rsid w:val="000D304C"/>
    <w:rsid w:val="000D3BE4"/>
    <w:rsid w:val="000D3C44"/>
    <w:rsid w:val="000D3F45"/>
    <w:rsid w:val="000D464B"/>
    <w:rsid w:val="000D5438"/>
    <w:rsid w:val="000D5502"/>
    <w:rsid w:val="000D572F"/>
    <w:rsid w:val="000D59FE"/>
    <w:rsid w:val="000D770C"/>
    <w:rsid w:val="000E0496"/>
    <w:rsid w:val="000E1846"/>
    <w:rsid w:val="000E1A01"/>
    <w:rsid w:val="000E1A30"/>
    <w:rsid w:val="000E2909"/>
    <w:rsid w:val="000E36E0"/>
    <w:rsid w:val="000E4453"/>
    <w:rsid w:val="000E4AB1"/>
    <w:rsid w:val="000E4BF2"/>
    <w:rsid w:val="000E648B"/>
    <w:rsid w:val="000E6B80"/>
    <w:rsid w:val="000E72DB"/>
    <w:rsid w:val="000F084F"/>
    <w:rsid w:val="000F0CFA"/>
    <w:rsid w:val="000F1178"/>
    <w:rsid w:val="000F1388"/>
    <w:rsid w:val="000F15FB"/>
    <w:rsid w:val="000F1FB7"/>
    <w:rsid w:val="000F2498"/>
    <w:rsid w:val="000F2592"/>
    <w:rsid w:val="000F2FAF"/>
    <w:rsid w:val="000F31A1"/>
    <w:rsid w:val="000F34E3"/>
    <w:rsid w:val="000F3BFA"/>
    <w:rsid w:val="000F3EA4"/>
    <w:rsid w:val="000F4351"/>
    <w:rsid w:val="000F43E9"/>
    <w:rsid w:val="000F4596"/>
    <w:rsid w:val="000F45ED"/>
    <w:rsid w:val="000F4762"/>
    <w:rsid w:val="000F5D71"/>
    <w:rsid w:val="000F5F6F"/>
    <w:rsid w:val="000F604D"/>
    <w:rsid w:val="000F60D5"/>
    <w:rsid w:val="000F61E3"/>
    <w:rsid w:val="000F6217"/>
    <w:rsid w:val="000F62E0"/>
    <w:rsid w:val="000F6EB4"/>
    <w:rsid w:val="000F7401"/>
    <w:rsid w:val="000F7B2D"/>
    <w:rsid w:val="000F7DCF"/>
    <w:rsid w:val="000F7F71"/>
    <w:rsid w:val="001001E7"/>
    <w:rsid w:val="001007D4"/>
    <w:rsid w:val="00100D2F"/>
    <w:rsid w:val="00100E80"/>
    <w:rsid w:val="00100F7A"/>
    <w:rsid w:val="00101636"/>
    <w:rsid w:val="00101B55"/>
    <w:rsid w:val="0010327D"/>
    <w:rsid w:val="00103304"/>
    <w:rsid w:val="00104F6A"/>
    <w:rsid w:val="0010525D"/>
    <w:rsid w:val="00105DD9"/>
    <w:rsid w:val="001066D6"/>
    <w:rsid w:val="00106727"/>
    <w:rsid w:val="00106CD7"/>
    <w:rsid w:val="00106D97"/>
    <w:rsid w:val="00107B8D"/>
    <w:rsid w:val="001102AB"/>
    <w:rsid w:val="001115BF"/>
    <w:rsid w:val="00111747"/>
    <w:rsid w:val="001117EA"/>
    <w:rsid w:val="001118C1"/>
    <w:rsid w:val="00111AC7"/>
    <w:rsid w:val="00111B50"/>
    <w:rsid w:val="0011223E"/>
    <w:rsid w:val="0011253B"/>
    <w:rsid w:val="00112A3E"/>
    <w:rsid w:val="001130BA"/>
    <w:rsid w:val="0011314D"/>
    <w:rsid w:val="001133B1"/>
    <w:rsid w:val="00113BEE"/>
    <w:rsid w:val="00113D28"/>
    <w:rsid w:val="001149BF"/>
    <w:rsid w:val="00114B81"/>
    <w:rsid w:val="00115134"/>
    <w:rsid w:val="001153C2"/>
    <w:rsid w:val="0011632F"/>
    <w:rsid w:val="0011696E"/>
    <w:rsid w:val="00117537"/>
    <w:rsid w:val="0011757C"/>
    <w:rsid w:val="00120255"/>
    <w:rsid w:val="00120CFE"/>
    <w:rsid w:val="00121A4F"/>
    <w:rsid w:val="00121C67"/>
    <w:rsid w:val="00121D0A"/>
    <w:rsid w:val="0012224E"/>
    <w:rsid w:val="001229A2"/>
    <w:rsid w:val="00122E53"/>
    <w:rsid w:val="001235E7"/>
    <w:rsid w:val="00124215"/>
    <w:rsid w:val="0012497F"/>
    <w:rsid w:val="00125061"/>
    <w:rsid w:val="001255FF"/>
    <w:rsid w:val="00125797"/>
    <w:rsid w:val="00125D2A"/>
    <w:rsid w:val="00125EEF"/>
    <w:rsid w:val="001262AE"/>
    <w:rsid w:val="001265C3"/>
    <w:rsid w:val="00126AA6"/>
    <w:rsid w:val="00126DD7"/>
    <w:rsid w:val="001278DD"/>
    <w:rsid w:val="00130B21"/>
    <w:rsid w:val="00131407"/>
    <w:rsid w:val="001317F4"/>
    <w:rsid w:val="0013196F"/>
    <w:rsid w:val="00132A0D"/>
    <w:rsid w:val="00132FD1"/>
    <w:rsid w:val="0013302B"/>
    <w:rsid w:val="00133858"/>
    <w:rsid w:val="00133C51"/>
    <w:rsid w:val="00133CC9"/>
    <w:rsid w:val="00134176"/>
    <w:rsid w:val="00134A6A"/>
    <w:rsid w:val="001352E5"/>
    <w:rsid w:val="00135873"/>
    <w:rsid w:val="0014006B"/>
    <w:rsid w:val="0014079C"/>
    <w:rsid w:val="001411E1"/>
    <w:rsid w:val="00141315"/>
    <w:rsid w:val="00141E0C"/>
    <w:rsid w:val="00141EE0"/>
    <w:rsid w:val="00142AB8"/>
    <w:rsid w:val="00143F0A"/>
    <w:rsid w:val="00145618"/>
    <w:rsid w:val="001457CC"/>
    <w:rsid w:val="00145825"/>
    <w:rsid w:val="00145EE9"/>
    <w:rsid w:val="00146B9E"/>
    <w:rsid w:val="00146C41"/>
    <w:rsid w:val="00146CA4"/>
    <w:rsid w:val="0014725A"/>
    <w:rsid w:val="001475B7"/>
    <w:rsid w:val="001475C8"/>
    <w:rsid w:val="0014772E"/>
    <w:rsid w:val="0014782C"/>
    <w:rsid w:val="00147E42"/>
    <w:rsid w:val="0015039E"/>
    <w:rsid w:val="0015189A"/>
    <w:rsid w:val="00151A66"/>
    <w:rsid w:val="00152885"/>
    <w:rsid w:val="00153170"/>
    <w:rsid w:val="00153675"/>
    <w:rsid w:val="001552E1"/>
    <w:rsid w:val="00155374"/>
    <w:rsid w:val="00155378"/>
    <w:rsid w:val="00157097"/>
    <w:rsid w:val="001570C5"/>
    <w:rsid w:val="001577F8"/>
    <w:rsid w:val="00157B67"/>
    <w:rsid w:val="00160861"/>
    <w:rsid w:val="00160A1C"/>
    <w:rsid w:val="00160AB1"/>
    <w:rsid w:val="00162510"/>
    <w:rsid w:val="001629C2"/>
    <w:rsid w:val="0016301B"/>
    <w:rsid w:val="001636FE"/>
    <w:rsid w:val="00163971"/>
    <w:rsid w:val="00163997"/>
    <w:rsid w:val="00164854"/>
    <w:rsid w:val="001648F1"/>
    <w:rsid w:val="00164A16"/>
    <w:rsid w:val="00165C8A"/>
    <w:rsid w:val="00165EC8"/>
    <w:rsid w:val="00166B8A"/>
    <w:rsid w:val="001704A9"/>
    <w:rsid w:val="001707A9"/>
    <w:rsid w:val="00170A62"/>
    <w:rsid w:val="00171023"/>
    <w:rsid w:val="00171A6E"/>
    <w:rsid w:val="00171D94"/>
    <w:rsid w:val="00171DDE"/>
    <w:rsid w:val="00171EA5"/>
    <w:rsid w:val="00171ED2"/>
    <w:rsid w:val="00173C35"/>
    <w:rsid w:val="0017517F"/>
    <w:rsid w:val="001756BC"/>
    <w:rsid w:val="00176232"/>
    <w:rsid w:val="00176466"/>
    <w:rsid w:val="00177288"/>
    <w:rsid w:val="00177920"/>
    <w:rsid w:val="001810AF"/>
    <w:rsid w:val="0018220D"/>
    <w:rsid w:val="0018291A"/>
    <w:rsid w:val="00183259"/>
    <w:rsid w:val="0018345C"/>
    <w:rsid w:val="001838BA"/>
    <w:rsid w:val="00184019"/>
    <w:rsid w:val="00185205"/>
    <w:rsid w:val="001854FD"/>
    <w:rsid w:val="00185892"/>
    <w:rsid w:val="001861DA"/>
    <w:rsid w:val="00186684"/>
    <w:rsid w:val="0018718C"/>
    <w:rsid w:val="00190190"/>
    <w:rsid w:val="00190E9D"/>
    <w:rsid w:val="00191AB9"/>
    <w:rsid w:val="00191D0E"/>
    <w:rsid w:val="00191F17"/>
    <w:rsid w:val="00192E93"/>
    <w:rsid w:val="00193964"/>
    <w:rsid w:val="00194AA5"/>
    <w:rsid w:val="00194B9F"/>
    <w:rsid w:val="00194C04"/>
    <w:rsid w:val="00195490"/>
    <w:rsid w:val="0019566A"/>
    <w:rsid w:val="00195BB3"/>
    <w:rsid w:val="00196472"/>
    <w:rsid w:val="00196851"/>
    <w:rsid w:val="00197222"/>
    <w:rsid w:val="00197C1A"/>
    <w:rsid w:val="001A06BB"/>
    <w:rsid w:val="001A0834"/>
    <w:rsid w:val="001A13FF"/>
    <w:rsid w:val="001A1877"/>
    <w:rsid w:val="001A187E"/>
    <w:rsid w:val="001A1AF0"/>
    <w:rsid w:val="001A21BA"/>
    <w:rsid w:val="001A2686"/>
    <w:rsid w:val="001A26AB"/>
    <w:rsid w:val="001A2D7D"/>
    <w:rsid w:val="001A2F40"/>
    <w:rsid w:val="001A477D"/>
    <w:rsid w:val="001A4889"/>
    <w:rsid w:val="001A4E30"/>
    <w:rsid w:val="001A669B"/>
    <w:rsid w:val="001A6F33"/>
    <w:rsid w:val="001A7007"/>
    <w:rsid w:val="001A70FF"/>
    <w:rsid w:val="001A7507"/>
    <w:rsid w:val="001B04E9"/>
    <w:rsid w:val="001B1092"/>
    <w:rsid w:val="001B2064"/>
    <w:rsid w:val="001B45E2"/>
    <w:rsid w:val="001B5482"/>
    <w:rsid w:val="001B6257"/>
    <w:rsid w:val="001B62F5"/>
    <w:rsid w:val="001B6382"/>
    <w:rsid w:val="001B6885"/>
    <w:rsid w:val="001B7923"/>
    <w:rsid w:val="001B79F5"/>
    <w:rsid w:val="001B7E2B"/>
    <w:rsid w:val="001C2EBB"/>
    <w:rsid w:val="001C366A"/>
    <w:rsid w:val="001C36FA"/>
    <w:rsid w:val="001C43C5"/>
    <w:rsid w:val="001C459A"/>
    <w:rsid w:val="001C462B"/>
    <w:rsid w:val="001C4F1D"/>
    <w:rsid w:val="001C5C4C"/>
    <w:rsid w:val="001C5D4D"/>
    <w:rsid w:val="001C6757"/>
    <w:rsid w:val="001C7133"/>
    <w:rsid w:val="001C78E1"/>
    <w:rsid w:val="001C7E9B"/>
    <w:rsid w:val="001D0007"/>
    <w:rsid w:val="001D018D"/>
    <w:rsid w:val="001D0251"/>
    <w:rsid w:val="001D081B"/>
    <w:rsid w:val="001D0FF1"/>
    <w:rsid w:val="001D13CE"/>
    <w:rsid w:val="001D1520"/>
    <w:rsid w:val="001D161C"/>
    <w:rsid w:val="001D2234"/>
    <w:rsid w:val="001D2518"/>
    <w:rsid w:val="001D2A19"/>
    <w:rsid w:val="001D2AC8"/>
    <w:rsid w:val="001D3CD7"/>
    <w:rsid w:val="001D41E8"/>
    <w:rsid w:val="001D5183"/>
    <w:rsid w:val="001D5A6E"/>
    <w:rsid w:val="001D5E8F"/>
    <w:rsid w:val="001D65B8"/>
    <w:rsid w:val="001D6CBE"/>
    <w:rsid w:val="001D74B9"/>
    <w:rsid w:val="001E0D62"/>
    <w:rsid w:val="001E1631"/>
    <w:rsid w:val="001E1B85"/>
    <w:rsid w:val="001E1D4E"/>
    <w:rsid w:val="001E388C"/>
    <w:rsid w:val="001E3BE4"/>
    <w:rsid w:val="001E4FB9"/>
    <w:rsid w:val="001E6215"/>
    <w:rsid w:val="001E6C44"/>
    <w:rsid w:val="001E7E5F"/>
    <w:rsid w:val="001F021B"/>
    <w:rsid w:val="001F0628"/>
    <w:rsid w:val="001F0CDD"/>
    <w:rsid w:val="001F14BC"/>
    <w:rsid w:val="001F1C8F"/>
    <w:rsid w:val="001F1D67"/>
    <w:rsid w:val="001F2A4D"/>
    <w:rsid w:val="001F2C3A"/>
    <w:rsid w:val="001F2CE2"/>
    <w:rsid w:val="001F31E1"/>
    <w:rsid w:val="001F3273"/>
    <w:rsid w:val="001F3466"/>
    <w:rsid w:val="001F3934"/>
    <w:rsid w:val="001F3B11"/>
    <w:rsid w:val="001F3E73"/>
    <w:rsid w:val="001F5273"/>
    <w:rsid w:val="001F761D"/>
    <w:rsid w:val="001F7FBB"/>
    <w:rsid w:val="00200020"/>
    <w:rsid w:val="002009E6"/>
    <w:rsid w:val="00200B8A"/>
    <w:rsid w:val="0020277E"/>
    <w:rsid w:val="0020318C"/>
    <w:rsid w:val="00203A55"/>
    <w:rsid w:val="00203E17"/>
    <w:rsid w:val="00204385"/>
    <w:rsid w:val="00204893"/>
    <w:rsid w:val="00205031"/>
    <w:rsid w:val="00205D3F"/>
    <w:rsid w:val="002063FE"/>
    <w:rsid w:val="0020732B"/>
    <w:rsid w:val="002076D9"/>
    <w:rsid w:val="00207E58"/>
    <w:rsid w:val="00207EF3"/>
    <w:rsid w:val="00207F2C"/>
    <w:rsid w:val="00210893"/>
    <w:rsid w:val="0021093A"/>
    <w:rsid w:val="00211B05"/>
    <w:rsid w:val="00212001"/>
    <w:rsid w:val="0021213B"/>
    <w:rsid w:val="00212948"/>
    <w:rsid w:val="0021382F"/>
    <w:rsid w:val="00214395"/>
    <w:rsid w:val="002144DC"/>
    <w:rsid w:val="00215A72"/>
    <w:rsid w:val="00215C51"/>
    <w:rsid w:val="00215F82"/>
    <w:rsid w:val="00216C61"/>
    <w:rsid w:val="00216F54"/>
    <w:rsid w:val="00220374"/>
    <w:rsid w:val="002204BF"/>
    <w:rsid w:val="00220B20"/>
    <w:rsid w:val="00221BE6"/>
    <w:rsid w:val="002229F2"/>
    <w:rsid w:val="00222A55"/>
    <w:rsid w:val="00222FE4"/>
    <w:rsid w:val="00223843"/>
    <w:rsid w:val="00223DA3"/>
    <w:rsid w:val="00223E59"/>
    <w:rsid w:val="00224319"/>
    <w:rsid w:val="00224579"/>
    <w:rsid w:val="002252BD"/>
    <w:rsid w:val="002259CB"/>
    <w:rsid w:val="002260B4"/>
    <w:rsid w:val="0022657E"/>
    <w:rsid w:val="0022700C"/>
    <w:rsid w:val="00227479"/>
    <w:rsid w:val="00227AAF"/>
    <w:rsid w:val="00227D28"/>
    <w:rsid w:val="00230014"/>
    <w:rsid w:val="00230074"/>
    <w:rsid w:val="002302BB"/>
    <w:rsid w:val="002308A0"/>
    <w:rsid w:val="00230956"/>
    <w:rsid w:val="00230B3E"/>
    <w:rsid w:val="00231D83"/>
    <w:rsid w:val="0023216E"/>
    <w:rsid w:val="002321DA"/>
    <w:rsid w:val="00232816"/>
    <w:rsid w:val="00232E10"/>
    <w:rsid w:val="0023349F"/>
    <w:rsid w:val="00233754"/>
    <w:rsid w:val="0023376F"/>
    <w:rsid w:val="002338D9"/>
    <w:rsid w:val="00233A38"/>
    <w:rsid w:val="00233CD0"/>
    <w:rsid w:val="00234D6B"/>
    <w:rsid w:val="0023533A"/>
    <w:rsid w:val="0023535A"/>
    <w:rsid w:val="002358ED"/>
    <w:rsid w:val="00235B34"/>
    <w:rsid w:val="00235D7E"/>
    <w:rsid w:val="00235F46"/>
    <w:rsid w:val="00236280"/>
    <w:rsid w:val="002364A3"/>
    <w:rsid w:val="00236540"/>
    <w:rsid w:val="00236795"/>
    <w:rsid w:val="00236BD2"/>
    <w:rsid w:val="00237070"/>
    <w:rsid w:val="002374F8"/>
    <w:rsid w:val="00240740"/>
    <w:rsid w:val="00240FBF"/>
    <w:rsid w:val="00241696"/>
    <w:rsid w:val="00242218"/>
    <w:rsid w:val="00242F5C"/>
    <w:rsid w:val="0024395D"/>
    <w:rsid w:val="00244530"/>
    <w:rsid w:val="002450A9"/>
    <w:rsid w:val="0024511E"/>
    <w:rsid w:val="00245D77"/>
    <w:rsid w:val="00246113"/>
    <w:rsid w:val="00246478"/>
    <w:rsid w:val="00246FE3"/>
    <w:rsid w:val="002474F4"/>
    <w:rsid w:val="00247AAF"/>
    <w:rsid w:val="00250751"/>
    <w:rsid w:val="00250A57"/>
    <w:rsid w:val="00250CEC"/>
    <w:rsid w:val="00251165"/>
    <w:rsid w:val="00251DE2"/>
    <w:rsid w:val="00252FF0"/>
    <w:rsid w:val="00253E26"/>
    <w:rsid w:val="00254242"/>
    <w:rsid w:val="00254E00"/>
    <w:rsid w:val="0025564F"/>
    <w:rsid w:val="00255966"/>
    <w:rsid w:val="002563D5"/>
    <w:rsid w:val="0025673A"/>
    <w:rsid w:val="00257842"/>
    <w:rsid w:val="0025786A"/>
    <w:rsid w:val="002579F2"/>
    <w:rsid w:val="00257A81"/>
    <w:rsid w:val="00261881"/>
    <w:rsid w:val="00261F40"/>
    <w:rsid w:val="002620E5"/>
    <w:rsid w:val="0026219C"/>
    <w:rsid w:val="002627D3"/>
    <w:rsid w:val="00262996"/>
    <w:rsid w:val="00263399"/>
    <w:rsid w:val="0026369C"/>
    <w:rsid w:val="002636FB"/>
    <w:rsid w:val="00263AF9"/>
    <w:rsid w:val="00263C6B"/>
    <w:rsid w:val="00264599"/>
    <w:rsid w:val="00264822"/>
    <w:rsid w:val="00264C22"/>
    <w:rsid w:val="0026500C"/>
    <w:rsid w:val="00265161"/>
    <w:rsid w:val="00265597"/>
    <w:rsid w:val="0026589B"/>
    <w:rsid w:val="00265A06"/>
    <w:rsid w:val="00265DF4"/>
    <w:rsid w:val="00266602"/>
    <w:rsid w:val="00266621"/>
    <w:rsid w:val="00266E74"/>
    <w:rsid w:val="00266F52"/>
    <w:rsid w:val="002671AD"/>
    <w:rsid w:val="0026772E"/>
    <w:rsid w:val="00270915"/>
    <w:rsid w:val="00270EAD"/>
    <w:rsid w:val="0027108F"/>
    <w:rsid w:val="002712B2"/>
    <w:rsid w:val="00273776"/>
    <w:rsid w:val="00273EC7"/>
    <w:rsid w:val="00275659"/>
    <w:rsid w:val="00275885"/>
    <w:rsid w:val="00275CDB"/>
    <w:rsid w:val="002764C7"/>
    <w:rsid w:val="0027716A"/>
    <w:rsid w:val="002777D1"/>
    <w:rsid w:val="0028048C"/>
    <w:rsid w:val="002808A1"/>
    <w:rsid w:val="00280D4F"/>
    <w:rsid w:val="00280F00"/>
    <w:rsid w:val="00281686"/>
    <w:rsid w:val="00282BE5"/>
    <w:rsid w:val="00282D98"/>
    <w:rsid w:val="00282E50"/>
    <w:rsid w:val="002833BE"/>
    <w:rsid w:val="00283D4F"/>
    <w:rsid w:val="002841BF"/>
    <w:rsid w:val="00284A4C"/>
    <w:rsid w:val="002854EC"/>
    <w:rsid w:val="0028662D"/>
    <w:rsid w:val="00287035"/>
    <w:rsid w:val="0029045F"/>
    <w:rsid w:val="00290E72"/>
    <w:rsid w:val="002918DF"/>
    <w:rsid w:val="00291D29"/>
    <w:rsid w:val="0029211A"/>
    <w:rsid w:val="00292DA1"/>
    <w:rsid w:val="0029327A"/>
    <w:rsid w:val="00295048"/>
    <w:rsid w:val="0029530F"/>
    <w:rsid w:val="0029631B"/>
    <w:rsid w:val="00296623"/>
    <w:rsid w:val="00296C9D"/>
    <w:rsid w:val="00296E8B"/>
    <w:rsid w:val="002974F7"/>
    <w:rsid w:val="002A08D7"/>
    <w:rsid w:val="002A12C7"/>
    <w:rsid w:val="002A17B0"/>
    <w:rsid w:val="002A17D2"/>
    <w:rsid w:val="002A24F4"/>
    <w:rsid w:val="002A2516"/>
    <w:rsid w:val="002A25F5"/>
    <w:rsid w:val="002A3225"/>
    <w:rsid w:val="002A32F1"/>
    <w:rsid w:val="002A3A29"/>
    <w:rsid w:val="002A3FE6"/>
    <w:rsid w:val="002A4625"/>
    <w:rsid w:val="002A5F6A"/>
    <w:rsid w:val="002A6242"/>
    <w:rsid w:val="002A6297"/>
    <w:rsid w:val="002A69F2"/>
    <w:rsid w:val="002A7091"/>
    <w:rsid w:val="002B000B"/>
    <w:rsid w:val="002B0505"/>
    <w:rsid w:val="002B07A2"/>
    <w:rsid w:val="002B0897"/>
    <w:rsid w:val="002B1058"/>
    <w:rsid w:val="002B1061"/>
    <w:rsid w:val="002B1B0F"/>
    <w:rsid w:val="002B2E3D"/>
    <w:rsid w:val="002B3D0D"/>
    <w:rsid w:val="002B41A5"/>
    <w:rsid w:val="002B4B90"/>
    <w:rsid w:val="002B4E55"/>
    <w:rsid w:val="002B56A2"/>
    <w:rsid w:val="002B5C7A"/>
    <w:rsid w:val="002B5F9F"/>
    <w:rsid w:val="002B6586"/>
    <w:rsid w:val="002B694E"/>
    <w:rsid w:val="002B6CFB"/>
    <w:rsid w:val="002B7248"/>
    <w:rsid w:val="002B739B"/>
    <w:rsid w:val="002B7A7A"/>
    <w:rsid w:val="002B7F53"/>
    <w:rsid w:val="002C0599"/>
    <w:rsid w:val="002C05C6"/>
    <w:rsid w:val="002C110F"/>
    <w:rsid w:val="002C1181"/>
    <w:rsid w:val="002C13D4"/>
    <w:rsid w:val="002C2E88"/>
    <w:rsid w:val="002C300A"/>
    <w:rsid w:val="002C41B9"/>
    <w:rsid w:val="002C50CA"/>
    <w:rsid w:val="002C5338"/>
    <w:rsid w:val="002C53AB"/>
    <w:rsid w:val="002C54E5"/>
    <w:rsid w:val="002C61F8"/>
    <w:rsid w:val="002C678B"/>
    <w:rsid w:val="002C7087"/>
    <w:rsid w:val="002C715C"/>
    <w:rsid w:val="002C75DA"/>
    <w:rsid w:val="002C7BBD"/>
    <w:rsid w:val="002D01C3"/>
    <w:rsid w:val="002D10AD"/>
    <w:rsid w:val="002D13BB"/>
    <w:rsid w:val="002D1447"/>
    <w:rsid w:val="002D1C1A"/>
    <w:rsid w:val="002D1CB6"/>
    <w:rsid w:val="002D2690"/>
    <w:rsid w:val="002D32AE"/>
    <w:rsid w:val="002D4D8E"/>
    <w:rsid w:val="002D5548"/>
    <w:rsid w:val="002D6500"/>
    <w:rsid w:val="002D6F12"/>
    <w:rsid w:val="002D73C4"/>
    <w:rsid w:val="002D7885"/>
    <w:rsid w:val="002E01BF"/>
    <w:rsid w:val="002E0321"/>
    <w:rsid w:val="002E03F9"/>
    <w:rsid w:val="002E0492"/>
    <w:rsid w:val="002E092A"/>
    <w:rsid w:val="002E0D12"/>
    <w:rsid w:val="002E0D16"/>
    <w:rsid w:val="002E0FE2"/>
    <w:rsid w:val="002E16E3"/>
    <w:rsid w:val="002E2035"/>
    <w:rsid w:val="002E23A9"/>
    <w:rsid w:val="002E2892"/>
    <w:rsid w:val="002E2E6E"/>
    <w:rsid w:val="002E2EEF"/>
    <w:rsid w:val="002E334E"/>
    <w:rsid w:val="002E368A"/>
    <w:rsid w:val="002E45C4"/>
    <w:rsid w:val="002E4651"/>
    <w:rsid w:val="002E482E"/>
    <w:rsid w:val="002E4C07"/>
    <w:rsid w:val="002E535C"/>
    <w:rsid w:val="002E5AB0"/>
    <w:rsid w:val="002E5D43"/>
    <w:rsid w:val="002E6419"/>
    <w:rsid w:val="002E653F"/>
    <w:rsid w:val="002E663B"/>
    <w:rsid w:val="002E6925"/>
    <w:rsid w:val="002F08AD"/>
    <w:rsid w:val="002F09CB"/>
    <w:rsid w:val="002F19E0"/>
    <w:rsid w:val="002F2468"/>
    <w:rsid w:val="002F2D55"/>
    <w:rsid w:val="002F2DA2"/>
    <w:rsid w:val="002F356F"/>
    <w:rsid w:val="002F44E0"/>
    <w:rsid w:val="002F4597"/>
    <w:rsid w:val="002F478C"/>
    <w:rsid w:val="002F4B8B"/>
    <w:rsid w:val="002F4BFA"/>
    <w:rsid w:val="002F4F42"/>
    <w:rsid w:val="002F5A75"/>
    <w:rsid w:val="002F5CF2"/>
    <w:rsid w:val="002F6465"/>
    <w:rsid w:val="002F64DB"/>
    <w:rsid w:val="002F6A39"/>
    <w:rsid w:val="002F6B9F"/>
    <w:rsid w:val="002F73FD"/>
    <w:rsid w:val="003002DA"/>
    <w:rsid w:val="00300D4D"/>
    <w:rsid w:val="00301053"/>
    <w:rsid w:val="00301ADB"/>
    <w:rsid w:val="00301BDA"/>
    <w:rsid w:val="00302F27"/>
    <w:rsid w:val="00303BC9"/>
    <w:rsid w:val="003045BA"/>
    <w:rsid w:val="003049F9"/>
    <w:rsid w:val="003050B8"/>
    <w:rsid w:val="00305451"/>
    <w:rsid w:val="00307000"/>
    <w:rsid w:val="0030791F"/>
    <w:rsid w:val="00310231"/>
    <w:rsid w:val="00310375"/>
    <w:rsid w:val="003113D4"/>
    <w:rsid w:val="0031179E"/>
    <w:rsid w:val="00311AF3"/>
    <w:rsid w:val="00311B46"/>
    <w:rsid w:val="00311C40"/>
    <w:rsid w:val="00311EAA"/>
    <w:rsid w:val="00312723"/>
    <w:rsid w:val="003127F5"/>
    <w:rsid w:val="0031318B"/>
    <w:rsid w:val="003131F1"/>
    <w:rsid w:val="003135A6"/>
    <w:rsid w:val="00313E66"/>
    <w:rsid w:val="003141CA"/>
    <w:rsid w:val="00314265"/>
    <w:rsid w:val="0031458F"/>
    <w:rsid w:val="00314884"/>
    <w:rsid w:val="00314E42"/>
    <w:rsid w:val="0031590C"/>
    <w:rsid w:val="00317403"/>
    <w:rsid w:val="00317D08"/>
    <w:rsid w:val="0032038F"/>
    <w:rsid w:val="0032041E"/>
    <w:rsid w:val="003207CB"/>
    <w:rsid w:val="00320E93"/>
    <w:rsid w:val="00321919"/>
    <w:rsid w:val="00321A2A"/>
    <w:rsid w:val="00322ADB"/>
    <w:rsid w:val="00323632"/>
    <w:rsid w:val="0032374F"/>
    <w:rsid w:val="00323A50"/>
    <w:rsid w:val="003253E4"/>
    <w:rsid w:val="0032551D"/>
    <w:rsid w:val="00325538"/>
    <w:rsid w:val="00325FA4"/>
    <w:rsid w:val="00326018"/>
    <w:rsid w:val="00326D6B"/>
    <w:rsid w:val="003271A1"/>
    <w:rsid w:val="0032782A"/>
    <w:rsid w:val="00330207"/>
    <w:rsid w:val="0033056F"/>
    <w:rsid w:val="00330689"/>
    <w:rsid w:val="00330BD5"/>
    <w:rsid w:val="00331242"/>
    <w:rsid w:val="0033178C"/>
    <w:rsid w:val="00331A67"/>
    <w:rsid w:val="003320DF"/>
    <w:rsid w:val="00332A13"/>
    <w:rsid w:val="00332B0E"/>
    <w:rsid w:val="00332FA0"/>
    <w:rsid w:val="003330CF"/>
    <w:rsid w:val="003331D9"/>
    <w:rsid w:val="00333656"/>
    <w:rsid w:val="0033400E"/>
    <w:rsid w:val="00334C05"/>
    <w:rsid w:val="00334D94"/>
    <w:rsid w:val="00334E49"/>
    <w:rsid w:val="00335A74"/>
    <w:rsid w:val="00335B94"/>
    <w:rsid w:val="00336411"/>
    <w:rsid w:val="0033748C"/>
    <w:rsid w:val="00337CB8"/>
    <w:rsid w:val="00337F65"/>
    <w:rsid w:val="00340132"/>
    <w:rsid w:val="00340351"/>
    <w:rsid w:val="00340460"/>
    <w:rsid w:val="003406FB"/>
    <w:rsid w:val="00341342"/>
    <w:rsid w:val="003421D7"/>
    <w:rsid w:val="00342A81"/>
    <w:rsid w:val="00342AFC"/>
    <w:rsid w:val="00344147"/>
    <w:rsid w:val="0034450C"/>
    <w:rsid w:val="00344AD8"/>
    <w:rsid w:val="00344F3B"/>
    <w:rsid w:val="0034514B"/>
    <w:rsid w:val="00345193"/>
    <w:rsid w:val="00345D66"/>
    <w:rsid w:val="00346E3A"/>
    <w:rsid w:val="00347252"/>
    <w:rsid w:val="00347666"/>
    <w:rsid w:val="00347D33"/>
    <w:rsid w:val="003507E9"/>
    <w:rsid w:val="00350CCA"/>
    <w:rsid w:val="0035168F"/>
    <w:rsid w:val="00351BE5"/>
    <w:rsid w:val="00351E50"/>
    <w:rsid w:val="00352020"/>
    <w:rsid w:val="0035272D"/>
    <w:rsid w:val="00352790"/>
    <w:rsid w:val="00353625"/>
    <w:rsid w:val="00353904"/>
    <w:rsid w:val="00353E45"/>
    <w:rsid w:val="003545E2"/>
    <w:rsid w:val="003546DB"/>
    <w:rsid w:val="00354B04"/>
    <w:rsid w:val="00355FA4"/>
    <w:rsid w:val="00357063"/>
    <w:rsid w:val="00357B3E"/>
    <w:rsid w:val="00357B42"/>
    <w:rsid w:val="00360F1C"/>
    <w:rsid w:val="003611C3"/>
    <w:rsid w:val="0036178A"/>
    <w:rsid w:val="00362125"/>
    <w:rsid w:val="00362510"/>
    <w:rsid w:val="00362D17"/>
    <w:rsid w:val="0036348C"/>
    <w:rsid w:val="00364119"/>
    <w:rsid w:val="0036527E"/>
    <w:rsid w:val="003654B8"/>
    <w:rsid w:val="00365904"/>
    <w:rsid w:val="00365B53"/>
    <w:rsid w:val="00365F25"/>
    <w:rsid w:val="00365F26"/>
    <w:rsid w:val="003663B7"/>
    <w:rsid w:val="003664B2"/>
    <w:rsid w:val="00366601"/>
    <w:rsid w:val="003677DF"/>
    <w:rsid w:val="0037014C"/>
    <w:rsid w:val="003702A0"/>
    <w:rsid w:val="00370679"/>
    <w:rsid w:val="003727E0"/>
    <w:rsid w:val="00372DDB"/>
    <w:rsid w:val="00372F0B"/>
    <w:rsid w:val="003732DE"/>
    <w:rsid w:val="00373BC5"/>
    <w:rsid w:val="003744C8"/>
    <w:rsid w:val="0037468D"/>
    <w:rsid w:val="0037492F"/>
    <w:rsid w:val="00374934"/>
    <w:rsid w:val="00374C27"/>
    <w:rsid w:val="003757FF"/>
    <w:rsid w:val="003765D1"/>
    <w:rsid w:val="00376F25"/>
    <w:rsid w:val="00377E36"/>
    <w:rsid w:val="00380575"/>
    <w:rsid w:val="00380C9A"/>
    <w:rsid w:val="00380DC2"/>
    <w:rsid w:val="00380DDE"/>
    <w:rsid w:val="00380F41"/>
    <w:rsid w:val="00381162"/>
    <w:rsid w:val="00381F36"/>
    <w:rsid w:val="003820F9"/>
    <w:rsid w:val="003826E3"/>
    <w:rsid w:val="0038313E"/>
    <w:rsid w:val="003836AC"/>
    <w:rsid w:val="003848A4"/>
    <w:rsid w:val="00384979"/>
    <w:rsid w:val="003855F1"/>
    <w:rsid w:val="00385CAE"/>
    <w:rsid w:val="00385F14"/>
    <w:rsid w:val="003861C6"/>
    <w:rsid w:val="0038638F"/>
    <w:rsid w:val="003864D5"/>
    <w:rsid w:val="00386EEC"/>
    <w:rsid w:val="00387AB5"/>
    <w:rsid w:val="00387BA7"/>
    <w:rsid w:val="003906D7"/>
    <w:rsid w:val="00390BF0"/>
    <w:rsid w:val="003912E3"/>
    <w:rsid w:val="003914ED"/>
    <w:rsid w:val="003923B1"/>
    <w:rsid w:val="00392611"/>
    <w:rsid w:val="003926B5"/>
    <w:rsid w:val="00392D69"/>
    <w:rsid w:val="00393331"/>
    <w:rsid w:val="003935FD"/>
    <w:rsid w:val="0039386D"/>
    <w:rsid w:val="00393B70"/>
    <w:rsid w:val="00394D7E"/>
    <w:rsid w:val="00394DA5"/>
    <w:rsid w:val="00395531"/>
    <w:rsid w:val="00395610"/>
    <w:rsid w:val="00395B5E"/>
    <w:rsid w:val="00395C1E"/>
    <w:rsid w:val="00396D9D"/>
    <w:rsid w:val="00396E6E"/>
    <w:rsid w:val="00396EF1"/>
    <w:rsid w:val="00396F71"/>
    <w:rsid w:val="00397096"/>
    <w:rsid w:val="0039734B"/>
    <w:rsid w:val="003974F6"/>
    <w:rsid w:val="003978D8"/>
    <w:rsid w:val="00397A95"/>
    <w:rsid w:val="00397BD1"/>
    <w:rsid w:val="00397CA7"/>
    <w:rsid w:val="003A0A61"/>
    <w:rsid w:val="003A0A99"/>
    <w:rsid w:val="003A17E7"/>
    <w:rsid w:val="003A1CB2"/>
    <w:rsid w:val="003A28A7"/>
    <w:rsid w:val="003A3404"/>
    <w:rsid w:val="003A4790"/>
    <w:rsid w:val="003A4E11"/>
    <w:rsid w:val="003A4E53"/>
    <w:rsid w:val="003A51CD"/>
    <w:rsid w:val="003A527F"/>
    <w:rsid w:val="003A54E8"/>
    <w:rsid w:val="003A67A5"/>
    <w:rsid w:val="003A7D9C"/>
    <w:rsid w:val="003B10CA"/>
    <w:rsid w:val="003B262A"/>
    <w:rsid w:val="003B3152"/>
    <w:rsid w:val="003B32BF"/>
    <w:rsid w:val="003B3644"/>
    <w:rsid w:val="003B3702"/>
    <w:rsid w:val="003B40D5"/>
    <w:rsid w:val="003B4165"/>
    <w:rsid w:val="003B4C50"/>
    <w:rsid w:val="003B525D"/>
    <w:rsid w:val="003B5B1F"/>
    <w:rsid w:val="003B6A8B"/>
    <w:rsid w:val="003B6F2B"/>
    <w:rsid w:val="003B724C"/>
    <w:rsid w:val="003C021F"/>
    <w:rsid w:val="003C07AE"/>
    <w:rsid w:val="003C07ED"/>
    <w:rsid w:val="003C07FC"/>
    <w:rsid w:val="003C0909"/>
    <w:rsid w:val="003C2069"/>
    <w:rsid w:val="003C24E0"/>
    <w:rsid w:val="003C2578"/>
    <w:rsid w:val="003C2AEB"/>
    <w:rsid w:val="003C2EC4"/>
    <w:rsid w:val="003C3306"/>
    <w:rsid w:val="003C3890"/>
    <w:rsid w:val="003C38BB"/>
    <w:rsid w:val="003C4128"/>
    <w:rsid w:val="003C4579"/>
    <w:rsid w:val="003C4786"/>
    <w:rsid w:val="003C4C2A"/>
    <w:rsid w:val="003C55EC"/>
    <w:rsid w:val="003C5AF9"/>
    <w:rsid w:val="003C5B16"/>
    <w:rsid w:val="003C6664"/>
    <w:rsid w:val="003C6F17"/>
    <w:rsid w:val="003C74A3"/>
    <w:rsid w:val="003D00C5"/>
    <w:rsid w:val="003D0BCB"/>
    <w:rsid w:val="003D0DCE"/>
    <w:rsid w:val="003D1A0D"/>
    <w:rsid w:val="003D1E5E"/>
    <w:rsid w:val="003D2CEE"/>
    <w:rsid w:val="003D3230"/>
    <w:rsid w:val="003D340A"/>
    <w:rsid w:val="003D3538"/>
    <w:rsid w:val="003D3B81"/>
    <w:rsid w:val="003D4751"/>
    <w:rsid w:val="003D53F9"/>
    <w:rsid w:val="003D5432"/>
    <w:rsid w:val="003D5CE3"/>
    <w:rsid w:val="003D7060"/>
    <w:rsid w:val="003D7578"/>
    <w:rsid w:val="003D7912"/>
    <w:rsid w:val="003D7D21"/>
    <w:rsid w:val="003D7D6D"/>
    <w:rsid w:val="003D7FDC"/>
    <w:rsid w:val="003E05CC"/>
    <w:rsid w:val="003E22C3"/>
    <w:rsid w:val="003E2782"/>
    <w:rsid w:val="003E2C32"/>
    <w:rsid w:val="003E2D49"/>
    <w:rsid w:val="003E40FD"/>
    <w:rsid w:val="003E4C0A"/>
    <w:rsid w:val="003E5105"/>
    <w:rsid w:val="003E64C5"/>
    <w:rsid w:val="003E6684"/>
    <w:rsid w:val="003E6A53"/>
    <w:rsid w:val="003E7542"/>
    <w:rsid w:val="003E765C"/>
    <w:rsid w:val="003E7979"/>
    <w:rsid w:val="003E7E26"/>
    <w:rsid w:val="003F0562"/>
    <w:rsid w:val="003F08C6"/>
    <w:rsid w:val="003F0B78"/>
    <w:rsid w:val="003F1009"/>
    <w:rsid w:val="003F19BD"/>
    <w:rsid w:val="003F1C1B"/>
    <w:rsid w:val="003F21C2"/>
    <w:rsid w:val="003F2370"/>
    <w:rsid w:val="003F26AA"/>
    <w:rsid w:val="003F2892"/>
    <w:rsid w:val="003F3C7C"/>
    <w:rsid w:val="003F405D"/>
    <w:rsid w:val="003F42FA"/>
    <w:rsid w:val="003F43B0"/>
    <w:rsid w:val="003F45EE"/>
    <w:rsid w:val="003F4AF7"/>
    <w:rsid w:val="003F4DF5"/>
    <w:rsid w:val="003F53F7"/>
    <w:rsid w:val="003F594D"/>
    <w:rsid w:val="003F615C"/>
    <w:rsid w:val="003F623E"/>
    <w:rsid w:val="003F6C47"/>
    <w:rsid w:val="003F6F1F"/>
    <w:rsid w:val="003F73B2"/>
    <w:rsid w:val="003F77B9"/>
    <w:rsid w:val="004009B7"/>
    <w:rsid w:val="00400A5C"/>
    <w:rsid w:val="00401102"/>
    <w:rsid w:val="0040157A"/>
    <w:rsid w:val="00401C9C"/>
    <w:rsid w:val="004037B6"/>
    <w:rsid w:val="00403DFC"/>
    <w:rsid w:val="00403FED"/>
    <w:rsid w:val="004045CC"/>
    <w:rsid w:val="004077CE"/>
    <w:rsid w:val="00407BD8"/>
    <w:rsid w:val="00407F76"/>
    <w:rsid w:val="00410357"/>
    <w:rsid w:val="004107A2"/>
    <w:rsid w:val="0041102C"/>
    <w:rsid w:val="004114F6"/>
    <w:rsid w:val="00412103"/>
    <w:rsid w:val="0041274C"/>
    <w:rsid w:val="0041284B"/>
    <w:rsid w:val="00413BBB"/>
    <w:rsid w:val="00414176"/>
    <w:rsid w:val="0041450C"/>
    <w:rsid w:val="00414593"/>
    <w:rsid w:val="004151EE"/>
    <w:rsid w:val="004158B5"/>
    <w:rsid w:val="00415CBE"/>
    <w:rsid w:val="00416776"/>
    <w:rsid w:val="00416C5D"/>
    <w:rsid w:val="00416E77"/>
    <w:rsid w:val="00417196"/>
    <w:rsid w:val="00417CC0"/>
    <w:rsid w:val="00420CA3"/>
    <w:rsid w:val="00421478"/>
    <w:rsid w:val="00421A3F"/>
    <w:rsid w:val="004221A4"/>
    <w:rsid w:val="0042236F"/>
    <w:rsid w:val="00424A42"/>
    <w:rsid w:val="004250E0"/>
    <w:rsid w:val="004252B8"/>
    <w:rsid w:val="00425AC5"/>
    <w:rsid w:val="004266A6"/>
    <w:rsid w:val="004275F5"/>
    <w:rsid w:val="0042788B"/>
    <w:rsid w:val="004300C2"/>
    <w:rsid w:val="004302EA"/>
    <w:rsid w:val="00430381"/>
    <w:rsid w:val="00430B69"/>
    <w:rsid w:val="00431D2F"/>
    <w:rsid w:val="00432625"/>
    <w:rsid w:val="0043283A"/>
    <w:rsid w:val="00432880"/>
    <w:rsid w:val="0043353A"/>
    <w:rsid w:val="00434B92"/>
    <w:rsid w:val="00434C7B"/>
    <w:rsid w:val="00435B26"/>
    <w:rsid w:val="00436166"/>
    <w:rsid w:val="0043629E"/>
    <w:rsid w:val="004367F7"/>
    <w:rsid w:val="00437ADD"/>
    <w:rsid w:val="00437B60"/>
    <w:rsid w:val="00437E89"/>
    <w:rsid w:val="004402FB"/>
    <w:rsid w:val="00441804"/>
    <w:rsid w:val="00441B47"/>
    <w:rsid w:val="00441E69"/>
    <w:rsid w:val="00442116"/>
    <w:rsid w:val="00442CA4"/>
    <w:rsid w:val="00442DA7"/>
    <w:rsid w:val="004439D9"/>
    <w:rsid w:val="004455EE"/>
    <w:rsid w:val="0044640A"/>
    <w:rsid w:val="00446F46"/>
    <w:rsid w:val="004470E3"/>
    <w:rsid w:val="00450364"/>
    <w:rsid w:val="00450A35"/>
    <w:rsid w:val="004510CF"/>
    <w:rsid w:val="00451161"/>
    <w:rsid w:val="0045220B"/>
    <w:rsid w:val="00452211"/>
    <w:rsid w:val="00452575"/>
    <w:rsid w:val="00452E3E"/>
    <w:rsid w:val="004530D7"/>
    <w:rsid w:val="00453235"/>
    <w:rsid w:val="004538D3"/>
    <w:rsid w:val="00455CCD"/>
    <w:rsid w:val="00455EF3"/>
    <w:rsid w:val="004564C2"/>
    <w:rsid w:val="004565A1"/>
    <w:rsid w:val="0045699D"/>
    <w:rsid w:val="00456A76"/>
    <w:rsid w:val="00457D90"/>
    <w:rsid w:val="004605B6"/>
    <w:rsid w:val="004614BF"/>
    <w:rsid w:val="00461646"/>
    <w:rsid w:val="004617CD"/>
    <w:rsid w:val="00461FB8"/>
    <w:rsid w:val="00462165"/>
    <w:rsid w:val="00462F71"/>
    <w:rsid w:val="0046355B"/>
    <w:rsid w:val="00463BEC"/>
    <w:rsid w:val="00463E86"/>
    <w:rsid w:val="00463FBB"/>
    <w:rsid w:val="00465C52"/>
    <w:rsid w:val="004664D3"/>
    <w:rsid w:val="00467052"/>
    <w:rsid w:val="004708E9"/>
    <w:rsid w:val="00473085"/>
    <w:rsid w:val="0047444F"/>
    <w:rsid w:val="0047542E"/>
    <w:rsid w:val="004756B2"/>
    <w:rsid w:val="00477055"/>
    <w:rsid w:val="00477E17"/>
    <w:rsid w:val="004818F2"/>
    <w:rsid w:val="00482D93"/>
    <w:rsid w:val="00482FE2"/>
    <w:rsid w:val="0048300F"/>
    <w:rsid w:val="0048350E"/>
    <w:rsid w:val="004840C7"/>
    <w:rsid w:val="00484207"/>
    <w:rsid w:val="00484686"/>
    <w:rsid w:val="00484D83"/>
    <w:rsid w:val="00485493"/>
    <w:rsid w:val="00485797"/>
    <w:rsid w:val="0048651C"/>
    <w:rsid w:val="00486A54"/>
    <w:rsid w:val="00490CF1"/>
    <w:rsid w:val="004912C3"/>
    <w:rsid w:val="00492B16"/>
    <w:rsid w:val="0049310E"/>
    <w:rsid w:val="004938B0"/>
    <w:rsid w:val="00494862"/>
    <w:rsid w:val="00494C14"/>
    <w:rsid w:val="00494D09"/>
    <w:rsid w:val="00494E36"/>
    <w:rsid w:val="00495057"/>
    <w:rsid w:val="0049619A"/>
    <w:rsid w:val="00496A7C"/>
    <w:rsid w:val="00496C94"/>
    <w:rsid w:val="00496FAC"/>
    <w:rsid w:val="0049789E"/>
    <w:rsid w:val="00497A08"/>
    <w:rsid w:val="004A0527"/>
    <w:rsid w:val="004A0596"/>
    <w:rsid w:val="004A1529"/>
    <w:rsid w:val="004A16DC"/>
    <w:rsid w:val="004A1A0A"/>
    <w:rsid w:val="004A1CBF"/>
    <w:rsid w:val="004A2658"/>
    <w:rsid w:val="004A3307"/>
    <w:rsid w:val="004A361C"/>
    <w:rsid w:val="004A3BD6"/>
    <w:rsid w:val="004A4789"/>
    <w:rsid w:val="004A4AC2"/>
    <w:rsid w:val="004A4FCA"/>
    <w:rsid w:val="004A5C83"/>
    <w:rsid w:val="004A60DD"/>
    <w:rsid w:val="004A71B9"/>
    <w:rsid w:val="004A73DD"/>
    <w:rsid w:val="004A78A1"/>
    <w:rsid w:val="004B123B"/>
    <w:rsid w:val="004B20BE"/>
    <w:rsid w:val="004B320C"/>
    <w:rsid w:val="004B4155"/>
    <w:rsid w:val="004B4361"/>
    <w:rsid w:val="004B4464"/>
    <w:rsid w:val="004B54EE"/>
    <w:rsid w:val="004B5A7C"/>
    <w:rsid w:val="004B5B8A"/>
    <w:rsid w:val="004B666D"/>
    <w:rsid w:val="004B6F3D"/>
    <w:rsid w:val="004B7ACF"/>
    <w:rsid w:val="004B7AF9"/>
    <w:rsid w:val="004C040F"/>
    <w:rsid w:val="004C0A16"/>
    <w:rsid w:val="004C0DC7"/>
    <w:rsid w:val="004C1A61"/>
    <w:rsid w:val="004C1D3A"/>
    <w:rsid w:val="004C1FDC"/>
    <w:rsid w:val="004C3A4C"/>
    <w:rsid w:val="004C592A"/>
    <w:rsid w:val="004C5C14"/>
    <w:rsid w:val="004C68C0"/>
    <w:rsid w:val="004C70F8"/>
    <w:rsid w:val="004C72A9"/>
    <w:rsid w:val="004C7859"/>
    <w:rsid w:val="004C78D9"/>
    <w:rsid w:val="004C7CE8"/>
    <w:rsid w:val="004D07BC"/>
    <w:rsid w:val="004D0AD3"/>
    <w:rsid w:val="004D0F9E"/>
    <w:rsid w:val="004D1125"/>
    <w:rsid w:val="004D16BE"/>
    <w:rsid w:val="004D1C79"/>
    <w:rsid w:val="004D1DB4"/>
    <w:rsid w:val="004D23FB"/>
    <w:rsid w:val="004D2540"/>
    <w:rsid w:val="004D2AAC"/>
    <w:rsid w:val="004D2C0D"/>
    <w:rsid w:val="004D2F90"/>
    <w:rsid w:val="004D4598"/>
    <w:rsid w:val="004D48A6"/>
    <w:rsid w:val="004D48AF"/>
    <w:rsid w:val="004D61EF"/>
    <w:rsid w:val="004D6DA8"/>
    <w:rsid w:val="004D743A"/>
    <w:rsid w:val="004D7707"/>
    <w:rsid w:val="004D7856"/>
    <w:rsid w:val="004D78B3"/>
    <w:rsid w:val="004D7B85"/>
    <w:rsid w:val="004E06BB"/>
    <w:rsid w:val="004E1841"/>
    <w:rsid w:val="004E1AAC"/>
    <w:rsid w:val="004E216F"/>
    <w:rsid w:val="004E2326"/>
    <w:rsid w:val="004E26B4"/>
    <w:rsid w:val="004E3EDF"/>
    <w:rsid w:val="004E3F6F"/>
    <w:rsid w:val="004E5664"/>
    <w:rsid w:val="004E57F9"/>
    <w:rsid w:val="004E5CA8"/>
    <w:rsid w:val="004E6252"/>
    <w:rsid w:val="004E6580"/>
    <w:rsid w:val="004E6718"/>
    <w:rsid w:val="004E6D29"/>
    <w:rsid w:val="004F0061"/>
    <w:rsid w:val="004F0480"/>
    <w:rsid w:val="004F1258"/>
    <w:rsid w:val="004F1894"/>
    <w:rsid w:val="004F1920"/>
    <w:rsid w:val="004F235A"/>
    <w:rsid w:val="004F2C0A"/>
    <w:rsid w:val="004F3311"/>
    <w:rsid w:val="004F3782"/>
    <w:rsid w:val="004F4202"/>
    <w:rsid w:val="004F4324"/>
    <w:rsid w:val="004F4830"/>
    <w:rsid w:val="004F5947"/>
    <w:rsid w:val="004F5AAD"/>
    <w:rsid w:val="004F5FF0"/>
    <w:rsid w:val="004F6C3B"/>
    <w:rsid w:val="004F737B"/>
    <w:rsid w:val="004F7738"/>
    <w:rsid w:val="004F7A43"/>
    <w:rsid w:val="004F7F86"/>
    <w:rsid w:val="0050001E"/>
    <w:rsid w:val="0050003A"/>
    <w:rsid w:val="005013B4"/>
    <w:rsid w:val="005018F7"/>
    <w:rsid w:val="00501B5E"/>
    <w:rsid w:val="00502149"/>
    <w:rsid w:val="0050377E"/>
    <w:rsid w:val="00504140"/>
    <w:rsid w:val="00504205"/>
    <w:rsid w:val="0050499E"/>
    <w:rsid w:val="00504C51"/>
    <w:rsid w:val="00504F67"/>
    <w:rsid w:val="00505119"/>
    <w:rsid w:val="00505543"/>
    <w:rsid w:val="0050645B"/>
    <w:rsid w:val="005065E0"/>
    <w:rsid w:val="00507808"/>
    <w:rsid w:val="00510AC1"/>
    <w:rsid w:val="00510EF1"/>
    <w:rsid w:val="00511082"/>
    <w:rsid w:val="005112A2"/>
    <w:rsid w:val="005115B9"/>
    <w:rsid w:val="00511734"/>
    <w:rsid w:val="00511D0D"/>
    <w:rsid w:val="005123B8"/>
    <w:rsid w:val="005124C4"/>
    <w:rsid w:val="005124D8"/>
    <w:rsid w:val="0051258E"/>
    <w:rsid w:val="0051363B"/>
    <w:rsid w:val="0051388C"/>
    <w:rsid w:val="00513947"/>
    <w:rsid w:val="00513AA4"/>
    <w:rsid w:val="0051442E"/>
    <w:rsid w:val="00514CE2"/>
    <w:rsid w:val="00515CBB"/>
    <w:rsid w:val="005163F9"/>
    <w:rsid w:val="00516628"/>
    <w:rsid w:val="005205A8"/>
    <w:rsid w:val="00520834"/>
    <w:rsid w:val="00520A9E"/>
    <w:rsid w:val="00520BE9"/>
    <w:rsid w:val="00520E98"/>
    <w:rsid w:val="00522380"/>
    <w:rsid w:val="005224AC"/>
    <w:rsid w:val="00522764"/>
    <w:rsid w:val="005237C8"/>
    <w:rsid w:val="00523CF8"/>
    <w:rsid w:val="00524101"/>
    <w:rsid w:val="00524186"/>
    <w:rsid w:val="0052459E"/>
    <w:rsid w:val="005245B6"/>
    <w:rsid w:val="005250C1"/>
    <w:rsid w:val="0052616C"/>
    <w:rsid w:val="00526FA2"/>
    <w:rsid w:val="00530182"/>
    <w:rsid w:val="005308C0"/>
    <w:rsid w:val="00530930"/>
    <w:rsid w:val="00531017"/>
    <w:rsid w:val="00531DF7"/>
    <w:rsid w:val="00532176"/>
    <w:rsid w:val="00533582"/>
    <w:rsid w:val="005343DE"/>
    <w:rsid w:val="00534843"/>
    <w:rsid w:val="005348E0"/>
    <w:rsid w:val="00535271"/>
    <w:rsid w:val="005354D2"/>
    <w:rsid w:val="00535B5B"/>
    <w:rsid w:val="005367E2"/>
    <w:rsid w:val="00536BB9"/>
    <w:rsid w:val="00537C70"/>
    <w:rsid w:val="00537C9E"/>
    <w:rsid w:val="005409B9"/>
    <w:rsid w:val="00542DDC"/>
    <w:rsid w:val="00543155"/>
    <w:rsid w:val="00543543"/>
    <w:rsid w:val="005441BF"/>
    <w:rsid w:val="00544613"/>
    <w:rsid w:val="005448D4"/>
    <w:rsid w:val="005448DD"/>
    <w:rsid w:val="00545C2D"/>
    <w:rsid w:val="005463C3"/>
    <w:rsid w:val="00546884"/>
    <w:rsid w:val="00546B81"/>
    <w:rsid w:val="005477E0"/>
    <w:rsid w:val="00547ADD"/>
    <w:rsid w:val="00547F1D"/>
    <w:rsid w:val="00547F92"/>
    <w:rsid w:val="0055018D"/>
    <w:rsid w:val="00550993"/>
    <w:rsid w:val="00550D84"/>
    <w:rsid w:val="00551207"/>
    <w:rsid w:val="00551AF9"/>
    <w:rsid w:val="00551BB9"/>
    <w:rsid w:val="0055203D"/>
    <w:rsid w:val="0055210E"/>
    <w:rsid w:val="00552C5F"/>
    <w:rsid w:val="00553365"/>
    <w:rsid w:val="00553817"/>
    <w:rsid w:val="00554904"/>
    <w:rsid w:val="00555274"/>
    <w:rsid w:val="005555F1"/>
    <w:rsid w:val="00555A2E"/>
    <w:rsid w:val="0055600A"/>
    <w:rsid w:val="005567A9"/>
    <w:rsid w:val="00556DF9"/>
    <w:rsid w:val="0055732A"/>
    <w:rsid w:val="00557380"/>
    <w:rsid w:val="00557496"/>
    <w:rsid w:val="0055792A"/>
    <w:rsid w:val="00557F99"/>
    <w:rsid w:val="005601A5"/>
    <w:rsid w:val="00560D9E"/>
    <w:rsid w:val="005617C9"/>
    <w:rsid w:val="005617ED"/>
    <w:rsid w:val="005627E3"/>
    <w:rsid w:val="00562827"/>
    <w:rsid w:val="00562898"/>
    <w:rsid w:val="005628E0"/>
    <w:rsid w:val="00562FF0"/>
    <w:rsid w:val="005634E0"/>
    <w:rsid w:val="00563A83"/>
    <w:rsid w:val="00563A8E"/>
    <w:rsid w:val="00563DD3"/>
    <w:rsid w:val="00563FE4"/>
    <w:rsid w:val="005653D2"/>
    <w:rsid w:val="005655DD"/>
    <w:rsid w:val="0056599F"/>
    <w:rsid w:val="00566005"/>
    <w:rsid w:val="005662CC"/>
    <w:rsid w:val="005664F2"/>
    <w:rsid w:val="00567F56"/>
    <w:rsid w:val="005701F1"/>
    <w:rsid w:val="005705C4"/>
    <w:rsid w:val="00571B35"/>
    <w:rsid w:val="0057202E"/>
    <w:rsid w:val="0057302A"/>
    <w:rsid w:val="00573504"/>
    <w:rsid w:val="00574899"/>
    <w:rsid w:val="00575100"/>
    <w:rsid w:val="005754F2"/>
    <w:rsid w:val="005761AA"/>
    <w:rsid w:val="005765C0"/>
    <w:rsid w:val="0057780D"/>
    <w:rsid w:val="00577B87"/>
    <w:rsid w:val="005805A6"/>
    <w:rsid w:val="00580D25"/>
    <w:rsid w:val="00580FB8"/>
    <w:rsid w:val="005811A9"/>
    <w:rsid w:val="00582082"/>
    <w:rsid w:val="005820DD"/>
    <w:rsid w:val="00582256"/>
    <w:rsid w:val="00582C6B"/>
    <w:rsid w:val="00582E31"/>
    <w:rsid w:val="00583A2F"/>
    <w:rsid w:val="00583BF5"/>
    <w:rsid w:val="00584160"/>
    <w:rsid w:val="005849E7"/>
    <w:rsid w:val="00584EEE"/>
    <w:rsid w:val="005856CB"/>
    <w:rsid w:val="00585A67"/>
    <w:rsid w:val="0058611E"/>
    <w:rsid w:val="0058663D"/>
    <w:rsid w:val="00586FEC"/>
    <w:rsid w:val="0058795C"/>
    <w:rsid w:val="0058795F"/>
    <w:rsid w:val="00587AD3"/>
    <w:rsid w:val="00590015"/>
    <w:rsid w:val="00590F82"/>
    <w:rsid w:val="005911F7"/>
    <w:rsid w:val="00591602"/>
    <w:rsid w:val="00591D50"/>
    <w:rsid w:val="005926FC"/>
    <w:rsid w:val="00592BD6"/>
    <w:rsid w:val="005930A7"/>
    <w:rsid w:val="005936D5"/>
    <w:rsid w:val="005938F0"/>
    <w:rsid w:val="00593D9F"/>
    <w:rsid w:val="00594CE3"/>
    <w:rsid w:val="00595254"/>
    <w:rsid w:val="0059557F"/>
    <w:rsid w:val="005955EB"/>
    <w:rsid w:val="0059564A"/>
    <w:rsid w:val="0059581C"/>
    <w:rsid w:val="005968F4"/>
    <w:rsid w:val="00596CE9"/>
    <w:rsid w:val="00596D64"/>
    <w:rsid w:val="00596DF1"/>
    <w:rsid w:val="00597A65"/>
    <w:rsid w:val="005A02AA"/>
    <w:rsid w:val="005A039C"/>
    <w:rsid w:val="005A06D9"/>
    <w:rsid w:val="005A26BE"/>
    <w:rsid w:val="005A2BAB"/>
    <w:rsid w:val="005A2C79"/>
    <w:rsid w:val="005A2E1D"/>
    <w:rsid w:val="005A3010"/>
    <w:rsid w:val="005A3240"/>
    <w:rsid w:val="005A3AD8"/>
    <w:rsid w:val="005A406F"/>
    <w:rsid w:val="005A4248"/>
    <w:rsid w:val="005A4AD8"/>
    <w:rsid w:val="005A4BB3"/>
    <w:rsid w:val="005A51B8"/>
    <w:rsid w:val="005A5601"/>
    <w:rsid w:val="005A5862"/>
    <w:rsid w:val="005A592C"/>
    <w:rsid w:val="005A5A32"/>
    <w:rsid w:val="005A631F"/>
    <w:rsid w:val="005A6D22"/>
    <w:rsid w:val="005B0254"/>
    <w:rsid w:val="005B07DF"/>
    <w:rsid w:val="005B0992"/>
    <w:rsid w:val="005B0CC0"/>
    <w:rsid w:val="005B292B"/>
    <w:rsid w:val="005B2EBE"/>
    <w:rsid w:val="005B3475"/>
    <w:rsid w:val="005B3A2B"/>
    <w:rsid w:val="005B3CF0"/>
    <w:rsid w:val="005B4479"/>
    <w:rsid w:val="005B4DD4"/>
    <w:rsid w:val="005B513C"/>
    <w:rsid w:val="005B5252"/>
    <w:rsid w:val="005B52B0"/>
    <w:rsid w:val="005B557A"/>
    <w:rsid w:val="005B5E02"/>
    <w:rsid w:val="005B66FA"/>
    <w:rsid w:val="005B7008"/>
    <w:rsid w:val="005B7107"/>
    <w:rsid w:val="005B7140"/>
    <w:rsid w:val="005C00C6"/>
    <w:rsid w:val="005C0554"/>
    <w:rsid w:val="005C17BA"/>
    <w:rsid w:val="005C4F44"/>
    <w:rsid w:val="005C5067"/>
    <w:rsid w:val="005C537C"/>
    <w:rsid w:val="005C57E2"/>
    <w:rsid w:val="005C593C"/>
    <w:rsid w:val="005C6759"/>
    <w:rsid w:val="005C6E7C"/>
    <w:rsid w:val="005C708C"/>
    <w:rsid w:val="005C731A"/>
    <w:rsid w:val="005C7887"/>
    <w:rsid w:val="005C7FF6"/>
    <w:rsid w:val="005D0945"/>
    <w:rsid w:val="005D0A77"/>
    <w:rsid w:val="005D0B67"/>
    <w:rsid w:val="005D111E"/>
    <w:rsid w:val="005D11A2"/>
    <w:rsid w:val="005D147F"/>
    <w:rsid w:val="005D16D7"/>
    <w:rsid w:val="005D1E71"/>
    <w:rsid w:val="005D26D2"/>
    <w:rsid w:val="005D36E0"/>
    <w:rsid w:val="005D381D"/>
    <w:rsid w:val="005D3C30"/>
    <w:rsid w:val="005D3CAA"/>
    <w:rsid w:val="005D3FAC"/>
    <w:rsid w:val="005D4197"/>
    <w:rsid w:val="005D4CCF"/>
    <w:rsid w:val="005D63AE"/>
    <w:rsid w:val="005D675E"/>
    <w:rsid w:val="005D6891"/>
    <w:rsid w:val="005D71BE"/>
    <w:rsid w:val="005D7264"/>
    <w:rsid w:val="005D7527"/>
    <w:rsid w:val="005D7D3D"/>
    <w:rsid w:val="005E0C40"/>
    <w:rsid w:val="005E1252"/>
    <w:rsid w:val="005E1306"/>
    <w:rsid w:val="005E1560"/>
    <w:rsid w:val="005E17CA"/>
    <w:rsid w:val="005E17EB"/>
    <w:rsid w:val="005E19EB"/>
    <w:rsid w:val="005E1AAD"/>
    <w:rsid w:val="005E1D9F"/>
    <w:rsid w:val="005E1E18"/>
    <w:rsid w:val="005E23FC"/>
    <w:rsid w:val="005E2EA6"/>
    <w:rsid w:val="005E310A"/>
    <w:rsid w:val="005E330B"/>
    <w:rsid w:val="005E39FF"/>
    <w:rsid w:val="005E3B2B"/>
    <w:rsid w:val="005E3C7D"/>
    <w:rsid w:val="005E3E1C"/>
    <w:rsid w:val="005E3EBC"/>
    <w:rsid w:val="005E4CED"/>
    <w:rsid w:val="005E5A06"/>
    <w:rsid w:val="005E66EA"/>
    <w:rsid w:val="005E680F"/>
    <w:rsid w:val="005E68F0"/>
    <w:rsid w:val="005E693E"/>
    <w:rsid w:val="005E74C2"/>
    <w:rsid w:val="005E75EA"/>
    <w:rsid w:val="005E75FC"/>
    <w:rsid w:val="005E765C"/>
    <w:rsid w:val="005F0690"/>
    <w:rsid w:val="005F1024"/>
    <w:rsid w:val="005F14C7"/>
    <w:rsid w:val="005F1FBF"/>
    <w:rsid w:val="005F259F"/>
    <w:rsid w:val="005F2AE3"/>
    <w:rsid w:val="005F2C96"/>
    <w:rsid w:val="005F2E14"/>
    <w:rsid w:val="005F2F6E"/>
    <w:rsid w:val="005F3063"/>
    <w:rsid w:val="005F3400"/>
    <w:rsid w:val="005F364E"/>
    <w:rsid w:val="005F3B80"/>
    <w:rsid w:val="005F46FB"/>
    <w:rsid w:val="005F5065"/>
    <w:rsid w:val="005F53DB"/>
    <w:rsid w:val="005F54B3"/>
    <w:rsid w:val="005F5B6D"/>
    <w:rsid w:val="005F5DCC"/>
    <w:rsid w:val="005F69EC"/>
    <w:rsid w:val="00600EF1"/>
    <w:rsid w:val="00602A7B"/>
    <w:rsid w:val="0060307E"/>
    <w:rsid w:val="006032D2"/>
    <w:rsid w:val="00603CF4"/>
    <w:rsid w:val="00604056"/>
    <w:rsid w:val="00604174"/>
    <w:rsid w:val="00604AA6"/>
    <w:rsid w:val="0060525D"/>
    <w:rsid w:val="006058B7"/>
    <w:rsid w:val="00605F64"/>
    <w:rsid w:val="00606BF9"/>
    <w:rsid w:val="00606DD8"/>
    <w:rsid w:val="00606F6F"/>
    <w:rsid w:val="00607D53"/>
    <w:rsid w:val="006101D6"/>
    <w:rsid w:val="00610578"/>
    <w:rsid w:val="00610F81"/>
    <w:rsid w:val="006114F4"/>
    <w:rsid w:val="00611B72"/>
    <w:rsid w:val="00612D60"/>
    <w:rsid w:val="00613818"/>
    <w:rsid w:val="00613B55"/>
    <w:rsid w:val="006146F6"/>
    <w:rsid w:val="00614C74"/>
    <w:rsid w:val="006151F0"/>
    <w:rsid w:val="0061562D"/>
    <w:rsid w:val="00615AEB"/>
    <w:rsid w:val="00616321"/>
    <w:rsid w:val="00616CA6"/>
    <w:rsid w:val="00616DFD"/>
    <w:rsid w:val="006176B1"/>
    <w:rsid w:val="00617E5B"/>
    <w:rsid w:val="006215DE"/>
    <w:rsid w:val="00621696"/>
    <w:rsid w:val="00621C56"/>
    <w:rsid w:val="00622D9F"/>
    <w:rsid w:val="00622FAC"/>
    <w:rsid w:val="0062426C"/>
    <w:rsid w:val="006242E6"/>
    <w:rsid w:val="00625978"/>
    <w:rsid w:val="00626547"/>
    <w:rsid w:val="00627B9A"/>
    <w:rsid w:val="00630393"/>
    <w:rsid w:val="00630ED5"/>
    <w:rsid w:val="0063235C"/>
    <w:rsid w:val="00632B7C"/>
    <w:rsid w:val="00632DFA"/>
    <w:rsid w:val="00633035"/>
    <w:rsid w:val="006335CE"/>
    <w:rsid w:val="006336CA"/>
    <w:rsid w:val="00633DA0"/>
    <w:rsid w:val="00634E19"/>
    <w:rsid w:val="00634E2E"/>
    <w:rsid w:val="0063506C"/>
    <w:rsid w:val="006351A8"/>
    <w:rsid w:val="00636283"/>
    <w:rsid w:val="006370A1"/>
    <w:rsid w:val="006370C8"/>
    <w:rsid w:val="0063714C"/>
    <w:rsid w:val="006377DC"/>
    <w:rsid w:val="006401F3"/>
    <w:rsid w:val="00640967"/>
    <w:rsid w:val="0064218A"/>
    <w:rsid w:val="00642B08"/>
    <w:rsid w:val="006434B0"/>
    <w:rsid w:val="0064375A"/>
    <w:rsid w:val="006438BD"/>
    <w:rsid w:val="00643BE2"/>
    <w:rsid w:val="00643CF0"/>
    <w:rsid w:val="00643E24"/>
    <w:rsid w:val="0064462D"/>
    <w:rsid w:val="006449B6"/>
    <w:rsid w:val="00644C9A"/>
    <w:rsid w:val="00644DDB"/>
    <w:rsid w:val="006452EC"/>
    <w:rsid w:val="00645B5C"/>
    <w:rsid w:val="00646319"/>
    <w:rsid w:val="00647FA2"/>
    <w:rsid w:val="00650787"/>
    <w:rsid w:val="006513BD"/>
    <w:rsid w:val="00651FF7"/>
    <w:rsid w:val="006529C8"/>
    <w:rsid w:val="00653612"/>
    <w:rsid w:val="00653C23"/>
    <w:rsid w:val="00654A91"/>
    <w:rsid w:val="006551DE"/>
    <w:rsid w:val="006553A9"/>
    <w:rsid w:val="006555EE"/>
    <w:rsid w:val="006561AC"/>
    <w:rsid w:val="006563C4"/>
    <w:rsid w:val="00656906"/>
    <w:rsid w:val="00656EB2"/>
    <w:rsid w:val="00657AF9"/>
    <w:rsid w:val="006603E0"/>
    <w:rsid w:val="006604D0"/>
    <w:rsid w:val="00661E15"/>
    <w:rsid w:val="0066349A"/>
    <w:rsid w:val="00663764"/>
    <w:rsid w:val="00663A63"/>
    <w:rsid w:val="00663F90"/>
    <w:rsid w:val="00664824"/>
    <w:rsid w:val="00664856"/>
    <w:rsid w:val="006650B3"/>
    <w:rsid w:val="0066561E"/>
    <w:rsid w:val="006670C9"/>
    <w:rsid w:val="0066732C"/>
    <w:rsid w:val="00667D25"/>
    <w:rsid w:val="00670043"/>
    <w:rsid w:val="00670C62"/>
    <w:rsid w:val="00670E6F"/>
    <w:rsid w:val="006713A2"/>
    <w:rsid w:val="006720E0"/>
    <w:rsid w:val="006736D9"/>
    <w:rsid w:val="00673967"/>
    <w:rsid w:val="00673A4F"/>
    <w:rsid w:val="006743E0"/>
    <w:rsid w:val="006744CE"/>
    <w:rsid w:val="00674765"/>
    <w:rsid w:val="00674791"/>
    <w:rsid w:val="00674EAB"/>
    <w:rsid w:val="0067576E"/>
    <w:rsid w:val="00675A88"/>
    <w:rsid w:val="00675E32"/>
    <w:rsid w:val="00675F69"/>
    <w:rsid w:val="006765A8"/>
    <w:rsid w:val="00676CE4"/>
    <w:rsid w:val="006770AB"/>
    <w:rsid w:val="0067730A"/>
    <w:rsid w:val="00677740"/>
    <w:rsid w:val="006806EB"/>
    <w:rsid w:val="00680857"/>
    <w:rsid w:val="00680F71"/>
    <w:rsid w:val="0068124E"/>
    <w:rsid w:val="006816A9"/>
    <w:rsid w:val="00681B3E"/>
    <w:rsid w:val="00681E0B"/>
    <w:rsid w:val="0068233A"/>
    <w:rsid w:val="00683452"/>
    <w:rsid w:val="006837B7"/>
    <w:rsid w:val="00683C2D"/>
    <w:rsid w:val="00683EAE"/>
    <w:rsid w:val="0068506E"/>
    <w:rsid w:val="00685A31"/>
    <w:rsid w:val="0068623F"/>
    <w:rsid w:val="006868F0"/>
    <w:rsid w:val="00687996"/>
    <w:rsid w:val="00687D20"/>
    <w:rsid w:val="00687D28"/>
    <w:rsid w:val="00687D81"/>
    <w:rsid w:val="00690017"/>
    <w:rsid w:val="00690A9B"/>
    <w:rsid w:val="00690AB3"/>
    <w:rsid w:val="00690BE4"/>
    <w:rsid w:val="006911E1"/>
    <w:rsid w:val="00691DB7"/>
    <w:rsid w:val="00691E68"/>
    <w:rsid w:val="0069239F"/>
    <w:rsid w:val="006923E6"/>
    <w:rsid w:val="00692803"/>
    <w:rsid w:val="0069295F"/>
    <w:rsid w:val="00693620"/>
    <w:rsid w:val="00693F67"/>
    <w:rsid w:val="006950FE"/>
    <w:rsid w:val="006953B7"/>
    <w:rsid w:val="00695EC5"/>
    <w:rsid w:val="006966DC"/>
    <w:rsid w:val="00696D03"/>
    <w:rsid w:val="00696E27"/>
    <w:rsid w:val="00697016"/>
    <w:rsid w:val="0069730D"/>
    <w:rsid w:val="00697813"/>
    <w:rsid w:val="006A0589"/>
    <w:rsid w:val="006A0B40"/>
    <w:rsid w:val="006A0FB9"/>
    <w:rsid w:val="006A1345"/>
    <w:rsid w:val="006A1613"/>
    <w:rsid w:val="006A2C6E"/>
    <w:rsid w:val="006A38D6"/>
    <w:rsid w:val="006A6215"/>
    <w:rsid w:val="006A6712"/>
    <w:rsid w:val="006A6BB0"/>
    <w:rsid w:val="006A7266"/>
    <w:rsid w:val="006A77AD"/>
    <w:rsid w:val="006A7A56"/>
    <w:rsid w:val="006B02F8"/>
    <w:rsid w:val="006B0C4F"/>
    <w:rsid w:val="006B100D"/>
    <w:rsid w:val="006B1484"/>
    <w:rsid w:val="006B14C5"/>
    <w:rsid w:val="006B2EE4"/>
    <w:rsid w:val="006B3118"/>
    <w:rsid w:val="006B3BB0"/>
    <w:rsid w:val="006B3EE2"/>
    <w:rsid w:val="006B4E27"/>
    <w:rsid w:val="006B58E1"/>
    <w:rsid w:val="006B6D7B"/>
    <w:rsid w:val="006B7811"/>
    <w:rsid w:val="006B7F64"/>
    <w:rsid w:val="006C0444"/>
    <w:rsid w:val="006C163E"/>
    <w:rsid w:val="006C2414"/>
    <w:rsid w:val="006C24E9"/>
    <w:rsid w:val="006C2674"/>
    <w:rsid w:val="006C2C47"/>
    <w:rsid w:val="006C3644"/>
    <w:rsid w:val="006C3722"/>
    <w:rsid w:val="006C3FEA"/>
    <w:rsid w:val="006C429F"/>
    <w:rsid w:val="006C4717"/>
    <w:rsid w:val="006C4848"/>
    <w:rsid w:val="006C595B"/>
    <w:rsid w:val="006C5E81"/>
    <w:rsid w:val="006C5F5B"/>
    <w:rsid w:val="006C6053"/>
    <w:rsid w:val="006C670F"/>
    <w:rsid w:val="006C68E8"/>
    <w:rsid w:val="006C7CB5"/>
    <w:rsid w:val="006D0D7A"/>
    <w:rsid w:val="006D1147"/>
    <w:rsid w:val="006D1961"/>
    <w:rsid w:val="006D2AAE"/>
    <w:rsid w:val="006D2ACD"/>
    <w:rsid w:val="006D407A"/>
    <w:rsid w:val="006D4BCE"/>
    <w:rsid w:val="006D4C7B"/>
    <w:rsid w:val="006D538D"/>
    <w:rsid w:val="006D55DA"/>
    <w:rsid w:val="006D5670"/>
    <w:rsid w:val="006D56C2"/>
    <w:rsid w:val="006D587A"/>
    <w:rsid w:val="006D7212"/>
    <w:rsid w:val="006D7A18"/>
    <w:rsid w:val="006E1934"/>
    <w:rsid w:val="006E195F"/>
    <w:rsid w:val="006E2040"/>
    <w:rsid w:val="006E2DED"/>
    <w:rsid w:val="006E3090"/>
    <w:rsid w:val="006E3365"/>
    <w:rsid w:val="006E375B"/>
    <w:rsid w:val="006E3D7F"/>
    <w:rsid w:val="006E5AF0"/>
    <w:rsid w:val="006E5B48"/>
    <w:rsid w:val="006E5EBF"/>
    <w:rsid w:val="006E6571"/>
    <w:rsid w:val="006E65A0"/>
    <w:rsid w:val="006E6B3B"/>
    <w:rsid w:val="006E70AA"/>
    <w:rsid w:val="006E7334"/>
    <w:rsid w:val="006E75A7"/>
    <w:rsid w:val="006F0222"/>
    <w:rsid w:val="006F029B"/>
    <w:rsid w:val="006F0822"/>
    <w:rsid w:val="006F10D9"/>
    <w:rsid w:val="006F14DF"/>
    <w:rsid w:val="006F23A3"/>
    <w:rsid w:val="006F2C4C"/>
    <w:rsid w:val="006F2D4A"/>
    <w:rsid w:val="006F32C6"/>
    <w:rsid w:val="006F34A5"/>
    <w:rsid w:val="006F3CCF"/>
    <w:rsid w:val="006F49E7"/>
    <w:rsid w:val="006F4A97"/>
    <w:rsid w:val="006F4E3A"/>
    <w:rsid w:val="006F6F0D"/>
    <w:rsid w:val="006F6F20"/>
    <w:rsid w:val="006F70F3"/>
    <w:rsid w:val="006F7288"/>
    <w:rsid w:val="0070014C"/>
    <w:rsid w:val="00700635"/>
    <w:rsid w:val="00700643"/>
    <w:rsid w:val="007008C8"/>
    <w:rsid w:val="00700917"/>
    <w:rsid w:val="007009F9"/>
    <w:rsid w:val="00700C91"/>
    <w:rsid w:val="007019E4"/>
    <w:rsid w:val="00702059"/>
    <w:rsid w:val="007021EB"/>
    <w:rsid w:val="00702960"/>
    <w:rsid w:val="007033CE"/>
    <w:rsid w:val="00703CD4"/>
    <w:rsid w:val="00704B49"/>
    <w:rsid w:val="00704F2D"/>
    <w:rsid w:val="007050B3"/>
    <w:rsid w:val="00705204"/>
    <w:rsid w:val="007052CE"/>
    <w:rsid w:val="00705557"/>
    <w:rsid w:val="00705898"/>
    <w:rsid w:val="00705CF4"/>
    <w:rsid w:val="00705D34"/>
    <w:rsid w:val="00705E01"/>
    <w:rsid w:val="00705E6D"/>
    <w:rsid w:val="00707235"/>
    <w:rsid w:val="007103AD"/>
    <w:rsid w:val="00710871"/>
    <w:rsid w:val="00710982"/>
    <w:rsid w:val="00712254"/>
    <w:rsid w:val="0071249E"/>
    <w:rsid w:val="00712877"/>
    <w:rsid w:val="007128ED"/>
    <w:rsid w:val="007135DC"/>
    <w:rsid w:val="00713F6C"/>
    <w:rsid w:val="007141E1"/>
    <w:rsid w:val="007149F6"/>
    <w:rsid w:val="007157A1"/>
    <w:rsid w:val="0071639A"/>
    <w:rsid w:val="00716D06"/>
    <w:rsid w:val="00717120"/>
    <w:rsid w:val="0071758E"/>
    <w:rsid w:val="0072099B"/>
    <w:rsid w:val="00721254"/>
    <w:rsid w:val="0072193D"/>
    <w:rsid w:val="007221E5"/>
    <w:rsid w:val="007222D3"/>
    <w:rsid w:val="00722A6E"/>
    <w:rsid w:val="00723C7A"/>
    <w:rsid w:val="00723F0F"/>
    <w:rsid w:val="00724393"/>
    <w:rsid w:val="00724975"/>
    <w:rsid w:val="0072591D"/>
    <w:rsid w:val="00726AF9"/>
    <w:rsid w:val="007273E2"/>
    <w:rsid w:val="00727C28"/>
    <w:rsid w:val="007303F1"/>
    <w:rsid w:val="00730A24"/>
    <w:rsid w:val="00730ACD"/>
    <w:rsid w:val="00730C27"/>
    <w:rsid w:val="00731228"/>
    <w:rsid w:val="007315F4"/>
    <w:rsid w:val="00731B0B"/>
    <w:rsid w:val="007326A7"/>
    <w:rsid w:val="007336F2"/>
    <w:rsid w:val="00733EC6"/>
    <w:rsid w:val="00733F22"/>
    <w:rsid w:val="00734139"/>
    <w:rsid w:val="007347C1"/>
    <w:rsid w:val="00734A5D"/>
    <w:rsid w:val="00734F1B"/>
    <w:rsid w:val="00735D8D"/>
    <w:rsid w:val="0073628B"/>
    <w:rsid w:val="0073659A"/>
    <w:rsid w:val="007378E7"/>
    <w:rsid w:val="0073792F"/>
    <w:rsid w:val="0074095E"/>
    <w:rsid w:val="00741685"/>
    <w:rsid w:val="00742FAF"/>
    <w:rsid w:val="007433FF"/>
    <w:rsid w:val="00745692"/>
    <w:rsid w:val="007463DA"/>
    <w:rsid w:val="00746C5A"/>
    <w:rsid w:val="00746C9C"/>
    <w:rsid w:val="00746DE8"/>
    <w:rsid w:val="00747C75"/>
    <w:rsid w:val="00750175"/>
    <w:rsid w:val="00750672"/>
    <w:rsid w:val="007508EA"/>
    <w:rsid w:val="00751939"/>
    <w:rsid w:val="0075219E"/>
    <w:rsid w:val="00752334"/>
    <w:rsid w:val="00753422"/>
    <w:rsid w:val="00754F85"/>
    <w:rsid w:val="00755B32"/>
    <w:rsid w:val="00755E22"/>
    <w:rsid w:val="00756652"/>
    <w:rsid w:val="00757188"/>
    <w:rsid w:val="00757BE0"/>
    <w:rsid w:val="00760C2C"/>
    <w:rsid w:val="007612CF"/>
    <w:rsid w:val="007614FC"/>
    <w:rsid w:val="00761849"/>
    <w:rsid w:val="00763316"/>
    <w:rsid w:val="0076366A"/>
    <w:rsid w:val="0076387A"/>
    <w:rsid w:val="00763EE4"/>
    <w:rsid w:val="0076401D"/>
    <w:rsid w:val="00764B2A"/>
    <w:rsid w:val="007656AC"/>
    <w:rsid w:val="00765BE9"/>
    <w:rsid w:val="00766BEC"/>
    <w:rsid w:val="00767C50"/>
    <w:rsid w:val="00770321"/>
    <w:rsid w:val="00770E33"/>
    <w:rsid w:val="007711D6"/>
    <w:rsid w:val="0077191B"/>
    <w:rsid w:val="007722A3"/>
    <w:rsid w:val="00772FF8"/>
    <w:rsid w:val="0077368B"/>
    <w:rsid w:val="007737C1"/>
    <w:rsid w:val="00773C26"/>
    <w:rsid w:val="007754CD"/>
    <w:rsid w:val="00775655"/>
    <w:rsid w:val="00775DC9"/>
    <w:rsid w:val="00776A18"/>
    <w:rsid w:val="00776C20"/>
    <w:rsid w:val="00777288"/>
    <w:rsid w:val="0077728A"/>
    <w:rsid w:val="00777831"/>
    <w:rsid w:val="00777C7D"/>
    <w:rsid w:val="00777E52"/>
    <w:rsid w:val="007805E7"/>
    <w:rsid w:val="00780B4E"/>
    <w:rsid w:val="00780BAE"/>
    <w:rsid w:val="0078112A"/>
    <w:rsid w:val="00781A3D"/>
    <w:rsid w:val="00781AB7"/>
    <w:rsid w:val="00782127"/>
    <w:rsid w:val="007826CB"/>
    <w:rsid w:val="007826FB"/>
    <w:rsid w:val="00783553"/>
    <w:rsid w:val="007839DC"/>
    <w:rsid w:val="00783A9A"/>
    <w:rsid w:val="00783E0F"/>
    <w:rsid w:val="00784387"/>
    <w:rsid w:val="00784A35"/>
    <w:rsid w:val="00784C97"/>
    <w:rsid w:val="0078584C"/>
    <w:rsid w:val="0078589F"/>
    <w:rsid w:val="00785BD6"/>
    <w:rsid w:val="00786005"/>
    <w:rsid w:val="007863CE"/>
    <w:rsid w:val="007873D6"/>
    <w:rsid w:val="00787AAD"/>
    <w:rsid w:val="00791209"/>
    <w:rsid w:val="00791399"/>
    <w:rsid w:val="007922F1"/>
    <w:rsid w:val="007926C0"/>
    <w:rsid w:val="007927CA"/>
    <w:rsid w:val="007928B6"/>
    <w:rsid w:val="00792FF2"/>
    <w:rsid w:val="0079329C"/>
    <w:rsid w:val="007932E7"/>
    <w:rsid w:val="00793A08"/>
    <w:rsid w:val="007955DF"/>
    <w:rsid w:val="00795839"/>
    <w:rsid w:val="00795930"/>
    <w:rsid w:val="00795BCA"/>
    <w:rsid w:val="007964E6"/>
    <w:rsid w:val="00796C4C"/>
    <w:rsid w:val="00796CFF"/>
    <w:rsid w:val="00796FF4"/>
    <w:rsid w:val="0079700E"/>
    <w:rsid w:val="00797054"/>
    <w:rsid w:val="00797195"/>
    <w:rsid w:val="00797593"/>
    <w:rsid w:val="007978C5"/>
    <w:rsid w:val="0079790C"/>
    <w:rsid w:val="00797D5D"/>
    <w:rsid w:val="007A065C"/>
    <w:rsid w:val="007A06C5"/>
    <w:rsid w:val="007A0A3A"/>
    <w:rsid w:val="007A1523"/>
    <w:rsid w:val="007A1637"/>
    <w:rsid w:val="007A18E3"/>
    <w:rsid w:val="007A1D44"/>
    <w:rsid w:val="007A2B07"/>
    <w:rsid w:val="007A3002"/>
    <w:rsid w:val="007A3F33"/>
    <w:rsid w:val="007A4613"/>
    <w:rsid w:val="007A5FBD"/>
    <w:rsid w:val="007A609E"/>
    <w:rsid w:val="007A6118"/>
    <w:rsid w:val="007A76E8"/>
    <w:rsid w:val="007B04B2"/>
    <w:rsid w:val="007B0727"/>
    <w:rsid w:val="007B1490"/>
    <w:rsid w:val="007B15FD"/>
    <w:rsid w:val="007B17EE"/>
    <w:rsid w:val="007B1A4F"/>
    <w:rsid w:val="007B1FC0"/>
    <w:rsid w:val="007B201A"/>
    <w:rsid w:val="007B27D0"/>
    <w:rsid w:val="007B29B0"/>
    <w:rsid w:val="007B315E"/>
    <w:rsid w:val="007B3982"/>
    <w:rsid w:val="007B3F1D"/>
    <w:rsid w:val="007B4565"/>
    <w:rsid w:val="007B4AE1"/>
    <w:rsid w:val="007B535D"/>
    <w:rsid w:val="007B5AF4"/>
    <w:rsid w:val="007B65FC"/>
    <w:rsid w:val="007B678B"/>
    <w:rsid w:val="007B685B"/>
    <w:rsid w:val="007B7267"/>
    <w:rsid w:val="007B7F07"/>
    <w:rsid w:val="007C0093"/>
    <w:rsid w:val="007C1505"/>
    <w:rsid w:val="007C2210"/>
    <w:rsid w:val="007C22D8"/>
    <w:rsid w:val="007C284D"/>
    <w:rsid w:val="007C2C2B"/>
    <w:rsid w:val="007C3322"/>
    <w:rsid w:val="007C3851"/>
    <w:rsid w:val="007C3B26"/>
    <w:rsid w:val="007C3BB3"/>
    <w:rsid w:val="007C4881"/>
    <w:rsid w:val="007C5059"/>
    <w:rsid w:val="007C50E3"/>
    <w:rsid w:val="007C5EA3"/>
    <w:rsid w:val="007C6DC2"/>
    <w:rsid w:val="007C7A33"/>
    <w:rsid w:val="007C7D1B"/>
    <w:rsid w:val="007D0A5E"/>
    <w:rsid w:val="007D1292"/>
    <w:rsid w:val="007D26C6"/>
    <w:rsid w:val="007D3EC2"/>
    <w:rsid w:val="007D464A"/>
    <w:rsid w:val="007D4944"/>
    <w:rsid w:val="007D4EC7"/>
    <w:rsid w:val="007D50C8"/>
    <w:rsid w:val="007D514E"/>
    <w:rsid w:val="007D5A47"/>
    <w:rsid w:val="007D5A83"/>
    <w:rsid w:val="007D6221"/>
    <w:rsid w:val="007D7A9D"/>
    <w:rsid w:val="007D7E47"/>
    <w:rsid w:val="007D7E6B"/>
    <w:rsid w:val="007D7F7E"/>
    <w:rsid w:val="007E07EF"/>
    <w:rsid w:val="007E0C51"/>
    <w:rsid w:val="007E2FD3"/>
    <w:rsid w:val="007E3C5B"/>
    <w:rsid w:val="007E41C5"/>
    <w:rsid w:val="007E4A51"/>
    <w:rsid w:val="007E4CA4"/>
    <w:rsid w:val="007E4E0A"/>
    <w:rsid w:val="007E5953"/>
    <w:rsid w:val="007E5C2B"/>
    <w:rsid w:val="007E5FBD"/>
    <w:rsid w:val="007E6736"/>
    <w:rsid w:val="007E6BDE"/>
    <w:rsid w:val="007E6BEA"/>
    <w:rsid w:val="007E7675"/>
    <w:rsid w:val="007E7BD8"/>
    <w:rsid w:val="007F021A"/>
    <w:rsid w:val="007F06A9"/>
    <w:rsid w:val="007F1031"/>
    <w:rsid w:val="007F1617"/>
    <w:rsid w:val="007F1A2F"/>
    <w:rsid w:val="007F1C8A"/>
    <w:rsid w:val="007F320E"/>
    <w:rsid w:val="007F3A4D"/>
    <w:rsid w:val="007F3C6F"/>
    <w:rsid w:val="007F40F6"/>
    <w:rsid w:val="007F4494"/>
    <w:rsid w:val="007F53EA"/>
    <w:rsid w:val="007F5921"/>
    <w:rsid w:val="007F5B36"/>
    <w:rsid w:val="007F5C51"/>
    <w:rsid w:val="007F6370"/>
    <w:rsid w:val="007F6FE5"/>
    <w:rsid w:val="007F74F8"/>
    <w:rsid w:val="007F7594"/>
    <w:rsid w:val="007F7730"/>
    <w:rsid w:val="007F7D05"/>
    <w:rsid w:val="0080054A"/>
    <w:rsid w:val="00800605"/>
    <w:rsid w:val="008009D2"/>
    <w:rsid w:val="00803825"/>
    <w:rsid w:val="008039F8"/>
    <w:rsid w:val="00803D18"/>
    <w:rsid w:val="00803D9F"/>
    <w:rsid w:val="0080412A"/>
    <w:rsid w:val="00804422"/>
    <w:rsid w:val="0080582D"/>
    <w:rsid w:val="0080665A"/>
    <w:rsid w:val="008069E5"/>
    <w:rsid w:val="00806C77"/>
    <w:rsid w:val="008071C7"/>
    <w:rsid w:val="00807210"/>
    <w:rsid w:val="008077CC"/>
    <w:rsid w:val="008106BB"/>
    <w:rsid w:val="008109C3"/>
    <w:rsid w:val="00810A4D"/>
    <w:rsid w:val="00810DB4"/>
    <w:rsid w:val="00810F8A"/>
    <w:rsid w:val="008115CB"/>
    <w:rsid w:val="00811A1D"/>
    <w:rsid w:val="00811D57"/>
    <w:rsid w:val="00812B4E"/>
    <w:rsid w:val="00813611"/>
    <w:rsid w:val="00813FD1"/>
    <w:rsid w:val="0081412A"/>
    <w:rsid w:val="0081455E"/>
    <w:rsid w:val="00814CA4"/>
    <w:rsid w:val="0081561F"/>
    <w:rsid w:val="00815B5C"/>
    <w:rsid w:val="00815EA9"/>
    <w:rsid w:val="00816288"/>
    <w:rsid w:val="00816430"/>
    <w:rsid w:val="008165CB"/>
    <w:rsid w:val="00816920"/>
    <w:rsid w:val="0081706F"/>
    <w:rsid w:val="00817129"/>
    <w:rsid w:val="008175CC"/>
    <w:rsid w:val="00817A09"/>
    <w:rsid w:val="00817AF2"/>
    <w:rsid w:val="00821E47"/>
    <w:rsid w:val="00821E92"/>
    <w:rsid w:val="00821F66"/>
    <w:rsid w:val="008224EE"/>
    <w:rsid w:val="00822D32"/>
    <w:rsid w:val="00822F3E"/>
    <w:rsid w:val="008230C8"/>
    <w:rsid w:val="00823631"/>
    <w:rsid w:val="008242E9"/>
    <w:rsid w:val="008247FD"/>
    <w:rsid w:val="00824C4E"/>
    <w:rsid w:val="00825073"/>
    <w:rsid w:val="00825BB6"/>
    <w:rsid w:val="0082633F"/>
    <w:rsid w:val="008270BB"/>
    <w:rsid w:val="00827369"/>
    <w:rsid w:val="008276F3"/>
    <w:rsid w:val="00830103"/>
    <w:rsid w:val="00832207"/>
    <w:rsid w:val="0083227E"/>
    <w:rsid w:val="00832CDF"/>
    <w:rsid w:val="00833213"/>
    <w:rsid w:val="00835231"/>
    <w:rsid w:val="008353D9"/>
    <w:rsid w:val="008357E7"/>
    <w:rsid w:val="00835B29"/>
    <w:rsid w:val="00835FA6"/>
    <w:rsid w:val="008365EB"/>
    <w:rsid w:val="008368DB"/>
    <w:rsid w:val="0083706B"/>
    <w:rsid w:val="00837148"/>
    <w:rsid w:val="00837FFE"/>
    <w:rsid w:val="0084142B"/>
    <w:rsid w:val="00841EC3"/>
    <w:rsid w:val="00842182"/>
    <w:rsid w:val="00842970"/>
    <w:rsid w:val="00843831"/>
    <w:rsid w:val="00843DE5"/>
    <w:rsid w:val="008441CA"/>
    <w:rsid w:val="00844D40"/>
    <w:rsid w:val="0084534E"/>
    <w:rsid w:val="00845F38"/>
    <w:rsid w:val="00847468"/>
    <w:rsid w:val="00847527"/>
    <w:rsid w:val="00847CEC"/>
    <w:rsid w:val="00850737"/>
    <w:rsid w:val="0085107C"/>
    <w:rsid w:val="00851ECA"/>
    <w:rsid w:val="008535B6"/>
    <w:rsid w:val="0085394C"/>
    <w:rsid w:val="00853E70"/>
    <w:rsid w:val="008561F1"/>
    <w:rsid w:val="00857D85"/>
    <w:rsid w:val="00860811"/>
    <w:rsid w:val="00860B13"/>
    <w:rsid w:val="0086209A"/>
    <w:rsid w:val="008623A8"/>
    <w:rsid w:val="0086264A"/>
    <w:rsid w:val="0086332B"/>
    <w:rsid w:val="00864611"/>
    <w:rsid w:val="00864F2D"/>
    <w:rsid w:val="0086556E"/>
    <w:rsid w:val="008658DC"/>
    <w:rsid w:val="00866171"/>
    <w:rsid w:val="00866762"/>
    <w:rsid w:val="0086677E"/>
    <w:rsid w:val="00867502"/>
    <w:rsid w:val="00870029"/>
    <w:rsid w:val="00870CDB"/>
    <w:rsid w:val="008710B8"/>
    <w:rsid w:val="008715CC"/>
    <w:rsid w:val="00871987"/>
    <w:rsid w:val="00872057"/>
    <w:rsid w:val="00872FEB"/>
    <w:rsid w:val="008730B4"/>
    <w:rsid w:val="0087405F"/>
    <w:rsid w:val="008750F7"/>
    <w:rsid w:val="00875EC2"/>
    <w:rsid w:val="0087606A"/>
    <w:rsid w:val="00876492"/>
    <w:rsid w:val="008768DC"/>
    <w:rsid w:val="00876FE6"/>
    <w:rsid w:val="008770C4"/>
    <w:rsid w:val="008805A4"/>
    <w:rsid w:val="008806E0"/>
    <w:rsid w:val="0088074E"/>
    <w:rsid w:val="0088167C"/>
    <w:rsid w:val="008828B3"/>
    <w:rsid w:val="0088310C"/>
    <w:rsid w:val="00883809"/>
    <w:rsid w:val="0088546A"/>
    <w:rsid w:val="00885F28"/>
    <w:rsid w:val="00886164"/>
    <w:rsid w:val="0088621F"/>
    <w:rsid w:val="008872F3"/>
    <w:rsid w:val="00887455"/>
    <w:rsid w:val="008901FC"/>
    <w:rsid w:val="0089039F"/>
    <w:rsid w:val="00890C13"/>
    <w:rsid w:val="0089109E"/>
    <w:rsid w:val="008915D8"/>
    <w:rsid w:val="0089267E"/>
    <w:rsid w:val="008927A9"/>
    <w:rsid w:val="008939E7"/>
    <w:rsid w:val="00893C6D"/>
    <w:rsid w:val="008946C7"/>
    <w:rsid w:val="00894EED"/>
    <w:rsid w:val="00895D33"/>
    <w:rsid w:val="00896E8B"/>
    <w:rsid w:val="00897461"/>
    <w:rsid w:val="008A0651"/>
    <w:rsid w:val="008A0745"/>
    <w:rsid w:val="008A0967"/>
    <w:rsid w:val="008A10E5"/>
    <w:rsid w:val="008A1E02"/>
    <w:rsid w:val="008A22FE"/>
    <w:rsid w:val="008A2945"/>
    <w:rsid w:val="008A29E9"/>
    <w:rsid w:val="008A2BEE"/>
    <w:rsid w:val="008A2F58"/>
    <w:rsid w:val="008A31FB"/>
    <w:rsid w:val="008A3507"/>
    <w:rsid w:val="008A3E2E"/>
    <w:rsid w:val="008A48B3"/>
    <w:rsid w:val="008A4DAB"/>
    <w:rsid w:val="008A54E2"/>
    <w:rsid w:val="008A56A2"/>
    <w:rsid w:val="008A5C35"/>
    <w:rsid w:val="008A680E"/>
    <w:rsid w:val="008A78F9"/>
    <w:rsid w:val="008B045E"/>
    <w:rsid w:val="008B068C"/>
    <w:rsid w:val="008B089B"/>
    <w:rsid w:val="008B0FBB"/>
    <w:rsid w:val="008B12A3"/>
    <w:rsid w:val="008B150F"/>
    <w:rsid w:val="008B18BE"/>
    <w:rsid w:val="008B1C5E"/>
    <w:rsid w:val="008B2720"/>
    <w:rsid w:val="008B29C6"/>
    <w:rsid w:val="008B31D9"/>
    <w:rsid w:val="008B33DC"/>
    <w:rsid w:val="008B3401"/>
    <w:rsid w:val="008B34BA"/>
    <w:rsid w:val="008B3BDD"/>
    <w:rsid w:val="008B3EAF"/>
    <w:rsid w:val="008B46AE"/>
    <w:rsid w:val="008B4F3C"/>
    <w:rsid w:val="008B4FCC"/>
    <w:rsid w:val="008B599E"/>
    <w:rsid w:val="008B6636"/>
    <w:rsid w:val="008B6A7E"/>
    <w:rsid w:val="008B6F0A"/>
    <w:rsid w:val="008B7398"/>
    <w:rsid w:val="008B7869"/>
    <w:rsid w:val="008B7CC2"/>
    <w:rsid w:val="008B7E59"/>
    <w:rsid w:val="008C0877"/>
    <w:rsid w:val="008C1E99"/>
    <w:rsid w:val="008C2B0F"/>
    <w:rsid w:val="008C2C36"/>
    <w:rsid w:val="008C2EE2"/>
    <w:rsid w:val="008C3E84"/>
    <w:rsid w:val="008C428E"/>
    <w:rsid w:val="008C4885"/>
    <w:rsid w:val="008C4B86"/>
    <w:rsid w:val="008C5E79"/>
    <w:rsid w:val="008C6A7C"/>
    <w:rsid w:val="008C708B"/>
    <w:rsid w:val="008D014A"/>
    <w:rsid w:val="008D0492"/>
    <w:rsid w:val="008D0AB6"/>
    <w:rsid w:val="008D0EB9"/>
    <w:rsid w:val="008D21A6"/>
    <w:rsid w:val="008D2331"/>
    <w:rsid w:val="008D26C8"/>
    <w:rsid w:val="008D33C8"/>
    <w:rsid w:val="008D439F"/>
    <w:rsid w:val="008D44C2"/>
    <w:rsid w:val="008D561F"/>
    <w:rsid w:val="008D59E3"/>
    <w:rsid w:val="008D5B8C"/>
    <w:rsid w:val="008D63F4"/>
    <w:rsid w:val="008D6647"/>
    <w:rsid w:val="008D6A33"/>
    <w:rsid w:val="008D6DD1"/>
    <w:rsid w:val="008D7694"/>
    <w:rsid w:val="008D784B"/>
    <w:rsid w:val="008D7D57"/>
    <w:rsid w:val="008E0129"/>
    <w:rsid w:val="008E0937"/>
    <w:rsid w:val="008E1228"/>
    <w:rsid w:val="008E1BF1"/>
    <w:rsid w:val="008E220E"/>
    <w:rsid w:val="008E26ED"/>
    <w:rsid w:val="008E377F"/>
    <w:rsid w:val="008E380E"/>
    <w:rsid w:val="008E3B38"/>
    <w:rsid w:val="008E4F8B"/>
    <w:rsid w:val="008E5365"/>
    <w:rsid w:val="008E567B"/>
    <w:rsid w:val="008E6A33"/>
    <w:rsid w:val="008E6FF8"/>
    <w:rsid w:val="008E71A7"/>
    <w:rsid w:val="008F10BD"/>
    <w:rsid w:val="008F191B"/>
    <w:rsid w:val="008F1A49"/>
    <w:rsid w:val="008F27AD"/>
    <w:rsid w:val="008F2E42"/>
    <w:rsid w:val="008F3888"/>
    <w:rsid w:val="008F52BD"/>
    <w:rsid w:val="008F5314"/>
    <w:rsid w:val="008F566A"/>
    <w:rsid w:val="008F668E"/>
    <w:rsid w:val="008F6837"/>
    <w:rsid w:val="008F7678"/>
    <w:rsid w:val="008F7C23"/>
    <w:rsid w:val="008F7F37"/>
    <w:rsid w:val="00900268"/>
    <w:rsid w:val="0090034C"/>
    <w:rsid w:val="00900E6A"/>
    <w:rsid w:val="00900E75"/>
    <w:rsid w:val="00901008"/>
    <w:rsid w:val="00901990"/>
    <w:rsid w:val="00901AE5"/>
    <w:rsid w:val="00901BB7"/>
    <w:rsid w:val="00902F10"/>
    <w:rsid w:val="009039F2"/>
    <w:rsid w:val="0090465A"/>
    <w:rsid w:val="0090578E"/>
    <w:rsid w:val="00906F5E"/>
    <w:rsid w:val="00907A84"/>
    <w:rsid w:val="00907AC9"/>
    <w:rsid w:val="009100DA"/>
    <w:rsid w:val="00910F04"/>
    <w:rsid w:val="00911388"/>
    <w:rsid w:val="00913544"/>
    <w:rsid w:val="009137C4"/>
    <w:rsid w:val="00913976"/>
    <w:rsid w:val="00913E50"/>
    <w:rsid w:val="00915B1D"/>
    <w:rsid w:val="009161CA"/>
    <w:rsid w:val="009162FF"/>
    <w:rsid w:val="009168AE"/>
    <w:rsid w:val="0091789B"/>
    <w:rsid w:val="00917A1D"/>
    <w:rsid w:val="00917B40"/>
    <w:rsid w:val="00917BC0"/>
    <w:rsid w:val="00917D15"/>
    <w:rsid w:val="00917F30"/>
    <w:rsid w:val="00917FB6"/>
    <w:rsid w:val="009209D3"/>
    <w:rsid w:val="00920A60"/>
    <w:rsid w:val="00921786"/>
    <w:rsid w:val="00921D16"/>
    <w:rsid w:val="009221B2"/>
    <w:rsid w:val="00922620"/>
    <w:rsid w:val="009226A0"/>
    <w:rsid w:val="0092296A"/>
    <w:rsid w:val="009231CD"/>
    <w:rsid w:val="00925668"/>
    <w:rsid w:val="009262CF"/>
    <w:rsid w:val="00926425"/>
    <w:rsid w:val="009265D1"/>
    <w:rsid w:val="009268A9"/>
    <w:rsid w:val="00927069"/>
    <w:rsid w:val="00927FBA"/>
    <w:rsid w:val="0093150E"/>
    <w:rsid w:val="009333BF"/>
    <w:rsid w:val="0093358C"/>
    <w:rsid w:val="00933903"/>
    <w:rsid w:val="0093433B"/>
    <w:rsid w:val="009349D1"/>
    <w:rsid w:val="00935906"/>
    <w:rsid w:val="00936A66"/>
    <w:rsid w:val="00936DD4"/>
    <w:rsid w:val="0093706E"/>
    <w:rsid w:val="0093754E"/>
    <w:rsid w:val="00940777"/>
    <w:rsid w:val="00940E8D"/>
    <w:rsid w:val="00940F1D"/>
    <w:rsid w:val="00941184"/>
    <w:rsid w:val="009414B0"/>
    <w:rsid w:val="0094202E"/>
    <w:rsid w:val="00942399"/>
    <w:rsid w:val="00942931"/>
    <w:rsid w:val="009440A1"/>
    <w:rsid w:val="00944FA6"/>
    <w:rsid w:val="00945742"/>
    <w:rsid w:val="0094596E"/>
    <w:rsid w:val="009461E9"/>
    <w:rsid w:val="00947EDB"/>
    <w:rsid w:val="0095002C"/>
    <w:rsid w:val="009500EC"/>
    <w:rsid w:val="0095019F"/>
    <w:rsid w:val="00950359"/>
    <w:rsid w:val="00950544"/>
    <w:rsid w:val="009506BA"/>
    <w:rsid w:val="00950C6E"/>
    <w:rsid w:val="00951948"/>
    <w:rsid w:val="009526B7"/>
    <w:rsid w:val="00952F15"/>
    <w:rsid w:val="00952F83"/>
    <w:rsid w:val="00953DB2"/>
    <w:rsid w:val="0095406D"/>
    <w:rsid w:val="009540C2"/>
    <w:rsid w:val="00954827"/>
    <w:rsid w:val="0095519B"/>
    <w:rsid w:val="00956400"/>
    <w:rsid w:val="00956B22"/>
    <w:rsid w:val="00957DBB"/>
    <w:rsid w:val="00960493"/>
    <w:rsid w:val="0096060B"/>
    <w:rsid w:val="009610BB"/>
    <w:rsid w:val="00962129"/>
    <w:rsid w:val="009621E7"/>
    <w:rsid w:val="009633D0"/>
    <w:rsid w:val="009638F0"/>
    <w:rsid w:val="00964520"/>
    <w:rsid w:val="00964F54"/>
    <w:rsid w:val="0096532E"/>
    <w:rsid w:val="00965825"/>
    <w:rsid w:val="00965DDF"/>
    <w:rsid w:val="009661B3"/>
    <w:rsid w:val="00967729"/>
    <w:rsid w:val="00971001"/>
    <w:rsid w:val="00972792"/>
    <w:rsid w:val="00973453"/>
    <w:rsid w:val="00973789"/>
    <w:rsid w:val="00973DD8"/>
    <w:rsid w:val="00975169"/>
    <w:rsid w:val="00975459"/>
    <w:rsid w:val="009767B2"/>
    <w:rsid w:val="009768DC"/>
    <w:rsid w:val="009769FB"/>
    <w:rsid w:val="00981396"/>
    <w:rsid w:val="009822E0"/>
    <w:rsid w:val="00982A7E"/>
    <w:rsid w:val="00982D29"/>
    <w:rsid w:val="0098416F"/>
    <w:rsid w:val="009848F0"/>
    <w:rsid w:val="00984F15"/>
    <w:rsid w:val="00985DB2"/>
    <w:rsid w:val="0098662D"/>
    <w:rsid w:val="00986DD5"/>
    <w:rsid w:val="00986F17"/>
    <w:rsid w:val="00987028"/>
    <w:rsid w:val="00987626"/>
    <w:rsid w:val="00987FBB"/>
    <w:rsid w:val="0099016C"/>
    <w:rsid w:val="009905D8"/>
    <w:rsid w:val="009905E6"/>
    <w:rsid w:val="0099114B"/>
    <w:rsid w:val="00992197"/>
    <w:rsid w:val="009923EF"/>
    <w:rsid w:val="00992422"/>
    <w:rsid w:val="00992708"/>
    <w:rsid w:val="009931F0"/>
    <w:rsid w:val="009934AD"/>
    <w:rsid w:val="00994135"/>
    <w:rsid w:val="0099528D"/>
    <w:rsid w:val="00995EB2"/>
    <w:rsid w:val="00996143"/>
    <w:rsid w:val="00996502"/>
    <w:rsid w:val="009972BE"/>
    <w:rsid w:val="00997441"/>
    <w:rsid w:val="00997E33"/>
    <w:rsid w:val="009A043C"/>
    <w:rsid w:val="009A0550"/>
    <w:rsid w:val="009A1A19"/>
    <w:rsid w:val="009A2306"/>
    <w:rsid w:val="009A29E7"/>
    <w:rsid w:val="009A3516"/>
    <w:rsid w:val="009A3E73"/>
    <w:rsid w:val="009A4534"/>
    <w:rsid w:val="009A45A9"/>
    <w:rsid w:val="009A45E9"/>
    <w:rsid w:val="009A4A04"/>
    <w:rsid w:val="009A4A58"/>
    <w:rsid w:val="009A556D"/>
    <w:rsid w:val="009A6196"/>
    <w:rsid w:val="009A644F"/>
    <w:rsid w:val="009A68F7"/>
    <w:rsid w:val="009A6959"/>
    <w:rsid w:val="009A6B54"/>
    <w:rsid w:val="009A7AB6"/>
    <w:rsid w:val="009B0330"/>
    <w:rsid w:val="009B1F69"/>
    <w:rsid w:val="009B2026"/>
    <w:rsid w:val="009B228C"/>
    <w:rsid w:val="009B28F4"/>
    <w:rsid w:val="009B29FE"/>
    <w:rsid w:val="009B2FE2"/>
    <w:rsid w:val="009B366C"/>
    <w:rsid w:val="009B545A"/>
    <w:rsid w:val="009B58A0"/>
    <w:rsid w:val="009B5A4D"/>
    <w:rsid w:val="009B5B1C"/>
    <w:rsid w:val="009B6E39"/>
    <w:rsid w:val="009B74CA"/>
    <w:rsid w:val="009B760A"/>
    <w:rsid w:val="009B792D"/>
    <w:rsid w:val="009B7DD9"/>
    <w:rsid w:val="009C0604"/>
    <w:rsid w:val="009C16B0"/>
    <w:rsid w:val="009C17CF"/>
    <w:rsid w:val="009C1B03"/>
    <w:rsid w:val="009C1C2B"/>
    <w:rsid w:val="009C2903"/>
    <w:rsid w:val="009C3249"/>
    <w:rsid w:val="009C4357"/>
    <w:rsid w:val="009C4B52"/>
    <w:rsid w:val="009C4EBD"/>
    <w:rsid w:val="009C4F65"/>
    <w:rsid w:val="009C57F2"/>
    <w:rsid w:val="009C584E"/>
    <w:rsid w:val="009C723E"/>
    <w:rsid w:val="009C7616"/>
    <w:rsid w:val="009C779E"/>
    <w:rsid w:val="009C7E62"/>
    <w:rsid w:val="009C7F45"/>
    <w:rsid w:val="009D0815"/>
    <w:rsid w:val="009D0B50"/>
    <w:rsid w:val="009D1545"/>
    <w:rsid w:val="009D1857"/>
    <w:rsid w:val="009D1C94"/>
    <w:rsid w:val="009D344A"/>
    <w:rsid w:val="009D3AAE"/>
    <w:rsid w:val="009D42B9"/>
    <w:rsid w:val="009D48D1"/>
    <w:rsid w:val="009D4A38"/>
    <w:rsid w:val="009D5C0D"/>
    <w:rsid w:val="009D763B"/>
    <w:rsid w:val="009D7B63"/>
    <w:rsid w:val="009E04DA"/>
    <w:rsid w:val="009E0893"/>
    <w:rsid w:val="009E0BFA"/>
    <w:rsid w:val="009E3002"/>
    <w:rsid w:val="009E301B"/>
    <w:rsid w:val="009E42D6"/>
    <w:rsid w:val="009E44B4"/>
    <w:rsid w:val="009E4BB5"/>
    <w:rsid w:val="009E5F21"/>
    <w:rsid w:val="009E62E9"/>
    <w:rsid w:val="009E72A4"/>
    <w:rsid w:val="009E784F"/>
    <w:rsid w:val="009E7A72"/>
    <w:rsid w:val="009F086B"/>
    <w:rsid w:val="009F0B0F"/>
    <w:rsid w:val="009F10ED"/>
    <w:rsid w:val="009F12DF"/>
    <w:rsid w:val="009F3235"/>
    <w:rsid w:val="009F3AFA"/>
    <w:rsid w:val="009F3B2A"/>
    <w:rsid w:val="009F42B0"/>
    <w:rsid w:val="009F478E"/>
    <w:rsid w:val="009F5269"/>
    <w:rsid w:val="009F5E09"/>
    <w:rsid w:val="009F7415"/>
    <w:rsid w:val="009F7A1D"/>
    <w:rsid w:val="009F7C10"/>
    <w:rsid w:val="009F7DAD"/>
    <w:rsid w:val="00A009EB"/>
    <w:rsid w:val="00A00BA0"/>
    <w:rsid w:val="00A014AC"/>
    <w:rsid w:val="00A01A8F"/>
    <w:rsid w:val="00A01D8C"/>
    <w:rsid w:val="00A0267C"/>
    <w:rsid w:val="00A029F5"/>
    <w:rsid w:val="00A0320A"/>
    <w:rsid w:val="00A0332F"/>
    <w:rsid w:val="00A03F4C"/>
    <w:rsid w:val="00A04AA8"/>
    <w:rsid w:val="00A04B69"/>
    <w:rsid w:val="00A0555D"/>
    <w:rsid w:val="00A05E65"/>
    <w:rsid w:val="00A06175"/>
    <w:rsid w:val="00A06B96"/>
    <w:rsid w:val="00A07B46"/>
    <w:rsid w:val="00A07FDB"/>
    <w:rsid w:val="00A1049D"/>
    <w:rsid w:val="00A10739"/>
    <w:rsid w:val="00A11AF4"/>
    <w:rsid w:val="00A125A1"/>
    <w:rsid w:val="00A13B5A"/>
    <w:rsid w:val="00A1516D"/>
    <w:rsid w:val="00A1589C"/>
    <w:rsid w:val="00A15C05"/>
    <w:rsid w:val="00A17565"/>
    <w:rsid w:val="00A17849"/>
    <w:rsid w:val="00A20BDF"/>
    <w:rsid w:val="00A217BF"/>
    <w:rsid w:val="00A21884"/>
    <w:rsid w:val="00A21B2D"/>
    <w:rsid w:val="00A21E47"/>
    <w:rsid w:val="00A21E95"/>
    <w:rsid w:val="00A220A6"/>
    <w:rsid w:val="00A225D9"/>
    <w:rsid w:val="00A2261B"/>
    <w:rsid w:val="00A22778"/>
    <w:rsid w:val="00A229D9"/>
    <w:rsid w:val="00A22FD6"/>
    <w:rsid w:val="00A23926"/>
    <w:rsid w:val="00A24B27"/>
    <w:rsid w:val="00A26526"/>
    <w:rsid w:val="00A270B7"/>
    <w:rsid w:val="00A272FC"/>
    <w:rsid w:val="00A27302"/>
    <w:rsid w:val="00A27CC4"/>
    <w:rsid w:val="00A3080D"/>
    <w:rsid w:val="00A30A37"/>
    <w:rsid w:val="00A30BE7"/>
    <w:rsid w:val="00A313A3"/>
    <w:rsid w:val="00A316EF"/>
    <w:rsid w:val="00A3170D"/>
    <w:rsid w:val="00A31A61"/>
    <w:rsid w:val="00A32133"/>
    <w:rsid w:val="00A32B50"/>
    <w:rsid w:val="00A32C5A"/>
    <w:rsid w:val="00A35377"/>
    <w:rsid w:val="00A35AF7"/>
    <w:rsid w:val="00A35E21"/>
    <w:rsid w:val="00A35E2A"/>
    <w:rsid w:val="00A36553"/>
    <w:rsid w:val="00A36EEA"/>
    <w:rsid w:val="00A37430"/>
    <w:rsid w:val="00A37CD3"/>
    <w:rsid w:val="00A403EB"/>
    <w:rsid w:val="00A41D10"/>
    <w:rsid w:val="00A41E0E"/>
    <w:rsid w:val="00A41EBF"/>
    <w:rsid w:val="00A42F59"/>
    <w:rsid w:val="00A42FE5"/>
    <w:rsid w:val="00A43284"/>
    <w:rsid w:val="00A45368"/>
    <w:rsid w:val="00A4560F"/>
    <w:rsid w:val="00A45D19"/>
    <w:rsid w:val="00A46554"/>
    <w:rsid w:val="00A46562"/>
    <w:rsid w:val="00A469E8"/>
    <w:rsid w:val="00A46A09"/>
    <w:rsid w:val="00A46EF0"/>
    <w:rsid w:val="00A4724C"/>
    <w:rsid w:val="00A475A7"/>
    <w:rsid w:val="00A50771"/>
    <w:rsid w:val="00A50B08"/>
    <w:rsid w:val="00A50C50"/>
    <w:rsid w:val="00A50CAD"/>
    <w:rsid w:val="00A51038"/>
    <w:rsid w:val="00A512C3"/>
    <w:rsid w:val="00A513D0"/>
    <w:rsid w:val="00A52713"/>
    <w:rsid w:val="00A52814"/>
    <w:rsid w:val="00A53D9B"/>
    <w:rsid w:val="00A53FE3"/>
    <w:rsid w:val="00A54232"/>
    <w:rsid w:val="00A547E6"/>
    <w:rsid w:val="00A54BD5"/>
    <w:rsid w:val="00A55F16"/>
    <w:rsid w:val="00A5616A"/>
    <w:rsid w:val="00A562A4"/>
    <w:rsid w:val="00A5668B"/>
    <w:rsid w:val="00A56AAB"/>
    <w:rsid w:val="00A56AB8"/>
    <w:rsid w:val="00A56FCA"/>
    <w:rsid w:val="00A57527"/>
    <w:rsid w:val="00A57DAC"/>
    <w:rsid w:val="00A6037A"/>
    <w:rsid w:val="00A603F7"/>
    <w:rsid w:val="00A6063B"/>
    <w:rsid w:val="00A60662"/>
    <w:rsid w:val="00A6098A"/>
    <w:rsid w:val="00A61088"/>
    <w:rsid w:val="00A6146D"/>
    <w:rsid w:val="00A614A1"/>
    <w:rsid w:val="00A61BF8"/>
    <w:rsid w:val="00A61D10"/>
    <w:rsid w:val="00A62948"/>
    <w:rsid w:val="00A62CB7"/>
    <w:rsid w:val="00A62F45"/>
    <w:rsid w:val="00A63717"/>
    <w:rsid w:val="00A6387F"/>
    <w:rsid w:val="00A652FE"/>
    <w:rsid w:val="00A653CE"/>
    <w:rsid w:val="00A654C1"/>
    <w:rsid w:val="00A65542"/>
    <w:rsid w:val="00A658D7"/>
    <w:rsid w:val="00A65BD0"/>
    <w:rsid w:val="00A66232"/>
    <w:rsid w:val="00A66BF6"/>
    <w:rsid w:val="00A66FF8"/>
    <w:rsid w:val="00A670F3"/>
    <w:rsid w:val="00A67775"/>
    <w:rsid w:val="00A67F0A"/>
    <w:rsid w:val="00A67F9C"/>
    <w:rsid w:val="00A700BB"/>
    <w:rsid w:val="00A7109D"/>
    <w:rsid w:val="00A72A07"/>
    <w:rsid w:val="00A73045"/>
    <w:rsid w:val="00A734D8"/>
    <w:rsid w:val="00A74068"/>
    <w:rsid w:val="00A74BA7"/>
    <w:rsid w:val="00A752E3"/>
    <w:rsid w:val="00A763D1"/>
    <w:rsid w:val="00A7675A"/>
    <w:rsid w:val="00A76B1A"/>
    <w:rsid w:val="00A76DDC"/>
    <w:rsid w:val="00A76E1A"/>
    <w:rsid w:val="00A77220"/>
    <w:rsid w:val="00A77A01"/>
    <w:rsid w:val="00A77F41"/>
    <w:rsid w:val="00A8003A"/>
    <w:rsid w:val="00A80357"/>
    <w:rsid w:val="00A8048D"/>
    <w:rsid w:val="00A806BE"/>
    <w:rsid w:val="00A80A16"/>
    <w:rsid w:val="00A8169C"/>
    <w:rsid w:val="00A81725"/>
    <w:rsid w:val="00A81FE0"/>
    <w:rsid w:val="00A830C7"/>
    <w:rsid w:val="00A83152"/>
    <w:rsid w:val="00A83D34"/>
    <w:rsid w:val="00A84116"/>
    <w:rsid w:val="00A849AC"/>
    <w:rsid w:val="00A8548D"/>
    <w:rsid w:val="00A8559C"/>
    <w:rsid w:val="00A85A97"/>
    <w:rsid w:val="00A86AD2"/>
    <w:rsid w:val="00A86BBD"/>
    <w:rsid w:val="00A8710B"/>
    <w:rsid w:val="00A87910"/>
    <w:rsid w:val="00A87B1B"/>
    <w:rsid w:val="00A902D3"/>
    <w:rsid w:val="00A90613"/>
    <w:rsid w:val="00A90F28"/>
    <w:rsid w:val="00A90F9A"/>
    <w:rsid w:val="00A913F8"/>
    <w:rsid w:val="00A9146F"/>
    <w:rsid w:val="00A922FE"/>
    <w:rsid w:val="00A9239C"/>
    <w:rsid w:val="00A9385C"/>
    <w:rsid w:val="00A93D0E"/>
    <w:rsid w:val="00A94319"/>
    <w:rsid w:val="00A9573F"/>
    <w:rsid w:val="00A96337"/>
    <w:rsid w:val="00A96CB9"/>
    <w:rsid w:val="00A96CC2"/>
    <w:rsid w:val="00A974E1"/>
    <w:rsid w:val="00A97523"/>
    <w:rsid w:val="00A9783D"/>
    <w:rsid w:val="00A978A4"/>
    <w:rsid w:val="00A9791E"/>
    <w:rsid w:val="00A97C8E"/>
    <w:rsid w:val="00A97E08"/>
    <w:rsid w:val="00A97F31"/>
    <w:rsid w:val="00AA080D"/>
    <w:rsid w:val="00AA0857"/>
    <w:rsid w:val="00AA099B"/>
    <w:rsid w:val="00AA09B3"/>
    <w:rsid w:val="00AA0D71"/>
    <w:rsid w:val="00AA0D9D"/>
    <w:rsid w:val="00AA16E1"/>
    <w:rsid w:val="00AA1E7B"/>
    <w:rsid w:val="00AA2160"/>
    <w:rsid w:val="00AA32CA"/>
    <w:rsid w:val="00AA35C5"/>
    <w:rsid w:val="00AA379A"/>
    <w:rsid w:val="00AA3DA5"/>
    <w:rsid w:val="00AA3EC7"/>
    <w:rsid w:val="00AA41ED"/>
    <w:rsid w:val="00AA4A31"/>
    <w:rsid w:val="00AA5857"/>
    <w:rsid w:val="00AA7083"/>
    <w:rsid w:val="00AA7498"/>
    <w:rsid w:val="00AA794C"/>
    <w:rsid w:val="00AB0B1E"/>
    <w:rsid w:val="00AB1473"/>
    <w:rsid w:val="00AB17E2"/>
    <w:rsid w:val="00AB1EE7"/>
    <w:rsid w:val="00AB21D4"/>
    <w:rsid w:val="00AB29B9"/>
    <w:rsid w:val="00AB3155"/>
    <w:rsid w:val="00AB423F"/>
    <w:rsid w:val="00AB4723"/>
    <w:rsid w:val="00AB4A71"/>
    <w:rsid w:val="00AB51CA"/>
    <w:rsid w:val="00AB68D6"/>
    <w:rsid w:val="00AC009E"/>
    <w:rsid w:val="00AC0E98"/>
    <w:rsid w:val="00AC1382"/>
    <w:rsid w:val="00AC13F7"/>
    <w:rsid w:val="00AC2746"/>
    <w:rsid w:val="00AC39A4"/>
    <w:rsid w:val="00AC3DCC"/>
    <w:rsid w:val="00AC5134"/>
    <w:rsid w:val="00AC61D7"/>
    <w:rsid w:val="00AC680B"/>
    <w:rsid w:val="00AC7965"/>
    <w:rsid w:val="00AD0C35"/>
    <w:rsid w:val="00AD128F"/>
    <w:rsid w:val="00AD1A84"/>
    <w:rsid w:val="00AD326F"/>
    <w:rsid w:val="00AD355C"/>
    <w:rsid w:val="00AD35B8"/>
    <w:rsid w:val="00AD3B8C"/>
    <w:rsid w:val="00AD3E23"/>
    <w:rsid w:val="00AD3EE1"/>
    <w:rsid w:val="00AD407E"/>
    <w:rsid w:val="00AD40FF"/>
    <w:rsid w:val="00AD42F8"/>
    <w:rsid w:val="00AD449C"/>
    <w:rsid w:val="00AD6564"/>
    <w:rsid w:val="00AD6774"/>
    <w:rsid w:val="00AD6929"/>
    <w:rsid w:val="00AD7A9A"/>
    <w:rsid w:val="00AD7B85"/>
    <w:rsid w:val="00AE00B2"/>
    <w:rsid w:val="00AE191A"/>
    <w:rsid w:val="00AE1954"/>
    <w:rsid w:val="00AE1BF4"/>
    <w:rsid w:val="00AE2AC1"/>
    <w:rsid w:val="00AE2DBE"/>
    <w:rsid w:val="00AE3145"/>
    <w:rsid w:val="00AE326B"/>
    <w:rsid w:val="00AE4137"/>
    <w:rsid w:val="00AE4CD8"/>
    <w:rsid w:val="00AE4D59"/>
    <w:rsid w:val="00AE5872"/>
    <w:rsid w:val="00AE5B89"/>
    <w:rsid w:val="00AE76F4"/>
    <w:rsid w:val="00AE7D65"/>
    <w:rsid w:val="00AE7E81"/>
    <w:rsid w:val="00AF145D"/>
    <w:rsid w:val="00AF33B4"/>
    <w:rsid w:val="00AF516A"/>
    <w:rsid w:val="00AF6CD5"/>
    <w:rsid w:val="00AF6D67"/>
    <w:rsid w:val="00B00959"/>
    <w:rsid w:val="00B00D88"/>
    <w:rsid w:val="00B0424E"/>
    <w:rsid w:val="00B04C97"/>
    <w:rsid w:val="00B05F12"/>
    <w:rsid w:val="00B06E18"/>
    <w:rsid w:val="00B06ED2"/>
    <w:rsid w:val="00B07021"/>
    <w:rsid w:val="00B07F2B"/>
    <w:rsid w:val="00B1067A"/>
    <w:rsid w:val="00B109BF"/>
    <w:rsid w:val="00B10DE5"/>
    <w:rsid w:val="00B114FB"/>
    <w:rsid w:val="00B11655"/>
    <w:rsid w:val="00B132DF"/>
    <w:rsid w:val="00B13A42"/>
    <w:rsid w:val="00B14032"/>
    <w:rsid w:val="00B1438A"/>
    <w:rsid w:val="00B154D8"/>
    <w:rsid w:val="00B15C25"/>
    <w:rsid w:val="00B17629"/>
    <w:rsid w:val="00B20337"/>
    <w:rsid w:val="00B20C04"/>
    <w:rsid w:val="00B20E48"/>
    <w:rsid w:val="00B21033"/>
    <w:rsid w:val="00B21344"/>
    <w:rsid w:val="00B21695"/>
    <w:rsid w:val="00B2182A"/>
    <w:rsid w:val="00B23053"/>
    <w:rsid w:val="00B2334B"/>
    <w:rsid w:val="00B23B46"/>
    <w:rsid w:val="00B24B58"/>
    <w:rsid w:val="00B253DC"/>
    <w:rsid w:val="00B25653"/>
    <w:rsid w:val="00B2672D"/>
    <w:rsid w:val="00B269D5"/>
    <w:rsid w:val="00B26C5E"/>
    <w:rsid w:val="00B27A65"/>
    <w:rsid w:val="00B27A82"/>
    <w:rsid w:val="00B27D0F"/>
    <w:rsid w:val="00B32041"/>
    <w:rsid w:val="00B322B6"/>
    <w:rsid w:val="00B3347D"/>
    <w:rsid w:val="00B335F8"/>
    <w:rsid w:val="00B33855"/>
    <w:rsid w:val="00B33ADC"/>
    <w:rsid w:val="00B3419D"/>
    <w:rsid w:val="00B34BF0"/>
    <w:rsid w:val="00B35117"/>
    <w:rsid w:val="00B36032"/>
    <w:rsid w:val="00B36BF8"/>
    <w:rsid w:val="00B37016"/>
    <w:rsid w:val="00B37A1E"/>
    <w:rsid w:val="00B37F3B"/>
    <w:rsid w:val="00B4007B"/>
    <w:rsid w:val="00B40499"/>
    <w:rsid w:val="00B40864"/>
    <w:rsid w:val="00B40B40"/>
    <w:rsid w:val="00B4120B"/>
    <w:rsid w:val="00B41334"/>
    <w:rsid w:val="00B42C0E"/>
    <w:rsid w:val="00B42C33"/>
    <w:rsid w:val="00B43FB2"/>
    <w:rsid w:val="00B44494"/>
    <w:rsid w:val="00B449DA"/>
    <w:rsid w:val="00B4527B"/>
    <w:rsid w:val="00B45554"/>
    <w:rsid w:val="00B458ED"/>
    <w:rsid w:val="00B45C44"/>
    <w:rsid w:val="00B45FA6"/>
    <w:rsid w:val="00B45FD1"/>
    <w:rsid w:val="00B466F4"/>
    <w:rsid w:val="00B46D8D"/>
    <w:rsid w:val="00B46F5B"/>
    <w:rsid w:val="00B46F68"/>
    <w:rsid w:val="00B502D0"/>
    <w:rsid w:val="00B50BD4"/>
    <w:rsid w:val="00B50F4A"/>
    <w:rsid w:val="00B5247F"/>
    <w:rsid w:val="00B52659"/>
    <w:rsid w:val="00B52E3F"/>
    <w:rsid w:val="00B531AF"/>
    <w:rsid w:val="00B53B32"/>
    <w:rsid w:val="00B54247"/>
    <w:rsid w:val="00B54FED"/>
    <w:rsid w:val="00B55B8E"/>
    <w:rsid w:val="00B56246"/>
    <w:rsid w:val="00B568FC"/>
    <w:rsid w:val="00B56E88"/>
    <w:rsid w:val="00B57293"/>
    <w:rsid w:val="00B5751A"/>
    <w:rsid w:val="00B57D4A"/>
    <w:rsid w:val="00B57FBF"/>
    <w:rsid w:val="00B60088"/>
    <w:rsid w:val="00B600EB"/>
    <w:rsid w:val="00B6046D"/>
    <w:rsid w:val="00B604F1"/>
    <w:rsid w:val="00B60A37"/>
    <w:rsid w:val="00B60C05"/>
    <w:rsid w:val="00B60C4E"/>
    <w:rsid w:val="00B60F43"/>
    <w:rsid w:val="00B60FBB"/>
    <w:rsid w:val="00B61638"/>
    <w:rsid w:val="00B6168E"/>
    <w:rsid w:val="00B623B9"/>
    <w:rsid w:val="00B62473"/>
    <w:rsid w:val="00B628B5"/>
    <w:rsid w:val="00B62C57"/>
    <w:rsid w:val="00B631CF"/>
    <w:rsid w:val="00B63A83"/>
    <w:rsid w:val="00B63C57"/>
    <w:rsid w:val="00B63E06"/>
    <w:rsid w:val="00B6415A"/>
    <w:rsid w:val="00B64800"/>
    <w:rsid w:val="00B64979"/>
    <w:rsid w:val="00B64BB4"/>
    <w:rsid w:val="00B652F6"/>
    <w:rsid w:val="00B65340"/>
    <w:rsid w:val="00B6567F"/>
    <w:rsid w:val="00B65796"/>
    <w:rsid w:val="00B6638E"/>
    <w:rsid w:val="00B663D0"/>
    <w:rsid w:val="00B66FDD"/>
    <w:rsid w:val="00B6713E"/>
    <w:rsid w:val="00B70433"/>
    <w:rsid w:val="00B70926"/>
    <w:rsid w:val="00B70A72"/>
    <w:rsid w:val="00B7124F"/>
    <w:rsid w:val="00B71C5A"/>
    <w:rsid w:val="00B7205F"/>
    <w:rsid w:val="00B72B26"/>
    <w:rsid w:val="00B7341B"/>
    <w:rsid w:val="00B74206"/>
    <w:rsid w:val="00B74296"/>
    <w:rsid w:val="00B74E73"/>
    <w:rsid w:val="00B75006"/>
    <w:rsid w:val="00B7523D"/>
    <w:rsid w:val="00B75368"/>
    <w:rsid w:val="00B7549C"/>
    <w:rsid w:val="00B757C1"/>
    <w:rsid w:val="00B770E9"/>
    <w:rsid w:val="00B8030E"/>
    <w:rsid w:val="00B809D9"/>
    <w:rsid w:val="00B80DC0"/>
    <w:rsid w:val="00B8131A"/>
    <w:rsid w:val="00B815F3"/>
    <w:rsid w:val="00B820C9"/>
    <w:rsid w:val="00B825A3"/>
    <w:rsid w:val="00B8260D"/>
    <w:rsid w:val="00B82BF9"/>
    <w:rsid w:val="00B82DF1"/>
    <w:rsid w:val="00B83159"/>
    <w:rsid w:val="00B844CA"/>
    <w:rsid w:val="00B84EA5"/>
    <w:rsid w:val="00B851D2"/>
    <w:rsid w:val="00B8569D"/>
    <w:rsid w:val="00B86FD9"/>
    <w:rsid w:val="00B87450"/>
    <w:rsid w:val="00B876F2"/>
    <w:rsid w:val="00B87CC7"/>
    <w:rsid w:val="00B903CE"/>
    <w:rsid w:val="00B919F3"/>
    <w:rsid w:val="00B91D09"/>
    <w:rsid w:val="00B91E43"/>
    <w:rsid w:val="00B921B2"/>
    <w:rsid w:val="00B9221B"/>
    <w:rsid w:val="00B929C6"/>
    <w:rsid w:val="00B92F46"/>
    <w:rsid w:val="00B931BB"/>
    <w:rsid w:val="00B93DD3"/>
    <w:rsid w:val="00B946B2"/>
    <w:rsid w:val="00B946C2"/>
    <w:rsid w:val="00B94BE8"/>
    <w:rsid w:val="00B9543A"/>
    <w:rsid w:val="00B957C4"/>
    <w:rsid w:val="00B95A0B"/>
    <w:rsid w:val="00B96B75"/>
    <w:rsid w:val="00B96E5D"/>
    <w:rsid w:val="00B975CB"/>
    <w:rsid w:val="00BA0AC8"/>
    <w:rsid w:val="00BA1150"/>
    <w:rsid w:val="00BA23D4"/>
    <w:rsid w:val="00BA2CF0"/>
    <w:rsid w:val="00BA3123"/>
    <w:rsid w:val="00BA3163"/>
    <w:rsid w:val="00BA341F"/>
    <w:rsid w:val="00BA50DC"/>
    <w:rsid w:val="00BA53DD"/>
    <w:rsid w:val="00BA5682"/>
    <w:rsid w:val="00BA584E"/>
    <w:rsid w:val="00BA5964"/>
    <w:rsid w:val="00BA5A12"/>
    <w:rsid w:val="00BA6C3E"/>
    <w:rsid w:val="00BA776C"/>
    <w:rsid w:val="00BB05C1"/>
    <w:rsid w:val="00BB0AB9"/>
    <w:rsid w:val="00BB0F51"/>
    <w:rsid w:val="00BB1496"/>
    <w:rsid w:val="00BB242B"/>
    <w:rsid w:val="00BB2856"/>
    <w:rsid w:val="00BB43A2"/>
    <w:rsid w:val="00BB4F67"/>
    <w:rsid w:val="00BB56C8"/>
    <w:rsid w:val="00BB573E"/>
    <w:rsid w:val="00BB5AD3"/>
    <w:rsid w:val="00BB6196"/>
    <w:rsid w:val="00BB6731"/>
    <w:rsid w:val="00BB7275"/>
    <w:rsid w:val="00BB77B6"/>
    <w:rsid w:val="00BC0795"/>
    <w:rsid w:val="00BC088D"/>
    <w:rsid w:val="00BC15A5"/>
    <w:rsid w:val="00BC1BA5"/>
    <w:rsid w:val="00BC1CBE"/>
    <w:rsid w:val="00BC1D02"/>
    <w:rsid w:val="00BC2011"/>
    <w:rsid w:val="00BC2B66"/>
    <w:rsid w:val="00BC30C7"/>
    <w:rsid w:val="00BC3241"/>
    <w:rsid w:val="00BC4182"/>
    <w:rsid w:val="00BC46E1"/>
    <w:rsid w:val="00BC4B38"/>
    <w:rsid w:val="00BC4B72"/>
    <w:rsid w:val="00BC504B"/>
    <w:rsid w:val="00BC531F"/>
    <w:rsid w:val="00BC6BBA"/>
    <w:rsid w:val="00BC6C02"/>
    <w:rsid w:val="00BC7024"/>
    <w:rsid w:val="00BC7682"/>
    <w:rsid w:val="00BC7789"/>
    <w:rsid w:val="00BD04CE"/>
    <w:rsid w:val="00BD1981"/>
    <w:rsid w:val="00BD1BD1"/>
    <w:rsid w:val="00BD1E06"/>
    <w:rsid w:val="00BD2031"/>
    <w:rsid w:val="00BD27DD"/>
    <w:rsid w:val="00BD2D76"/>
    <w:rsid w:val="00BD3343"/>
    <w:rsid w:val="00BD334E"/>
    <w:rsid w:val="00BD39FE"/>
    <w:rsid w:val="00BD3B7D"/>
    <w:rsid w:val="00BD426C"/>
    <w:rsid w:val="00BD47E6"/>
    <w:rsid w:val="00BD523D"/>
    <w:rsid w:val="00BD58FF"/>
    <w:rsid w:val="00BD5F99"/>
    <w:rsid w:val="00BD62F3"/>
    <w:rsid w:val="00BD7BBE"/>
    <w:rsid w:val="00BD7EFB"/>
    <w:rsid w:val="00BE08BE"/>
    <w:rsid w:val="00BE0CD0"/>
    <w:rsid w:val="00BE14BE"/>
    <w:rsid w:val="00BE1DE4"/>
    <w:rsid w:val="00BE275D"/>
    <w:rsid w:val="00BE28CD"/>
    <w:rsid w:val="00BE2AAD"/>
    <w:rsid w:val="00BE30F6"/>
    <w:rsid w:val="00BE6170"/>
    <w:rsid w:val="00BE6AAA"/>
    <w:rsid w:val="00BE7083"/>
    <w:rsid w:val="00BF0332"/>
    <w:rsid w:val="00BF0709"/>
    <w:rsid w:val="00BF0C72"/>
    <w:rsid w:val="00BF191E"/>
    <w:rsid w:val="00BF20D6"/>
    <w:rsid w:val="00BF2605"/>
    <w:rsid w:val="00BF2A19"/>
    <w:rsid w:val="00BF3503"/>
    <w:rsid w:val="00BF3C85"/>
    <w:rsid w:val="00BF4474"/>
    <w:rsid w:val="00BF4577"/>
    <w:rsid w:val="00BF47CE"/>
    <w:rsid w:val="00BF4D93"/>
    <w:rsid w:val="00BF586C"/>
    <w:rsid w:val="00BF65E0"/>
    <w:rsid w:val="00BF7195"/>
    <w:rsid w:val="00BF72F5"/>
    <w:rsid w:val="00BF7630"/>
    <w:rsid w:val="00BF7B19"/>
    <w:rsid w:val="00C00453"/>
    <w:rsid w:val="00C00B50"/>
    <w:rsid w:val="00C01563"/>
    <w:rsid w:val="00C021EA"/>
    <w:rsid w:val="00C0221F"/>
    <w:rsid w:val="00C0260C"/>
    <w:rsid w:val="00C0317B"/>
    <w:rsid w:val="00C034BC"/>
    <w:rsid w:val="00C036AB"/>
    <w:rsid w:val="00C04478"/>
    <w:rsid w:val="00C0450B"/>
    <w:rsid w:val="00C045C1"/>
    <w:rsid w:val="00C0552F"/>
    <w:rsid w:val="00C05791"/>
    <w:rsid w:val="00C0580A"/>
    <w:rsid w:val="00C072CE"/>
    <w:rsid w:val="00C07491"/>
    <w:rsid w:val="00C10CDD"/>
    <w:rsid w:val="00C10EE0"/>
    <w:rsid w:val="00C11C0C"/>
    <w:rsid w:val="00C11F3F"/>
    <w:rsid w:val="00C12B00"/>
    <w:rsid w:val="00C12F2E"/>
    <w:rsid w:val="00C14868"/>
    <w:rsid w:val="00C155FD"/>
    <w:rsid w:val="00C15E05"/>
    <w:rsid w:val="00C1667E"/>
    <w:rsid w:val="00C16CA8"/>
    <w:rsid w:val="00C16D7D"/>
    <w:rsid w:val="00C16EAA"/>
    <w:rsid w:val="00C16FA7"/>
    <w:rsid w:val="00C17F73"/>
    <w:rsid w:val="00C209DC"/>
    <w:rsid w:val="00C212DB"/>
    <w:rsid w:val="00C21D18"/>
    <w:rsid w:val="00C221EF"/>
    <w:rsid w:val="00C22987"/>
    <w:rsid w:val="00C229B4"/>
    <w:rsid w:val="00C22D7C"/>
    <w:rsid w:val="00C23DD1"/>
    <w:rsid w:val="00C24ACE"/>
    <w:rsid w:val="00C25F73"/>
    <w:rsid w:val="00C264C2"/>
    <w:rsid w:val="00C2675A"/>
    <w:rsid w:val="00C2699F"/>
    <w:rsid w:val="00C275C0"/>
    <w:rsid w:val="00C2762A"/>
    <w:rsid w:val="00C324CF"/>
    <w:rsid w:val="00C3251C"/>
    <w:rsid w:val="00C32B37"/>
    <w:rsid w:val="00C32FBD"/>
    <w:rsid w:val="00C333FB"/>
    <w:rsid w:val="00C33B0E"/>
    <w:rsid w:val="00C33FA1"/>
    <w:rsid w:val="00C340FE"/>
    <w:rsid w:val="00C342A4"/>
    <w:rsid w:val="00C355CF"/>
    <w:rsid w:val="00C357DF"/>
    <w:rsid w:val="00C367E1"/>
    <w:rsid w:val="00C37194"/>
    <w:rsid w:val="00C408D9"/>
    <w:rsid w:val="00C409B6"/>
    <w:rsid w:val="00C40E5F"/>
    <w:rsid w:val="00C41572"/>
    <w:rsid w:val="00C41EAA"/>
    <w:rsid w:val="00C41F1C"/>
    <w:rsid w:val="00C43848"/>
    <w:rsid w:val="00C440C9"/>
    <w:rsid w:val="00C4443E"/>
    <w:rsid w:val="00C44712"/>
    <w:rsid w:val="00C44890"/>
    <w:rsid w:val="00C44F5B"/>
    <w:rsid w:val="00C4576F"/>
    <w:rsid w:val="00C46B7C"/>
    <w:rsid w:val="00C47539"/>
    <w:rsid w:val="00C47923"/>
    <w:rsid w:val="00C4799E"/>
    <w:rsid w:val="00C500DF"/>
    <w:rsid w:val="00C501FE"/>
    <w:rsid w:val="00C50860"/>
    <w:rsid w:val="00C50F57"/>
    <w:rsid w:val="00C51544"/>
    <w:rsid w:val="00C51C49"/>
    <w:rsid w:val="00C5232C"/>
    <w:rsid w:val="00C53312"/>
    <w:rsid w:val="00C53EAA"/>
    <w:rsid w:val="00C54042"/>
    <w:rsid w:val="00C541FC"/>
    <w:rsid w:val="00C544DE"/>
    <w:rsid w:val="00C54621"/>
    <w:rsid w:val="00C54CBE"/>
    <w:rsid w:val="00C5505A"/>
    <w:rsid w:val="00C55087"/>
    <w:rsid w:val="00C554C7"/>
    <w:rsid w:val="00C55AC9"/>
    <w:rsid w:val="00C613EF"/>
    <w:rsid w:val="00C616B7"/>
    <w:rsid w:val="00C61874"/>
    <w:rsid w:val="00C618A0"/>
    <w:rsid w:val="00C61F11"/>
    <w:rsid w:val="00C625D2"/>
    <w:rsid w:val="00C63F08"/>
    <w:rsid w:val="00C64626"/>
    <w:rsid w:val="00C651C2"/>
    <w:rsid w:val="00C6538C"/>
    <w:rsid w:val="00C657A0"/>
    <w:rsid w:val="00C65852"/>
    <w:rsid w:val="00C65AEC"/>
    <w:rsid w:val="00C673DF"/>
    <w:rsid w:val="00C67B54"/>
    <w:rsid w:val="00C67F1B"/>
    <w:rsid w:val="00C701A6"/>
    <w:rsid w:val="00C707C3"/>
    <w:rsid w:val="00C7150B"/>
    <w:rsid w:val="00C71A00"/>
    <w:rsid w:val="00C728DE"/>
    <w:rsid w:val="00C72C2C"/>
    <w:rsid w:val="00C73ADC"/>
    <w:rsid w:val="00C74117"/>
    <w:rsid w:val="00C7494D"/>
    <w:rsid w:val="00C74A06"/>
    <w:rsid w:val="00C74A54"/>
    <w:rsid w:val="00C74CED"/>
    <w:rsid w:val="00C7521F"/>
    <w:rsid w:val="00C76938"/>
    <w:rsid w:val="00C801C4"/>
    <w:rsid w:val="00C802E1"/>
    <w:rsid w:val="00C808C0"/>
    <w:rsid w:val="00C822F3"/>
    <w:rsid w:val="00C82437"/>
    <w:rsid w:val="00C82732"/>
    <w:rsid w:val="00C82CDB"/>
    <w:rsid w:val="00C82DFE"/>
    <w:rsid w:val="00C83CB5"/>
    <w:rsid w:val="00C840DF"/>
    <w:rsid w:val="00C85447"/>
    <w:rsid w:val="00C8589D"/>
    <w:rsid w:val="00C86115"/>
    <w:rsid w:val="00C861E0"/>
    <w:rsid w:val="00C86F9F"/>
    <w:rsid w:val="00C87F2C"/>
    <w:rsid w:val="00C90618"/>
    <w:rsid w:val="00C90757"/>
    <w:rsid w:val="00C908F3"/>
    <w:rsid w:val="00C912DF"/>
    <w:rsid w:val="00C914FD"/>
    <w:rsid w:val="00C923D9"/>
    <w:rsid w:val="00C928B1"/>
    <w:rsid w:val="00C92A2E"/>
    <w:rsid w:val="00C92B56"/>
    <w:rsid w:val="00C935F9"/>
    <w:rsid w:val="00C93625"/>
    <w:rsid w:val="00C93F37"/>
    <w:rsid w:val="00C9415C"/>
    <w:rsid w:val="00C94558"/>
    <w:rsid w:val="00C94F80"/>
    <w:rsid w:val="00C95424"/>
    <w:rsid w:val="00C954FC"/>
    <w:rsid w:val="00C956C0"/>
    <w:rsid w:val="00C9602E"/>
    <w:rsid w:val="00C96071"/>
    <w:rsid w:val="00C96AD7"/>
    <w:rsid w:val="00C96F84"/>
    <w:rsid w:val="00C9780F"/>
    <w:rsid w:val="00C97B08"/>
    <w:rsid w:val="00CA0A71"/>
    <w:rsid w:val="00CA0FE6"/>
    <w:rsid w:val="00CA1063"/>
    <w:rsid w:val="00CA12BD"/>
    <w:rsid w:val="00CA12DF"/>
    <w:rsid w:val="00CA1EE5"/>
    <w:rsid w:val="00CA1FF5"/>
    <w:rsid w:val="00CA274F"/>
    <w:rsid w:val="00CA31F0"/>
    <w:rsid w:val="00CA36E6"/>
    <w:rsid w:val="00CA4102"/>
    <w:rsid w:val="00CA4C9D"/>
    <w:rsid w:val="00CA4D2E"/>
    <w:rsid w:val="00CA5273"/>
    <w:rsid w:val="00CA55A4"/>
    <w:rsid w:val="00CA58FC"/>
    <w:rsid w:val="00CA5A53"/>
    <w:rsid w:val="00CA6655"/>
    <w:rsid w:val="00CA7F68"/>
    <w:rsid w:val="00CB012B"/>
    <w:rsid w:val="00CB015A"/>
    <w:rsid w:val="00CB0ECD"/>
    <w:rsid w:val="00CB13AD"/>
    <w:rsid w:val="00CB1458"/>
    <w:rsid w:val="00CB15F4"/>
    <w:rsid w:val="00CB1B21"/>
    <w:rsid w:val="00CB1F0B"/>
    <w:rsid w:val="00CB207D"/>
    <w:rsid w:val="00CB2430"/>
    <w:rsid w:val="00CB2AD9"/>
    <w:rsid w:val="00CB318F"/>
    <w:rsid w:val="00CB33ED"/>
    <w:rsid w:val="00CB3CB7"/>
    <w:rsid w:val="00CB5CD1"/>
    <w:rsid w:val="00CB5E43"/>
    <w:rsid w:val="00CB607A"/>
    <w:rsid w:val="00CB634F"/>
    <w:rsid w:val="00CB7468"/>
    <w:rsid w:val="00CB7822"/>
    <w:rsid w:val="00CB7F5E"/>
    <w:rsid w:val="00CC022F"/>
    <w:rsid w:val="00CC0E44"/>
    <w:rsid w:val="00CC138C"/>
    <w:rsid w:val="00CC189E"/>
    <w:rsid w:val="00CC2FC4"/>
    <w:rsid w:val="00CC3C9A"/>
    <w:rsid w:val="00CC47AD"/>
    <w:rsid w:val="00CC4AE5"/>
    <w:rsid w:val="00CC4D28"/>
    <w:rsid w:val="00CC4E9B"/>
    <w:rsid w:val="00CC5336"/>
    <w:rsid w:val="00CC5B0C"/>
    <w:rsid w:val="00CC6447"/>
    <w:rsid w:val="00CC72AB"/>
    <w:rsid w:val="00CC735D"/>
    <w:rsid w:val="00CC7A61"/>
    <w:rsid w:val="00CD080B"/>
    <w:rsid w:val="00CD1223"/>
    <w:rsid w:val="00CD1628"/>
    <w:rsid w:val="00CD2104"/>
    <w:rsid w:val="00CD21A7"/>
    <w:rsid w:val="00CD326E"/>
    <w:rsid w:val="00CD341C"/>
    <w:rsid w:val="00CD345E"/>
    <w:rsid w:val="00CD3B4D"/>
    <w:rsid w:val="00CD3D1E"/>
    <w:rsid w:val="00CD3D7A"/>
    <w:rsid w:val="00CD42C0"/>
    <w:rsid w:val="00CD50A6"/>
    <w:rsid w:val="00CD6351"/>
    <w:rsid w:val="00CD65B8"/>
    <w:rsid w:val="00CD7645"/>
    <w:rsid w:val="00CD7A87"/>
    <w:rsid w:val="00CE0D8B"/>
    <w:rsid w:val="00CE11CD"/>
    <w:rsid w:val="00CE1957"/>
    <w:rsid w:val="00CE207C"/>
    <w:rsid w:val="00CE3170"/>
    <w:rsid w:val="00CE370A"/>
    <w:rsid w:val="00CE3829"/>
    <w:rsid w:val="00CE3B3F"/>
    <w:rsid w:val="00CE3C90"/>
    <w:rsid w:val="00CE3DE5"/>
    <w:rsid w:val="00CE4DA2"/>
    <w:rsid w:val="00CE5B9F"/>
    <w:rsid w:val="00CE65B9"/>
    <w:rsid w:val="00CE69FB"/>
    <w:rsid w:val="00CE6A5C"/>
    <w:rsid w:val="00CE7AEC"/>
    <w:rsid w:val="00CF0435"/>
    <w:rsid w:val="00CF0CE7"/>
    <w:rsid w:val="00CF1B35"/>
    <w:rsid w:val="00CF1E8C"/>
    <w:rsid w:val="00CF1F75"/>
    <w:rsid w:val="00CF273B"/>
    <w:rsid w:val="00CF2B4A"/>
    <w:rsid w:val="00CF43A4"/>
    <w:rsid w:val="00CF460C"/>
    <w:rsid w:val="00CF492D"/>
    <w:rsid w:val="00CF5446"/>
    <w:rsid w:val="00CF5922"/>
    <w:rsid w:val="00CF66B7"/>
    <w:rsid w:val="00CF68D9"/>
    <w:rsid w:val="00CF69C9"/>
    <w:rsid w:val="00CF7083"/>
    <w:rsid w:val="00CF7110"/>
    <w:rsid w:val="00CF74C6"/>
    <w:rsid w:val="00CF7C12"/>
    <w:rsid w:val="00CF7F1C"/>
    <w:rsid w:val="00D00097"/>
    <w:rsid w:val="00D009C2"/>
    <w:rsid w:val="00D012B6"/>
    <w:rsid w:val="00D04EA9"/>
    <w:rsid w:val="00D05C32"/>
    <w:rsid w:val="00D064EA"/>
    <w:rsid w:val="00D066AB"/>
    <w:rsid w:val="00D07027"/>
    <w:rsid w:val="00D07284"/>
    <w:rsid w:val="00D07384"/>
    <w:rsid w:val="00D077CD"/>
    <w:rsid w:val="00D07D92"/>
    <w:rsid w:val="00D103A0"/>
    <w:rsid w:val="00D10807"/>
    <w:rsid w:val="00D10DE6"/>
    <w:rsid w:val="00D11737"/>
    <w:rsid w:val="00D11D42"/>
    <w:rsid w:val="00D12367"/>
    <w:rsid w:val="00D12DCE"/>
    <w:rsid w:val="00D12F47"/>
    <w:rsid w:val="00D130B1"/>
    <w:rsid w:val="00D130C0"/>
    <w:rsid w:val="00D13132"/>
    <w:rsid w:val="00D134F4"/>
    <w:rsid w:val="00D13AE6"/>
    <w:rsid w:val="00D161E4"/>
    <w:rsid w:val="00D1647E"/>
    <w:rsid w:val="00D167B8"/>
    <w:rsid w:val="00D169DE"/>
    <w:rsid w:val="00D205F6"/>
    <w:rsid w:val="00D22060"/>
    <w:rsid w:val="00D22122"/>
    <w:rsid w:val="00D223D6"/>
    <w:rsid w:val="00D22C9D"/>
    <w:rsid w:val="00D239C0"/>
    <w:rsid w:val="00D247BF"/>
    <w:rsid w:val="00D24CB6"/>
    <w:rsid w:val="00D24E20"/>
    <w:rsid w:val="00D255D2"/>
    <w:rsid w:val="00D2594D"/>
    <w:rsid w:val="00D25D40"/>
    <w:rsid w:val="00D25D4B"/>
    <w:rsid w:val="00D25F18"/>
    <w:rsid w:val="00D267A2"/>
    <w:rsid w:val="00D26E51"/>
    <w:rsid w:val="00D3051F"/>
    <w:rsid w:val="00D30978"/>
    <w:rsid w:val="00D3155A"/>
    <w:rsid w:val="00D31781"/>
    <w:rsid w:val="00D322AA"/>
    <w:rsid w:val="00D32F4A"/>
    <w:rsid w:val="00D3312A"/>
    <w:rsid w:val="00D3392D"/>
    <w:rsid w:val="00D33948"/>
    <w:rsid w:val="00D33B39"/>
    <w:rsid w:val="00D34264"/>
    <w:rsid w:val="00D355B3"/>
    <w:rsid w:val="00D35B33"/>
    <w:rsid w:val="00D365DD"/>
    <w:rsid w:val="00D37D88"/>
    <w:rsid w:val="00D40A30"/>
    <w:rsid w:val="00D410AB"/>
    <w:rsid w:val="00D41B21"/>
    <w:rsid w:val="00D41B34"/>
    <w:rsid w:val="00D420D8"/>
    <w:rsid w:val="00D427F0"/>
    <w:rsid w:val="00D42A69"/>
    <w:rsid w:val="00D42A8E"/>
    <w:rsid w:val="00D4312A"/>
    <w:rsid w:val="00D43361"/>
    <w:rsid w:val="00D4362E"/>
    <w:rsid w:val="00D43747"/>
    <w:rsid w:val="00D4385C"/>
    <w:rsid w:val="00D43EE8"/>
    <w:rsid w:val="00D44239"/>
    <w:rsid w:val="00D4425F"/>
    <w:rsid w:val="00D44A1D"/>
    <w:rsid w:val="00D44D50"/>
    <w:rsid w:val="00D45F8D"/>
    <w:rsid w:val="00D466E8"/>
    <w:rsid w:val="00D46B97"/>
    <w:rsid w:val="00D46CE6"/>
    <w:rsid w:val="00D4786C"/>
    <w:rsid w:val="00D47912"/>
    <w:rsid w:val="00D47BE6"/>
    <w:rsid w:val="00D507CA"/>
    <w:rsid w:val="00D50BF4"/>
    <w:rsid w:val="00D50C4F"/>
    <w:rsid w:val="00D513A0"/>
    <w:rsid w:val="00D513E8"/>
    <w:rsid w:val="00D515E7"/>
    <w:rsid w:val="00D51735"/>
    <w:rsid w:val="00D517C2"/>
    <w:rsid w:val="00D51B6D"/>
    <w:rsid w:val="00D51E1C"/>
    <w:rsid w:val="00D51E70"/>
    <w:rsid w:val="00D51E9F"/>
    <w:rsid w:val="00D520B8"/>
    <w:rsid w:val="00D5288F"/>
    <w:rsid w:val="00D529DC"/>
    <w:rsid w:val="00D53032"/>
    <w:rsid w:val="00D53794"/>
    <w:rsid w:val="00D53FA2"/>
    <w:rsid w:val="00D54AB2"/>
    <w:rsid w:val="00D5520C"/>
    <w:rsid w:val="00D55CC2"/>
    <w:rsid w:val="00D55E43"/>
    <w:rsid w:val="00D56207"/>
    <w:rsid w:val="00D56823"/>
    <w:rsid w:val="00D57484"/>
    <w:rsid w:val="00D60005"/>
    <w:rsid w:val="00D60321"/>
    <w:rsid w:val="00D62803"/>
    <w:rsid w:val="00D62CDA"/>
    <w:rsid w:val="00D62DA3"/>
    <w:rsid w:val="00D631AE"/>
    <w:rsid w:val="00D631C1"/>
    <w:rsid w:val="00D63439"/>
    <w:rsid w:val="00D63B35"/>
    <w:rsid w:val="00D63C56"/>
    <w:rsid w:val="00D63CBC"/>
    <w:rsid w:val="00D643AF"/>
    <w:rsid w:val="00D6448A"/>
    <w:rsid w:val="00D644E2"/>
    <w:rsid w:val="00D64730"/>
    <w:rsid w:val="00D64A8D"/>
    <w:rsid w:val="00D64F4C"/>
    <w:rsid w:val="00D65A62"/>
    <w:rsid w:val="00D65C72"/>
    <w:rsid w:val="00D66052"/>
    <w:rsid w:val="00D66077"/>
    <w:rsid w:val="00D66799"/>
    <w:rsid w:val="00D70831"/>
    <w:rsid w:val="00D70F3E"/>
    <w:rsid w:val="00D710FB"/>
    <w:rsid w:val="00D728B2"/>
    <w:rsid w:val="00D728E0"/>
    <w:rsid w:val="00D72CC0"/>
    <w:rsid w:val="00D72F6E"/>
    <w:rsid w:val="00D7320E"/>
    <w:rsid w:val="00D74414"/>
    <w:rsid w:val="00D74CE6"/>
    <w:rsid w:val="00D74F44"/>
    <w:rsid w:val="00D75846"/>
    <w:rsid w:val="00D77398"/>
    <w:rsid w:val="00D7770A"/>
    <w:rsid w:val="00D8034A"/>
    <w:rsid w:val="00D809E9"/>
    <w:rsid w:val="00D80B6C"/>
    <w:rsid w:val="00D80B84"/>
    <w:rsid w:val="00D80E9D"/>
    <w:rsid w:val="00D811A5"/>
    <w:rsid w:val="00D81355"/>
    <w:rsid w:val="00D81722"/>
    <w:rsid w:val="00D82271"/>
    <w:rsid w:val="00D82BA4"/>
    <w:rsid w:val="00D82CF8"/>
    <w:rsid w:val="00D82EC8"/>
    <w:rsid w:val="00D82F97"/>
    <w:rsid w:val="00D834C8"/>
    <w:rsid w:val="00D8419C"/>
    <w:rsid w:val="00D842AA"/>
    <w:rsid w:val="00D84B6C"/>
    <w:rsid w:val="00D85225"/>
    <w:rsid w:val="00D852C9"/>
    <w:rsid w:val="00D85738"/>
    <w:rsid w:val="00D85BB2"/>
    <w:rsid w:val="00D85BF5"/>
    <w:rsid w:val="00D863CB"/>
    <w:rsid w:val="00D8677A"/>
    <w:rsid w:val="00D8681F"/>
    <w:rsid w:val="00D8706B"/>
    <w:rsid w:val="00D90066"/>
    <w:rsid w:val="00D90278"/>
    <w:rsid w:val="00D9060D"/>
    <w:rsid w:val="00D910BF"/>
    <w:rsid w:val="00D91183"/>
    <w:rsid w:val="00D91602"/>
    <w:rsid w:val="00D91F71"/>
    <w:rsid w:val="00D92319"/>
    <w:rsid w:val="00D9247B"/>
    <w:rsid w:val="00D92675"/>
    <w:rsid w:val="00D9275B"/>
    <w:rsid w:val="00D92766"/>
    <w:rsid w:val="00D92CBA"/>
    <w:rsid w:val="00D92D3D"/>
    <w:rsid w:val="00D92F4F"/>
    <w:rsid w:val="00D93A1E"/>
    <w:rsid w:val="00D93F81"/>
    <w:rsid w:val="00D941DA"/>
    <w:rsid w:val="00D94491"/>
    <w:rsid w:val="00D94BC0"/>
    <w:rsid w:val="00D951A4"/>
    <w:rsid w:val="00D953DE"/>
    <w:rsid w:val="00D95678"/>
    <w:rsid w:val="00D95C8E"/>
    <w:rsid w:val="00D972AC"/>
    <w:rsid w:val="00DA03A4"/>
    <w:rsid w:val="00DA0950"/>
    <w:rsid w:val="00DA178E"/>
    <w:rsid w:val="00DA25D8"/>
    <w:rsid w:val="00DA26D6"/>
    <w:rsid w:val="00DA2BE6"/>
    <w:rsid w:val="00DA3478"/>
    <w:rsid w:val="00DA4645"/>
    <w:rsid w:val="00DA4664"/>
    <w:rsid w:val="00DA5CFA"/>
    <w:rsid w:val="00DA5F6F"/>
    <w:rsid w:val="00DA60CA"/>
    <w:rsid w:val="00DA6700"/>
    <w:rsid w:val="00DA68E0"/>
    <w:rsid w:val="00DA6DFD"/>
    <w:rsid w:val="00DB0519"/>
    <w:rsid w:val="00DB08E5"/>
    <w:rsid w:val="00DB15FE"/>
    <w:rsid w:val="00DB1687"/>
    <w:rsid w:val="00DB1A80"/>
    <w:rsid w:val="00DB23F7"/>
    <w:rsid w:val="00DB2461"/>
    <w:rsid w:val="00DB35ED"/>
    <w:rsid w:val="00DB3E12"/>
    <w:rsid w:val="00DB3E5F"/>
    <w:rsid w:val="00DB3FA9"/>
    <w:rsid w:val="00DB4B23"/>
    <w:rsid w:val="00DB4F9A"/>
    <w:rsid w:val="00DB55B1"/>
    <w:rsid w:val="00DB5C5A"/>
    <w:rsid w:val="00DB6BA2"/>
    <w:rsid w:val="00DB7480"/>
    <w:rsid w:val="00DB7A9E"/>
    <w:rsid w:val="00DB7C55"/>
    <w:rsid w:val="00DC034C"/>
    <w:rsid w:val="00DC0970"/>
    <w:rsid w:val="00DC0CC3"/>
    <w:rsid w:val="00DC2C33"/>
    <w:rsid w:val="00DC3240"/>
    <w:rsid w:val="00DC32CF"/>
    <w:rsid w:val="00DC441B"/>
    <w:rsid w:val="00DC4A66"/>
    <w:rsid w:val="00DC4AD7"/>
    <w:rsid w:val="00DC5759"/>
    <w:rsid w:val="00DC5D82"/>
    <w:rsid w:val="00DC5F90"/>
    <w:rsid w:val="00DC7897"/>
    <w:rsid w:val="00DC7BF9"/>
    <w:rsid w:val="00DD007A"/>
    <w:rsid w:val="00DD02CD"/>
    <w:rsid w:val="00DD0466"/>
    <w:rsid w:val="00DD1598"/>
    <w:rsid w:val="00DD179B"/>
    <w:rsid w:val="00DD1CF5"/>
    <w:rsid w:val="00DD20D0"/>
    <w:rsid w:val="00DD323F"/>
    <w:rsid w:val="00DD38A0"/>
    <w:rsid w:val="00DD3D97"/>
    <w:rsid w:val="00DD4AC7"/>
    <w:rsid w:val="00DD4C5E"/>
    <w:rsid w:val="00DD4DD5"/>
    <w:rsid w:val="00DD6094"/>
    <w:rsid w:val="00DD66D0"/>
    <w:rsid w:val="00DD6C46"/>
    <w:rsid w:val="00DD6CB2"/>
    <w:rsid w:val="00DD71CD"/>
    <w:rsid w:val="00DE00B9"/>
    <w:rsid w:val="00DE0153"/>
    <w:rsid w:val="00DE0255"/>
    <w:rsid w:val="00DE04BA"/>
    <w:rsid w:val="00DE0603"/>
    <w:rsid w:val="00DE105D"/>
    <w:rsid w:val="00DE164F"/>
    <w:rsid w:val="00DE1A2A"/>
    <w:rsid w:val="00DE1D2D"/>
    <w:rsid w:val="00DE2A3E"/>
    <w:rsid w:val="00DE2E6E"/>
    <w:rsid w:val="00DE3319"/>
    <w:rsid w:val="00DE43EA"/>
    <w:rsid w:val="00DE4757"/>
    <w:rsid w:val="00DE49D2"/>
    <w:rsid w:val="00DE4A49"/>
    <w:rsid w:val="00DE4F72"/>
    <w:rsid w:val="00DE518F"/>
    <w:rsid w:val="00DE53E9"/>
    <w:rsid w:val="00DE5AFB"/>
    <w:rsid w:val="00DE6604"/>
    <w:rsid w:val="00DE73DF"/>
    <w:rsid w:val="00DE7579"/>
    <w:rsid w:val="00DF047F"/>
    <w:rsid w:val="00DF04E8"/>
    <w:rsid w:val="00DF0574"/>
    <w:rsid w:val="00DF18EF"/>
    <w:rsid w:val="00DF22A8"/>
    <w:rsid w:val="00DF2499"/>
    <w:rsid w:val="00DF38EE"/>
    <w:rsid w:val="00DF4F9A"/>
    <w:rsid w:val="00DF65E6"/>
    <w:rsid w:val="00DF6605"/>
    <w:rsid w:val="00DF6657"/>
    <w:rsid w:val="00DF6C6C"/>
    <w:rsid w:val="00DF6DC1"/>
    <w:rsid w:val="00DF72F4"/>
    <w:rsid w:val="00DF7453"/>
    <w:rsid w:val="00DF7880"/>
    <w:rsid w:val="00E00ED4"/>
    <w:rsid w:val="00E01A8C"/>
    <w:rsid w:val="00E03608"/>
    <w:rsid w:val="00E03748"/>
    <w:rsid w:val="00E03AB8"/>
    <w:rsid w:val="00E0403A"/>
    <w:rsid w:val="00E050CC"/>
    <w:rsid w:val="00E056AE"/>
    <w:rsid w:val="00E05C47"/>
    <w:rsid w:val="00E05E11"/>
    <w:rsid w:val="00E05ECB"/>
    <w:rsid w:val="00E06D4A"/>
    <w:rsid w:val="00E06DC3"/>
    <w:rsid w:val="00E113C0"/>
    <w:rsid w:val="00E11E30"/>
    <w:rsid w:val="00E1236F"/>
    <w:rsid w:val="00E129BD"/>
    <w:rsid w:val="00E14041"/>
    <w:rsid w:val="00E145EB"/>
    <w:rsid w:val="00E146DD"/>
    <w:rsid w:val="00E14DCD"/>
    <w:rsid w:val="00E14E6B"/>
    <w:rsid w:val="00E15D5B"/>
    <w:rsid w:val="00E15E63"/>
    <w:rsid w:val="00E163EF"/>
    <w:rsid w:val="00E1685E"/>
    <w:rsid w:val="00E16E49"/>
    <w:rsid w:val="00E17248"/>
    <w:rsid w:val="00E2006D"/>
    <w:rsid w:val="00E20354"/>
    <w:rsid w:val="00E20ED6"/>
    <w:rsid w:val="00E219EE"/>
    <w:rsid w:val="00E22494"/>
    <w:rsid w:val="00E22E90"/>
    <w:rsid w:val="00E24232"/>
    <w:rsid w:val="00E247FD"/>
    <w:rsid w:val="00E24F8E"/>
    <w:rsid w:val="00E25233"/>
    <w:rsid w:val="00E2661F"/>
    <w:rsid w:val="00E27210"/>
    <w:rsid w:val="00E27CEB"/>
    <w:rsid w:val="00E27D6B"/>
    <w:rsid w:val="00E301F7"/>
    <w:rsid w:val="00E302B5"/>
    <w:rsid w:val="00E3167D"/>
    <w:rsid w:val="00E3225F"/>
    <w:rsid w:val="00E32404"/>
    <w:rsid w:val="00E32DB1"/>
    <w:rsid w:val="00E32E0E"/>
    <w:rsid w:val="00E3317E"/>
    <w:rsid w:val="00E34A58"/>
    <w:rsid w:val="00E34B75"/>
    <w:rsid w:val="00E34BAF"/>
    <w:rsid w:val="00E35D19"/>
    <w:rsid w:val="00E35D4F"/>
    <w:rsid w:val="00E36CD5"/>
    <w:rsid w:val="00E37484"/>
    <w:rsid w:val="00E37BE4"/>
    <w:rsid w:val="00E37CEA"/>
    <w:rsid w:val="00E37EA9"/>
    <w:rsid w:val="00E403B1"/>
    <w:rsid w:val="00E40EF1"/>
    <w:rsid w:val="00E41312"/>
    <w:rsid w:val="00E41595"/>
    <w:rsid w:val="00E4216B"/>
    <w:rsid w:val="00E42BC8"/>
    <w:rsid w:val="00E42D09"/>
    <w:rsid w:val="00E435C7"/>
    <w:rsid w:val="00E442C2"/>
    <w:rsid w:val="00E44B68"/>
    <w:rsid w:val="00E44D94"/>
    <w:rsid w:val="00E45378"/>
    <w:rsid w:val="00E45A95"/>
    <w:rsid w:val="00E4603F"/>
    <w:rsid w:val="00E46974"/>
    <w:rsid w:val="00E46EDC"/>
    <w:rsid w:val="00E47655"/>
    <w:rsid w:val="00E4768F"/>
    <w:rsid w:val="00E476AD"/>
    <w:rsid w:val="00E4770B"/>
    <w:rsid w:val="00E47CAC"/>
    <w:rsid w:val="00E502B9"/>
    <w:rsid w:val="00E50F49"/>
    <w:rsid w:val="00E51CB2"/>
    <w:rsid w:val="00E5270E"/>
    <w:rsid w:val="00E528B9"/>
    <w:rsid w:val="00E530D0"/>
    <w:rsid w:val="00E538A0"/>
    <w:rsid w:val="00E53B42"/>
    <w:rsid w:val="00E54427"/>
    <w:rsid w:val="00E54AD6"/>
    <w:rsid w:val="00E54D45"/>
    <w:rsid w:val="00E55AF6"/>
    <w:rsid w:val="00E56D07"/>
    <w:rsid w:val="00E57484"/>
    <w:rsid w:val="00E57F30"/>
    <w:rsid w:val="00E607CC"/>
    <w:rsid w:val="00E61315"/>
    <w:rsid w:val="00E6133B"/>
    <w:rsid w:val="00E61958"/>
    <w:rsid w:val="00E61AF8"/>
    <w:rsid w:val="00E6218D"/>
    <w:rsid w:val="00E626EF"/>
    <w:rsid w:val="00E62A15"/>
    <w:rsid w:val="00E62BEB"/>
    <w:rsid w:val="00E63101"/>
    <w:rsid w:val="00E6322C"/>
    <w:rsid w:val="00E634B2"/>
    <w:rsid w:val="00E63761"/>
    <w:rsid w:val="00E63A05"/>
    <w:rsid w:val="00E63DAE"/>
    <w:rsid w:val="00E66AEC"/>
    <w:rsid w:val="00E66C5A"/>
    <w:rsid w:val="00E66CB0"/>
    <w:rsid w:val="00E673F3"/>
    <w:rsid w:val="00E70AAE"/>
    <w:rsid w:val="00E70E7C"/>
    <w:rsid w:val="00E71199"/>
    <w:rsid w:val="00E716DA"/>
    <w:rsid w:val="00E717BB"/>
    <w:rsid w:val="00E71FA1"/>
    <w:rsid w:val="00E724D6"/>
    <w:rsid w:val="00E72692"/>
    <w:rsid w:val="00E7383B"/>
    <w:rsid w:val="00E741F6"/>
    <w:rsid w:val="00E744AC"/>
    <w:rsid w:val="00E74AC7"/>
    <w:rsid w:val="00E74BBA"/>
    <w:rsid w:val="00E7537F"/>
    <w:rsid w:val="00E75DA7"/>
    <w:rsid w:val="00E766EC"/>
    <w:rsid w:val="00E76B60"/>
    <w:rsid w:val="00E76E28"/>
    <w:rsid w:val="00E77F22"/>
    <w:rsid w:val="00E77F8D"/>
    <w:rsid w:val="00E811E2"/>
    <w:rsid w:val="00E81655"/>
    <w:rsid w:val="00E821F8"/>
    <w:rsid w:val="00E8233D"/>
    <w:rsid w:val="00E82712"/>
    <w:rsid w:val="00E8282A"/>
    <w:rsid w:val="00E82DEC"/>
    <w:rsid w:val="00E82F6C"/>
    <w:rsid w:val="00E8325A"/>
    <w:rsid w:val="00E846F0"/>
    <w:rsid w:val="00E86AF2"/>
    <w:rsid w:val="00E86C0A"/>
    <w:rsid w:val="00E86FFB"/>
    <w:rsid w:val="00E872C8"/>
    <w:rsid w:val="00E87BDC"/>
    <w:rsid w:val="00E909FA"/>
    <w:rsid w:val="00E90A1F"/>
    <w:rsid w:val="00E90CF2"/>
    <w:rsid w:val="00E91064"/>
    <w:rsid w:val="00E91854"/>
    <w:rsid w:val="00E9189B"/>
    <w:rsid w:val="00E91F54"/>
    <w:rsid w:val="00E91F6F"/>
    <w:rsid w:val="00E923C7"/>
    <w:rsid w:val="00E94162"/>
    <w:rsid w:val="00E94344"/>
    <w:rsid w:val="00E9434D"/>
    <w:rsid w:val="00E9495F"/>
    <w:rsid w:val="00E94C84"/>
    <w:rsid w:val="00E954D6"/>
    <w:rsid w:val="00E95F35"/>
    <w:rsid w:val="00E966C1"/>
    <w:rsid w:val="00E96A92"/>
    <w:rsid w:val="00E96CCD"/>
    <w:rsid w:val="00E97AAC"/>
    <w:rsid w:val="00E97B7C"/>
    <w:rsid w:val="00EA0234"/>
    <w:rsid w:val="00EA05DE"/>
    <w:rsid w:val="00EA0A77"/>
    <w:rsid w:val="00EA16B7"/>
    <w:rsid w:val="00EA1AB0"/>
    <w:rsid w:val="00EA223A"/>
    <w:rsid w:val="00EA2FD1"/>
    <w:rsid w:val="00EA33B7"/>
    <w:rsid w:val="00EA3548"/>
    <w:rsid w:val="00EA3D33"/>
    <w:rsid w:val="00EA5186"/>
    <w:rsid w:val="00EA58C6"/>
    <w:rsid w:val="00EA60BC"/>
    <w:rsid w:val="00EA658B"/>
    <w:rsid w:val="00EA6CAA"/>
    <w:rsid w:val="00EB020D"/>
    <w:rsid w:val="00EB1C50"/>
    <w:rsid w:val="00EB232C"/>
    <w:rsid w:val="00EB26C9"/>
    <w:rsid w:val="00EB37FD"/>
    <w:rsid w:val="00EB4084"/>
    <w:rsid w:val="00EB44A5"/>
    <w:rsid w:val="00EB478A"/>
    <w:rsid w:val="00EB4851"/>
    <w:rsid w:val="00EB5CDB"/>
    <w:rsid w:val="00EB6018"/>
    <w:rsid w:val="00EB7AB1"/>
    <w:rsid w:val="00EC1600"/>
    <w:rsid w:val="00EC2A01"/>
    <w:rsid w:val="00EC3118"/>
    <w:rsid w:val="00EC376D"/>
    <w:rsid w:val="00EC3A1F"/>
    <w:rsid w:val="00EC4ED3"/>
    <w:rsid w:val="00EC58A9"/>
    <w:rsid w:val="00EC59FC"/>
    <w:rsid w:val="00EC604A"/>
    <w:rsid w:val="00EC62AA"/>
    <w:rsid w:val="00EC7028"/>
    <w:rsid w:val="00EC7E47"/>
    <w:rsid w:val="00ED0F3E"/>
    <w:rsid w:val="00ED1272"/>
    <w:rsid w:val="00ED1BEB"/>
    <w:rsid w:val="00ED2CFC"/>
    <w:rsid w:val="00ED2EF1"/>
    <w:rsid w:val="00ED2F54"/>
    <w:rsid w:val="00ED39C6"/>
    <w:rsid w:val="00ED3AA1"/>
    <w:rsid w:val="00ED40AC"/>
    <w:rsid w:val="00ED4C35"/>
    <w:rsid w:val="00ED4F7C"/>
    <w:rsid w:val="00ED5299"/>
    <w:rsid w:val="00ED633B"/>
    <w:rsid w:val="00ED6837"/>
    <w:rsid w:val="00EE02BB"/>
    <w:rsid w:val="00EE0B2F"/>
    <w:rsid w:val="00EE1066"/>
    <w:rsid w:val="00EE1657"/>
    <w:rsid w:val="00EE1E7C"/>
    <w:rsid w:val="00EE213E"/>
    <w:rsid w:val="00EE23A7"/>
    <w:rsid w:val="00EE23C7"/>
    <w:rsid w:val="00EE37F4"/>
    <w:rsid w:val="00EE3BFC"/>
    <w:rsid w:val="00EE404F"/>
    <w:rsid w:val="00EE457B"/>
    <w:rsid w:val="00EE457C"/>
    <w:rsid w:val="00EE45AC"/>
    <w:rsid w:val="00EE4F19"/>
    <w:rsid w:val="00EE5E51"/>
    <w:rsid w:val="00EE62DE"/>
    <w:rsid w:val="00EE6696"/>
    <w:rsid w:val="00EE6ADA"/>
    <w:rsid w:val="00EE7371"/>
    <w:rsid w:val="00EF0C30"/>
    <w:rsid w:val="00EF1FA5"/>
    <w:rsid w:val="00EF23F2"/>
    <w:rsid w:val="00EF2B51"/>
    <w:rsid w:val="00EF2C1C"/>
    <w:rsid w:val="00EF2DFB"/>
    <w:rsid w:val="00EF348E"/>
    <w:rsid w:val="00EF390D"/>
    <w:rsid w:val="00EF481A"/>
    <w:rsid w:val="00EF5287"/>
    <w:rsid w:val="00EF5E47"/>
    <w:rsid w:val="00EF63CF"/>
    <w:rsid w:val="00EF6F94"/>
    <w:rsid w:val="00EF71F5"/>
    <w:rsid w:val="00F00191"/>
    <w:rsid w:val="00F00501"/>
    <w:rsid w:val="00F00EFB"/>
    <w:rsid w:val="00F018C4"/>
    <w:rsid w:val="00F01A2B"/>
    <w:rsid w:val="00F01A92"/>
    <w:rsid w:val="00F023F5"/>
    <w:rsid w:val="00F02888"/>
    <w:rsid w:val="00F02B30"/>
    <w:rsid w:val="00F03057"/>
    <w:rsid w:val="00F03553"/>
    <w:rsid w:val="00F05621"/>
    <w:rsid w:val="00F06CF5"/>
    <w:rsid w:val="00F07620"/>
    <w:rsid w:val="00F0794E"/>
    <w:rsid w:val="00F10E40"/>
    <w:rsid w:val="00F11092"/>
    <w:rsid w:val="00F11655"/>
    <w:rsid w:val="00F1165B"/>
    <w:rsid w:val="00F119C4"/>
    <w:rsid w:val="00F11C2C"/>
    <w:rsid w:val="00F11F34"/>
    <w:rsid w:val="00F12BFD"/>
    <w:rsid w:val="00F136B0"/>
    <w:rsid w:val="00F1396F"/>
    <w:rsid w:val="00F13EDA"/>
    <w:rsid w:val="00F152F6"/>
    <w:rsid w:val="00F15BA6"/>
    <w:rsid w:val="00F166FB"/>
    <w:rsid w:val="00F16748"/>
    <w:rsid w:val="00F16A4D"/>
    <w:rsid w:val="00F17237"/>
    <w:rsid w:val="00F17290"/>
    <w:rsid w:val="00F17F10"/>
    <w:rsid w:val="00F203CC"/>
    <w:rsid w:val="00F2094E"/>
    <w:rsid w:val="00F20A42"/>
    <w:rsid w:val="00F212A4"/>
    <w:rsid w:val="00F21F3E"/>
    <w:rsid w:val="00F22531"/>
    <w:rsid w:val="00F2286D"/>
    <w:rsid w:val="00F228D3"/>
    <w:rsid w:val="00F22C70"/>
    <w:rsid w:val="00F22E83"/>
    <w:rsid w:val="00F23C22"/>
    <w:rsid w:val="00F23DEC"/>
    <w:rsid w:val="00F24480"/>
    <w:rsid w:val="00F248D7"/>
    <w:rsid w:val="00F255AA"/>
    <w:rsid w:val="00F257CE"/>
    <w:rsid w:val="00F25D5A"/>
    <w:rsid w:val="00F275E8"/>
    <w:rsid w:val="00F278AC"/>
    <w:rsid w:val="00F27A9D"/>
    <w:rsid w:val="00F30360"/>
    <w:rsid w:val="00F30381"/>
    <w:rsid w:val="00F30687"/>
    <w:rsid w:val="00F31494"/>
    <w:rsid w:val="00F327F9"/>
    <w:rsid w:val="00F329C1"/>
    <w:rsid w:val="00F32C43"/>
    <w:rsid w:val="00F33231"/>
    <w:rsid w:val="00F332DE"/>
    <w:rsid w:val="00F3369A"/>
    <w:rsid w:val="00F338E9"/>
    <w:rsid w:val="00F339B7"/>
    <w:rsid w:val="00F33EDA"/>
    <w:rsid w:val="00F340A8"/>
    <w:rsid w:val="00F3492F"/>
    <w:rsid w:val="00F34B63"/>
    <w:rsid w:val="00F35054"/>
    <w:rsid w:val="00F353C8"/>
    <w:rsid w:val="00F35759"/>
    <w:rsid w:val="00F35BAB"/>
    <w:rsid w:val="00F36369"/>
    <w:rsid w:val="00F36AE7"/>
    <w:rsid w:val="00F37099"/>
    <w:rsid w:val="00F37915"/>
    <w:rsid w:val="00F37BBC"/>
    <w:rsid w:val="00F40638"/>
    <w:rsid w:val="00F408C3"/>
    <w:rsid w:val="00F40DCC"/>
    <w:rsid w:val="00F40E07"/>
    <w:rsid w:val="00F41ADA"/>
    <w:rsid w:val="00F41FCF"/>
    <w:rsid w:val="00F423EC"/>
    <w:rsid w:val="00F43AB0"/>
    <w:rsid w:val="00F43D3D"/>
    <w:rsid w:val="00F44B38"/>
    <w:rsid w:val="00F45DB4"/>
    <w:rsid w:val="00F46F06"/>
    <w:rsid w:val="00F4778E"/>
    <w:rsid w:val="00F5029B"/>
    <w:rsid w:val="00F5178F"/>
    <w:rsid w:val="00F51944"/>
    <w:rsid w:val="00F51C38"/>
    <w:rsid w:val="00F52AAA"/>
    <w:rsid w:val="00F52FCD"/>
    <w:rsid w:val="00F55619"/>
    <w:rsid w:val="00F57140"/>
    <w:rsid w:val="00F578D3"/>
    <w:rsid w:val="00F578DB"/>
    <w:rsid w:val="00F57D76"/>
    <w:rsid w:val="00F57E0B"/>
    <w:rsid w:val="00F60055"/>
    <w:rsid w:val="00F6052A"/>
    <w:rsid w:val="00F60EF3"/>
    <w:rsid w:val="00F61163"/>
    <w:rsid w:val="00F619C3"/>
    <w:rsid w:val="00F62A46"/>
    <w:rsid w:val="00F63258"/>
    <w:rsid w:val="00F64E27"/>
    <w:rsid w:val="00F65869"/>
    <w:rsid w:val="00F65E2C"/>
    <w:rsid w:val="00F674EC"/>
    <w:rsid w:val="00F6796A"/>
    <w:rsid w:val="00F67ADE"/>
    <w:rsid w:val="00F70674"/>
    <w:rsid w:val="00F70A74"/>
    <w:rsid w:val="00F71154"/>
    <w:rsid w:val="00F7164E"/>
    <w:rsid w:val="00F71D78"/>
    <w:rsid w:val="00F72683"/>
    <w:rsid w:val="00F74919"/>
    <w:rsid w:val="00F7516F"/>
    <w:rsid w:val="00F76088"/>
    <w:rsid w:val="00F769A4"/>
    <w:rsid w:val="00F76C2C"/>
    <w:rsid w:val="00F80856"/>
    <w:rsid w:val="00F809AD"/>
    <w:rsid w:val="00F80C32"/>
    <w:rsid w:val="00F80DD6"/>
    <w:rsid w:val="00F81100"/>
    <w:rsid w:val="00F819D9"/>
    <w:rsid w:val="00F83086"/>
    <w:rsid w:val="00F8335C"/>
    <w:rsid w:val="00F83673"/>
    <w:rsid w:val="00F83897"/>
    <w:rsid w:val="00F83CF9"/>
    <w:rsid w:val="00F85278"/>
    <w:rsid w:val="00F85626"/>
    <w:rsid w:val="00F85995"/>
    <w:rsid w:val="00F87030"/>
    <w:rsid w:val="00F87110"/>
    <w:rsid w:val="00F87513"/>
    <w:rsid w:val="00F875DA"/>
    <w:rsid w:val="00F87686"/>
    <w:rsid w:val="00F87D63"/>
    <w:rsid w:val="00F87E19"/>
    <w:rsid w:val="00F9046E"/>
    <w:rsid w:val="00F90845"/>
    <w:rsid w:val="00F910ED"/>
    <w:rsid w:val="00F91585"/>
    <w:rsid w:val="00F91B6F"/>
    <w:rsid w:val="00F91CB1"/>
    <w:rsid w:val="00F91FF8"/>
    <w:rsid w:val="00F92669"/>
    <w:rsid w:val="00F92A9B"/>
    <w:rsid w:val="00F932A0"/>
    <w:rsid w:val="00F937EB"/>
    <w:rsid w:val="00F9453F"/>
    <w:rsid w:val="00F949E9"/>
    <w:rsid w:val="00F94A43"/>
    <w:rsid w:val="00F94C7A"/>
    <w:rsid w:val="00F95F16"/>
    <w:rsid w:val="00F96521"/>
    <w:rsid w:val="00F96525"/>
    <w:rsid w:val="00F968FA"/>
    <w:rsid w:val="00F96B89"/>
    <w:rsid w:val="00FA0030"/>
    <w:rsid w:val="00FA0943"/>
    <w:rsid w:val="00FA1289"/>
    <w:rsid w:val="00FA2E02"/>
    <w:rsid w:val="00FA3F8D"/>
    <w:rsid w:val="00FA41CD"/>
    <w:rsid w:val="00FA420F"/>
    <w:rsid w:val="00FA4A5C"/>
    <w:rsid w:val="00FA5119"/>
    <w:rsid w:val="00FA5296"/>
    <w:rsid w:val="00FA52E2"/>
    <w:rsid w:val="00FA5AD0"/>
    <w:rsid w:val="00FA6639"/>
    <w:rsid w:val="00FB0BFD"/>
    <w:rsid w:val="00FB1014"/>
    <w:rsid w:val="00FB138A"/>
    <w:rsid w:val="00FB1979"/>
    <w:rsid w:val="00FB1C62"/>
    <w:rsid w:val="00FB1FBF"/>
    <w:rsid w:val="00FB21C8"/>
    <w:rsid w:val="00FB23E2"/>
    <w:rsid w:val="00FB27AE"/>
    <w:rsid w:val="00FB2955"/>
    <w:rsid w:val="00FB34CE"/>
    <w:rsid w:val="00FB3E68"/>
    <w:rsid w:val="00FB41EC"/>
    <w:rsid w:val="00FB4366"/>
    <w:rsid w:val="00FB5C40"/>
    <w:rsid w:val="00FB6CF8"/>
    <w:rsid w:val="00FB7097"/>
    <w:rsid w:val="00FB7478"/>
    <w:rsid w:val="00FB751C"/>
    <w:rsid w:val="00FB7C88"/>
    <w:rsid w:val="00FB7F75"/>
    <w:rsid w:val="00FC14B6"/>
    <w:rsid w:val="00FC1C18"/>
    <w:rsid w:val="00FC1E7D"/>
    <w:rsid w:val="00FC2949"/>
    <w:rsid w:val="00FC2AC7"/>
    <w:rsid w:val="00FC2C14"/>
    <w:rsid w:val="00FC2F48"/>
    <w:rsid w:val="00FC3AC8"/>
    <w:rsid w:val="00FC3B06"/>
    <w:rsid w:val="00FC44E3"/>
    <w:rsid w:val="00FC4BBF"/>
    <w:rsid w:val="00FC5586"/>
    <w:rsid w:val="00FC5629"/>
    <w:rsid w:val="00FC577E"/>
    <w:rsid w:val="00FC72D5"/>
    <w:rsid w:val="00FD039D"/>
    <w:rsid w:val="00FD0636"/>
    <w:rsid w:val="00FD0704"/>
    <w:rsid w:val="00FD0DE9"/>
    <w:rsid w:val="00FD0F35"/>
    <w:rsid w:val="00FD1485"/>
    <w:rsid w:val="00FD1D02"/>
    <w:rsid w:val="00FD251E"/>
    <w:rsid w:val="00FD3700"/>
    <w:rsid w:val="00FD3A0F"/>
    <w:rsid w:val="00FD3CC8"/>
    <w:rsid w:val="00FD4641"/>
    <w:rsid w:val="00FD4ADB"/>
    <w:rsid w:val="00FD6086"/>
    <w:rsid w:val="00FD6AC2"/>
    <w:rsid w:val="00FD6E99"/>
    <w:rsid w:val="00FD77E8"/>
    <w:rsid w:val="00FD7877"/>
    <w:rsid w:val="00FE16BD"/>
    <w:rsid w:val="00FE1B74"/>
    <w:rsid w:val="00FE23A5"/>
    <w:rsid w:val="00FE3478"/>
    <w:rsid w:val="00FE3870"/>
    <w:rsid w:val="00FE3C71"/>
    <w:rsid w:val="00FE3CB0"/>
    <w:rsid w:val="00FE3FF5"/>
    <w:rsid w:val="00FE41B6"/>
    <w:rsid w:val="00FE4558"/>
    <w:rsid w:val="00FE45F8"/>
    <w:rsid w:val="00FE47F2"/>
    <w:rsid w:val="00FE4C7E"/>
    <w:rsid w:val="00FE4DF0"/>
    <w:rsid w:val="00FE505F"/>
    <w:rsid w:val="00FE5540"/>
    <w:rsid w:val="00FE6147"/>
    <w:rsid w:val="00FE6F51"/>
    <w:rsid w:val="00FE71C6"/>
    <w:rsid w:val="00FE7310"/>
    <w:rsid w:val="00FE7774"/>
    <w:rsid w:val="00FE78BC"/>
    <w:rsid w:val="00FF0BF4"/>
    <w:rsid w:val="00FF1386"/>
    <w:rsid w:val="00FF1C39"/>
    <w:rsid w:val="00FF3FD7"/>
    <w:rsid w:val="00FF4563"/>
    <w:rsid w:val="00FF5B62"/>
    <w:rsid w:val="00FF6CE7"/>
    <w:rsid w:val="00FF7278"/>
    <w:rsid w:val="00FF77F7"/>
    <w:rsid w:val="00FF7A0C"/>
    <w:rsid w:val="00FF7A9D"/>
    <w:rsid w:val="00FF7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3E714F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450A35"/>
    <w:pPr>
      <w:spacing w:line="240" w:lineRule="auto"/>
    </w:pPr>
    <w:rPr>
      <w:sz w:val="20"/>
      <w:szCs w:val="20"/>
      <w:lang w:val="en-AU"/>
    </w:rPr>
  </w:style>
  <w:style w:type="paragraph" w:styleId="Heading1">
    <w:name w:val="heading 1"/>
    <w:basedOn w:val="BodyText"/>
    <w:next w:val="BodyText"/>
    <w:link w:val="Heading1Char"/>
    <w:uiPriority w:val="9"/>
    <w:qFormat/>
    <w:rsid w:val="007F6FE5"/>
    <w:pPr>
      <w:keepNext/>
      <w:numPr>
        <w:numId w:val="1"/>
      </w:numPr>
      <w:spacing w:before="480" w:after="240"/>
      <w:ind w:left="851" w:hanging="851"/>
      <w:outlineLvl w:val="0"/>
    </w:pPr>
    <w:rPr>
      <w:b/>
      <w:color w:val="003478"/>
      <w:sz w:val="36"/>
      <w:szCs w:val="24"/>
      <w:lang w:val="en-AU" w:eastAsia="en-AU"/>
    </w:rPr>
  </w:style>
  <w:style w:type="paragraph" w:styleId="Heading2">
    <w:name w:val="heading 2"/>
    <w:basedOn w:val="Heading1"/>
    <w:next w:val="BodyText"/>
    <w:link w:val="Heading2Char"/>
    <w:uiPriority w:val="9"/>
    <w:qFormat/>
    <w:rsid w:val="00F05621"/>
    <w:pPr>
      <w:numPr>
        <w:ilvl w:val="1"/>
      </w:numPr>
      <w:spacing w:before="240" w:after="180"/>
      <w:outlineLvl w:val="1"/>
    </w:pPr>
    <w:rPr>
      <w:sz w:val="28"/>
    </w:rPr>
  </w:style>
  <w:style w:type="paragraph" w:styleId="Heading3">
    <w:name w:val="heading 3"/>
    <w:basedOn w:val="Heading2"/>
    <w:next w:val="BodyText"/>
    <w:link w:val="Heading3Char"/>
    <w:uiPriority w:val="9"/>
    <w:qFormat/>
    <w:rsid w:val="00396E6E"/>
    <w:pPr>
      <w:numPr>
        <w:ilvl w:val="2"/>
        <w:numId w:val="13"/>
      </w:numPr>
      <w:spacing w:after="240" w:line="240" w:lineRule="auto"/>
      <w:outlineLvl w:val="2"/>
    </w:pPr>
    <w:rPr>
      <w:sz w:val="22"/>
      <w:szCs w:val="22"/>
      <w:lang w:val="en-GB"/>
    </w:rPr>
  </w:style>
  <w:style w:type="paragraph" w:styleId="Heading4">
    <w:name w:val="heading 4"/>
    <w:basedOn w:val="Heading3"/>
    <w:next w:val="BodyText"/>
    <w:link w:val="Heading4Char"/>
    <w:uiPriority w:val="9"/>
    <w:qFormat/>
    <w:rsid w:val="00F119C4"/>
    <w:pPr>
      <w:numPr>
        <w:ilvl w:val="0"/>
        <w:numId w:val="0"/>
      </w:numPr>
      <w:spacing w:before="180" w:after="120"/>
      <w:outlineLvl w:val="3"/>
    </w:pPr>
    <w:rPr>
      <w:b w:val="0"/>
      <w:i/>
      <w:color w:val="5482AB"/>
      <w:lang w:val="en-NZ"/>
    </w:rPr>
  </w:style>
  <w:style w:type="paragraph" w:styleId="Heading5">
    <w:name w:val="heading 5"/>
    <w:basedOn w:val="Heading4"/>
    <w:next w:val="BodyText"/>
    <w:link w:val="Heading5Char"/>
    <w:uiPriority w:val="9"/>
    <w:qFormat/>
    <w:rsid w:val="000F2FAF"/>
    <w:pPr>
      <w:numPr>
        <w:ilvl w:val="4"/>
      </w:numPr>
      <w:outlineLvl w:val="4"/>
    </w:pPr>
    <w:rPr>
      <w:i w:val="0"/>
      <w:sz w:val="20"/>
      <w:szCs w:val="20"/>
    </w:rPr>
  </w:style>
  <w:style w:type="paragraph" w:styleId="Heading6">
    <w:name w:val="heading 6"/>
    <w:basedOn w:val="Heading5"/>
    <w:next w:val="BodyText"/>
    <w:link w:val="Heading6Char"/>
    <w:uiPriority w:val="9"/>
    <w:semiHidden/>
    <w:qFormat/>
    <w:rsid w:val="007F3C6F"/>
    <w:pPr>
      <w:numPr>
        <w:ilvl w:val="5"/>
      </w:numPr>
      <w:outlineLvl w:val="5"/>
    </w:pPr>
    <w:rPr>
      <w:rFonts w:asciiTheme="majorHAnsi" w:eastAsiaTheme="majorEastAsia" w:hAnsiTheme="majorHAnsi" w:cstheme="majorBidi"/>
      <w:iCs/>
      <w:sz w:val="16"/>
    </w:rPr>
  </w:style>
  <w:style w:type="paragraph" w:styleId="Heading7">
    <w:name w:val="heading 7"/>
    <w:basedOn w:val="Heading6"/>
    <w:next w:val="Normal"/>
    <w:link w:val="Heading7Char"/>
    <w:uiPriority w:val="9"/>
    <w:semiHidden/>
    <w:qFormat/>
    <w:rsid w:val="00A17849"/>
    <w:pPr>
      <w:numPr>
        <w:ilvl w:val="0"/>
      </w:numPr>
      <w:outlineLvl w:val="6"/>
    </w:pPr>
    <w:rPr>
      <w:i/>
      <w:iCs w:val="0"/>
      <w:color w:val="404040" w:themeColor="text1" w:themeTint="BF"/>
    </w:rPr>
  </w:style>
  <w:style w:type="paragraph" w:styleId="Heading8">
    <w:name w:val="heading 8"/>
    <w:basedOn w:val="Heading7"/>
    <w:next w:val="Normal"/>
    <w:link w:val="Heading8Char"/>
    <w:uiPriority w:val="9"/>
    <w:semiHidden/>
    <w:qFormat/>
    <w:rsid w:val="00A17849"/>
    <w:pPr>
      <w:numPr>
        <w:ilvl w:val="7"/>
      </w:numPr>
      <w:outlineLvl w:val="7"/>
    </w:pPr>
    <w:rPr>
      <w:color w:val="4F81BD" w:themeColor="accent1"/>
    </w:rPr>
  </w:style>
  <w:style w:type="paragraph" w:styleId="Heading9">
    <w:name w:val="heading 9"/>
    <w:basedOn w:val="Heading8"/>
    <w:next w:val="Normal"/>
    <w:link w:val="Heading9Char"/>
    <w:uiPriority w:val="9"/>
    <w:semiHidden/>
    <w:qFormat/>
    <w:rsid w:val="00A17849"/>
    <w:pPr>
      <w:numPr>
        <w:ilvl w:val="8"/>
      </w:numPr>
      <w:outlineLvl w:val="8"/>
    </w:pPr>
    <w:rPr>
      <w:i w:val="0"/>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FE5"/>
    <w:rPr>
      <w:rFonts w:ascii="Arial" w:eastAsia="Arial" w:hAnsi="Arial" w:cs="Arial"/>
      <w:b/>
      <w:color w:val="003478"/>
      <w:sz w:val="36"/>
      <w:szCs w:val="24"/>
      <w:lang w:val="en-AU" w:eastAsia="en-AU"/>
    </w:rPr>
  </w:style>
  <w:style w:type="character" w:customStyle="1" w:styleId="Heading2Char">
    <w:name w:val="Heading 2 Char"/>
    <w:basedOn w:val="DefaultParagraphFont"/>
    <w:link w:val="Heading2"/>
    <w:uiPriority w:val="9"/>
    <w:rsid w:val="00F05621"/>
    <w:rPr>
      <w:rFonts w:ascii="Arial" w:eastAsia="Arial" w:hAnsi="Arial" w:cs="Arial"/>
      <w:b/>
      <w:color w:val="003478"/>
      <w:sz w:val="28"/>
      <w:szCs w:val="24"/>
      <w:lang w:val="en-AU" w:eastAsia="en-AU"/>
    </w:rPr>
  </w:style>
  <w:style w:type="character" w:customStyle="1" w:styleId="Heading3Char">
    <w:name w:val="Heading 3 Char"/>
    <w:basedOn w:val="DefaultParagraphFont"/>
    <w:link w:val="Heading3"/>
    <w:uiPriority w:val="9"/>
    <w:rsid w:val="00396E6E"/>
    <w:rPr>
      <w:rFonts w:ascii="Arial" w:eastAsia="Arial" w:hAnsi="Arial" w:cs="Arial"/>
      <w:b/>
      <w:color w:val="003478"/>
      <w:lang w:val="en-GB" w:eastAsia="en-AU"/>
    </w:rPr>
  </w:style>
  <w:style w:type="character" w:customStyle="1" w:styleId="Heading4Char">
    <w:name w:val="Heading 4 Char"/>
    <w:basedOn w:val="DefaultParagraphFont"/>
    <w:link w:val="Heading4"/>
    <w:uiPriority w:val="9"/>
    <w:rsid w:val="00F119C4"/>
    <w:rPr>
      <w:rFonts w:ascii="Arial" w:eastAsia="Arial" w:hAnsi="Arial" w:cs="Arial"/>
      <w:i/>
      <w:color w:val="5482AB"/>
      <w:lang w:val="en-NZ" w:eastAsia="en-AU"/>
    </w:rPr>
  </w:style>
  <w:style w:type="character" w:customStyle="1" w:styleId="Heading5Char">
    <w:name w:val="Heading 5 Char"/>
    <w:basedOn w:val="DefaultParagraphFont"/>
    <w:link w:val="Heading5"/>
    <w:uiPriority w:val="9"/>
    <w:rsid w:val="000F2FAF"/>
    <w:rPr>
      <w:rFonts w:ascii="Arial" w:eastAsia="Arial" w:hAnsi="Arial" w:cs="Arial"/>
      <w:color w:val="049CD5"/>
      <w:sz w:val="20"/>
      <w:szCs w:val="20"/>
      <w:lang w:val="en-GB" w:eastAsia="en-AU"/>
    </w:rPr>
  </w:style>
  <w:style w:type="character" w:customStyle="1" w:styleId="Heading6Char">
    <w:name w:val="Heading 6 Char"/>
    <w:basedOn w:val="DefaultParagraphFont"/>
    <w:link w:val="Heading6"/>
    <w:uiPriority w:val="9"/>
    <w:semiHidden/>
    <w:rsid w:val="007F3C6F"/>
    <w:rPr>
      <w:rFonts w:asciiTheme="majorHAnsi" w:eastAsiaTheme="majorEastAsia" w:hAnsiTheme="majorHAnsi" w:cstheme="majorBidi"/>
      <w:i/>
      <w:iCs/>
      <w:color w:val="049CD5"/>
      <w:spacing w:val="-3"/>
      <w:sz w:val="16"/>
      <w:szCs w:val="24"/>
      <w:lang w:val="en-GB" w:eastAsia="en-AU"/>
    </w:rPr>
  </w:style>
  <w:style w:type="paragraph" w:styleId="BodyText">
    <w:name w:val="Body Text"/>
    <w:basedOn w:val="Normal"/>
    <w:link w:val="BodyTextChar"/>
    <w:qFormat/>
    <w:rsid w:val="007C50E3"/>
    <w:pPr>
      <w:autoSpaceDE w:val="0"/>
      <w:autoSpaceDN w:val="0"/>
      <w:adjustRightInd w:val="0"/>
      <w:spacing w:before="120" w:after="120" w:line="260" w:lineRule="atLeast"/>
    </w:pPr>
    <w:rPr>
      <w:rFonts w:ascii="Arial" w:eastAsia="Arial" w:hAnsi="Arial" w:cs="Arial"/>
      <w:szCs w:val="19"/>
      <w:lang w:val="en-US"/>
    </w:rPr>
  </w:style>
  <w:style w:type="character" w:customStyle="1" w:styleId="BodyTextChar">
    <w:name w:val="Body Text Char"/>
    <w:basedOn w:val="DefaultParagraphFont"/>
    <w:link w:val="BodyText"/>
    <w:rsid w:val="007C50E3"/>
    <w:rPr>
      <w:rFonts w:ascii="Arial" w:eastAsia="Arial" w:hAnsi="Arial" w:cs="Arial"/>
      <w:sz w:val="20"/>
      <w:szCs w:val="19"/>
    </w:rPr>
  </w:style>
  <w:style w:type="paragraph" w:customStyle="1" w:styleId="AppendixHeading">
    <w:name w:val="Appendix Heading"/>
    <w:basedOn w:val="BodyText"/>
    <w:next w:val="BodyText"/>
    <w:uiPriority w:val="99"/>
    <w:rsid w:val="00DE518F"/>
    <w:pPr>
      <w:pageBreakBefore/>
      <w:spacing w:before="0" w:after="0"/>
      <w:outlineLvl w:val="6"/>
    </w:pPr>
    <w:rPr>
      <w:b/>
      <w:color w:val="4FAA5F"/>
      <w:sz w:val="36"/>
    </w:rPr>
  </w:style>
  <w:style w:type="numbering" w:customStyle="1" w:styleId="Headings">
    <w:name w:val="Headings"/>
    <w:uiPriority w:val="99"/>
    <w:rsid w:val="007F3C6F"/>
    <w:pPr>
      <w:numPr>
        <w:numId w:val="2"/>
      </w:numPr>
    </w:pPr>
  </w:style>
  <w:style w:type="paragraph" w:customStyle="1" w:styleId="m5102282936702315920msolistparagraph">
    <w:name w:val="m_5102282936702315920msolistparagraph"/>
    <w:basedOn w:val="Normal"/>
    <w:rsid w:val="007F3C6F"/>
    <w:pPr>
      <w:spacing w:before="100" w:beforeAutospacing="1" w:after="100" w:afterAutospacing="1"/>
    </w:pPr>
    <w:rPr>
      <w:rFonts w:ascii="Times New Roman" w:eastAsia="Times New Roman" w:hAnsi="Times New Roman" w:cs="Times New Roman"/>
      <w:sz w:val="24"/>
      <w:szCs w:val="24"/>
      <w:lang w:val="en-US"/>
    </w:rPr>
  </w:style>
  <w:style w:type="character" w:styleId="Hyperlink">
    <w:name w:val="Hyperlink"/>
    <w:basedOn w:val="DefaultParagraphFont"/>
    <w:uiPriority w:val="99"/>
    <w:rsid w:val="00742FAF"/>
    <w:rPr>
      <w:color w:val="0000FF"/>
      <w:u w:val="single"/>
    </w:rPr>
  </w:style>
  <w:style w:type="character" w:customStyle="1" w:styleId="aqj">
    <w:name w:val="aqj"/>
    <w:basedOn w:val="DefaultParagraphFont"/>
    <w:rsid w:val="00742FAF"/>
  </w:style>
  <w:style w:type="paragraph" w:styleId="Caption">
    <w:name w:val="caption"/>
    <w:basedOn w:val="Normal"/>
    <w:next w:val="Normal"/>
    <w:link w:val="CaptionChar"/>
    <w:uiPriority w:val="35"/>
    <w:unhideWhenUsed/>
    <w:qFormat/>
    <w:rsid w:val="009822E0"/>
    <w:pPr>
      <w:keepNext/>
      <w:spacing w:before="240"/>
    </w:pPr>
    <w:rPr>
      <w:rFonts w:ascii="Arial" w:hAnsi="Arial" w:cs="Arial"/>
      <w:b/>
      <w:bCs/>
      <w:color w:val="003478"/>
      <w:szCs w:val="18"/>
      <w:lang w:val="en-NZ"/>
    </w:rPr>
  </w:style>
  <w:style w:type="paragraph" w:styleId="BalloonText">
    <w:name w:val="Balloon Text"/>
    <w:basedOn w:val="Normal"/>
    <w:link w:val="BalloonTextChar"/>
    <w:uiPriority w:val="99"/>
    <w:semiHidden/>
    <w:unhideWhenUsed/>
    <w:rsid w:val="0041274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74C"/>
    <w:rPr>
      <w:rFonts w:ascii="Tahoma" w:hAnsi="Tahoma" w:cs="Tahoma"/>
      <w:sz w:val="16"/>
      <w:szCs w:val="16"/>
      <w:lang w:val="en-AU"/>
    </w:rPr>
  </w:style>
  <w:style w:type="paragraph" w:customStyle="1" w:styleId="Default">
    <w:name w:val="Default"/>
    <w:rsid w:val="00A97E08"/>
    <w:pPr>
      <w:autoSpaceDE w:val="0"/>
      <w:autoSpaceDN w:val="0"/>
      <w:adjustRightInd w:val="0"/>
      <w:spacing w:after="0" w:line="240" w:lineRule="auto"/>
    </w:pPr>
    <w:rPr>
      <w:rFonts w:ascii="Calisto MT" w:hAnsi="Calisto MT" w:cs="Calisto MT"/>
      <w:color w:val="000000"/>
      <w:sz w:val="24"/>
      <w:szCs w:val="24"/>
    </w:rPr>
  </w:style>
  <w:style w:type="paragraph" w:styleId="NormalWeb">
    <w:name w:val="Normal (Web)"/>
    <w:basedOn w:val="Normal"/>
    <w:uiPriority w:val="99"/>
    <w:unhideWhenUsed/>
    <w:rsid w:val="00F819D9"/>
    <w:pPr>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6"/>
    <w:qFormat/>
    <w:rsid w:val="00E61315"/>
    <w:rPr>
      <w:bCs/>
    </w:rPr>
  </w:style>
  <w:style w:type="character" w:customStyle="1" w:styleId="il">
    <w:name w:val="il"/>
    <w:basedOn w:val="DefaultParagraphFont"/>
    <w:rsid w:val="007D7F7E"/>
  </w:style>
  <w:style w:type="paragraph" w:styleId="CommentText">
    <w:name w:val="annotation text"/>
    <w:basedOn w:val="Normal"/>
    <w:link w:val="CommentTextChar"/>
    <w:uiPriority w:val="99"/>
    <w:unhideWhenUsed/>
    <w:rsid w:val="00330207"/>
  </w:style>
  <w:style w:type="character" w:customStyle="1" w:styleId="CommentTextChar">
    <w:name w:val="Comment Text Char"/>
    <w:basedOn w:val="DefaultParagraphFont"/>
    <w:link w:val="CommentText"/>
    <w:uiPriority w:val="99"/>
    <w:rsid w:val="00330207"/>
    <w:rPr>
      <w:sz w:val="20"/>
      <w:szCs w:val="20"/>
      <w:lang w:val="en-AU"/>
    </w:rPr>
  </w:style>
  <w:style w:type="character" w:styleId="CommentReference">
    <w:name w:val="annotation reference"/>
    <w:basedOn w:val="DefaultParagraphFont"/>
    <w:uiPriority w:val="99"/>
    <w:semiHidden/>
    <w:unhideWhenUsed/>
    <w:rsid w:val="00330207"/>
    <w:rPr>
      <w:sz w:val="16"/>
      <w:szCs w:val="16"/>
    </w:rPr>
  </w:style>
  <w:style w:type="table" w:styleId="TableGrid">
    <w:name w:val="Table Grid"/>
    <w:basedOn w:val="TableNormal"/>
    <w:rsid w:val="00330207"/>
    <w:pPr>
      <w:spacing w:before="77" w:after="113" w:line="250" w:lineRule="exact"/>
    </w:pPr>
    <w:rPr>
      <w:sz w:val="20"/>
      <w:szCs w:val="20"/>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E26ED"/>
    <w:pPr>
      <w:spacing w:after="0" w:line="240" w:lineRule="auto"/>
    </w:pPr>
    <w:rPr>
      <w:rFonts w:eastAsiaTheme="minorEastAsia"/>
    </w:rPr>
  </w:style>
  <w:style w:type="character" w:customStyle="1" w:styleId="NoSpacingChar">
    <w:name w:val="No Spacing Char"/>
    <w:basedOn w:val="DefaultParagraphFont"/>
    <w:link w:val="NoSpacing"/>
    <w:uiPriority w:val="1"/>
    <w:rsid w:val="008E26ED"/>
    <w:rPr>
      <w:rFonts w:eastAsiaTheme="minorEastAsia"/>
    </w:rPr>
  </w:style>
  <w:style w:type="paragraph" w:styleId="TOCHeading">
    <w:name w:val="TOC Heading"/>
    <w:basedOn w:val="Heading1"/>
    <w:next w:val="BodyText"/>
    <w:uiPriority w:val="39"/>
    <w:qFormat/>
    <w:rsid w:val="008E26ED"/>
    <w:pPr>
      <w:spacing w:before="100" w:beforeAutospacing="1" w:after="480"/>
      <w:outlineLvl w:val="9"/>
    </w:pPr>
  </w:style>
  <w:style w:type="paragraph" w:styleId="TOC2">
    <w:name w:val="toc 2"/>
    <w:basedOn w:val="Normal"/>
    <w:next w:val="Normal"/>
    <w:autoRedefine/>
    <w:uiPriority w:val="39"/>
    <w:unhideWhenUsed/>
    <w:rsid w:val="00396E6E"/>
    <w:pPr>
      <w:tabs>
        <w:tab w:val="left" w:pos="993"/>
        <w:tab w:val="right" w:leader="dot" w:pos="9017"/>
      </w:tabs>
      <w:spacing w:before="100" w:after="100" w:line="259" w:lineRule="auto"/>
      <w:ind w:left="993" w:hanging="567"/>
    </w:pPr>
    <w:rPr>
      <w:rFonts w:ascii="Arial" w:eastAsiaTheme="minorEastAsia" w:hAnsi="Arial" w:cs="Arial"/>
      <w:noProof/>
      <w:lang w:val="en-US"/>
    </w:rPr>
  </w:style>
  <w:style w:type="paragraph" w:styleId="TOC1">
    <w:name w:val="toc 1"/>
    <w:basedOn w:val="Normal"/>
    <w:next w:val="Normal"/>
    <w:autoRedefine/>
    <w:uiPriority w:val="39"/>
    <w:unhideWhenUsed/>
    <w:rsid w:val="007C50E3"/>
    <w:pPr>
      <w:tabs>
        <w:tab w:val="left" w:pos="440"/>
        <w:tab w:val="right" w:leader="dot" w:pos="9017"/>
      </w:tabs>
      <w:spacing w:before="240" w:after="120" w:line="259" w:lineRule="auto"/>
    </w:pPr>
    <w:rPr>
      <w:rFonts w:ascii="Arial Bold" w:eastAsiaTheme="minorEastAsia" w:hAnsi="Arial Bold" w:cs="Arial"/>
      <w:b/>
      <w:noProof/>
      <w:spacing w:val="-4"/>
      <w:lang w:val="en-GB"/>
    </w:rPr>
  </w:style>
  <w:style w:type="paragraph" w:styleId="TOC3">
    <w:name w:val="toc 3"/>
    <w:basedOn w:val="Normal"/>
    <w:next w:val="Normal"/>
    <w:autoRedefine/>
    <w:uiPriority w:val="39"/>
    <w:unhideWhenUsed/>
    <w:rsid w:val="00374C27"/>
    <w:pPr>
      <w:tabs>
        <w:tab w:val="left" w:pos="1760"/>
        <w:tab w:val="right" w:leader="dot" w:pos="9017"/>
      </w:tabs>
      <w:spacing w:after="60"/>
      <w:ind w:left="1701" w:hanging="709"/>
    </w:pPr>
    <w:rPr>
      <w:rFonts w:ascii="Arial" w:eastAsiaTheme="minorEastAsia" w:hAnsi="Arial" w:cs="Arial"/>
      <w:noProof/>
      <w:lang w:val="en-US"/>
      <w14:scene3d>
        <w14:camera w14:prst="orthographicFront"/>
        <w14:lightRig w14:rig="threePt" w14:dir="t">
          <w14:rot w14:lat="0" w14:lon="0" w14:rev="0"/>
        </w14:lightRig>
      </w14:scene3d>
    </w:rPr>
  </w:style>
  <w:style w:type="paragraph" w:customStyle="1" w:styleId="BodyBullets">
    <w:name w:val="Body Bullets"/>
    <w:uiPriority w:val="99"/>
    <w:semiHidden/>
    <w:rsid w:val="00C55087"/>
    <w:pPr>
      <w:numPr>
        <w:numId w:val="4"/>
      </w:numPr>
      <w:tabs>
        <w:tab w:val="left" w:pos="284"/>
      </w:tabs>
      <w:spacing w:before="57" w:after="113" w:line="250" w:lineRule="atLeast"/>
    </w:pPr>
    <w:rPr>
      <w:rFonts w:ascii="Arial" w:hAnsi="Arial"/>
      <w:color w:val="000000"/>
      <w:sz w:val="20"/>
      <w:szCs w:val="20"/>
      <w:lang w:val="en-AU"/>
    </w:rPr>
  </w:style>
  <w:style w:type="paragraph" w:styleId="FootnoteText">
    <w:name w:val="footnote text"/>
    <w:aliases w:val="(NECG) Footnote Text,ALTS FOOTNOTE,ALTS FOOTNOTE Char Char Char,single space,Fußnotentextf,Footnote text,fn,Schriftart: 9 pt,Schriftart: 10 pt,Schriftart: 8 pt,WB-Fußnotentext,Footnote Text2,Footnote Text11,ALTS FOOTNOTE11,ALTS FOOTNOTE2,f"/>
    <w:basedOn w:val="Normal"/>
    <w:link w:val="FootnoteTextChar"/>
    <w:uiPriority w:val="99"/>
    <w:unhideWhenUsed/>
    <w:qFormat/>
    <w:rsid w:val="008E377F"/>
    <w:pPr>
      <w:spacing w:after="0"/>
    </w:pPr>
    <w:rPr>
      <w:rFonts w:ascii="Arial" w:hAnsi="Arial"/>
      <w:sz w:val="18"/>
    </w:rPr>
  </w:style>
  <w:style w:type="character" w:customStyle="1" w:styleId="FootnoteTextChar">
    <w:name w:val="Footnote Text Char"/>
    <w:aliases w:val="(NECG) Footnote Text Char,ALTS FOOTNOTE Char,ALTS FOOTNOTE Char Char Char Char,single space Char,Fußnotentextf Char,Footnote text Char,fn Char,Schriftart: 9 pt Char,Schriftart: 10 pt Char,Schriftart: 8 pt Char,WB-Fußnotentext Char"/>
    <w:basedOn w:val="DefaultParagraphFont"/>
    <w:link w:val="FootnoteText"/>
    <w:uiPriority w:val="99"/>
    <w:rsid w:val="008E377F"/>
    <w:rPr>
      <w:rFonts w:ascii="Arial" w:hAnsi="Arial"/>
      <w:sz w:val="18"/>
      <w:szCs w:val="20"/>
      <w:lang w:val="en-AU"/>
    </w:rPr>
  </w:style>
  <w:style w:type="character" w:styleId="FootnoteReference">
    <w:name w:val="footnote reference"/>
    <w:aliases w:val="(NECG) Footnote Reference,Footnote symbol,Footnote,Voetnootverwijzing,Times 10 Point,Exposant 3 Point,Appel note de bas de p,BVI fnr,Footnote Reference Superscript,Footnote symboFußnotenzeichen,Footnote sign,EN Footnote Reference,fr,o"/>
    <w:basedOn w:val="DefaultParagraphFont"/>
    <w:uiPriority w:val="99"/>
    <w:unhideWhenUsed/>
    <w:qFormat/>
    <w:rsid w:val="00C55087"/>
    <w:rPr>
      <w:vertAlign w:val="superscript"/>
    </w:rPr>
  </w:style>
  <w:style w:type="character" w:styleId="SubtleEmphasis">
    <w:name w:val="Subtle Emphasis"/>
    <w:basedOn w:val="DefaultParagraphFont"/>
    <w:uiPriority w:val="99"/>
    <w:qFormat/>
    <w:rsid w:val="00E4216B"/>
    <w:rPr>
      <w:iCs/>
      <w:sz w:val="22"/>
      <w:szCs w:val="22"/>
    </w:rPr>
  </w:style>
  <w:style w:type="paragraph" w:styleId="Header">
    <w:name w:val="header"/>
    <w:basedOn w:val="Normal"/>
    <w:link w:val="HeaderChar"/>
    <w:uiPriority w:val="99"/>
    <w:unhideWhenUsed/>
    <w:rsid w:val="00E4216B"/>
    <w:pPr>
      <w:tabs>
        <w:tab w:val="center" w:pos="4680"/>
        <w:tab w:val="right" w:pos="9360"/>
      </w:tabs>
      <w:spacing w:after="0"/>
    </w:pPr>
  </w:style>
  <w:style w:type="character" w:customStyle="1" w:styleId="HeaderChar">
    <w:name w:val="Header Char"/>
    <w:basedOn w:val="DefaultParagraphFont"/>
    <w:link w:val="Header"/>
    <w:uiPriority w:val="99"/>
    <w:rsid w:val="00E4216B"/>
    <w:rPr>
      <w:sz w:val="20"/>
      <w:szCs w:val="20"/>
      <w:lang w:val="en-AU"/>
    </w:rPr>
  </w:style>
  <w:style w:type="paragraph" w:styleId="Footer">
    <w:name w:val="footer"/>
    <w:basedOn w:val="Normal"/>
    <w:link w:val="FooterChar"/>
    <w:uiPriority w:val="99"/>
    <w:unhideWhenUsed/>
    <w:rsid w:val="00E4216B"/>
    <w:pPr>
      <w:tabs>
        <w:tab w:val="center" w:pos="4680"/>
        <w:tab w:val="right" w:pos="9360"/>
      </w:tabs>
      <w:spacing w:after="0"/>
    </w:pPr>
  </w:style>
  <w:style w:type="character" w:customStyle="1" w:styleId="FooterChar">
    <w:name w:val="Footer Char"/>
    <w:basedOn w:val="DefaultParagraphFont"/>
    <w:link w:val="Footer"/>
    <w:uiPriority w:val="99"/>
    <w:rsid w:val="00E4216B"/>
    <w:rPr>
      <w:sz w:val="20"/>
      <w:szCs w:val="20"/>
      <w:lang w:val="en-AU"/>
    </w:rPr>
  </w:style>
  <w:style w:type="paragraph" w:styleId="ListParagraph">
    <w:name w:val="List Paragraph"/>
    <w:aliases w:val="Bullet Level 1,List Paragraph1,Recommendation,Body text,Figure_name,Numbered Indented Text,Bullet- First level,List NUmber,Listenabsatz1,lp1,List Paragraph11,NAST Quote,Bullet point,List Paragraph Number,L,Bullet Point,standard lewis"/>
    <w:basedOn w:val="BodyText"/>
    <w:link w:val="ListParagraphChar"/>
    <w:uiPriority w:val="34"/>
    <w:qFormat/>
    <w:rsid w:val="00C16CA8"/>
    <w:pPr>
      <w:numPr>
        <w:numId w:val="47"/>
      </w:numPr>
      <w:autoSpaceDE/>
      <w:autoSpaceDN/>
      <w:adjustRightInd/>
      <w:spacing w:before="60" w:after="60"/>
    </w:pPr>
    <w:rPr>
      <w:lang w:val="en-AU"/>
    </w:rPr>
  </w:style>
  <w:style w:type="paragraph" w:customStyle="1" w:styleId="ListParagraph2">
    <w:name w:val="List Paragraph 2"/>
    <w:basedOn w:val="BodyText"/>
    <w:uiPriority w:val="99"/>
    <w:rsid w:val="000F6217"/>
    <w:pPr>
      <w:numPr>
        <w:ilvl w:val="1"/>
        <w:numId w:val="3"/>
      </w:numPr>
    </w:pPr>
    <w:rPr>
      <w:lang w:val="en-GB" w:eastAsia="en-AU"/>
    </w:rPr>
  </w:style>
  <w:style w:type="paragraph" w:customStyle="1" w:styleId="Heading0">
    <w:name w:val="Heading 0"/>
    <w:basedOn w:val="Heading1"/>
    <w:uiPriority w:val="99"/>
    <w:rsid w:val="000F6217"/>
    <w:pPr>
      <w:numPr>
        <w:numId w:val="0"/>
      </w:numPr>
      <w:ind w:left="454" w:hanging="454"/>
    </w:pPr>
    <w:rPr>
      <w:sz w:val="26"/>
      <w:szCs w:val="26"/>
    </w:rPr>
  </w:style>
  <w:style w:type="paragraph" w:customStyle="1" w:styleId="Emphasis1">
    <w:name w:val="Emphasis 1"/>
    <w:uiPriority w:val="99"/>
    <w:rsid w:val="00687D28"/>
    <w:pPr>
      <w:spacing w:line="240" w:lineRule="auto"/>
    </w:pPr>
    <w:rPr>
      <w:rFonts w:ascii="Arial" w:hAnsi="Arial" w:cstheme="minorHAnsi"/>
      <w:b/>
      <w:color w:val="4FAA5F"/>
      <w:spacing w:val="-3"/>
      <w:sz w:val="24"/>
      <w:szCs w:val="24"/>
      <w:lang w:val="en-AU"/>
    </w:rPr>
  </w:style>
  <w:style w:type="character" w:customStyle="1" w:styleId="Heading7Char">
    <w:name w:val="Heading 7 Char"/>
    <w:basedOn w:val="DefaultParagraphFont"/>
    <w:link w:val="Heading7"/>
    <w:uiPriority w:val="9"/>
    <w:semiHidden/>
    <w:rsid w:val="00A17849"/>
    <w:rPr>
      <w:rFonts w:asciiTheme="majorHAnsi" w:eastAsiaTheme="majorEastAsia" w:hAnsiTheme="majorHAnsi" w:cstheme="majorBidi"/>
      <w:b/>
      <w:i/>
      <w:color w:val="404040" w:themeColor="text1" w:themeTint="BF"/>
      <w:sz w:val="16"/>
      <w:szCs w:val="24"/>
      <w:lang w:val="en-AU"/>
    </w:rPr>
  </w:style>
  <w:style w:type="character" w:customStyle="1" w:styleId="Heading8Char">
    <w:name w:val="Heading 8 Char"/>
    <w:basedOn w:val="DefaultParagraphFont"/>
    <w:link w:val="Heading8"/>
    <w:uiPriority w:val="9"/>
    <w:semiHidden/>
    <w:rsid w:val="00A17849"/>
    <w:rPr>
      <w:rFonts w:asciiTheme="majorHAnsi" w:eastAsiaTheme="majorEastAsia" w:hAnsiTheme="majorHAnsi" w:cstheme="majorBidi"/>
      <w:b/>
      <w:i/>
      <w:color w:val="4F81BD" w:themeColor="accent1"/>
      <w:sz w:val="16"/>
      <w:szCs w:val="24"/>
      <w:lang w:val="en-AU"/>
    </w:rPr>
  </w:style>
  <w:style w:type="character" w:customStyle="1" w:styleId="Heading9Char">
    <w:name w:val="Heading 9 Char"/>
    <w:basedOn w:val="DefaultParagraphFont"/>
    <w:link w:val="Heading9"/>
    <w:uiPriority w:val="9"/>
    <w:semiHidden/>
    <w:rsid w:val="00A17849"/>
    <w:rPr>
      <w:rFonts w:asciiTheme="majorHAnsi" w:eastAsiaTheme="majorEastAsia" w:hAnsiTheme="majorHAnsi" w:cstheme="majorBidi"/>
      <w:b/>
      <w:iCs/>
      <w:color w:val="404040" w:themeColor="text1" w:themeTint="BF"/>
      <w:sz w:val="16"/>
      <w:szCs w:val="24"/>
      <w:lang w:val="en-AU"/>
    </w:rPr>
  </w:style>
  <w:style w:type="paragraph" w:customStyle="1" w:styleId="BodyCopy">
    <w:name w:val="Body Copy"/>
    <w:link w:val="BodyCopyChar"/>
    <w:uiPriority w:val="99"/>
    <w:semiHidden/>
    <w:rsid w:val="00A17849"/>
    <w:pPr>
      <w:suppressAutoHyphens/>
      <w:autoSpaceDE w:val="0"/>
      <w:autoSpaceDN w:val="0"/>
      <w:adjustRightInd w:val="0"/>
      <w:spacing w:before="77" w:after="113" w:line="250" w:lineRule="atLeast"/>
      <w:textAlignment w:val="center"/>
    </w:pPr>
    <w:rPr>
      <w:rFonts w:ascii="Arial" w:hAnsi="Arial" w:cs="Arial (TT)"/>
      <w:color w:val="000000"/>
      <w:sz w:val="20"/>
      <w:szCs w:val="20"/>
      <w:lang w:val="en-GB"/>
    </w:rPr>
  </w:style>
  <w:style w:type="character" w:customStyle="1" w:styleId="BodyCopyChar">
    <w:name w:val="Body Copy Char"/>
    <w:basedOn w:val="DefaultParagraphFont"/>
    <w:link w:val="BodyCopy"/>
    <w:uiPriority w:val="99"/>
    <w:semiHidden/>
    <w:rsid w:val="00A17849"/>
    <w:rPr>
      <w:rFonts w:ascii="Arial" w:hAnsi="Arial" w:cs="Arial (TT)"/>
      <w:color w:val="000000"/>
      <w:sz w:val="20"/>
      <w:szCs w:val="20"/>
      <w:lang w:val="en-GB"/>
    </w:rPr>
  </w:style>
  <w:style w:type="paragraph" w:customStyle="1" w:styleId="Address">
    <w:name w:val="Address"/>
    <w:link w:val="AddressChar"/>
    <w:uiPriority w:val="99"/>
    <w:semiHidden/>
    <w:rsid w:val="00A17849"/>
    <w:pPr>
      <w:spacing w:line="210" w:lineRule="exact"/>
    </w:pPr>
    <w:rPr>
      <w:rFonts w:ascii="Arial" w:hAnsi="Arial" w:cs="Arial"/>
      <w:sz w:val="18"/>
      <w:szCs w:val="18"/>
      <w:lang w:val="en-AU"/>
    </w:rPr>
  </w:style>
  <w:style w:type="character" w:customStyle="1" w:styleId="AddressChar">
    <w:name w:val="Address Char"/>
    <w:basedOn w:val="DefaultParagraphFont"/>
    <w:link w:val="Address"/>
    <w:uiPriority w:val="99"/>
    <w:semiHidden/>
    <w:rsid w:val="00A17849"/>
    <w:rPr>
      <w:rFonts w:ascii="Arial" w:hAnsi="Arial" w:cs="Arial"/>
      <w:sz w:val="18"/>
      <w:szCs w:val="18"/>
      <w:lang w:val="en-AU"/>
    </w:rPr>
  </w:style>
  <w:style w:type="paragraph" w:customStyle="1" w:styleId="Company">
    <w:name w:val="Company"/>
    <w:link w:val="CompanyChar"/>
    <w:uiPriority w:val="99"/>
    <w:semiHidden/>
    <w:rsid w:val="00A17849"/>
    <w:pPr>
      <w:spacing w:line="240" w:lineRule="auto"/>
    </w:pPr>
    <w:rPr>
      <w:rFonts w:ascii="Arial" w:hAnsi="Arial" w:cs="Arial"/>
      <w:b/>
      <w:sz w:val="18"/>
      <w:szCs w:val="18"/>
      <w:lang w:val="en-AU"/>
    </w:rPr>
  </w:style>
  <w:style w:type="character" w:customStyle="1" w:styleId="CompanyChar">
    <w:name w:val="Company Char"/>
    <w:basedOn w:val="AddressChar"/>
    <w:link w:val="Company"/>
    <w:uiPriority w:val="99"/>
    <w:semiHidden/>
    <w:rsid w:val="00A17849"/>
    <w:rPr>
      <w:rFonts w:ascii="Arial" w:hAnsi="Arial" w:cs="Arial"/>
      <w:b/>
      <w:sz w:val="18"/>
      <w:szCs w:val="18"/>
      <w:lang w:val="en-AU"/>
    </w:rPr>
  </w:style>
  <w:style w:type="paragraph" w:customStyle="1" w:styleId="Name">
    <w:name w:val="Name"/>
    <w:uiPriority w:val="99"/>
    <w:semiHidden/>
    <w:rsid w:val="00A17849"/>
    <w:pPr>
      <w:spacing w:line="240" w:lineRule="exact"/>
    </w:pPr>
    <w:rPr>
      <w:rFonts w:ascii="Arial" w:hAnsi="Arial" w:cs="Arial"/>
      <w:b/>
      <w:sz w:val="18"/>
      <w:szCs w:val="18"/>
      <w:lang w:val="en-AU"/>
    </w:rPr>
  </w:style>
  <w:style w:type="character" w:styleId="PageNumber">
    <w:name w:val="page number"/>
    <w:basedOn w:val="DefaultParagraphFont"/>
    <w:uiPriority w:val="99"/>
    <w:semiHidden/>
    <w:rsid w:val="00A17849"/>
    <w:rPr>
      <w:rFonts w:ascii="Arial" w:hAnsi="Arial"/>
      <w:sz w:val="18"/>
    </w:rPr>
  </w:style>
  <w:style w:type="paragraph" w:customStyle="1" w:styleId="FeatureText">
    <w:name w:val="Feature Text"/>
    <w:uiPriority w:val="99"/>
    <w:semiHidden/>
    <w:rsid w:val="00A17849"/>
    <w:pPr>
      <w:spacing w:line="600" w:lineRule="exact"/>
    </w:pPr>
    <w:rPr>
      <w:rFonts w:ascii="Arial" w:hAnsi="Arial"/>
      <w:color w:val="000000"/>
      <w:sz w:val="48"/>
      <w:szCs w:val="48"/>
      <w:lang w:val="en-AU"/>
    </w:rPr>
  </w:style>
  <w:style w:type="paragraph" w:customStyle="1" w:styleId="AppendixHead">
    <w:name w:val="Appendix Head"/>
    <w:uiPriority w:val="99"/>
    <w:semiHidden/>
    <w:rsid w:val="00A17849"/>
    <w:pPr>
      <w:pageBreakBefore/>
      <w:spacing w:before="5387" w:line="240" w:lineRule="auto"/>
      <w:jc w:val="right"/>
    </w:pPr>
    <w:rPr>
      <w:rFonts w:ascii="Arial" w:hAnsi="Arial"/>
      <w:color w:val="000000"/>
      <w:sz w:val="48"/>
      <w:szCs w:val="48"/>
      <w:lang w:val="en-AU"/>
    </w:rPr>
  </w:style>
  <w:style w:type="paragraph" w:customStyle="1" w:styleId="ReportInfo">
    <w:name w:val="Report Info"/>
    <w:uiPriority w:val="99"/>
    <w:semiHidden/>
    <w:rsid w:val="00A17849"/>
    <w:pPr>
      <w:spacing w:before="227" w:line="230" w:lineRule="exact"/>
    </w:pPr>
    <w:rPr>
      <w:rFonts w:ascii="Arial" w:hAnsi="Arial"/>
      <w:sz w:val="24"/>
      <w:szCs w:val="24"/>
      <w:lang w:val="en-AU"/>
    </w:rPr>
  </w:style>
  <w:style w:type="paragraph" w:customStyle="1" w:styleId="AppendixTitle">
    <w:name w:val="Appendix Title"/>
    <w:uiPriority w:val="99"/>
    <w:semiHidden/>
    <w:rsid w:val="00A17849"/>
    <w:pPr>
      <w:spacing w:before="227" w:line="240" w:lineRule="auto"/>
      <w:ind w:left="181" w:hanging="181"/>
      <w:jc w:val="right"/>
    </w:pPr>
    <w:rPr>
      <w:rFonts w:ascii="Arial" w:hAnsi="Arial"/>
      <w:b/>
      <w:sz w:val="24"/>
      <w:szCs w:val="24"/>
      <w:lang w:val="en-AU"/>
    </w:rPr>
  </w:style>
  <w:style w:type="table" w:styleId="MediumShading1">
    <w:name w:val="Medium Shading 1"/>
    <w:basedOn w:val="TableNormal"/>
    <w:uiPriority w:val="63"/>
    <w:rsid w:val="00A17849"/>
    <w:pPr>
      <w:spacing w:after="0" w:line="240" w:lineRule="auto"/>
    </w:pPr>
    <w:rPr>
      <w:sz w:val="20"/>
      <w:szCs w:val="20"/>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BodyBullets2">
    <w:name w:val="Body Bullets 2"/>
    <w:basedOn w:val="Normal"/>
    <w:next w:val="ListBullet"/>
    <w:uiPriority w:val="99"/>
    <w:semiHidden/>
    <w:rsid w:val="00A17849"/>
    <w:pPr>
      <w:tabs>
        <w:tab w:val="left" w:pos="567"/>
      </w:tabs>
      <w:ind w:left="568"/>
    </w:pPr>
  </w:style>
  <w:style w:type="paragraph" w:customStyle="1" w:styleId="BodyBullets3">
    <w:name w:val="Body Bullets 3"/>
    <w:basedOn w:val="Normal"/>
    <w:next w:val="ListBullet"/>
    <w:uiPriority w:val="99"/>
    <w:semiHidden/>
    <w:rsid w:val="00A17849"/>
    <w:pPr>
      <w:tabs>
        <w:tab w:val="left" w:pos="851"/>
      </w:tabs>
      <w:ind w:left="851"/>
    </w:pPr>
  </w:style>
  <w:style w:type="paragraph" w:styleId="TableofFigures">
    <w:name w:val="table of figures"/>
    <w:basedOn w:val="Normal"/>
    <w:next w:val="Normal"/>
    <w:uiPriority w:val="99"/>
    <w:rsid w:val="00A17849"/>
    <w:pPr>
      <w:keepLines/>
      <w:tabs>
        <w:tab w:val="right" w:leader="dot" w:pos="8789"/>
      </w:tabs>
      <w:spacing w:before="120" w:after="120"/>
      <w:ind w:left="284" w:right="567" w:hanging="284"/>
      <w:jc w:val="both"/>
    </w:pPr>
  </w:style>
  <w:style w:type="paragraph" w:customStyle="1" w:styleId="Nameaddress">
    <w:name w:val="Name address"/>
    <w:uiPriority w:val="99"/>
    <w:semiHidden/>
    <w:rsid w:val="00A17849"/>
    <w:pPr>
      <w:spacing w:line="240" w:lineRule="auto"/>
    </w:pPr>
    <w:rPr>
      <w:rFonts w:ascii="Arial" w:hAnsi="Arial" w:cs="Arial (TT)"/>
      <w:color w:val="000000"/>
      <w:sz w:val="20"/>
      <w:szCs w:val="20"/>
      <w:lang w:val="en-GB"/>
    </w:rPr>
  </w:style>
  <w:style w:type="paragraph" w:customStyle="1" w:styleId="Re">
    <w:name w:val="Re"/>
    <w:basedOn w:val="Normal"/>
    <w:next w:val="BodyCopy"/>
    <w:uiPriority w:val="99"/>
    <w:semiHidden/>
    <w:rsid w:val="00A17849"/>
    <w:pPr>
      <w:tabs>
        <w:tab w:val="left" w:pos="567"/>
      </w:tabs>
      <w:suppressAutoHyphens/>
      <w:autoSpaceDE w:val="0"/>
      <w:autoSpaceDN w:val="0"/>
      <w:adjustRightInd w:val="0"/>
      <w:spacing w:line="250" w:lineRule="atLeast"/>
      <w:ind w:left="567" w:hanging="567"/>
      <w:textAlignment w:val="center"/>
    </w:pPr>
    <w:rPr>
      <w:rFonts w:cs="Arial (TT)"/>
      <w:b/>
      <w:color w:val="000000"/>
      <w:lang w:val="en-GB"/>
    </w:rPr>
  </w:style>
  <w:style w:type="paragraph" w:customStyle="1" w:styleId="Cc">
    <w:name w:val="Cc"/>
    <w:uiPriority w:val="99"/>
    <w:semiHidden/>
    <w:rsid w:val="00A17849"/>
    <w:pPr>
      <w:spacing w:before="57" w:after="113" w:line="230" w:lineRule="atLeast"/>
      <w:ind w:left="284" w:hanging="284"/>
    </w:pPr>
    <w:rPr>
      <w:rFonts w:ascii="Arial" w:hAnsi="Arial" w:cs="Arial (TT)"/>
      <w:color w:val="000000"/>
      <w:sz w:val="18"/>
      <w:szCs w:val="18"/>
      <w:lang w:val="en-GB"/>
    </w:rPr>
  </w:style>
  <w:style w:type="paragraph" w:customStyle="1" w:styleId="Attachments">
    <w:name w:val="Attachments"/>
    <w:uiPriority w:val="99"/>
    <w:semiHidden/>
    <w:rsid w:val="00A17849"/>
    <w:pPr>
      <w:spacing w:before="57" w:after="113" w:line="230" w:lineRule="atLeast"/>
      <w:ind w:left="1276" w:hanging="1276"/>
    </w:pPr>
    <w:rPr>
      <w:rFonts w:ascii="Arial" w:hAnsi="Arial" w:cs="Arial (TT)"/>
      <w:color w:val="000000"/>
      <w:sz w:val="18"/>
      <w:szCs w:val="18"/>
      <w:lang w:val="en-GB"/>
    </w:rPr>
  </w:style>
  <w:style w:type="paragraph" w:customStyle="1" w:styleId="Disclaimer">
    <w:name w:val="Disclaimer"/>
    <w:uiPriority w:val="99"/>
    <w:semiHidden/>
    <w:rsid w:val="00A17849"/>
    <w:pPr>
      <w:autoSpaceDE w:val="0"/>
      <w:autoSpaceDN w:val="0"/>
      <w:adjustRightInd w:val="0"/>
      <w:spacing w:before="113" w:line="180" w:lineRule="atLeast"/>
      <w:textAlignment w:val="center"/>
    </w:pPr>
    <w:rPr>
      <w:rFonts w:ascii="Arial" w:hAnsi="Arial" w:cs="Arial"/>
      <w:color w:val="000000"/>
      <w:sz w:val="14"/>
      <w:szCs w:val="14"/>
      <w:lang w:val="en-GB"/>
    </w:rPr>
  </w:style>
  <w:style w:type="paragraph" w:customStyle="1" w:styleId="Fax">
    <w:name w:val="Fax"/>
    <w:uiPriority w:val="99"/>
    <w:semiHidden/>
    <w:rsid w:val="00A17849"/>
    <w:pPr>
      <w:spacing w:before="80" w:after="80" w:line="240" w:lineRule="auto"/>
    </w:pPr>
    <w:rPr>
      <w:rFonts w:ascii="Arial" w:hAnsi="Arial" w:cs="Arial"/>
      <w:b/>
      <w:sz w:val="20"/>
      <w:szCs w:val="20"/>
      <w:lang w:val="en-AU"/>
    </w:rPr>
  </w:style>
  <w:style w:type="paragraph" w:customStyle="1" w:styleId="Info">
    <w:name w:val="Info"/>
    <w:uiPriority w:val="99"/>
    <w:semiHidden/>
    <w:rsid w:val="00A17849"/>
    <w:pPr>
      <w:spacing w:line="240" w:lineRule="auto"/>
    </w:pPr>
    <w:rPr>
      <w:rFonts w:ascii="Arial" w:hAnsi="Arial" w:cs="Arial (TT)"/>
      <w:color w:val="000000"/>
      <w:sz w:val="14"/>
      <w:szCs w:val="20"/>
      <w:lang w:val="en-AU"/>
    </w:rPr>
  </w:style>
  <w:style w:type="paragraph" w:customStyle="1" w:styleId="Logo">
    <w:name w:val="Logo"/>
    <w:basedOn w:val="Normal"/>
    <w:uiPriority w:val="99"/>
    <w:semiHidden/>
    <w:rsid w:val="00A17849"/>
  </w:style>
  <w:style w:type="paragraph" w:customStyle="1" w:styleId="TableContent">
    <w:name w:val="Table Content"/>
    <w:uiPriority w:val="99"/>
    <w:semiHidden/>
    <w:rsid w:val="00A17849"/>
    <w:pPr>
      <w:spacing w:line="320" w:lineRule="exact"/>
    </w:pPr>
    <w:rPr>
      <w:rFonts w:ascii="Arial" w:hAnsi="Arial" w:cs="Arial"/>
      <w:b/>
      <w:sz w:val="20"/>
      <w:szCs w:val="20"/>
      <w:lang w:val="en-AU"/>
    </w:rPr>
  </w:style>
  <w:style w:type="paragraph" w:customStyle="1" w:styleId="Tablesubhead">
    <w:name w:val="Table subhead"/>
    <w:uiPriority w:val="99"/>
    <w:semiHidden/>
    <w:rsid w:val="00A17849"/>
    <w:pPr>
      <w:spacing w:line="320" w:lineRule="exact"/>
    </w:pPr>
    <w:rPr>
      <w:rFonts w:ascii="Arial" w:hAnsi="Arial" w:cs="Arial"/>
      <w:sz w:val="20"/>
      <w:szCs w:val="20"/>
      <w:lang w:val="en-AU"/>
    </w:rPr>
  </w:style>
  <w:style w:type="paragraph" w:styleId="Date">
    <w:name w:val="Date"/>
    <w:basedOn w:val="Normal"/>
    <w:next w:val="Normal"/>
    <w:link w:val="DateChar"/>
    <w:uiPriority w:val="99"/>
    <w:semiHidden/>
    <w:rsid w:val="00A17849"/>
    <w:pPr>
      <w:spacing w:before="1797"/>
    </w:pPr>
  </w:style>
  <w:style w:type="character" w:customStyle="1" w:styleId="DateChar">
    <w:name w:val="Date Char"/>
    <w:basedOn w:val="DefaultParagraphFont"/>
    <w:link w:val="Date"/>
    <w:uiPriority w:val="99"/>
    <w:semiHidden/>
    <w:rsid w:val="00A17849"/>
    <w:rPr>
      <w:sz w:val="20"/>
      <w:szCs w:val="20"/>
      <w:lang w:val="en-AU"/>
    </w:rPr>
  </w:style>
  <w:style w:type="numbering" w:customStyle="1" w:styleId="NewBullet">
    <w:name w:val="New Bullet"/>
    <w:uiPriority w:val="99"/>
    <w:rsid w:val="00A17849"/>
    <w:pPr>
      <w:numPr>
        <w:numId w:val="5"/>
      </w:numPr>
    </w:pPr>
  </w:style>
  <w:style w:type="paragraph" w:styleId="ListBullet">
    <w:name w:val="List Bullet"/>
    <w:basedOn w:val="BodyText"/>
    <w:uiPriority w:val="99"/>
    <w:semiHidden/>
    <w:rsid w:val="00A17849"/>
    <w:pPr>
      <w:numPr>
        <w:numId w:val="9"/>
      </w:numPr>
      <w:spacing w:beforeAutospacing="1" w:afterAutospacing="1" w:line="240" w:lineRule="auto"/>
      <w:contextualSpacing/>
    </w:pPr>
    <w:rPr>
      <w:rFonts w:asciiTheme="minorHAnsi" w:hAnsiTheme="minorHAnsi" w:cstheme="minorBidi"/>
    </w:rPr>
  </w:style>
  <w:style w:type="paragraph" w:styleId="Title">
    <w:name w:val="Title"/>
    <w:basedOn w:val="Normal"/>
    <w:next w:val="Normal"/>
    <w:link w:val="TitleChar"/>
    <w:uiPriority w:val="10"/>
    <w:qFormat/>
    <w:rsid w:val="00413BBB"/>
    <w:pPr>
      <w:spacing w:before="2100" w:after="120"/>
    </w:pPr>
    <w:rPr>
      <w:rFonts w:ascii="Arial Bold" w:eastAsiaTheme="majorEastAsia" w:hAnsi="Arial Bold" w:cs="Arial"/>
      <w:b/>
      <w:kern w:val="28"/>
      <w:sz w:val="36"/>
      <w:szCs w:val="36"/>
    </w:rPr>
  </w:style>
  <w:style w:type="character" w:customStyle="1" w:styleId="TitleChar">
    <w:name w:val="Title Char"/>
    <w:basedOn w:val="DefaultParagraphFont"/>
    <w:link w:val="Title"/>
    <w:uiPriority w:val="10"/>
    <w:rsid w:val="00413BBB"/>
    <w:rPr>
      <w:rFonts w:ascii="Arial Bold" w:eastAsiaTheme="majorEastAsia" w:hAnsi="Arial Bold" w:cs="Arial"/>
      <w:b/>
      <w:kern w:val="28"/>
      <w:sz w:val="36"/>
      <w:szCs w:val="36"/>
      <w:lang w:val="en-AU"/>
    </w:rPr>
  </w:style>
  <w:style w:type="paragraph" w:styleId="Subtitle">
    <w:name w:val="Subtitle"/>
    <w:basedOn w:val="Normal"/>
    <w:next w:val="Normal"/>
    <w:link w:val="SubtitleChar"/>
    <w:uiPriority w:val="11"/>
    <w:qFormat/>
    <w:rsid w:val="00A1784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17849"/>
    <w:rPr>
      <w:rFonts w:asciiTheme="majorHAnsi" w:eastAsiaTheme="majorEastAsia" w:hAnsiTheme="majorHAnsi" w:cstheme="majorBidi"/>
      <w:i/>
      <w:iCs/>
      <w:color w:val="4F81BD" w:themeColor="accent1"/>
      <w:spacing w:val="15"/>
      <w:sz w:val="24"/>
      <w:szCs w:val="24"/>
      <w:lang w:val="en-AU"/>
    </w:rPr>
  </w:style>
  <w:style w:type="character" w:styleId="Emphasis">
    <w:name w:val="Emphasis"/>
    <w:basedOn w:val="DefaultParagraphFont"/>
    <w:uiPriority w:val="20"/>
    <w:qFormat/>
    <w:rsid w:val="00A17849"/>
    <w:rPr>
      <w:i/>
      <w:iCs/>
    </w:rPr>
  </w:style>
  <w:style w:type="paragraph" w:styleId="Quote">
    <w:name w:val="Quote"/>
    <w:basedOn w:val="BodyText"/>
    <w:next w:val="BodyText"/>
    <w:link w:val="QuoteChar"/>
    <w:uiPriority w:val="29"/>
    <w:qFormat/>
    <w:rsid w:val="00A17849"/>
    <w:pPr>
      <w:spacing w:before="240" w:after="240" w:line="240" w:lineRule="auto"/>
      <w:ind w:left="284" w:right="284"/>
    </w:pPr>
    <w:rPr>
      <w:rFonts w:asciiTheme="minorHAnsi" w:hAnsiTheme="minorHAnsi" w:cstheme="minorBidi"/>
      <w:i/>
      <w:iCs/>
    </w:rPr>
  </w:style>
  <w:style w:type="character" w:customStyle="1" w:styleId="QuoteChar">
    <w:name w:val="Quote Char"/>
    <w:basedOn w:val="DefaultParagraphFont"/>
    <w:link w:val="Quote"/>
    <w:uiPriority w:val="29"/>
    <w:rsid w:val="00A17849"/>
    <w:rPr>
      <w:i/>
      <w:iCs/>
      <w:sz w:val="20"/>
      <w:lang w:val="en-AU"/>
    </w:rPr>
  </w:style>
  <w:style w:type="paragraph" w:styleId="IntenseQuote">
    <w:name w:val="Intense Quote"/>
    <w:basedOn w:val="Normal"/>
    <w:next w:val="Normal"/>
    <w:link w:val="IntenseQuoteChar"/>
    <w:uiPriority w:val="30"/>
    <w:qFormat/>
    <w:rsid w:val="00A1784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7849"/>
    <w:rPr>
      <w:b/>
      <w:bCs/>
      <w:i/>
      <w:iCs/>
      <w:color w:val="4F81BD" w:themeColor="accent1"/>
      <w:sz w:val="20"/>
      <w:szCs w:val="20"/>
      <w:lang w:val="en-AU"/>
    </w:rPr>
  </w:style>
  <w:style w:type="character" w:styleId="IntenseEmphasis">
    <w:name w:val="Intense Emphasis"/>
    <w:basedOn w:val="DefaultParagraphFont"/>
    <w:uiPriority w:val="99"/>
    <w:rsid w:val="00A17849"/>
    <w:rPr>
      <w:b/>
      <w:bCs/>
      <w:i/>
      <w:iCs/>
      <w:color w:val="4F81BD" w:themeColor="accent1"/>
    </w:rPr>
  </w:style>
  <w:style w:type="character" w:styleId="SubtleReference">
    <w:name w:val="Subtle Reference"/>
    <w:basedOn w:val="DefaultParagraphFont"/>
    <w:uiPriority w:val="99"/>
    <w:rsid w:val="00A17849"/>
    <w:rPr>
      <w:smallCaps/>
      <w:color w:val="C0504D" w:themeColor="accent2"/>
      <w:u w:val="single"/>
    </w:rPr>
  </w:style>
  <w:style w:type="character" w:styleId="IntenseReference">
    <w:name w:val="Intense Reference"/>
    <w:basedOn w:val="DefaultParagraphFont"/>
    <w:uiPriority w:val="99"/>
    <w:rsid w:val="00A17849"/>
    <w:rPr>
      <w:b/>
      <w:bCs/>
      <w:smallCaps/>
      <w:color w:val="C0504D" w:themeColor="accent2"/>
      <w:spacing w:val="5"/>
      <w:u w:val="single"/>
    </w:rPr>
  </w:style>
  <w:style w:type="character" w:styleId="BookTitle">
    <w:name w:val="Book Title"/>
    <w:basedOn w:val="DefaultParagraphFont"/>
    <w:uiPriority w:val="99"/>
    <w:rsid w:val="00A17849"/>
    <w:rPr>
      <w:b/>
      <w:bCs/>
      <w:smallCaps/>
      <w:spacing w:val="5"/>
    </w:rPr>
  </w:style>
  <w:style w:type="paragraph" w:styleId="ListBullet2">
    <w:name w:val="List Bullet 2"/>
    <w:basedOn w:val="BodyText"/>
    <w:uiPriority w:val="99"/>
    <w:semiHidden/>
    <w:rsid w:val="00A17849"/>
    <w:pPr>
      <w:numPr>
        <w:ilvl w:val="1"/>
        <w:numId w:val="9"/>
      </w:numPr>
      <w:spacing w:beforeAutospacing="1" w:afterAutospacing="1" w:line="240" w:lineRule="auto"/>
      <w:contextualSpacing/>
    </w:pPr>
    <w:rPr>
      <w:rFonts w:asciiTheme="minorHAnsi" w:hAnsiTheme="minorHAnsi" w:cstheme="minorBidi"/>
    </w:rPr>
  </w:style>
  <w:style w:type="paragraph" w:styleId="ListBullet3">
    <w:name w:val="List Bullet 3"/>
    <w:basedOn w:val="BodyText"/>
    <w:uiPriority w:val="99"/>
    <w:semiHidden/>
    <w:rsid w:val="00A17849"/>
    <w:pPr>
      <w:numPr>
        <w:ilvl w:val="2"/>
        <w:numId w:val="9"/>
      </w:numPr>
      <w:spacing w:beforeAutospacing="1" w:afterAutospacing="1" w:line="240" w:lineRule="auto"/>
      <w:contextualSpacing/>
    </w:pPr>
    <w:rPr>
      <w:rFonts w:asciiTheme="minorHAnsi" w:hAnsiTheme="minorHAnsi" w:cstheme="minorBidi"/>
    </w:rPr>
  </w:style>
  <w:style w:type="paragraph" w:customStyle="1" w:styleId="TableBullet">
    <w:name w:val="Table Bullet"/>
    <w:basedOn w:val="Normal"/>
    <w:uiPriority w:val="99"/>
    <w:semiHidden/>
    <w:rsid w:val="00A17849"/>
    <w:pPr>
      <w:numPr>
        <w:numId w:val="6"/>
      </w:numPr>
      <w:spacing w:before="60" w:after="60"/>
    </w:pPr>
    <w:rPr>
      <w:sz w:val="18"/>
      <w:szCs w:val="14"/>
    </w:rPr>
  </w:style>
  <w:style w:type="paragraph" w:customStyle="1" w:styleId="TableHeading">
    <w:name w:val="Table Heading"/>
    <w:basedOn w:val="Normal"/>
    <w:rsid w:val="00A17849"/>
    <w:pPr>
      <w:keepNext/>
      <w:keepLines/>
      <w:spacing w:before="240" w:after="120"/>
      <w:contextualSpacing/>
    </w:pPr>
    <w:rPr>
      <w:b/>
    </w:rPr>
  </w:style>
  <w:style w:type="paragraph" w:customStyle="1" w:styleId="TableText">
    <w:name w:val="Table Text"/>
    <w:basedOn w:val="Normal"/>
    <w:uiPriority w:val="99"/>
    <w:semiHidden/>
    <w:rsid w:val="00A17849"/>
    <w:pPr>
      <w:spacing w:before="60" w:after="60"/>
    </w:pPr>
    <w:rPr>
      <w:sz w:val="18"/>
      <w:szCs w:val="14"/>
    </w:rPr>
  </w:style>
  <w:style w:type="paragraph" w:customStyle="1" w:styleId="BigText">
    <w:name w:val="Big Text"/>
    <w:basedOn w:val="BodyText"/>
    <w:uiPriority w:val="99"/>
    <w:semiHidden/>
    <w:rsid w:val="00A17849"/>
    <w:pPr>
      <w:spacing w:before="200" w:after="200" w:line="240" w:lineRule="auto"/>
    </w:pPr>
    <w:rPr>
      <w:rFonts w:asciiTheme="minorHAnsi" w:hAnsiTheme="minorHAnsi" w:cstheme="minorBidi"/>
      <w:sz w:val="24"/>
      <w:szCs w:val="28"/>
    </w:rPr>
  </w:style>
  <w:style w:type="paragraph" w:customStyle="1" w:styleId="Calloutbox">
    <w:name w:val="Call out box"/>
    <w:basedOn w:val="Normal"/>
    <w:next w:val="BodyText"/>
    <w:uiPriority w:val="99"/>
    <w:semiHidden/>
    <w:rsid w:val="00A17849"/>
    <w:pPr>
      <w:framePr w:w="1418" w:vSpace="284" w:wrap="around" w:vAnchor="text" w:hAnchor="page" w:x="1441" w:y="69"/>
      <w:pBdr>
        <w:top w:val="single" w:sz="4" w:space="7" w:color="000000"/>
        <w:left w:val="single" w:sz="4" w:space="7" w:color="000000"/>
        <w:bottom w:val="single" w:sz="4" w:space="7" w:color="000000"/>
        <w:right w:val="single" w:sz="4" w:space="7" w:color="000000"/>
      </w:pBdr>
      <w:shd w:val="solid" w:color="FFFFFF" w:fill="FFFFFF"/>
    </w:pPr>
    <w:rPr>
      <w:rFonts w:eastAsia="Calibri" w:cstheme="minorHAnsi"/>
      <w:b/>
      <w:i/>
    </w:rPr>
  </w:style>
  <w:style w:type="paragraph" w:customStyle="1" w:styleId="SourceText">
    <w:name w:val="Source Text"/>
    <w:basedOn w:val="Normal"/>
    <w:next w:val="BodyText"/>
    <w:uiPriority w:val="99"/>
    <w:semiHidden/>
    <w:rsid w:val="00A17849"/>
    <w:pPr>
      <w:spacing w:before="120" w:after="240"/>
    </w:pPr>
    <w:rPr>
      <w:sz w:val="18"/>
      <w:szCs w:val="14"/>
    </w:rPr>
  </w:style>
  <w:style w:type="paragraph" w:styleId="ListNumber">
    <w:name w:val="List Number"/>
    <w:basedOn w:val="BodyText"/>
    <w:uiPriority w:val="99"/>
    <w:semiHidden/>
    <w:rsid w:val="00A17849"/>
    <w:pPr>
      <w:numPr>
        <w:numId w:val="10"/>
      </w:numPr>
      <w:spacing w:beforeAutospacing="1" w:afterAutospacing="1" w:line="240" w:lineRule="auto"/>
      <w:contextualSpacing/>
    </w:pPr>
    <w:rPr>
      <w:rFonts w:asciiTheme="minorHAnsi" w:hAnsiTheme="minorHAnsi" w:cstheme="minorBidi"/>
    </w:rPr>
  </w:style>
  <w:style w:type="numbering" w:customStyle="1" w:styleId="ListBullets">
    <w:name w:val="ListBullets"/>
    <w:uiPriority w:val="99"/>
    <w:rsid w:val="00A17849"/>
    <w:pPr>
      <w:numPr>
        <w:numId w:val="7"/>
      </w:numPr>
    </w:pPr>
  </w:style>
  <w:style w:type="numbering" w:customStyle="1" w:styleId="ListNumbers">
    <w:name w:val="ListNumbers"/>
    <w:uiPriority w:val="99"/>
    <w:rsid w:val="00A17849"/>
    <w:pPr>
      <w:numPr>
        <w:numId w:val="8"/>
      </w:numPr>
    </w:pPr>
  </w:style>
  <w:style w:type="paragraph" w:styleId="ListNumber2">
    <w:name w:val="List Number 2"/>
    <w:basedOn w:val="BodyText"/>
    <w:uiPriority w:val="99"/>
    <w:semiHidden/>
    <w:rsid w:val="00A17849"/>
    <w:pPr>
      <w:numPr>
        <w:ilvl w:val="1"/>
        <w:numId w:val="10"/>
      </w:numPr>
      <w:spacing w:beforeAutospacing="1" w:afterAutospacing="1" w:line="240" w:lineRule="auto"/>
      <w:contextualSpacing/>
    </w:pPr>
    <w:rPr>
      <w:rFonts w:asciiTheme="minorHAnsi" w:hAnsiTheme="minorHAnsi" w:cstheme="minorBidi"/>
    </w:rPr>
  </w:style>
  <w:style w:type="paragraph" w:styleId="ListNumber3">
    <w:name w:val="List Number 3"/>
    <w:basedOn w:val="BodyText"/>
    <w:uiPriority w:val="99"/>
    <w:semiHidden/>
    <w:rsid w:val="00A17849"/>
    <w:pPr>
      <w:numPr>
        <w:ilvl w:val="2"/>
        <w:numId w:val="10"/>
      </w:numPr>
      <w:spacing w:beforeAutospacing="1" w:afterAutospacing="1" w:line="240" w:lineRule="auto"/>
      <w:contextualSpacing/>
    </w:pPr>
    <w:rPr>
      <w:rFonts w:asciiTheme="minorHAnsi" w:hAnsiTheme="minorHAnsi" w:cstheme="minorBidi"/>
    </w:rPr>
  </w:style>
  <w:style w:type="table" w:styleId="Table3Deffects1">
    <w:name w:val="Table 3D effects 1"/>
    <w:basedOn w:val="TableNormal"/>
    <w:rsid w:val="00A17849"/>
    <w:pPr>
      <w:spacing w:line="240" w:lineRule="auto"/>
    </w:pPr>
    <w:rPr>
      <w:sz w:val="20"/>
      <w:szCs w:val="20"/>
      <w:lang w:val="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17849"/>
    <w:pPr>
      <w:spacing w:line="240" w:lineRule="auto"/>
    </w:pPr>
    <w:rPr>
      <w:sz w:val="20"/>
      <w:szCs w:val="20"/>
      <w:lang w:val="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
    <w:name w:val="Light List"/>
    <w:basedOn w:val="TableNormal"/>
    <w:uiPriority w:val="61"/>
    <w:rsid w:val="00A17849"/>
    <w:pPr>
      <w:spacing w:after="0" w:line="240" w:lineRule="auto"/>
    </w:pPr>
    <w:rPr>
      <w:sz w:val="20"/>
      <w:szCs w:val="20"/>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A17849"/>
    <w:pPr>
      <w:spacing w:after="0" w:line="240" w:lineRule="auto"/>
    </w:pPr>
    <w:rPr>
      <w:color w:val="000000" w:themeColor="text1" w:themeShade="BF"/>
      <w:sz w:val="20"/>
      <w:szCs w:val="20"/>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1NoNumbers">
    <w:name w:val="Heading 1 No Numbers"/>
    <w:basedOn w:val="Heading1"/>
    <w:next w:val="BodyText"/>
    <w:link w:val="Heading1NoNumbersChar"/>
    <w:uiPriority w:val="2"/>
    <w:qFormat/>
    <w:rsid w:val="00FA6639"/>
    <w:pPr>
      <w:numPr>
        <w:numId w:val="0"/>
      </w:numPr>
      <w:ind w:left="782" w:hanging="782"/>
    </w:pPr>
  </w:style>
  <w:style w:type="character" w:customStyle="1" w:styleId="Heading1NoNumbersChar">
    <w:name w:val="Heading 1 No Numbers Char"/>
    <w:basedOn w:val="Heading1Char"/>
    <w:link w:val="Heading1NoNumbers"/>
    <w:uiPriority w:val="2"/>
    <w:rsid w:val="00FA6639"/>
    <w:rPr>
      <w:rFonts w:ascii="Arial" w:eastAsia="Arial" w:hAnsi="Arial" w:cs="Arial"/>
      <w:b/>
      <w:color w:val="003478"/>
      <w:sz w:val="36"/>
      <w:szCs w:val="24"/>
      <w:lang w:val="en-NZ" w:eastAsia="en-AU"/>
    </w:rPr>
  </w:style>
  <w:style w:type="paragraph" w:customStyle="1" w:styleId="Heading2NoNumbers">
    <w:name w:val="Heading 2 No Numbers"/>
    <w:basedOn w:val="Heading2"/>
    <w:next w:val="BodyText"/>
    <w:link w:val="Heading2NoNumbersChar"/>
    <w:uiPriority w:val="2"/>
    <w:qFormat/>
    <w:rsid w:val="00FA6639"/>
    <w:pPr>
      <w:numPr>
        <w:ilvl w:val="0"/>
        <w:numId w:val="0"/>
      </w:numPr>
      <w:ind w:left="782" w:hanging="782"/>
    </w:pPr>
  </w:style>
  <w:style w:type="character" w:customStyle="1" w:styleId="Heading2NoNumbersChar">
    <w:name w:val="Heading 2 No Numbers Char"/>
    <w:basedOn w:val="Heading2Char"/>
    <w:link w:val="Heading2NoNumbers"/>
    <w:uiPriority w:val="2"/>
    <w:rsid w:val="00FA6639"/>
    <w:rPr>
      <w:rFonts w:ascii="Arial" w:eastAsia="Arial" w:hAnsi="Arial" w:cs="Arial"/>
      <w:b/>
      <w:color w:val="003478"/>
      <w:sz w:val="28"/>
      <w:szCs w:val="24"/>
      <w:lang w:val="en-NZ" w:eastAsia="en-AU"/>
    </w:rPr>
  </w:style>
  <w:style w:type="paragraph" w:customStyle="1" w:styleId="Heading3NoNumbers">
    <w:name w:val="Heading 3 No Numbers"/>
    <w:basedOn w:val="Normal"/>
    <w:next w:val="BodyText"/>
    <w:link w:val="Heading3NoNumbersChar"/>
    <w:uiPriority w:val="2"/>
    <w:qFormat/>
    <w:rsid w:val="00FA6639"/>
    <w:pPr>
      <w:keepNext/>
      <w:autoSpaceDE w:val="0"/>
      <w:autoSpaceDN w:val="0"/>
      <w:adjustRightInd w:val="0"/>
      <w:spacing w:before="240" w:after="180"/>
      <w:outlineLvl w:val="2"/>
    </w:pPr>
    <w:rPr>
      <w:rFonts w:ascii="Arial" w:eastAsia="Arial" w:hAnsi="Arial" w:cs="Arial"/>
      <w:b/>
      <w:color w:val="003478"/>
      <w:sz w:val="24"/>
      <w:szCs w:val="24"/>
      <w:lang w:val="en-NZ" w:eastAsia="en-AU"/>
    </w:rPr>
  </w:style>
  <w:style w:type="character" w:customStyle="1" w:styleId="Heading3NoNumbersChar">
    <w:name w:val="Heading 3 No Numbers Char"/>
    <w:basedOn w:val="Heading3Char"/>
    <w:link w:val="Heading3NoNumbers"/>
    <w:uiPriority w:val="2"/>
    <w:rsid w:val="00FA6639"/>
    <w:rPr>
      <w:rFonts w:ascii="Arial" w:eastAsia="Arial" w:hAnsi="Arial" w:cs="Arial"/>
      <w:b/>
      <w:color w:val="003478"/>
      <w:sz w:val="24"/>
      <w:szCs w:val="24"/>
      <w:lang w:val="en-NZ" w:eastAsia="en-AU"/>
    </w:rPr>
  </w:style>
  <w:style w:type="paragraph" w:customStyle="1" w:styleId="CoffeyBulletsL1">
    <w:name w:val="Coffey Bullets L1"/>
    <w:basedOn w:val="BodyText"/>
    <w:link w:val="CoffeyBulletsL1Char"/>
    <w:uiPriority w:val="99"/>
    <w:qFormat/>
    <w:rsid w:val="0003393B"/>
    <w:pPr>
      <w:numPr>
        <w:numId w:val="15"/>
      </w:numPr>
    </w:pPr>
    <w:rPr>
      <w:lang w:val="en-GB" w:eastAsia="en-AU"/>
    </w:rPr>
  </w:style>
  <w:style w:type="paragraph" w:customStyle="1" w:styleId="CoffeyBulletsL2">
    <w:name w:val="Coffey Bullets L2"/>
    <w:basedOn w:val="BodyText"/>
    <w:link w:val="CoffeyBulletsL2Char"/>
    <w:uiPriority w:val="99"/>
    <w:qFormat/>
    <w:rsid w:val="0003393B"/>
    <w:pPr>
      <w:numPr>
        <w:ilvl w:val="1"/>
        <w:numId w:val="16"/>
      </w:numPr>
    </w:pPr>
    <w:rPr>
      <w:lang w:val="en-GB" w:eastAsia="en-AU"/>
    </w:rPr>
  </w:style>
  <w:style w:type="character" w:customStyle="1" w:styleId="CoffeyBulletsL1Char">
    <w:name w:val="Coffey Bullets L1 Char"/>
    <w:basedOn w:val="BodyTextChar"/>
    <w:link w:val="CoffeyBulletsL1"/>
    <w:uiPriority w:val="99"/>
    <w:rsid w:val="0003393B"/>
    <w:rPr>
      <w:rFonts w:ascii="Arial" w:eastAsia="Arial" w:hAnsi="Arial" w:cs="Arial"/>
      <w:sz w:val="20"/>
      <w:szCs w:val="19"/>
      <w:lang w:val="en-GB" w:eastAsia="en-AU"/>
    </w:rPr>
  </w:style>
  <w:style w:type="paragraph" w:customStyle="1" w:styleId="CoffeyBulletsL3">
    <w:name w:val="Coffey Bullets L3"/>
    <w:basedOn w:val="CoffeyBulletsL2"/>
    <w:link w:val="CoffeyBulletsL3Char"/>
    <w:uiPriority w:val="99"/>
    <w:qFormat/>
    <w:rsid w:val="009769FB"/>
    <w:pPr>
      <w:numPr>
        <w:ilvl w:val="2"/>
      </w:numPr>
    </w:pPr>
  </w:style>
  <w:style w:type="character" w:customStyle="1" w:styleId="CoffeyBulletsL2Char">
    <w:name w:val="Coffey Bullets L2 Char"/>
    <w:basedOn w:val="DefaultParagraphFont"/>
    <w:link w:val="CoffeyBulletsL2"/>
    <w:uiPriority w:val="99"/>
    <w:rsid w:val="0003393B"/>
    <w:rPr>
      <w:rFonts w:ascii="Arial" w:eastAsia="Arial" w:hAnsi="Arial" w:cs="Arial"/>
      <w:sz w:val="20"/>
      <w:szCs w:val="19"/>
      <w:lang w:val="en-GB" w:eastAsia="en-AU"/>
    </w:rPr>
  </w:style>
  <w:style w:type="paragraph" w:customStyle="1" w:styleId="CoffeyNumbersL1">
    <w:name w:val="Coffey Numbers L1"/>
    <w:basedOn w:val="Normal"/>
    <w:link w:val="CoffeyNumbersL1Char"/>
    <w:uiPriority w:val="99"/>
    <w:qFormat/>
    <w:rsid w:val="001D0251"/>
    <w:pPr>
      <w:numPr>
        <w:numId w:val="12"/>
      </w:numPr>
      <w:spacing w:before="200"/>
    </w:pPr>
    <w:rPr>
      <w:rFonts w:ascii="Arial" w:hAnsi="Arial"/>
    </w:rPr>
  </w:style>
  <w:style w:type="character" w:customStyle="1" w:styleId="CoffeyBulletsL3Char">
    <w:name w:val="Coffey Bullets L3 Char"/>
    <w:basedOn w:val="DefaultParagraphFont"/>
    <w:link w:val="CoffeyBulletsL3"/>
    <w:uiPriority w:val="99"/>
    <w:rsid w:val="009769FB"/>
    <w:rPr>
      <w:rFonts w:ascii="Arial" w:eastAsia="Arial" w:hAnsi="Arial" w:cs="Arial"/>
      <w:sz w:val="20"/>
      <w:szCs w:val="19"/>
      <w:lang w:val="en-GB" w:eastAsia="en-AU"/>
    </w:rPr>
  </w:style>
  <w:style w:type="paragraph" w:customStyle="1" w:styleId="CoffeyNumbersL2">
    <w:name w:val="Coffey Numbers L2"/>
    <w:basedOn w:val="CoffeyNumbersL1"/>
    <w:link w:val="CoffeyNumbersL2Char"/>
    <w:uiPriority w:val="99"/>
    <w:qFormat/>
    <w:rsid w:val="001D0251"/>
    <w:pPr>
      <w:numPr>
        <w:ilvl w:val="1"/>
      </w:numPr>
      <w:spacing w:before="100" w:after="100"/>
    </w:pPr>
  </w:style>
  <w:style w:type="character" w:customStyle="1" w:styleId="CoffeyNumbersL1Char">
    <w:name w:val="Coffey Numbers L1 Char"/>
    <w:basedOn w:val="DefaultParagraphFont"/>
    <w:link w:val="CoffeyNumbersL1"/>
    <w:uiPriority w:val="99"/>
    <w:rsid w:val="001D0251"/>
    <w:rPr>
      <w:rFonts w:ascii="Arial" w:hAnsi="Arial"/>
      <w:sz w:val="20"/>
      <w:szCs w:val="20"/>
      <w:lang w:val="en-AU"/>
    </w:rPr>
  </w:style>
  <w:style w:type="paragraph" w:customStyle="1" w:styleId="CoffeyNumbersL3">
    <w:name w:val="Coffey Numbers L3"/>
    <w:basedOn w:val="CoffeyNumbersL2"/>
    <w:link w:val="CoffeyNumbersL3Char"/>
    <w:uiPriority w:val="99"/>
    <w:qFormat/>
    <w:rsid w:val="00A17849"/>
    <w:pPr>
      <w:numPr>
        <w:ilvl w:val="2"/>
      </w:numPr>
      <w:ind w:left="1077" w:hanging="357"/>
    </w:pPr>
  </w:style>
  <w:style w:type="character" w:customStyle="1" w:styleId="CoffeyNumbersL2Char">
    <w:name w:val="Coffey Numbers L2 Char"/>
    <w:basedOn w:val="DefaultParagraphFont"/>
    <w:link w:val="CoffeyNumbersL2"/>
    <w:uiPriority w:val="99"/>
    <w:rsid w:val="001D0251"/>
    <w:rPr>
      <w:rFonts w:ascii="Arial" w:hAnsi="Arial"/>
      <w:sz w:val="20"/>
      <w:szCs w:val="20"/>
      <w:lang w:val="en-AU"/>
    </w:rPr>
  </w:style>
  <w:style w:type="numbering" w:customStyle="1" w:styleId="CoffeyBullets">
    <w:name w:val="Coffey Bullets"/>
    <w:uiPriority w:val="99"/>
    <w:rsid w:val="00A17849"/>
    <w:pPr>
      <w:numPr>
        <w:numId w:val="11"/>
      </w:numPr>
    </w:pPr>
  </w:style>
  <w:style w:type="character" w:customStyle="1" w:styleId="CoffeyNumbersL3Char">
    <w:name w:val="Coffey Numbers L3 Char"/>
    <w:basedOn w:val="DefaultParagraphFont"/>
    <w:link w:val="CoffeyNumbersL3"/>
    <w:uiPriority w:val="99"/>
    <w:rsid w:val="00A17849"/>
    <w:rPr>
      <w:rFonts w:ascii="Arial" w:hAnsi="Arial"/>
      <w:sz w:val="20"/>
      <w:szCs w:val="20"/>
      <w:lang w:val="en-AU"/>
    </w:rPr>
  </w:style>
  <w:style w:type="numbering" w:customStyle="1" w:styleId="CoffeyNumbers">
    <w:name w:val="Coffey Numbers"/>
    <w:uiPriority w:val="99"/>
    <w:rsid w:val="00A17849"/>
    <w:pPr>
      <w:numPr>
        <w:numId w:val="12"/>
      </w:numPr>
    </w:pPr>
  </w:style>
  <w:style w:type="paragraph" w:customStyle="1" w:styleId="CoffeyBlankPageText">
    <w:name w:val="Coffey Blank Page Text"/>
    <w:basedOn w:val="BodyText"/>
    <w:next w:val="BodyText"/>
    <w:link w:val="CoffeyBlankPageTextChar"/>
    <w:uiPriority w:val="99"/>
    <w:rsid w:val="00A17849"/>
    <w:pPr>
      <w:keepLines/>
      <w:pageBreakBefore/>
      <w:spacing w:before="2000" w:after="200" w:line="240" w:lineRule="auto"/>
      <w:jc w:val="center"/>
    </w:pPr>
    <w:rPr>
      <w:color w:val="95B3D7" w:themeColor="accent1" w:themeTint="99"/>
    </w:rPr>
  </w:style>
  <w:style w:type="character" w:customStyle="1" w:styleId="CoffeyBlankPageTextChar">
    <w:name w:val="Coffey Blank Page Text Char"/>
    <w:basedOn w:val="BodyTextChar"/>
    <w:link w:val="CoffeyBlankPageText"/>
    <w:uiPriority w:val="99"/>
    <w:rsid w:val="00A17849"/>
    <w:rPr>
      <w:rFonts w:ascii="Arial" w:eastAsia="Arial" w:hAnsi="Arial" w:cs="Arial"/>
      <w:color w:val="95B3D7" w:themeColor="accent1" w:themeTint="99"/>
      <w:spacing w:val="-3"/>
      <w:sz w:val="20"/>
      <w:szCs w:val="19"/>
      <w:lang w:val="en-AU"/>
    </w:rPr>
  </w:style>
  <w:style w:type="paragraph" w:styleId="TOC7">
    <w:name w:val="toc 7"/>
    <w:basedOn w:val="Normal"/>
    <w:next w:val="Normal"/>
    <w:uiPriority w:val="39"/>
    <w:rsid w:val="00A17849"/>
    <w:pPr>
      <w:spacing w:after="100"/>
    </w:pPr>
  </w:style>
  <w:style w:type="paragraph" w:styleId="TOC4">
    <w:name w:val="toc 4"/>
    <w:basedOn w:val="Normal"/>
    <w:next w:val="Normal"/>
    <w:autoRedefine/>
    <w:uiPriority w:val="39"/>
    <w:rsid w:val="00BA5682"/>
    <w:pPr>
      <w:tabs>
        <w:tab w:val="right" w:leader="dot" w:pos="9016"/>
      </w:tabs>
      <w:spacing w:after="100"/>
    </w:pPr>
    <w:rPr>
      <w:rFonts w:ascii="Arial Bold" w:hAnsi="Arial Bold" w:cs="Arial"/>
      <w:b/>
      <w:noProof/>
      <w:spacing w:val="-2"/>
      <w:lang w:val="en-NZ"/>
    </w:rPr>
  </w:style>
  <w:style w:type="paragraph" w:styleId="TableofAuthorities">
    <w:name w:val="table of authorities"/>
    <w:basedOn w:val="Normal"/>
    <w:next w:val="Normal"/>
    <w:uiPriority w:val="99"/>
    <w:semiHidden/>
    <w:rsid w:val="00A17849"/>
    <w:pPr>
      <w:tabs>
        <w:tab w:val="right" w:leader="dot" w:pos="8789"/>
      </w:tabs>
      <w:spacing w:before="120" w:after="120"/>
      <w:ind w:left="284" w:right="567" w:hanging="284"/>
    </w:pPr>
  </w:style>
  <w:style w:type="table" w:customStyle="1" w:styleId="Coffey">
    <w:name w:val="Coffey"/>
    <w:basedOn w:val="TableNormal"/>
    <w:uiPriority w:val="99"/>
    <w:rsid w:val="00A17849"/>
    <w:pPr>
      <w:spacing w:before="100" w:beforeAutospacing="1" w:after="100" w:afterAutospacing="1" w:line="240" w:lineRule="auto"/>
    </w:pPr>
    <w:rPr>
      <w:sz w:val="18"/>
      <w:szCs w:val="20"/>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l2br w:val="nil"/>
          <w:tr2bl w:val="nil"/>
        </w:tcBorders>
        <w:shd w:val="clear" w:color="auto" w:fill="4F81BD" w:themeFill="accent1"/>
      </w:tcPr>
    </w:tblStylePr>
    <w:tblStylePr w:type="lastRow">
      <w:tblPr/>
      <w:tcPr>
        <w:tcBorders>
          <w:top w:val="double" w:sz="4" w:space="0" w:color="95B3D7" w:themeColor="accent1" w:themeTint="99"/>
          <w:left w:val="double" w:sz="4" w:space="0" w:color="95B3D7" w:themeColor="accent1" w:themeTint="99"/>
          <w:bottom w:val="double" w:sz="4" w:space="0" w:color="95B3D7" w:themeColor="accent1" w:themeTint="99"/>
          <w:right w:val="double" w:sz="4" w:space="0" w:color="95B3D7" w:themeColor="accent1" w:themeTint="99"/>
          <w:insideH w:val="double" w:sz="4" w:space="0" w:color="95B3D7" w:themeColor="accent1" w:themeTint="99"/>
          <w:insideV w:val="double" w:sz="4" w:space="0" w:color="95B3D7" w:themeColor="accent1" w:themeTint="99"/>
          <w:tl2br w:val="nil"/>
          <w:tr2bl w:val="nil"/>
        </w:tcBorders>
        <w:shd w:val="clear" w:color="auto" w:fill="auto"/>
      </w:tcPr>
    </w:tblStylePr>
    <w:tblStylePr w:type="firstCol">
      <w:rPr>
        <w:b/>
        <w:i w:val="0"/>
        <w:color w:val="FFFFFF" w:themeColor="background1"/>
      </w:rPr>
      <w:tblPr/>
      <w:tcPr>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nil"/>
          <w:insideV w:val="nil"/>
          <w:tl2br w:val="nil"/>
          <w:tr2bl w:val="nil"/>
        </w:tcBorders>
        <w:shd w:val="clear" w:color="auto" w:fill="4F81BD" w:themeFill="accent1"/>
      </w:tcPr>
    </w:tblStylePr>
    <w:tblStylePr w:type="lastCol">
      <w:tblPr/>
      <w:tcPr>
        <w:tcBorders>
          <w:top w:val="double" w:sz="4" w:space="0" w:color="95B3D7" w:themeColor="accent1" w:themeTint="99"/>
          <w:left w:val="double" w:sz="4" w:space="0" w:color="95B3D7" w:themeColor="accent1" w:themeTint="99"/>
          <w:bottom w:val="double" w:sz="4" w:space="0" w:color="95B3D7" w:themeColor="accent1" w:themeTint="99"/>
          <w:right w:val="double" w:sz="4" w:space="0" w:color="95B3D7" w:themeColor="accent1" w:themeTint="99"/>
          <w:insideH w:val="nil"/>
          <w:insideV w:val="nil"/>
          <w:tl2br w:val="nil"/>
          <w:tr2bl w:val="nil"/>
        </w:tcBorders>
        <w:shd w:val="clear" w:color="auto" w:fill="auto"/>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top w:val="double" w:sz="4" w:space="0" w:color="95B3D7" w:themeColor="accent1" w:themeTint="99"/>
          <w:left w:val="double" w:sz="4" w:space="0" w:color="95B3D7" w:themeColor="accent1" w:themeTint="99"/>
          <w:bottom w:val="double" w:sz="4" w:space="0" w:color="95B3D7" w:themeColor="accent1" w:themeTint="99"/>
          <w:right w:val="double" w:sz="4" w:space="0" w:color="95B3D7" w:themeColor="accent1" w:themeTint="99"/>
          <w:insideH w:val="nil"/>
          <w:insideV w:val="nil"/>
          <w:tl2br w:val="nil"/>
          <w:tr2bl w:val="nil"/>
        </w:tcBorders>
        <w:shd w:val="clear" w:color="auto" w:fill="4F81BD" w:themeFill="accent1"/>
      </w:tcPr>
    </w:tblStylePr>
    <w:tblStylePr w:type="swCell">
      <w:tblPr/>
      <w:tcPr>
        <w:tcBorders>
          <w:top w:val="double" w:sz="4" w:space="0" w:color="4F81BD" w:themeColor="accent1"/>
          <w:left w:val="double" w:sz="4" w:space="0" w:color="4F81BD" w:themeColor="accent1"/>
          <w:bottom w:val="double" w:sz="4" w:space="0" w:color="4F81BD" w:themeColor="accent1"/>
          <w:right w:val="double" w:sz="4" w:space="0" w:color="4F81BD" w:themeColor="accent1"/>
          <w:insideH w:val="nil"/>
          <w:insideV w:val="nil"/>
          <w:tl2br w:val="nil"/>
          <w:tr2bl w:val="nil"/>
        </w:tcBorders>
        <w:shd w:val="clear" w:color="auto" w:fill="4F81BD" w:themeFill="accent1"/>
      </w:tcPr>
    </w:tblStylePr>
  </w:style>
  <w:style w:type="table" w:customStyle="1" w:styleId="Coffey-Blackborders">
    <w:name w:val="Coffey - Black borders"/>
    <w:basedOn w:val="TableNormal"/>
    <w:uiPriority w:val="99"/>
    <w:rsid w:val="00A17849"/>
    <w:pPr>
      <w:spacing w:before="100" w:beforeAutospacing="1" w:after="100" w:afterAutospacing="1" w:line="240" w:lineRule="auto"/>
    </w:pPr>
    <w:rPr>
      <w:sz w:val="18"/>
      <w:szCs w:val="20"/>
      <w:lang w:val="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4F81BD" w:themeFill="accent1"/>
      </w:tcPr>
    </w:tblStylePr>
    <w:tblStylePr w:type="lastRow">
      <w:tblPr/>
      <w:tcPr>
        <w:tcBorders>
          <w:top w:val="double" w:sz="4" w:space="0" w:color="auto"/>
          <w:left w:val="double" w:sz="4" w:space="0" w:color="auto"/>
          <w:bottom w:val="double" w:sz="4" w:space="0" w:color="auto"/>
          <w:right w:val="double" w:sz="4" w:space="0" w:color="auto"/>
          <w:insideH w:val="double" w:sz="4" w:space="0" w:color="auto"/>
          <w:insideV w:val="double" w:sz="4" w:space="0" w:color="auto"/>
          <w:tl2br w:val="nil"/>
          <w:tr2bl w:val="nil"/>
        </w:tcBorders>
        <w:shd w:val="clear" w:color="auto" w:fill="auto"/>
      </w:tcPr>
    </w:tblStylePr>
    <w:tblStylePr w:type="firstCol">
      <w:rPr>
        <w:b/>
        <w:i w:val="0"/>
        <w:color w:val="FFFFFF" w:themeColor="background1"/>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4F81BD" w:themeFill="accent1"/>
      </w:tcPr>
    </w:tblStylePr>
    <w:tblStylePr w:type="lastCol">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auto"/>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4F81BD" w:themeFill="accent1"/>
      </w:tcPr>
    </w:tblStylePr>
    <w:tblStylePr w:type="swCell">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4F81BD" w:themeFill="accent1"/>
      </w:tcPr>
    </w:tblStylePr>
  </w:style>
  <w:style w:type="table" w:customStyle="1" w:styleId="CoffeyColour2Green">
    <w:name w:val="Coffey Colour 2 (Green)"/>
    <w:basedOn w:val="TableNormal"/>
    <w:uiPriority w:val="99"/>
    <w:rsid w:val="00A17849"/>
    <w:pPr>
      <w:spacing w:before="100" w:beforeAutospacing="1" w:after="100" w:afterAutospacing="1" w:line="240" w:lineRule="auto"/>
    </w:pPr>
    <w:rPr>
      <w:sz w:val="18"/>
      <w:szCs w:val="20"/>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C0504D" w:themeFill="accent2"/>
      </w:tcPr>
    </w:tblStylePr>
    <w:tblStylePr w:type="lastRow">
      <w:tblPr/>
      <w:tcPr>
        <w:tcBorders>
          <w:top w:val="double" w:sz="4" w:space="0" w:color="95B3D7" w:themeColor="accent1" w:themeTint="99"/>
          <w:left w:val="double" w:sz="4" w:space="0" w:color="95B3D7" w:themeColor="accent1" w:themeTint="99"/>
          <w:bottom w:val="double" w:sz="4" w:space="0" w:color="95B3D7" w:themeColor="accent1" w:themeTint="99"/>
          <w:right w:val="double" w:sz="4" w:space="0" w:color="95B3D7" w:themeColor="accent1" w:themeTint="99"/>
          <w:insideH w:val="double" w:sz="4" w:space="0" w:color="95B3D7" w:themeColor="accent1" w:themeTint="99"/>
          <w:insideV w:val="double" w:sz="4" w:space="0" w:color="95B3D7" w:themeColor="accent1" w:themeTint="99"/>
          <w:tl2br w:val="nil"/>
          <w:tr2bl w:val="nil"/>
        </w:tcBorders>
        <w:shd w:val="clear" w:color="auto" w:fill="auto"/>
      </w:tcPr>
    </w:tblStylePr>
    <w:tblStylePr w:type="firstCol">
      <w:rPr>
        <w:b/>
        <w:i w:val="0"/>
        <w:color w:val="FFFFFF" w:themeColor="background1"/>
      </w:rPr>
      <w:tblPr/>
      <w:tcPr>
        <w:shd w:val="clear" w:color="auto" w:fill="C0504D" w:themeFill="accent2"/>
      </w:tcPr>
    </w:tblStylePr>
    <w:tblStylePr w:type="lastCol">
      <w:tblPr/>
      <w:tcPr>
        <w:tcBorders>
          <w:top w:val="double" w:sz="4" w:space="0" w:color="95B3D7" w:themeColor="accent1" w:themeTint="99"/>
          <w:left w:val="double" w:sz="4" w:space="0" w:color="95B3D7" w:themeColor="accent1" w:themeTint="99"/>
          <w:bottom w:val="double" w:sz="4" w:space="0" w:color="95B3D7" w:themeColor="accent1" w:themeTint="99"/>
          <w:right w:val="double" w:sz="4" w:space="0" w:color="95B3D7" w:themeColor="accent1" w:themeTint="99"/>
          <w:insideH w:val="nil"/>
          <w:insideV w:val="nil"/>
          <w:tl2br w:val="nil"/>
          <w:tr2bl w:val="nil"/>
        </w:tcBorders>
        <w:shd w:val="clear" w:color="auto" w:fill="auto"/>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shd w:val="clear" w:color="auto" w:fill="C0504D" w:themeFill="accent2"/>
      </w:tcPr>
    </w:tblStylePr>
    <w:tblStylePr w:type="swCell">
      <w:tblPr/>
      <w:tcPr>
        <w:shd w:val="clear" w:color="auto" w:fill="C0504D" w:themeFill="accent2"/>
      </w:tcPr>
    </w:tblStylePr>
  </w:style>
  <w:style w:type="table" w:customStyle="1" w:styleId="CoffeyColour2Green-Blackborders">
    <w:name w:val="Coffey Colour 2 (Green) - Black borders"/>
    <w:basedOn w:val="TableNormal"/>
    <w:uiPriority w:val="99"/>
    <w:rsid w:val="00A17849"/>
    <w:pPr>
      <w:spacing w:before="100" w:beforeAutospacing="1" w:after="100" w:afterAutospacing="1" w:line="240" w:lineRule="auto"/>
    </w:pPr>
    <w:rPr>
      <w:sz w:val="18"/>
      <w:szCs w:val="20"/>
      <w:lang w:val="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C0504D" w:themeFill="accent2"/>
      </w:tcPr>
    </w:tblStylePr>
    <w:tblStylePr w:type="lastRow">
      <w:tblPr/>
      <w:tcPr>
        <w:tcBorders>
          <w:top w:val="double" w:sz="4" w:space="0" w:color="auto"/>
          <w:left w:val="double" w:sz="4" w:space="0" w:color="auto"/>
          <w:bottom w:val="double" w:sz="4" w:space="0" w:color="auto"/>
          <w:right w:val="double" w:sz="4" w:space="0" w:color="auto"/>
          <w:insideH w:val="double" w:sz="4" w:space="0" w:color="auto"/>
          <w:insideV w:val="double" w:sz="4" w:space="0" w:color="auto"/>
          <w:tl2br w:val="nil"/>
          <w:tr2bl w:val="nil"/>
        </w:tcBorders>
        <w:shd w:val="clear" w:color="auto" w:fill="auto"/>
      </w:tcPr>
    </w:tblStylePr>
    <w:tblStylePr w:type="firstCol">
      <w:rPr>
        <w:b/>
        <w:i w:val="0"/>
        <w:color w:val="FFFFFF" w:themeColor="background1"/>
      </w:rPr>
      <w:tblPr/>
      <w:tcPr>
        <w:shd w:val="clear" w:color="auto" w:fill="C0504D" w:themeFill="accent2"/>
      </w:tcPr>
    </w:tblStylePr>
    <w:tblStylePr w:type="lastCol">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auto"/>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shd w:val="clear" w:color="auto" w:fill="C0504D" w:themeFill="accent2"/>
      </w:tcPr>
    </w:tblStylePr>
    <w:tblStylePr w:type="swCell">
      <w:tblPr/>
      <w:tcPr>
        <w:shd w:val="clear" w:color="auto" w:fill="C0504D" w:themeFill="accent2"/>
      </w:tcPr>
    </w:tblStylePr>
  </w:style>
  <w:style w:type="table" w:customStyle="1" w:styleId="CoffeyColour3Blue">
    <w:name w:val="Coffey Colour 3 (Blue)"/>
    <w:basedOn w:val="TableNormal"/>
    <w:uiPriority w:val="99"/>
    <w:rsid w:val="00A17849"/>
    <w:pPr>
      <w:spacing w:before="100" w:beforeAutospacing="1" w:after="100" w:afterAutospacing="1" w:line="240" w:lineRule="auto"/>
    </w:pPr>
    <w:rPr>
      <w:sz w:val="18"/>
      <w:szCs w:val="20"/>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9BBB59" w:themeFill="accent3"/>
      </w:tcPr>
    </w:tblStylePr>
    <w:tblStylePr w:type="lastRow">
      <w:tblPr/>
      <w:tcPr>
        <w:tcBorders>
          <w:top w:val="double" w:sz="4" w:space="0" w:color="95B3D7" w:themeColor="accent1" w:themeTint="99"/>
          <w:left w:val="double" w:sz="4" w:space="0" w:color="95B3D7" w:themeColor="accent1" w:themeTint="99"/>
          <w:bottom w:val="double" w:sz="4" w:space="0" w:color="95B3D7" w:themeColor="accent1" w:themeTint="99"/>
          <w:right w:val="double" w:sz="4" w:space="0" w:color="95B3D7" w:themeColor="accent1" w:themeTint="99"/>
          <w:insideH w:val="double" w:sz="4" w:space="0" w:color="95B3D7" w:themeColor="accent1" w:themeTint="99"/>
          <w:insideV w:val="double" w:sz="4" w:space="0" w:color="95B3D7" w:themeColor="accent1" w:themeTint="99"/>
          <w:tl2br w:val="nil"/>
          <w:tr2bl w:val="nil"/>
        </w:tcBorders>
        <w:shd w:val="clear" w:color="auto" w:fill="auto"/>
      </w:tcPr>
    </w:tblStylePr>
    <w:tblStylePr w:type="firstCol">
      <w:rPr>
        <w:b/>
        <w:i w:val="0"/>
        <w:color w:val="FFFFFF" w:themeColor="background1"/>
      </w:rPr>
      <w:tblPr/>
      <w:tcPr>
        <w:shd w:val="clear" w:color="auto" w:fill="9BBB59" w:themeFill="accent3"/>
      </w:tcPr>
    </w:tblStylePr>
    <w:tblStylePr w:type="lastCol">
      <w:tblPr/>
      <w:tcPr>
        <w:tcBorders>
          <w:top w:val="double" w:sz="4" w:space="0" w:color="95B3D7" w:themeColor="accent1" w:themeTint="99"/>
          <w:left w:val="double" w:sz="4" w:space="0" w:color="95B3D7" w:themeColor="accent1" w:themeTint="99"/>
          <w:bottom w:val="double" w:sz="4" w:space="0" w:color="95B3D7" w:themeColor="accent1" w:themeTint="99"/>
          <w:right w:val="double" w:sz="4" w:space="0" w:color="95B3D7" w:themeColor="accent1" w:themeTint="99"/>
          <w:insideH w:val="nil"/>
          <w:insideV w:val="nil"/>
          <w:tl2br w:val="nil"/>
          <w:tr2bl w:val="nil"/>
        </w:tcBorders>
        <w:shd w:val="clear" w:color="auto" w:fill="auto"/>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shd w:val="clear" w:color="auto" w:fill="9BBB59" w:themeFill="accent3"/>
      </w:tcPr>
    </w:tblStylePr>
    <w:tblStylePr w:type="swCell">
      <w:tblPr/>
      <w:tcPr>
        <w:shd w:val="clear" w:color="auto" w:fill="9BBB59" w:themeFill="accent3"/>
      </w:tcPr>
    </w:tblStylePr>
  </w:style>
  <w:style w:type="table" w:customStyle="1" w:styleId="CoffeyColour3Blue-Blackborders">
    <w:name w:val="Coffey Colour 3 (Blue) - Black borders"/>
    <w:basedOn w:val="TableNormal"/>
    <w:uiPriority w:val="99"/>
    <w:rsid w:val="00A17849"/>
    <w:pPr>
      <w:spacing w:before="100" w:beforeAutospacing="1" w:after="100" w:afterAutospacing="1" w:line="240" w:lineRule="auto"/>
    </w:pPr>
    <w:rPr>
      <w:sz w:val="18"/>
      <w:szCs w:val="20"/>
      <w:lang w:val="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9BBB59" w:themeFill="accent3"/>
      </w:tcPr>
    </w:tblStylePr>
    <w:tblStylePr w:type="lastRow">
      <w:tblPr/>
      <w:tcPr>
        <w:tcBorders>
          <w:top w:val="double" w:sz="4" w:space="0" w:color="auto"/>
          <w:left w:val="double" w:sz="4" w:space="0" w:color="auto"/>
          <w:bottom w:val="double" w:sz="4" w:space="0" w:color="auto"/>
          <w:right w:val="double" w:sz="4" w:space="0" w:color="auto"/>
          <w:insideH w:val="double" w:sz="4" w:space="0" w:color="auto"/>
          <w:insideV w:val="double" w:sz="4" w:space="0" w:color="auto"/>
          <w:tl2br w:val="nil"/>
          <w:tr2bl w:val="nil"/>
        </w:tcBorders>
        <w:shd w:val="clear" w:color="auto" w:fill="auto"/>
      </w:tcPr>
    </w:tblStylePr>
    <w:tblStylePr w:type="firstCol">
      <w:rPr>
        <w:b/>
        <w:i w:val="0"/>
        <w:color w:val="FFFFFF" w:themeColor="background1"/>
      </w:rPr>
      <w:tblPr/>
      <w:tcPr>
        <w:shd w:val="clear" w:color="auto" w:fill="9BBB59" w:themeFill="accent3"/>
      </w:tcPr>
    </w:tblStylePr>
    <w:tblStylePr w:type="lastCol">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auto"/>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shd w:val="clear" w:color="auto" w:fill="9BBB59" w:themeFill="accent3"/>
      </w:tcPr>
    </w:tblStylePr>
    <w:tblStylePr w:type="swCell">
      <w:tblPr/>
      <w:tcPr>
        <w:shd w:val="clear" w:color="auto" w:fill="9BBB59" w:themeFill="accent3"/>
      </w:tcPr>
    </w:tblStylePr>
  </w:style>
  <w:style w:type="table" w:customStyle="1" w:styleId="CoffeyColour4Purple">
    <w:name w:val="Coffey Colour 4 (Purple)"/>
    <w:basedOn w:val="TableNormal"/>
    <w:uiPriority w:val="99"/>
    <w:rsid w:val="00A17849"/>
    <w:pPr>
      <w:spacing w:before="100" w:beforeAutospacing="1" w:after="100" w:afterAutospacing="1" w:line="240" w:lineRule="auto"/>
    </w:pPr>
    <w:rPr>
      <w:sz w:val="18"/>
      <w:szCs w:val="20"/>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8064A2" w:themeFill="accent4"/>
      </w:tcPr>
    </w:tblStylePr>
    <w:tblStylePr w:type="lastRow">
      <w:tblPr/>
      <w:tcPr>
        <w:tcBorders>
          <w:top w:val="double" w:sz="4" w:space="0" w:color="95B3D7" w:themeColor="accent1" w:themeTint="99"/>
          <w:left w:val="double" w:sz="4" w:space="0" w:color="95B3D7" w:themeColor="accent1" w:themeTint="99"/>
          <w:bottom w:val="double" w:sz="4" w:space="0" w:color="95B3D7" w:themeColor="accent1" w:themeTint="99"/>
          <w:right w:val="double" w:sz="4" w:space="0" w:color="95B3D7" w:themeColor="accent1" w:themeTint="99"/>
          <w:insideH w:val="double" w:sz="4" w:space="0" w:color="95B3D7" w:themeColor="accent1" w:themeTint="99"/>
          <w:insideV w:val="double" w:sz="4" w:space="0" w:color="95B3D7" w:themeColor="accent1" w:themeTint="99"/>
          <w:tl2br w:val="nil"/>
          <w:tr2bl w:val="nil"/>
        </w:tcBorders>
        <w:shd w:val="clear" w:color="auto" w:fill="auto"/>
      </w:tcPr>
    </w:tblStylePr>
    <w:tblStylePr w:type="firstCol">
      <w:rPr>
        <w:b/>
        <w:i w:val="0"/>
        <w:color w:val="FFFFFF" w:themeColor="background1"/>
      </w:rPr>
      <w:tblPr/>
      <w:tcPr>
        <w:shd w:val="clear" w:color="auto" w:fill="8064A2" w:themeFill="accent4"/>
      </w:tcPr>
    </w:tblStylePr>
    <w:tblStylePr w:type="lastCol">
      <w:tblPr/>
      <w:tcPr>
        <w:tcBorders>
          <w:top w:val="double" w:sz="4" w:space="0" w:color="95B3D7" w:themeColor="accent1" w:themeTint="99"/>
          <w:left w:val="double" w:sz="4" w:space="0" w:color="95B3D7" w:themeColor="accent1" w:themeTint="99"/>
          <w:bottom w:val="double" w:sz="4" w:space="0" w:color="95B3D7" w:themeColor="accent1" w:themeTint="99"/>
          <w:right w:val="double" w:sz="4" w:space="0" w:color="95B3D7" w:themeColor="accent1" w:themeTint="99"/>
          <w:insideH w:val="nil"/>
          <w:insideV w:val="nil"/>
          <w:tl2br w:val="nil"/>
          <w:tr2bl w:val="nil"/>
        </w:tcBorders>
        <w:shd w:val="clear" w:color="auto" w:fill="auto"/>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shd w:val="clear" w:color="auto" w:fill="8064A2" w:themeFill="accent4"/>
      </w:tcPr>
    </w:tblStylePr>
    <w:tblStylePr w:type="swCell">
      <w:tblPr/>
      <w:tcPr>
        <w:shd w:val="clear" w:color="auto" w:fill="8064A2" w:themeFill="accent4"/>
      </w:tcPr>
    </w:tblStylePr>
  </w:style>
  <w:style w:type="table" w:customStyle="1" w:styleId="CoffeyColour4Purple-Blackborders">
    <w:name w:val="Coffey Colour 4 (Purple) - Black borders"/>
    <w:basedOn w:val="TableNormal"/>
    <w:uiPriority w:val="99"/>
    <w:rsid w:val="00A17849"/>
    <w:pPr>
      <w:spacing w:before="100" w:beforeAutospacing="1" w:after="100" w:afterAutospacing="1" w:line="240" w:lineRule="auto"/>
    </w:pPr>
    <w:rPr>
      <w:sz w:val="18"/>
      <w:szCs w:val="20"/>
      <w:lang w:val="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8064A2" w:themeFill="accent4"/>
      </w:tcPr>
    </w:tblStylePr>
    <w:tblStylePr w:type="lastRow">
      <w:tblPr/>
      <w:tcPr>
        <w:tcBorders>
          <w:top w:val="double" w:sz="4" w:space="0" w:color="auto"/>
          <w:left w:val="double" w:sz="4" w:space="0" w:color="auto"/>
          <w:bottom w:val="double" w:sz="4" w:space="0" w:color="auto"/>
          <w:right w:val="double" w:sz="4" w:space="0" w:color="auto"/>
          <w:insideH w:val="double" w:sz="4" w:space="0" w:color="auto"/>
          <w:insideV w:val="double" w:sz="4" w:space="0" w:color="auto"/>
          <w:tl2br w:val="nil"/>
          <w:tr2bl w:val="nil"/>
        </w:tcBorders>
        <w:shd w:val="clear" w:color="auto" w:fill="auto"/>
      </w:tcPr>
    </w:tblStylePr>
    <w:tblStylePr w:type="firstCol">
      <w:rPr>
        <w:b/>
        <w:i w:val="0"/>
        <w:color w:val="FFFFFF" w:themeColor="background1"/>
      </w:rPr>
      <w:tblPr/>
      <w:tcPr>
        <w:shd w:val="clear" w:color="auto" w:fill="8064A2" w:themeFill="accent4"/>
      </w:tcPr>
    </w:tblStylePr>
    <w:tblStylePr w:type="lastCol">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auto"/>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shd w:val="clear" w:color="auto" w:fill="8064A2" w:themeFill="accent4"/>
      </w:tcPr>
    </w:tblStylePr>
    <w:tblStylePr w:type="swCell">
      <w:tblPr/>
      <w:tcPr>
        <w:shd w:val="clear" w:color="auto" w:fill="8064A2" w:themeFill="accent4"/>
      </w:tcPr>
    </w:tblStylePr>
  </w:style>
  <w:style w:type="paragraph" w:customStyle="1" w:styleId="9ptBodyText">
    <w:name w:val="9pt Body Text"/>
    <w:basedOn w:val="BodyText"/>
    <w:link w:val="9ptBodyTextChar"/>
    <w:uiPriority w:val="9"/>
    <w:rsid w:val="00A17849"/>
    <w:pPr>
      <w:spacing w:before="0" w:after="0" w:line="240" w:lineRule="auto"/>
    </w:pPr>
    <w:rPr>
      <w:sz w:val="18"/>
    </w:rPr>
  </w:style>
  <w:style w:type="character" w:customStyle="1" w:styleId="9ptBodyTextChar">
    <w:name w:val="9pt Body Text Char"/>
    <w:basedOn w:val="BodyTextChar"/>
    <w:link w:val="9ptBodyText"/>
    <w:uiPriority w:val="9"/>
    <w:rsid w:val="00A17849"/>
    <w:rPr>
      <w:rFonts w:ascii="Arial" w:eastAsia="Arial" w:hAnsi="Arial" w:cs="Arial"/>
      <w:spacing w:val="-3"/>
      <w:sz w:val="18"/>
      <w:szCs w:val="19"/>
      <w:lang w:val="en-AU"/>
    </w:rPr>
  </w:style>
  <w:style w:type="paragraph" w:customStyle="1" w:styleId="9ptL1">
    <w:name w:val="9pt L1"/>
    <w:basedOn w:val="9ptBodyText"/>
    <w:next w:val="9ptBodyText"/>
    <w:link w:val="9ptL1Char"/>
    <w:uiPriority w:val="9"/>
    <w:rsid w:val="00A17849"/>
    <w:pPr>
      <w:keepNext/>
      <w:numPr>
        <w:numId w:val="14"/>
      </w:numPr>
    </w:pPr>
    <w:rPr>
      <w:b/>
    </w:rPr>
  </w:style>
  <w:style w:type="character" w:customStyle="1" w:styleId="9ptL1Char">
    <w:name w:val="9pt L1 Char"/>
    <w:basedOn w:val="9ptBodyTextChar"/>
    <w:link w:val="9ptL1"/>
    <w:uiPriority w:val="9"/>
    <w:rsid w:val="00A17849"/>
    <w:rPr>
      <w:rFonts w:ascii="Arial" w:eastAsia="Arial" w:hAnsi="Arial" w:cs="Arial"/>
      <w:b/>
      <w:spacing w:val="-3"/>
      <w:sz w:val="18"/>
      <w:szCs w:val="19"/>
      <w:lang w:val="en-AU"/>
    </w:rPr>
  </w:style>
  <w:style w:type="paragraph" w:customStyle="1" w:styleId="9ptL2">
    <w:name w:val="9pt L2"/>
    <w:basedOn w:val="9ptL1"/>
    <w:link w:val="9ptL2Char"/>
    <w:uiPriority w:val="9"/>
    <w:rsid w:val="00A17849"/>
    <w:pPr>
      <w:keepNext w:val="0"/>
      <w:numPr>
        <w:ilvl w:val="1"/>
      </w:numPr>
    </w:pPr>
    <w:rPr>
      <w:b w:val="0"/>
    </w:rPr>
  </w:style>
  <w:style w:type="character" w:customStyle="1" w:styleId="9ptL2Char">
    <w:name w:val="9pt L2 Char"/>
    <w:basedOn w:val="9ptL1Char"/>
    <w:link w:val="9ptL2"/>
    <w:uiPriority w:val="9"/>
    <w:rsid w:val="00A17849"/>
    <w:rPr>
      <w:rFonts w:ascii="Arial" w:eastAsia="Arial" w:hAnsi="Arial" w:cs="Arial"/>
      <w:b w:val="0"/>
      <w:spacing w:val="-3"/>
      <w:sz w:val="18"/>
      <w:szCs w:val="19"/>
      <w:lang w:val="en-AU"/>
    </w:rPr>
  </w:style>
  <w:style w:type="paragraph" w:customStyle="1" w:styleId="9ptL3">
    <w:name w:val="9pt L3"/>
    <w:basedOn w:val="9ptL2"/>
    <w:link w:val="9ptL3Char"/>
    <w:uiPriority w:val="9"/>
    <w:rsid w:val="00A17849"/>
    <w:pPr>
      <w:numPr>
        <w:ilvl w:val="2"/>
      </w:numPr>
    </w:pPr>
  </w:style>
  <w:style w:type="character" w:customStyle="1" w:styleId="9ptL3Char">
    <w:name w:val="9pt L3 Char"/>
    <w:basedOn w:val="9ptL2Char"/>
    <w:link w:val="9ptL3"/>
    <w:uiPriority w:val="9"/>
    <w:rsid w:val="00A17849"/>
    <w:rPr>
      <w:rFonts w:ascii="Arial" w:eastAsia="Arial" w:hAnsi="Arial" w:cs="Arial"/>
      <w:b w:val="0"/>
      <w:spacing w:val="-3"/>
      <w:sz w:val="18"/>
      <w:szCs w:val="19"/>
      <w:lang w:val="en-AU"/>
    </w:rPr>
  </w:style>
  <w:style w:type="numbering" w:customStyle="1" w:styleId="Numbersfor9ptnumbers">
    <w:name w:val="Numbers for 9pt numbers"/>
    <w:uiPriority w:val="99"/>
    <w:rsid w:val="00A17849"/>
    <w:pPr>
      <w:numPr>
        <w:numId w:val="14"/>
      </w:numPr>
    </w:pPr>
  </w:style>
  <w:style w:type="paragraph" w:customStyle="1" w:styleId="Normal0">
    <w:name w:val="[Normal]"/>
    <w:rsid w:val="00A17849"/>
    <w:pPr>
      <w:widowControl w:val="0"/>
      <w:autoSpaceDE w:val="0"/>
      <w:autoSpaceDN w:val="0"/>
      <w:adjustRightInd w:val="0"/>
      <w:spacing w:after="0" w:line="240" w:lineRule="auto"/>
    </w:pPr>
    <w:rPr>
      <w:rFonts w:ascii="Arial" w:hAnsi="Arial" w:cs="Arial"/>
      <w:sz w:val="24"/>
      <w:szCs w:val="24"/>
    </w:rPr>
  </w:style>
  <w:style w:type="paragraph" w:customStyle="1" w:styleId="TableParagraph">
    <w:name w:val="Table Paragraph"/>
    <w:basedOn w:val="Normal"/>
    <w:uiPriority w:val="1"/>
    <w:rsid w:val="00A17849"/>
    <w:pPr>
      <w:autoSpaceDE w:val="0"/>
      <w:autoSpaceDN w:val="0"/>
      <w:adjustRightInd w:val="0"/>
      <w:spacing w:before="48" w:after="0"/>
      <w:jc w:val="right"/>
    </w:pPr>
    <w:rPr>
      <w:rFonts w:ascii="Arial" w:hAnsi="Arial" w:cs="Arial"/>
      <w:sz w:val="22"/>
      <w:szCs w:val="22"/>
      <w:lang w:val="en-US"/>
    </w:rPr>
  </w:style>
  <w:style w:type="paragraph" w:styleId="PlainText">
    <w:name w:val="Plain Text"/>
    <w:basedOn w:val="Normal"/>
    <w:link w:val="PlainTextChar"/>
    <w:uiPriority w:val="99"/>
    <w:rsid w:val="00A17849"/>
    <w:pPr>
      <w:autoSpaceDE w:val="0"/>
      <w:autoSpaceDN w:val="0"/>
      <w:adjustRightInd w:val="0"/>
      <w:spacing w:after="0"/>
    </w:pPr>
    <w:rPr>
      <w:rFonts w:ascii="Calibri" w:hAnsi="Calibri" w:cs="Calibri"/>
      <w:sz w:val="22"/>
      <w:szCs w:val="22"/>
      <w:lang w:val="en-US"/>
    </w:rPr>
  </w:style>
  <w:style w:type="character" w:customStyle="1" w:styleId="PlainTextChar">
    <w:name w:val="Plain Text Char"/>
    <w:basedOn w:val="DefaultParagraphFont"/>
    <w:link w:val="PlainText"/>
    <w:uiPriority w:val="99"/>
    <w:rsid w:val="00A17849"/>
    <w:rPr>
      <w:rFonts w:ascii="Calibri" w:hAnsi="Calibri" w:cs="Calibri"/>
    </w:rPr>
  </w:style>
  <w:style w:type="character" w:customStyle="1" w:styleId="maincopy1">
    <w:name w:val="maincopy1"/>
    <w:basedOn w:val="DefaultParagraphFont"/>
    <w:rsid w:val="00A17849"/>
    <w:rPr>
      <w:rFonts w:ascii="Verdana" w:hAnsi="Verdana" w:hint="default"/>
      <w:b w:val="0"/>
      <w:bCs w:val="0"/>
      <w:color w:val="000000"/>
      <w:sz w:val="18"/>
      <w:szCs w:val="18"/>
    </w:rPr>
  </w:style>
  <w:style w:type="table" w:customStyle="1" w:styleId="ListTable3-Accent51">
    <w:name w:val="List Table 3 - Accent 51"/>
    <w:basedOn w:val="TableNormal"/>
    <w:uiPriority w:val="48"/>
    <w:rsid w:val="005930A7"/>
    <w:pPr>
      <w:spacing w:after="0" w:line="240" w:lineRule="auto"/>
    </w:pPr>
    <w:rPr>
      <w:rFonts w:ascii="Times New Roman" w:eastAsia="Times New Roman" w:hAnsi="Times New Roman" w:cs="Times New Roman"/>
      <w:sz w:val="20"/>
      <w:szCs w:val="20"/>
      <w:lang w:val="en-AU" w:eastAsia="en-A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CommentSubject">
    <w:name w:val="annotation subject"/>
    <w:basedOn w:val="CommentText"/>
    <w:next w:val="CommentText"/>
    <w:link w:val="CommentSubjectChar"/>
    <w:uiPriority w:val="99"/>
    <w:semiHidden/>
    <w:unhideWhenUsed/>
    <w:rsid w:val="005A5862"/>
    <w:rPr>
      <w:b/>
      <w:bCs/>
    </w:rPr>
  </w:style>
  <w:style w:type="character" w:customStyle="1" w:styleId="CommentSubjectChar">
    <w:name w:val="Comment Subject Char"/>
    <w:basedOn w:val="CommentTextChar"/>
    <w:link w:val="CommentSubject"/>
    <w:uiPriority w:val="99"/>
    <w:semiHidden/>
    <w:rsid w:val="005A5862"/>
    <w:rPr>
      <w:b/>
      <w:bCs/>
      <w:sz w:val="20"/>
      <w:szCs w:val="20"/>
      <w:lang w:val="en-AU"/>
    </w:rPr>
  </w:style>
  <w:style w:type="paragraph" w:customStyle="1" w:styleId="Source">
    <w:name w:val="Source"/>
    <w:basedOn w:val="Normal"/>
    <w:uiPriority w:val="99"/>
    <w:qFormat/>
    <w:rsid w:val="005E693E"/>
    <w:pPr>
      <w:spacing w:before="120" w:after="0"/>
    </w:pPr>
    <w:rPr>
      <w:rFonts w:ascii="Arial" w:hAnsi="Arial" w:cs="Arial"/>
      <w:i/>
      <w:sz w:val="18"/>
      <w:lang w:val="en-US"/>
    </w:rPr>
  </w:style>
  <w:style w:type="paragraph" w:customStyle="1" w:styleId="Tabledata">
    <w:name w:val="Table data"/>
    <w:basedOn w:val="BodyText"/>
    <w:uiPriority w:val="99"/>
    <w:qFormat/>
    <w:rsid w:val="009E4BB5"/>
    <w:rPr>
      <w:sz w:val="18"/>
    </w:rPr>
  </w:style>
  <w:style w:type="character" w:customStyle="1" w:styleId="st">
    <w:name w:val="st"/>
    <w:basedOn w:val="DefaultParagraphFont"/>
    <w:rsid w:val="002D5548"/>
  </w:style>
  <w:style w:type="paragraph" w:styleId="TOC5">
    <w:name w:val="toc 5"/>
    <w:basedOn w:val="Normal"/>
    <w:next w:val="Normal"/>
    <w:autoRedefine/>
    <w:uiPriority w:val="39"/>
    <w:unhideWhenUsed/>
    <w:rsid w:val="009F7A1D"/>
    <w:pPr>
      <w:spacing w:after="100" w:line="259" w:lineRule="auto"/>
      <w:ind w:left="880"/>
    </w:pPr>
    <w:rPr>
      <w:rFonts w:eastAsiaTheme="minorEastAsia"/>
      <w:sz w:val="22"/>
      <w:szCs w:val="22"/>
      <w:lang w:val="en-US"/>
    </w:rPr>
  </w:style>
  <w:style w:type="paragraph" w:styleId="TOC6">
    <w:name w:val="toc 6"/>
    <w:basedOn w:val="Normal"/>
    <w:next w:val="Normal"/>
    <w:autoRedefine/>
    <w:uiPriority w:val="39"/>
    <w:unhideWhenUsed/>
    <w:rsid w:val="009F7A1D"/>
    <w:pPr>
      <w:spacing w:after="100" w:line="259" w:lineRule="auto"/>
      <w:ind w:left="1100"/>
    </w:pPr>
    <w:rPr>
      <w:rFonts w:eastAsiaTheme="minorEastAsia"/>
      <w:sz w:val="22"/>
      <w:szCs w:val="22"/>
      <w:lang w:val="en-US"/>
    </w:rPr>
  </w:style>
  <w:style w:type="paragraph" w:styleId="TOC8">
    <w:name w:val="toc 8"/>
    <w:basedOn w:val="Normal"/>
    <w:next w:val="Normal"/>
    <w:autoRedefine/>
    <w:uiPriority w:val="39"/>
    <w:unhideWhenUsed/>
    <w:rsid w:val="009F7A1D"/>
    <w:pPr>
      <w:spacing w:after="100" w:line="259" w:lineRule="auto"/>
      <w:ind w:left="1540"/>
    </w:pPr>
    <w:rPr>
      <w:rFonts w:eastAsiaTheme="minorEastAsia"/>
      <w:sz w:val="22"/>
      <w:szCs w:val="22"/>
      <w:lang w:val="en-US"/>
    </w:rPr>
  </w:style>
  <w:style w:type="paragraph" w:styleId="TOC9">
    <w:name w:val="toc 9"/>
    <w:basedOn w:val="Normal"/>
    <w:next w:val="Normal"/>
    <w:autoRedefine/>
    <w:uiPriority w:val="39"/>
    <w:unhideWhenUsed/>
    <w:rsid w:val="009F7A1D"/>
    <w:pPr>
      <w:spacing w:after="100" w:line="259" w:lineRule="auto"/>
      <w:ind w:left="1760"/>
    </w:pPr>
    <w:rPr>
      <w:rFonts w:eastAsiaTheme="minorEastAsia"/>
      <w:sz w:val="22"/>
      <w:szCs w:val="22"/>
      <w:lang w:val="en-US"/>
    </w:rPr>
  </w:style>
  <w:style w:type="paragraph" w:customStyle="1" w:styleId="FigureHeading">
    <w:name w:val="Figure Heading"/>
    <w:uiPriority w:val="99"/>
    <w:rsid w:val="005968F4"/>
    <w:pPr>
      <w:spacing w:before="240" w:after="120"/>
    </w:pPr>
    <w:rPr>
      <w:rFonts w:ascii="Arial" w:hAnsi="Arial" w:cs="Arial"/>
      <w:b/>
      <w:bCs/>
      <w:sz w:val="20"/>
      <w:szCs w:val="20"/>
      <w:lang w:val="en-AU"/>
    </w:rPr>
  </w:style>
  <w:style w:type="paragraph" w:customStyle="1" w:styleId="TableHeadingnew">
    <w:name w:val="Table Heading new"/>
    <w:uiPriority w:val="99"/>
    <w:rsid w:val="000D3BE4"/>
    <w:pPr>
      <w:spacing w:before="240" w:after="120"/>
    </w:pPr>
    <w:rPr>
      <w:rFonts w:ascii="Arial" w:hAnsi="Arial" w:cs="Arial"/>
      <w:b/>
      <w:bCs/>
      <w:sz w:val="20"/>
      <w:szCs w:val="20"/>
      <w:lang w:val="en-GB" w:eastAsia="en-AU"/>
    </w:rPr>
  </w:style>
  <w:style w:type="paragraph" w:customStyle="1" w:styleId="Contents">
    <w:name w:val="Contents"/>
    <w:uiPriority w:val="99"/>
    <w:rsid w:val="0093433B"/>
    <w:rPr>
      <w:rFonts w:ascii="Arial" w:hAnsi="Arial" w:cstheme="minorHAnsi"/>
      <w:b/>
      <w:color w:val="4FAA5F"/>
      <w:spacing w:val="-3"/>
      <w:sz w:val="36"/>
      <w:szCs w:val="24"/>
      <w:lang w:val="en-AU"/>
    </w:rPr>
  </w:style>
  <w:style w:type="paragraph" w:customStyle="1" w:styleId="Table">
    <w:name w:val="Table"/>
    <w:basedOn w:val="TableHeadingnew"/>
    <w:link w:val="TableChar"/>
    <w:uiPriority w:val="99"/>
    <w:qFormat/>
    <w:rsid w:val="001D2234"/>
  </w:style>
  <w:style w:type="paragraph" w:customStyle="1" w:styleId="Figure">
    <w:name w:val="Figure"/>
    <w:basedOn w:val="Table"/>
    <w:link w:val="FigureChar"/>
    <w:uiPriority w:val="99"/>
    <w:qFormat/>
    <w:rsid w:val="001D2234"/>
  </w:style>
  <w:style w:type="character" w:customStyle="1" w:styleId="TableChar">
    <w:name w:val="Table Char"/>
    <w:basedOn w:val="Heading1Char"/>
    <w:link w:val="Table"/>
    <w:uiPriority w:val="99"/>
    <w:rsid w:val="001D2234"/>
    <w:rPr>
      <w:rFonts w:ascii="Arial" w:eastAsia="Arial" w:hAnsi="Arial" w:cs="Arial"/>
      <w:b/>
      <w:bCs/>
      <w:color w:val="4FAA5F"/>
      <w:spacing w:val="-3"/>
      <w:sz w:val="20"/>
      <w:szCs w:val="20"/>
      <w:lang w:val="en-GB" w:eastAsia="en-AU"/>
    </w:rPr>
  </w:style>
  <w:style w:type="character" w:customStyle="1" w:styleId="FigureChar">
    <w:name w:val="Figure Char"/>
    <w:basedOn w:val="TableChar"/>
    <w:link w:val="Figure"/>
    <w:uiPriority w:val="99"/>
    <w:rsid w:val="001D2234"/>
    <w:rPr>
      <w:rFonts w:ascii="Arial" w:eastAsia="Arial" w:hAnsi="Arial" w:cs="Arial"/>
      <w:b/>
      <w:bCs/>
      <w:color w:val="4FAA5F"/>
      <w:spacing w:val="-3"/>
      <w:sz w:val="20"/>
      <w:szCs w:val="20"/>
      <w:lang w:val="en-GB" w:eastAsia="en-AU"/>
    </w:rPr>
  </w:style>
  <w:style w:type="table" w:customStyle="1" w:styleId="GridTable4-Accent61">
    <w:name w:val="Grid Table 4 - Accent 61"/>
    <w:basedOn w:val="TableNormal"/>
    <w:uiPriority w:val="49"/>
    <w:rsid w:val="000E290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0E290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61">
    <w:name w:val="Grid Table 5 Dark - Accent 61"/>
    <w:basedOn w:val="TableNormal"/>
    <w:uiPriority w:val="50"/>
    <w:rsid w:val="00323A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BodyText0">
    <w:name w:val="BodyText"/>
    <w:basedOn w:val="NormalWeb"/>
    <w:rsid w:val="00B65340"/>
    <w:pPr>
      <w:spacing w:before="120" w:beforeAutospacing="0" w:after="120" w:afterAutospacing="0" w:line="240" w:lineRule="atLeast"/>
      <w:jc w:val="both"/>
    </w:pPr>
    <w:rPr>
      <w:rFonts w:ascii="Calibri" w:eastAsiaTheme="minorHAnsi" w:hAnsi="Calibri" w:cs="Calibri"/>
      <w:color w:val="000000" w:themeColor="text1"/>
      <w:sz w:val="22"/>
      <w:szCs w:val="23"/>
    </w:rPr>
  </w:style>
  <w:style w:type="table" w:customStyle="1" w:styleId="TableGrid1">
    <w:name w:val="Table Grid1"/>
    <w:basedOn w:val="TableNormal"/>
    <w:next w:val="TableGrid"/>
    <w:uiPriority w:val="39"/>
    <w:rsid w:val="002D1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Heading">
    <w:name w:val="Contents Heading"/>
    <w:basedOn w:val="Normal"/>
    <w:next w:val="BodyText"/>
    <w:rsid w:val="008F7678"/>
    <w:pPr>
      <w:spacing w:before="480" w:after="240" w:line="264" w:lineRule="auto"/>
      <w:contextualSpacing/>
    </w:pPr>
    <w:rPr>
      <w:rFonts w:ascii="Arial" w:eastAsia="Arial" w:hAnsi="Arial" w:cs="Times New Roman"/>
      <w:b/>
      <w:sz w:val="44"/>
      <w:szCs w:val="40"/>
    </w:rPr>
  </w:style>
  <w:style w:type="table" w:customStyle="1" w:styleId="ListTable3-Accent511">
    <w:name w:val="List Table 3 - Accent 511"/>
    <w:basedOn w:val="TableNormal"/>
    <w:uiPriority w:val="48"/>
    <w:rsid w:val="00386EEC"/>
    <w:pPr>
      <w:spacing w:after="0" w:line="240" w:lineRule="auto"/>
    </w:pPr>
    <w:rPr>
      <w:rFonts w:ascii="Times New Roman" w:eastAsia="Times New Roman" w:hAnsi="Times New Roman" w:cs="Times New Roman"/>
      <w:sz w:val="20"/>
      <w:szCs w:val="20"/>
      <w:lang w:val="en-AU" w:eastAsia="en-A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GridTable4-Accent611">
    <w:name w:val="Grid Table 4 - Accent 611"/>
    <w:basedOn w:val="TableNormal"/>
    <w:uiPriority w:val="49"/>
    <w:rsid w:val="00386E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1">
    <w:name w:val="Grid Table 4 - Accent 311"/>
    <w:basedOn w:val="TableNormal"/>
    <w:uiPriority w:val="49"/>
    <w:rsid w:val="00386EE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611">
    <w:name w:val="Grid Table 5 Dark - Accent 611"/>
    <w:basedOn w:val="TableNormal"/>
    <w:uiPriority w:val="50"/>
    <w:rsid w:val="00386E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Revision">
    <w:name w:val="Revision"/>
    <w:hidden/>
    <w:uiPriority w:val="99"/>
    <w:semiHidden/>
    <w:rsid w:val="00386EEC"/>
    <w:pPr>
      <w:spacing w:after="0" w:line="240" w:lineRule="auto"/>
    </w:pPr>
    <w:rPr>
      <w:sz w:val="20"/>
      <w:szCs w:val="20"/>
      <w:lang w:val="en-AU"/>
    </w:rPr>
  </w:style>
  <w:style w:type="paragraph" w:customStyle="1" w:styleId="Body">
    <w:name w:val="Body"/>
    <w:pPr>
      <w:pBdr>
        <w:top w:val="nil"/>
        <w:left w:val="nil"/>
        <w:bottom w:val="nil"/>
        <w:right w:val="nil"/>
        <w:between w:val="nil"/>
        <w:bar w:val="nil"/>
      </w:pBdr>
      <w:spacing w:line="240" w:lineRule="auto"/>
    </w:pPr>
    <w:rPr>
      <w:rFonts w:ascii="Calibri" w:eastAsia="Calibri" w:hAnsi="Calibri" w:cs="Calibri"/>
      <w:color w:val="000000"/>
      <w:sz w:val="20"/>
      <w:szCs w:val="20"/>
      <w:u w:color="000000"/>
      <w:bdr w:val="nil"/>
    </w:rPr>
  </w:style>
  <w:style w:type="table" w:customStyle="1" w:styleId="GridTable1Light-Accent51">
    <w:name w:val="Grid Table 1 Light - Accent 51"/>
    <w:basedOn w:val="TableNormal"/>
    <w:uiPriority w:val="46"/>
    <w:rsid w:val="00C21D18"/>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AttachmentHeading">
    <w:name w:val="Attachment Heading"/>
    <w:basedOn w:val="Normal"/>
    <w:next w:val="Normal"/>
    <w:rsid w:val="003861C6"/>
    <w:pPr>
      <w:pageBreakBefore/>
      <w:numPr>
        <w:numId w:val="17"/>
      </w:numPr>
      <w:spacing w:after="220"/>
    </w:pPr>
    <w:rPr>
      <w:rFonts w:ascii="Arial" w:eastAsia="Times New Roman" w:hAnsi="Arial" w:cs="Times New Roman"/>
      <w:b/>
      <w:sz w:val="24"/>
      <w:szCs w:val="22"/>
    </w:rPr>
  </w:style>
  <w:style w:type="character" w:customStyle="1" w:styleId="ListParagraphChar">
    <w:name w:val="List Paragraph Char"/>
    <w:aliases w:val="Bullet Level 1 Char,List Paragraph1 Char,Recommendation Char,Body text Char,Figure_name Char,Numbered Indented Text Char,Bullet- First level Char,List NUmber Char,Listenabsatz1 Char,lp1 Char,List Paragraph11 Char,NAST Quote Char"/>
    <w:basedOn w:val="DefaultParagraphFont"/>
    <w:link w:val="ListParagraph"/>
    <w:uiPriority w:val="34"/>
    <w:qFormat/>
    <w:rsid w:val="00C16CA8"/>
    <w:rPr>
      <w:rFonts w:ascii="Arial" w:eastAsia="Arial" w:hAnsi="Arial" w:cs="Arial"/>
      <w:sz w:val="20"/>
      <w:szCs w:val="19"/>
      <w:lang w:val="en-AU"/>
    </w:rPr>
  </w:style>
  <w:style w:type="paragraph" w:customStyle="1" w:styleId="CVname">
    <w:name w:val="CV name"/>
    <w:basedOn w:val="BodyText"/>
    <w:next w:val="BodyText"/>
    <w:rsid w:val="003861C6"/>
    <w:pPr>
      <w:spacing w:before="0" w:line="240" w:lineRule="auto"/>
    </w:pPr>
    <w:rPr>
      <w:rFonts w:asciiTheme="minorHAnsi" w:hAnsiTheme="minorHAnsi" w:cstheme="minorBidi"/>
      <w:b/>
      <w:sz w:val="28"/>
    </w:rPr>
  </w:style>
  <w:style w:type="paragraph" w:customStyle="1" w:styleId="CVtitle">
    <w:name w:val="CV title"/>
    <w:basedOn w:val="Normal"/>
    <w:next w:val="BodyText"/>
    <w:rsid w:val="003861C6"/>
    <w:pPr>
      <w:keepNext/>
      <w:keepLines/>
      <w:spacing w:before="200" w:after="120" w:line="264" w:lineRule="auto"/>
      <w:contextualSpacing/>
    </w:pPr>
    <w:rPr>
      <w:b/>
      <w:sz w:val="24"/>
      <w:szCs w:val="22"/>
    </w:rPr>
  </w:style>
  <w:style w:type="paragraph" w:customStyle="1" w:styleId="Bulletnormal">
    <w:name w:val="Bullet normal"/>
    <w:uiPriority w:val="99"/>
    <w:rsid w:val="003861C6"/>
    <w:pPr>
      <w:spacing w:line="240" w:lineRule="auto"/>
      <w:ind w:left="450" w:hanging="360"/>
    </w:pPr>
    <w:rPr>
      <w:sz w:val="18"/>
      <w:lang w:val="en-AU"/>
    </w:rPr>
  </w:style>
  <w:style w:type="paragraph" w:customStyle="1" w:styleId="BodyCopyindent">
    <w:name w:val="Body Copy indent"/>
    <w:uiPriority w:val="99"/>
    <w:rsid w:val="003861C6"/>
    <w:pPr>
      <w:spacing w:before="50" w:line="240" w:lineRule="auto"/>
      <w:ind w:left="459"/>
    </w:pPr>
    <w:rPr>
      <w:sz w:val="18"/>
      <w:lang w:val="en-AU"/>
    </w:rPr>
  </w:style>
  <w:style w:type="paragraph" w:customStyle="1" w:styleId="Dotpoint">
    <w:name w:val="Dotpoint"/>
    <w:basedOn w:val="BodyText"/>
    <w:link w:val="DotpointChar"/>
    <w:qFormat/>
    <w:rsid w:val="00E50F49"/>
    <w:pPr>
      <w:numPr>
        <w:numId w:val="22"/>
      </w:numPr>
      <w:spacing w:before="60" w:after="60"/>
    </w:pPr>
    <w:rPr>
      <w:lang w:val="en-AU"/>
    </w:rPr>
  </w:style>
  <w:style w:type="character" w:customStyle="1" w:styleId="DotpointChar">
    <w:name w:val="Dotpoint Char"/>
    <w:link w:val="Dotpoint"/>
    <w:rsid w:val="00E50F49"/>
    <w:rPr>
      <w:rFonts w:ascii="Arial" w:eastAsia="Arial" w:hAnsi="Arial" w:cs="Arial"/>
      <w:sz w:val="20"/>
      <w:szCs w:val="19"/>
      <w:lang w:val="en-AU"/>
    </w:rPr>
  </w:style>
  <w:style w:type="paragraph" w:customStyle="1" w:styleId="EvaluationBodyCopy">
    <w:name w:val="Evaluation Body Copy"/>
    <w:basedOn w:val="Normal"/>
    <w:rsid w:val="004A60DD"/>
    <w:pPr>
      <w:tabs>
        <w:tab w:val="left" w:pos="567"/>
      </w:tabs>
      <w:spacing w:after="0" w:line="260" w:lineRule="atLeast"/>
    </w:pPr>
    <w:rPr>
      <w:rFonts w:ascii="Verdana" w:eastAsia="Times New Roman" w:hAnsi="Verdana" w:cs="Helvetica"/>
      <w:color w:val="404040" w:themeColor="text1" w:themeTint="BF"/>
      <w:sz w:val="18"/>
      <w:szCs w:val="24"/>
      <w:lang w:val="en-NZ"/>
    </w:rPr>
  </w:style>
  <w:style w:type="paragraph" w:customStyle="1" w:styleId="EvaluationBullet">
    <w:name w:val="Evaluation Bullet"/>
    <w:rsid w:val="004A60DD"/>
    <w:pPr>
      <w:numPr>
        <w:numId w:val="18"/>
      </w:numPr>
      <w:spacing w:after="0" w:line="300" w:lineRule="auto"/>
    </w:pPr>
    <w:rPr>
      <w:rFonts w:ascii="Verdana" w:eastAsia="Times New Roman" w:hAnsi="Verdana" w:cs="Times New Roman"/>
      <w:color w:val="000000" w:themeColor="text1"/>
      <w:sz w:val="18"/>
      <w:szCs w:val="20"/>
      <w:lang w:val="en-NZ"/>
      <w14:textFill>
        <w14:solidFill>
          <w14:schemeClr w14:val="tx1">
            <w14:lumMod w14:val="75000"/>
            <w14:lumOff w14:val="25000"/>
            <w14:lumMod w14:val="75000"/>
            <w14:lumOff w14:val="25000"/>
            <w14:lumMod w14:val="75000"/>
          </w14:schemeClr>
        </w14:solidFill>
      </w14:textFill>
    </w:rPr>
  </w:style>
  <w:style w:type="table" w:customStyle="1" w:styleId="Table-Grid">
    <w:name w:val="Table-Grid"/>
    <w:basedOn w:val="TableNormal"/>
    <w:uiPriority w:val="99"/>
    <w:rsid w:val="004A60DD"/>
    <w:pPr>
      <w:spacing w:after="0" w:line="240" w:lineRule="auto"/>
    </w:pPr>
    <w:rPr>
      <w:rFonts w:ascii="Times New Roman" w:eastAsia="Times New Roman" w:hAnsi="Times New Roman" w:cs="Times New Roman"/>
      <w:sz w:val="20"/>
      <w:szCs w:val="20"/>
      <w:lang w:val="en-NZ"/>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paragraph" w:customStyle="1" w:styleId="EvaluationTableCopy">
    <w:name w:val="Evaluation Table Copy"/>
    <w:basedOn w:val="Normal"/>
    <w:rsid w:val="004A60DD"/>
    <w:pPr>
      <w:tabs>
        <w:tab w:val="left" w:pos="567"/>
      </w:tabs>
      <w:spacing w:after="0" w:line="288" w:lineRule="auto"/>
    </w:pPr>
    <w:rPr>
      <w:rFonts w:ascii="Verdana" w:eastAsia="Times New Roman" w:hAnsi="Verdana" w:cs="Times New Roman"/>
      <w:sz w:val="16"/>
      <w:szCs w:val="24"/>
      <w:lang w:val="en-NZ"/>
    </w:rPr>
  </w:style>
  <w:style w:type="paragraph" w:customStyle="1" w:styleId="EvaluationNumbered">
    <w:name w:val="Evaluation Numbered"/>
    <w:qFormat/>
    <w:rsid w:val="00E27D6B"/>
    <w:pPr>
      <w:numPr>
        <w:numId w:val="19"/>
      </w:numPr>
      <w:spacing w:after="0" w:line="300" w:lineRule="auto"/>
      <w:ind w:left="426" w:hanging="426"/>
    </w:pPr>
    <w:rPr>
      <w:rFonts w:ascii="Arial" w:eastAsia="Times New Roman" w:hAnsi="Arial" w:cs="Arial"/>
      <w:sz w:val="20"/>
      <w:szCs w:val="20"/>
      <w:lang w:val="en-NZ"/>
    </w:rPr>
  </w:style>
  <w:style w:type="character" w:styleId="FollowedHyperlink">
    <w:name w:val="FollowedHyperlink"/>
    <w:basedOn w:val="DefaultParagraphFont"/>
    <w:uiPriority w:val="99"/>
    <w:semiHidden/>
    <w:unhideWhenUsed/>
    <w:rsid w:val="00BB77B6"/>
    <w:rPr>
      <w:color w:val="800080" w:themeColor="followedHyperlink"/>
      <w:u w:val="single"/>
    </w:rPr>
  </w:style>
  <w:style w:type="paragraph" w:customStyle="1" w:styleId="List-BulletLvl1">
    <w:name w:val="List - Bullet Lvl 1"/>
    <w:basedOn w:val="BodyText"/>
    <w:uiPriority w:val="4"/>
    <w:qFormat/>
    <w:rsid w:val="00B921B2"/>
    <w:pPr>
      <w:numPr>
        <w:numId w:val="20"/>
      </w:numPr>
      <w:tabs>
        <w:tab w:val="num" w:pos="782"/>
      </w:tabs>
      <w:spacing w:before="0" w:line="280" w:lineRule="exact"/>
      <w:ind w:left="782" w:hanging="782"/>
      <w:jc w:val="both"/>
    </w:pPr>
    <w:rPr>
      <w:rFonts w:ascii="Cambria" w:hAnsi="Cambria"/>
      <w:sz w:val="22"/>
      <w:lang w:val="en-NZ"/>
    </w:rPr>
  </w:style>
  <w:style w:type="paragraph" w:customStyle="1" w:styleId="List-BulletLvl2">
    <w:name w:val="List - Bullet Lvl 2"/>
    <w:basedOn w:val="BodyText"/>
    <w:uiPriority w:val="4"/>
    <w:rsid w:val="00B921B2"/>
    <w:pPr>
      <w:numPr>
        <w:ilvl w:val="1"/>
        <w:numId w:val="20"/>
      </w:numPr>
      <w:tabs>
        <w:tab w:val="num" w:pos="782"/>
      </w:tabs>
      <w:spacing w:line="280" w:lineRule="exact"/>
      <w:ind w:left="782" w:hanging="782"/>
      <w:jc w:val="both"/>
    </w:pPr>
    <w:rPr>
      <w:rFonts w:ascii="Cambria" w:hAnsi="Cambria"/>
      <w:sz w:val="22"/>
      <w:lang w:val="en-NZ"/>
    </w:rPr>
  </w:style>
  <w:style w:type="paragraph" w:customStyle="1" w:styleId="Footer-EvenPg">
    <w:name w:val="Footer - Even Pg"/>
    <w:basedOn w:val="Footer"/>
    <w:link w:val="Footer-EvenPgChar"/>
    <w:uiPriority w:val="96"/>
    <w:rsid w:val="00B921B2"/>
    <w:pPr>
      <w:pBdr>
        <w:top w:val="single" w:sz="4" w:space="6" w:color="77B800"/>
      </w:pBdr>
      <w:tabs>
        <w:tab w:val="clear" w:pos="4680"/>
        <w:tab w:val="clear" w:pos="9360"/>
      </w:tabs>
      <w:spacing w:before="240" w:after="160" w:line="259" w:lineRule="auto"/>
    </w:pPr>
    <w:rPr>
      <w:rFonts w:ascii="Calibri" w:hAnsi="Calibri"/>
      <w:sz w:val="18"/>
      <w:lang w:val="en-NZ"/>
    </w:rPr>
  </w:style>
  <w:style w:type="character" w:customStyle="1" w:styleId="Footer-EvenPgChar">
    <w:name w:val="Footer - Even Pg Char"/>
    <w:basedOn w:val="FooterChar"/>
    <w:link w:val="Footer-EvenPg"/>
    <w:uiPriority w:val="96"/>
    <w:rsid w:val="00B921B2"/>
    <w:rPr>
      <w:rFonts w:ascii="Calibri" w:hAnsi="Calibri"/>
      <w:sz w:val="18"/>
      <w:szCs w:val="20"/>
      <w:lang w:val="en-NZ"/>
    </w:rPr>
  </w:style>
  <w:style w:type="paragraph" w:customStyle="1" w:styleId="Footer-OddPage">
    <w:name w:val="Footer - Odd Page"/>
    <w:basedOn w:val="Footer"/>
    <w:link w:val="Footer-OddPageChar"/>
    <w:uiPriority w:val="96"/>
    <w:rsid w:val="00B921B2"/>
    <w:pPr>
      <w:pBdr>
        <w:top w:val="single" w:sz="4" w:space="6" w:color="77B800"/>
      </w:pBdr>
      <w:tabs>
        <w:tab w:val="clear" w:pos="4680"/>
        <w:tab w:val="clear" w:pos="9360"/>
        <w:tab w:val="center" w:pos="4253"/>
        <w:tab w:val="right" w:pos="9071"/>
      </w:tabs>
      <w:spacing w:before="240" w:after="160" w:line="259" w:lineRule="auto"/>
    </w:pPr>
    <w:rPr>
      <w:rFonts w:ascii="Calibri" w:hAnsi="Calibri"/>
      <w:sz w:val="18"/>
      <w:lang w:val="en-NZ"/>
    </w:rPr>
  </w:style>
  <w:style w:type="character" w:customStyle="1" w:styleId="Footer-OddPageChar">
    <w:name w:val="Footer - Odd Page Char"/>
    <w:basedOn w:val="FooterChar"/>
    <w:link w:val="Footer-OddPage"/>
    <w:uiPriority w:val="96"/>
    <w:rsid w:val="00B921B2"/>
    <w:rPr>
      <w:rFonts w:ascii="Calibri" w:hAnsi="Calibri"/>
      <w:sz w:val="18"/>
      <w:szCs w:val="20"/>
      <w:lang w:val="en-NZ"/>
    </w:rPr>
  </w:style>
  <w:style w:type="paragraph" w:customStyle="1" w:styleId="List-BulletLvl3">
    <w:name w:val="List - Bullet Lvl 3"/>
    <w:basedOn w:val="BodyText"/>
    <w:uiPriority w:val="4"/>
    <w:rsid w:val="00B921B2"/>
    <w:pPr>
      <w:numPr>
        <w:ilvl w:val="2"/>
        <w:numId w:val="20"/>
      </w:numPr>
      <w:tabs>
        <w:tab w:val="num" w:pos="1072"/>
      </w:tabs>
      <w:spacing w:line="280" w:lineRule="exact"/>
      <w:ind w:left="1072" w:hanging="1072"/>
      <w:jc w:val="both"/>
    </w:pPr>
    <w:rPr>
      <w:rFonts w:ascii="Cambria" w:hAnsi="Cambria"/>
      <w:sz w:val="22"/>
      <w:lang w:val="en-NZ"/>
    </w:rPr>
  </w:style>
  <w:style w:type="character" w:customStyle="1" w:styleId="UnresolvedMention1">
    <w:name w:val="Unresolved Mention1"/>
    <w:basedOn w:val="DefaultParagraphFont"/>
    <w:uiPriority w:val="99"/>
    <w:semiHidden/>
    <w:unhideWhenUsed/>
    <w:rsid w:val="00B921B2"/>
    <w:rPr>
      <w:color w:val="808080"/>
      <w:shd w:val="clear" w:color="auto" w:fill="E6E6E6"/>
    </w:rPr>
  </w:style>
  <w:style w:type="paragraph" w:customStyle="1" w:styleId="Surveyq">
    <w:name w:val="Survey q"/>
    <w:aliases w:val="sq"/>
    <w:basedOn w:val="BodyText0"/>
    <w:uiPriority w:val="99"/>
    <w:rsid w:val="00E61315"/>
    <w:pPr>
      <w:numPr>
        <w:numId w:val="21"/>
      </w:numPr>
      <w:ind w:left="0"/>
    </w:pPr>
    <w:rPr>
      <w:rFonts w:ascii="Arial" w:hAnsi="Arial"/>
      <w:b/>
      <w:color w:val="auto"/>
      <w:sz w:val="20"/>
    </w:rPr>
  </w:style>
  <w:style w:type="paragraph" w:customStyle="1" w:styleId="TitleLine2">
    <w:name w:val="Title Line 2"/>
    <w:basedOn w:val="Title"/>
    <w:rsid w:val="00B33ADC"/>
    <w:pPr>
      <w:spacing w:after="0" w:line="192" w:lineRule="auto"/>
    </w:pPr>
    <w:rPr>
      <w:rFonts w:ascii="Helvetica LT Std Light" w:eastAsiaTheme="minorHAnsi" w:hAnsi="Helvetica LT Std Light"/>
      <w:color w:val="049CD5"/>
      <w:spacing w:val="-12"/>
      <w:kern w:val="0"/>
      <w:sz w:val="56"/>
      <w:szCs w:val="56"/>
    </w:rPr>
  </w:style>
  <w:style w:type="table" w:styleId="GridTable4-Accent1">
    <w:name w:val="Grid Table 4 Accent 1"/>
    <w:basedOn w:val="TableNormal"/>
    <w:uiPriority w:val="49"/>
    <w:rsid w:val="002321D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GoodPracticeExample">
    <w:name w:val="Good Practice Example"/>
    <w:rsid w:val="00A1589C"/>
    <w:pPr>
      <w:pBdr>
        <w:top w:val="single" w:sz="24" w:space="1" w:color="65C5B4"/>
        <w:bottom w:val="single" w:sz="24" w:space="1" w:color="65C5B4"/>
      </w:pBdr>
      <w:spacing w:before="180" w:after="180" w:line="259" w:lineRule="auto"/>
    </w:pPr>
    <w:rPr>
      <w:color w:val="495966"/>
      <w:spacing w:val="-6"/>
      <w:sz w:val="24"/>
      <w:szCs w:val="20"/>
      <w:lang w:val="en-AU"/>
    </w:rPr>
  </w:style>
  <w:style w:type="paragraph" w:customStyle="1" w:styleId="Pa3">
    <w:name w:val="Pa3"/>
    <w:basedOn w:val="Normal"/>
    <w:next w:val="Normal"/>
    <w:uiPriority w:val="99"/>
    <w:rsid w:val="00F018C4"/>
    <w:pPr>
      <w:autoSpaceDE w:val="0"/>
      <w:autoSpaceDN w:val="0"/>
      <w:adjustRightInd w:val="0"/>
      <w:spacing w:after="0" w:line="261" w:lineRule="atLeast"/>
    </w:pPr>
    <w:rPr>
      <w:rFonts w:ascii="Unlimited Sans Medium" w:hAnsi="Unlimited Sans Medium"/>
      <w:sz w:val="24"/>
      <w:szCs w:val="24"/>
    </w:rPr>
  </w:style>
  <w:style w:type="character" w:customStyle="1" w:styleId="UnresolvedMention2">
    <w:name w:val="Unresolved Mention2"/>
    <w:basedOn w:val="DefaultParagraphFont"/>
    <w:uiPriority w:val="99"/>
    <w:semiHidden/>
    <w:unhideWhenUsed/>
    <w:rsid w:val="002B7A7A"/>
    <w:rPr>
      <w:color w:val="808080"/>
      <w:shd w:val="clear" w:color="auto" w:fill="E6E6E6"/>
    </w:rPr>
  </w:style>
  <w:style w:type="paragraph" w:customStyle="1" w:styleId="FigureCaption">
    <w:name w:val="Figure Caption"/>
    <w:basedOn w:val="Caption"/>
    <w:link w:val="FigureCaptionChar"/>
    <w:uiPriority w:val="99"/>
    <w:qFormat/>
    <w:rsid w:val="00F4778E"/>
  </w:style>
  <w:style w:type="character" w:customStyle="1" w:styleId="CaptionChar">
    <w:name w:val="Caption Char"/>
    <w:basedOn w:val="DefaultParagraphFont"/>
    <w:link w:val="Caption"/>
    <w:rsid w:val="009822E0"/>
    <w:rPr>
      <w:rFonts w:ascii="Arial" w:hAnsi="Arial" w:cs="Arial"/>
      <w:b/>
      <w:bCs/>
      <w:color w:val="003478"/>
      <w:sz w:val="20"/>
      <w:szCs w:val="18"/>
      <w:lang w:val="en-NZ"/>
    </w:rPr>
  </w:style>
  <w:style w:type="character" w:customStyle="1" w:styleId="FigureCaptionChar">
    <w:name w:val="Figure Caption Char"/>
    <w:basedOn w:val="CaptionChar"/>
    <w:link w:val="FigureCaption"/>
    <w:uiPriority w:val="99"/>
    <w:rsid w:val="00F4778E"/>
    <w:rPr>
      <w:rFonts w:ascii="Arial" w:hAnsi="Arial" w:cs="Arial"/>
      <w:b/>
      <w:bCs/>
      <w:color w:val="003478"/>
      <w:sz w:val="20"/>
      <w:szCs w:val="18"/>
      <w:lang w:val="en-AU"/>
    </w:rPr>
  </w:style>
  <w:style w:type="paragraph" w:styleId="EndnoteText">
    <w:name w:val="endnote text"/>
    <w:basedOn w:val="Normal"/>
    <w:link w:val="EndnoteTextChar"/>
    <w:uiPriority w:val="99"/>
    <w:semiHidden/>
    <w:unhideWhenUsed/>
    <w:rsid w:val="008561F1"/>
    <w:pPr>
      <w:spacing w:after="0"/>
    </w:pPr>
  </w:style>
  <w:style w:type="character" w:customStyle="1" w:styleId="EndnoteTextChar">
    <w:name w:val="Endnote Text Char"/>
    <w:basedOn w:val="DefaultParagraphFont"/>
    <w:link w:val="EndnoteText"/>
    <w:uiPriority w:val="99"/>
    <w:semiHidden/>
    <w:rsid w:val="008561F1"/>
    <w:rPr>
      <w:sz w:val="20"/>
      <w:szCs w:val="20"/>
      <w:lang w:val="en-AU"/>
    </w:rPr>
  </w:style>
  <w:style w:type="character" w:styleId="EndnoteReference">
    <w:name w:val="endnote reference"/>
    <w:basedOn w:val="DefaultParagraphFont"/>
    <w:uiPriority w:val="99"/>
    <w:semiHidden/>
    <w:unhideWhenUsed/>
    <w:rsid w:val="008561F1"/>
    <w:rPr>
      <w:vertAlign w:val="superscript"/>
    </w:rPr>
  </w:style>
  <w:style w:type="paragraph" w:customStyle="1" w:styleId="BodyBullet">
    <w:name w:val="Body Bullet"/>
    <w:basedOn w:val="BodyText"/>
    <w:link w:val="BodyBulletChar"/>
    <w:rsid w:val="003864D5"/>
    <w:pPr>
      <w:numPr>
        <w:numId w:val="23"/>
      </w:numPr>
      <w:autoSpaceDE/>
      <w:autoSpaceDN/>
      <w:adjustRightInd/>
    </w:pPr>
    <w:rPr>
      <w:rFonts w:asciiTheme="majorHAnsi" w:hAnsiTheme="majorHAnsi" w:cstheme="majorHAnsi"/>
      <w:lang w:val="en-AU"/>
    </w:rPr>
  </w:style>
  <w:style w:type="character" w:customStyle="1" w:styleId="BodyBulletChar">
    <w:name w:val="Body Bullet Char"/>
    <w:basedOn w:val="DefaultParagraphFont"/>
    <w:link w:val="BodyBullet"/>
    <w:rsid w:val="003864D5"/>
    <w:rPr>
      <w:rFonts w:asciiTheme="majorHAnsi" w:eastAsia="Arial" w:hAnsiTheme="majorHAnsi" w:cstheme="majorHAnsi"/>
      <w:sz w:val="20"/>
      <w:szCs w:val="19"/>
      <w:lang w:val="en-AU"/>
    </w:rPr>
  </w:style>
  <w:style w:type="table" w:styleId="GridTable4-Accent5">
    <w:name w:val="Grid Table 4 Accent 5"/>
    <w:basedOn w:val="TableNormal"/>
    <w:uiPriority w:val="49"/>
    <w:rsid w:val="00670043"/>
    <w:pPr>
      <w:spacing w:after="0" w:line="240" w:lineRule="auto"/>
    </w:pPr>
    <w:rPr>
      <w:lang w:val="en-N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11">
    <w:name w:val="Grid Table 5 Dark - Accent 11"/>
    <w:basedOn w:val="TableNormal"/>
    <w:next w:val="GridTable5Dark-Accent1"/>
    <w:uiPriority w:val="50"/>
    <w:rsid w:val="002F4F42"/>
    <w:pPr>
      <w:spacing w:after="0" w:line="240" w:lineRule="auto"/>
    </w:pPr>
    <w:rPr>
      <w:color w:val="4E4484"/>
      <w:sz w:val="20"/>
      <w:szCs w:val="20"/>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F6E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3D56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3D56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3D56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3D569"/>
      </w:tcPr>
    </w:tblStylePr>
    <w:tblStylePr w:type="band1Vert">
      <w:tblPr/>
      <w:tcPr>
        <w:shd w:val="clear" w:color="auto" w:fill="FAEEC2"/>
      </w:tcPr>
    </w:tblStylePr>
    <w:tblStylePr w:type="band1Horz">
      <w:tblPr/>
      <w:tcPr>
        <w:shd w:val="clear" w:color="auto" w:fill="FAEEC2"/>
      </w:tcPr>
    </w:tblStylePr>
  </w:style>
  <w:style w:type="table" w:styleId="GridTable5Dark-Accent1">
    <w:name w:val="Grid Table 5 Dark Accent 1"/>
    <w:basedOn w:val="TableNormal"/>
    <w:uiPriority w:val="50"/>
    <w:rsid w:val="002F4F42"/>
    <w:pPr>
      <w:spacing w:after="0" w:line="240" w:lineRule="auto"/>
    </w:pPr>
    <w:rPr>
      <w:lang w:val="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2F4F42"/>
    <w:pPr>
      <w:spacing w:after="0" w:line="240" w:lineRule="auto"/>
    </w:pPr>
    <w:rPr>
      <w:lang w:val="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7Colorful-Accent5">
    <w:name w:val="Grid Table 7 Colorful Accent 5"/>
    <w:basedOn w:val="TableNormal"/>
    <w:uiPriority w:val="52"/>
    <w:rsid w:val="002F4F42"/>
    <w:pPr>
      <w:spacing w:after="0" w:line="240" w:lineRule="auto"/>
    </w:pPr>
    <w:rPr>
      <w:color w:val="31849B" w:themeColor="accent5" w:themeShade="BF"/>
      <w:lang w:val="en-N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2F4F42"/>
    <w:pPr>
      <w:spacing w:after="0" w:line="240" w:lineRule="auto"/>
    </w:pPr>
    <w:rPr>
      <w:color w:val="E36C0A" w:themeColor="accent6" w:themeShade="BF"/>
      <w:lang w:val="en-NZ"/>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6Colorful-Accent6">
    <w:name w:val="Grid Table 6 Colorful Accent 6"/>
    <w:basedOn w:val="TableNormal"/>
    <w:uiPriority w:val="51"/>
    <w:rsid w:val="002F4F42"/>
    <w:pPr>
      <w:spacing w:after="0" w:line="240" w:lineRule="auto"/>
    </w:pPr>
    <w:rPr>
      <w:color w:val="E36C0A" w:themeColor="accent6" w:themeShade="BF"/>
      <w:lang w:val="en-NZ"/>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Accent4">
    <w:name w:val="Grid Table 7 Colorful Accent 4"/>
    <w:basedOn w:val="TableNormal"/>
    <w:uiPriority w:val="52"/>
    <w:rsid w:val="002F4F42"/>
    <w:pPr>
      <w:spacing w:after="0" w:line="240" w:lineRule="auto"/>
    </w:pPr>
    <w:rPr>
      <w:color w:val="5F497A" w:themeColor="accent4" w:themeShade="BF"/>
      <w:lang w:val="en-NZ"/>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2F4F42"/>
    <w:pPr>
      <w:spacing w:after="0" w:line="240" w:lineRule="auto"/>
    </w:pPr>
    <w:rPr>
      <w:lang w:val="en-N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ColorfulGrid-Accent2">
    <w:name w:val="Colorful Grid Accent 2"/>
    <w:basedOn w:val="TableNormal"/>
    <w:uiPriority w:val="73"/>
    <w:rsid w:val="002F4F42"/>
    <w:pPr>
      <w:spacing w:after="0" w:line="240" w:lineRule="auto"/>
    </w:pPr>
    <w:rPr>
      <w:color w:val="000000" w:themeColor="text1"/>
      <w:lang w:val="en-NZ"/>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dTable7Colorful-Accent1">
    <w:name w:val="Grid Table 7 Colorful Accent 1"/>
    <w:basedOn w:val="TableNormal"/>
    <w:uiPriority w:val="52"/>
    <w:rsid w:val="002F4F42"/>
    <w:pPr>
      <w:spacing w:after="0" w:line="240" w:lineRule="auto"/>
    </w:pPr>
    <w:rPr>
      <w:color w:val="365F91" w:themeColor="accent1" w:themeShade="BF"/>
      <w:lang w:val="en-NZ"/>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6Colorful-Accent4">
    <w:name w:val="Grid Table 6 Colorful Accent 4"/>
    <w:basedOn w:val="TableNormal"/>
    <w:uiPriority w:val="51"/>
    <w:rsid w:val="002F4F42"/>
    <w:pPr>
      <w:spacing w:after="0" w:line="240" w:lineRule="auto"/>
    </w:pPr>
    <w:rPr>
      <w:color w:val="5F497A" w:themeColor="accent4" w:themeShade="BF"/>
      <w:lang w:val="en-NZ"/>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2F4F42"/>
    <w:pPr>
      <w:spacing w:after="0" w:line="240" w:lineRule="auto"/>
    </w:pPr>
    <w:rPr>
      <w:color w:val="31849B" w:themeColor="accent5" w:themeShade="BF"/>
      <w:lang w:val="en-N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3">
    <w:name w:val="Unresolved Mention3"/>
    <w:basedOn w:val="DefaultParagraphFont"/>
    <w:uiPriority w:val="99"/>
    <w:semiHidden/>
    <w:unhideWhenUsed/>
    <w:rsid w:val="002F4F42"/>
    <w:rPr>
      <w:color w:val="605E5C"/>
      <w:shd w:val="clear" w:color="auto" w:fill="E1DFDD"/>
    </w:rPr>
  </w:style>
  <w:style w:type="paragraph" w:styleId="Bibliography">
    <w:name w:val="Bibliography"/>
    <w:basedOn w:val="Normal"/>
    <w:next w:val="Normal"/>
    <w:uiPriority w:val="37"/>
    <w:unhideWhenUsed/>
    <w:rsid w:val="002F4F42"/>
    <w:pPr>
      <w:spacing w:after="160" w:line="259" w:lineRule="auto"/>
    </w:pPr>
    <w:rPr>
      <w:sz w:val="22"/>
      <w:szCs w:val="22"/>
      <w:lang w:val="en-NZ"/>
    </w:rPr>
  </w:style>
  <w:style w:type="table" w:styleId="GridTable2-Accent5">
    <w:name w:val="Grid Table 2 Accent 5"/>
    <w:basedOn w:val="TableNormal"/>
    <w:uiPriority w:val="47"/>
    <w:rsid w:val="002F4F42"/>
    <w:pPr>
      <w:spacing w:after="0" w:line="240" w:lineRule="auto"/>
    </w:pPr>
    <w:rPr>
      <w:rFonts w:ascii="VistaSansBook" w:hAnsi="VistaSansBook"/>
      <w:color w:val="1D1B11" w:themeColor="background2" w:themeShade="1A"/>
      <w:sz w:val="20"/>
      <w:szCs w:val="20"/>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m-4306096320282861287msolistparagraph">
    <w:name w:val="m_-4306096320282861287msolistparagraph"/>
    <w:basedOn w:val="Normal"/>
    <w:rsid w:val="002F4F42"/>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999">
      <w:bodyDiv w:val="1"/>
      <w:marLeft w:val="0"/>
      <w:marRight w:val="0"/>
      <w:marTop w:val="0"/>
      <w:marBottom w:val="0"/>
      <w:divBdr>
        <w:top w:val="none" w:sz="0" w:space="0" w:color="auto"/>
        <w:left w:val="none" w:sz="0" w:space="0" w:color="auto"/>
        <w:bottom w:val="none" w:sz="0" w:space="0" w:color="auto"/>
        <w:right w:val="none" w:sz="0" w:space="0" w:color="auto"/>
      </w:divBdr>
    </w:div>
    <w:div w:id="4022277">
      <w:bodyDiv w:val="1"/>
      <w:marLeft w:val="0"/>
      <w:marRight w:val="0"/>
      <w:marTop w:val="0"/>
      <w:marBottom w:val="0"/>
      <w:divBdr>
        <w:top w:val="none" w:sz="0" w:space="0" w:color="auto"/>
        <w:left w:val="none" w:sz="0" w:space="0" w:color="auto"/>
        <w:bottom w:val="none" w:sz="0" w:space="0" w:color="auto"/>
        <w:right w:val="none" w:sz="0" w:space="0" w:color="auto"/>
      </w:divBdr>
    </w:div>
    <w:div w:id="7215885">
      <w:bodyDiv w:val="1"/>
      <w:marLeft w:val="0"/>
      <w:marRight w:val="0"/>
      <w:marTop w:val="0"/>
      <w:marBottom w:val="0"/>
      <w:divBdr>
        <w:top w:val="none" w:sz="0" w:space="0" w:color="auto"/>
        <w:left w:val="none" w:sz="0" w:space="0" w:color="auto"/>
        <w:bottom w:val="none" w:sz="0" w:space="0" w:color="auto"/>
        <w:right w:val="none" w:sz="0" w:space="0" w:color="auto"/>
      </w:divBdr>
    </w:div>
    <w:div w:id="10452006">
      <w:bodyDiv w:val="1"/>
      <w:marLeft w:val="0"/>
      <w:marRight w:val="0"/>
      <w:marTop w:val="0"/>
      <w:marBottom w:val="0"/>
      <w:divBdr>
        <w:top w:val="none" w:sz="0" w:space="0" w:color="auto"/>
        <w:left w:val="none" w:sz="0" w:space="0" w:color="auto"/>
        <w:bottom w:val="none" w:sz="0" w:space="0" w:color="auto"/>
        <w:right w:val="none" w:sz="0" w:space="0" w:color="auto"/>
      </w:divBdr>
    </w:div>
    <w:div w:id="11423718">
      <w:bodyDiv w:val="1"/>
      <w:marLeft w:val="0"/>
      <w:marRight w:val="0"/>
      <w:marTop w:val="0"/>
      <w:marBottom w:val="0"/>
      <w:divBdr>
        <w:top w:val="none" w:sz="0" w:space="0" w:color="auto"/>
        <w:left w:val="none" w:sz="0" w:space="0" w:color="auto"/>
        <w:bottom w:val="none" w:sz="0" w:space="0" w:color="auto"/>
        <w:right w:val="none" w:sz="0" w:space="0" w:color="auto"/>
      </w:divBdr>
    </w:div>
    <w:div w:id="13000206">
      <w:bodyDiv w:val="1"/>
      <w:marLeft w:val="0"/>
      <w:marRight w:val="0"/>
      <w:marTop w:val="0"/>
      <w:marBottom w:val="0"/>
      <w:divBdr>
        <w:top w:val="none" w:sz="0" w:space="0" w:color="auto"/>
        <w:left w:val="none" w:sz="0" w:space="0" w:color="auto"/>
        <w:bottom w:val="none" w:sz="0" w:space="0" w:color="auto"/>
        <w:right w:val="none" w:sz="0" w:space="0" w:color="auto"/>
      </w:divBdr>
    </w:div>
    <w:div w:id="14306316">
      <w:bodyDiv w:val="1"/>
      <w:marLeft w:val="0"/>
      <w:marRight w:val="0"/>
      <w:marTop w:val="0"/>
      <w:marBottom w:val="0"/>
      <w:divBdr>
        <w:top w:val="none" w:sz="0" w:space="0" w:color="auto"/>
        <w:left w:val="none" w:sz="0" w:space="0" w:color="auto"/>
        <w:bottom w:val="none" w:sz="0" w:space="0" w:color="auto"/>
        <w:right w:val="none" w:sz="0" w:space="0" w:color="auto"/>
      </w:divBdr>
    </w:div>
    <w:div w:id="15546260">
      <w:bodyDiv w:val="1"/>
      <w:marLeft w:val="0"/>
      <w:marRight w:val="0"/>
      <w:marTop w:val="0"/>
      <w:marBottom w:val="0"/>
      <w:divBdr>
        <w:top w:val="none" w:sz="0" w:space="0" w:color="auto"/>
        <w:left w:val="none" w:sz="0" w:space="0" w:color="auto"/>
        <w:bottom w:val="none" w:sz="0" w:space="0" w:color="auto"/>
        <w:right w:val="none" w:sz="0" w:space="0" w:color="auto"/>
      </w:divBdr>
    </w:div>
    <w:div w:id="17123183">
      <w:bodyDiv w:val="1"/>
      <w:marLeft w:val="0"/>
      <w:marRight w:val="0"/>
      <w:marTop w:val="0"/>
      <w:marBottom w:val="0"/>
      <w:divBdr>
        <w:top w:val="none" w:sz="0" w:space="0" w:color="auto"/>
        <w:left w:val="none" w:sz="0" w:space="0" w:color="auto"/>
        <w:bottom w:val="none" w:sz="0" w:space="0" w:color="auto"/>
        <w:right w:val="none" w:sz="0" w:space="0" w:color="auto"/>
      </w:divBdr>
    </w:div>
    <w:div w:id="21714071">
      <w:bodyDiv w:val="1"/>
      <w:marLeft w:val="0"/>
      <w:marRight w:val="0"/>
      <w:marTop w:val="0"/>
      <w:marBottom w:val="0"/>
      <w:divBdr>
        <w:top w:val="none" w:sz="0" w:space="0" w:color="auto"/>
        <w:left w:val="none" w:sz="0" w:space="0" w:color="auto"/>
        <w:bottom w:val="none" w:sz="0" w:space="0" w:color="auto"/>
        <w:right w:val="none" w:sz="0" w:space="0" w:color="auto"/>
      </w:divBdr>
    </w:div>
    <w:div w:id="24209732">
      <w:bodyDiv w:val="1"/>
      <w:marLeft w:val="0"/>
      <w:marRight w:val="0"/>
      <w:marTop w:val="0"/>
      <w:marBottom w:val="0"/>
      <w:divBdr>
        <w:top w:val="none" w:sz="0" w:space="0" w:color="auto"/>
        <w:left w:val="none" w:sz="0" w:space="0" w:color="auto"/>
        <w:bottom w:val="none" w:sz="0" w:space="0" w:color="auto"/>
        <w:right w:val="none" w:sz="0" w:space="0" w:color="auto"/>
      </w:divBdr>
    </w:div>
    <w:div w:id="26569055">
      <w:bodyDiv w:val="1"/>
      <w:marLeft w:val="0"/>
      <w:marRight w:val="0"/>
      <w:marTop w:val="0"/>
      <w:marBottom w:val="0"/>
      <w:divBdr>
        <w:top w:val="none" w:sz="0" w:space="0" w:color="auto"/>
        <w:left w:val="none" w:sz="0" w:space="0" w:color="auto"/>
        <w:bottom w:val="none" w:sz="0" w:space="0" w:color="auto"/>
        <w:right w:val="none" w:sz="0" w:space="0" w:color="auto"/>
      </w:divBdr>
    </w:div>
    <w:div w:id="27532926">
      <w:bodyDiv w:val="1"/>
      <w:marLeft w:val="0"/>
      <w:marRight w:val="0"/>
      <w:marTop w:val="0"/>
      <w:marBottom w:val="0"/>
      <w:divBdr>
        <w:top w:val="none" w:sz="0" w:space="0" w:color="auto"/>
        <w:left w:val="none" w:sz="0" w:space="0" w:color="auto"/>
        <w:bottom w:val="none" w:sz="0" w:space="0" w:color="auto"/>
        <w:right w:val="none" w:sz="0" w:space="0" w:color="auto"/>
      </w:divBdr>
    </w:div>
    <w:div w:id="28992630">
      <w:bodyDiv w:val="1"/>
      <w:marLeft w:val="0"/>
      <w:marRight w:val="0"/>
      <w:marTop w:val="0"/>
      <w:marBottom w:val="0"/>
      <w:divBdr>
        <w:top w:val="none" w:sz="0" w:space="0" w:color="auto"/>
        <w:left w:val="none" w:sz="0" w:space="0" w:color="auto"/>
        <w:bottom w:val="none" w:sz="0" w:space="0" w:color="auto"/>
        <w:right w:val="none" w:sz="0" w:space="0" w:color="auto"/>
      </w:divBdr>
    </w:div>
    <w:div w:id="32392322">
      <w:bodyDiv w:val="1"/>
      <w:marLeft w:val="0"/>
      <w:marRight w:val="0"/>
      <w:marTop w:val="0"/>
      <w:marBottom w:val="0"/>
      <w:divBdr>
        <w:top w:val="none" w:sz="0" w:space="0" w:color="auto"/>
        <w:left w:val="none" w:sz="0" w:space="0" w:color="auto"/>
        <w:bottom w:val="none" w:sz="0" w:space="0" w:color="auto"/>
        <w:right w:val="none" w:sz="0" w:space="0" w:color="auto"/>
      </w:divBdr>
    </w:div>
    <w:div w:id="43524045">
      <w:bodyDiv w:val="1"/>
      <w:marLeft w:val="0"/>
      <w:marRight w:val="0"/>
      <w:marTop w:val="0"/>
      <w:marBottom w:val="0"/>
      <w:divBdr>
        <w:top w:val="none" w:sz="0" w:space="0" w:color="auto"/>
        <w:left w:val="none" w:sz="0" w:space="0" w:color="auto"/>
        <w:bottom w:val="none" w:sz="0" w:space="0" w:color="auto"/>
        <w:right w:val="none" w:sz="0" w:space="0" w:color="auto"/>
      </w:divBdr>
    </w:div>
    <w:div w:id="52388087">
      <w:bodyDiv w:val="1"/>
      <w:marLeft w:val="0"/>
      <w:marRight w:val="0"/>
      <w:marTop w:val="0"/>
      <w:marBottom w:val="0"/>
      <w:divBdr>
        <w:top w:val="none" w:sz="0" w:space="0" w:color="auto"/>
        <w:left w:val="none" w:sz="0" w:space="0" w:color="auto"/>
        <w:bottom w:val="none" w:sz="0" w:space="0" w:color="auto"/>
        <w:right w:val="none" w:sz="0" w:space="0" w:color="auto"/>
      </w:divBdr>
    </w:div>
    <w:div w:id="53704981">
      <w:bodyDiv w:val="1"/>
      <w:marLeft w:val="0"/>
      <w:marRight w:val="0"/>
      <w:marTop w:val="0"/>
      <w:marBottom w:val="0"/>
      <w:divBdr>
        <w:top w:val="none" w:sz="0" w:space="0" w:color="auto"/>
        <w:left w:val="none" w:sz="0" w:space="0" w:color="auto"/>
        <w:bottom w:val="none" w:sz="0" w:space="0" w:color="auto"/>
        <w:right w:val="none" w:sz="0" w:space="0" w:color="auto"/>
      </w:divBdr>
    </w:div>
    <w:div w:id="65499168">
      <w:bodyDiv w:val="1"/>
      <w:marLeft w:val="0"/>
      <w:marRight w:val="0"/>
      <w:marTop w:val="0"/>
      <w:marBottom w:val="0"/>
      <w:divBdr>
        <w:top w:val="none" w:sz="0" w:space="0" w:color="auto"/>
        <w:left w:val="none" w:sz="0" w:space="0" w:color="auto"/>
        <w:bottom w:val="none" w:sz="0" w:space="0" w:color="auto"/>
        <w:right w:val="none" w:sz="0" w:space="0" w:color="auto"/>
      </w:divBdr>
    </w:div>
    <w:div w:id="76439626">
      <w:bodyDiv w:val="1"/>
      <w:marLeft w:val="0"/>
      <w:marRight w:val="0"/>
      <w:marTop w:val="0"/>
      <w:marBottom w:val="0"/>
      <w:divBdr>
        <w:top w:val="none" w:sz="0" w:space="0" w:color="auto"/>
        <w:left w:val="none" w:sz="0" w:space="0" w:color="auto"/>
        <w:bottom w:val="none" w:sz="0" w:space="0" w:color="auto"/>
        <w:right w:val="none" w:sz="0" w:space="0" w:color="auto"/>
      </w:divBdr>
    </w:div>
    <w:div w:id="80493909">
      <w:bodyDiv w:val="1"/>
      <w:marLeft w:val="0"/>
      <w:marRight w:val="0"/>
      <w:marTop w:val="0"/>
      <w:marBottom w:val="0"/>
      <w:divBdr>
        <w:top w:val="none" w:sz="0" w:space="0" w:color="auto"/>
        <w:left w:val="none" w:sz="0" w:space="0" w:color="auto"/>
        <w:bottom w:val="none" w:sz="0" w:space="0" w:color="auto"/>
        <w:right w:val="none" w:sz="0" w:space="0" w:color="auto"/>
      </w:divBdr>
    </w:div>
    <w:div w:id="87654202">
      <w:bodyDiv w:val="1"/>
      <w:marLeft w:val="0"/>
      <w:marRight w:val="0"/>
      <w:marTop w:val="0"/>
      <w:marBottom w:val="0"/>
      <w:divBdr>
        <w:top w:val="none" w:sz="0" w:space="0" w:color="auto"/>
        <w:left w:val="none" w:sz="0" w:space="0" w:color="auto"/>
        <w:bottom w:val="none" w:sz="0" w:space="0" w:color="auto"/>
        <w:right w:val="none" w:sz="0" w:space="0" w:color="auto"/>
      </w:divBdr>
    </w:div>
    <w:div w:id="89397688">
      <w:bodyDiv w:val="1"/>
      <w:marLeft w:val="0"/>
      <w:marRight w:val="0"/>
      <w:marTop w:val="0"/>
      <w:marBottom w:val="0"/>
      <w:divBdr>
        <w:top w:val="none" w:sz="0" w:space="0" w:color="auto"/>
        <w:left w:val="none" w:sz="0" w:space="0" w:color="auto"/>
        <w:bottom w:val="none" w:sz="0" w:space="0" w:color="auto"/>
        <w:right w:val="none" w:sz="0" w:space="0" w:color="auto"/>
      </w:divBdr>
    </w:div>
    <w:div w:id="98377233">
      <w:bodyDiv w:val="1"/>
      <w:marLeft w:val="0"/>
      <w:marRight w:val="0"/>
      <w:marTop w:val="0"/>
      <w:marBottom w:val="0"/>
      <w:divBdr>
        <w:top w:val="none" w:sz="0" w:space="0" w:color="auto"/>
        <w:left w:val="none" w:sz="0" w:space="0" w:color="auto"/>
        <w:bottom w:val="none" w:sz="0" w:space="0" w:color="auto"/>
        <w:right w:val="none" w:sz="0" w:space="0" w:color="auto"/>
      </w:divBdr>
    </w:div>
    <w:div w:id="103691230">
      <w:bodyDiv w:val="1"/>
      <w:marLeft w:val="0"/>
      <w:marRight w:val="0"/>
      <w:marTop w:val="0"/>
      <w:marBottom w:val="0"/>
      <w:divBdr>
        <w:top w:val="none" w:sz="0" w:space="0" w:color="auto"/>
        <w:left w:val="none" w:sz="0" w:space="0" w:color="auto"/>
        <w:bottom w:val="none" w:sz="0" w:space="0" w:color="auto"/>
        <w:right w:val="none" w:sz="0" w:space="0" w:color="auto"/>
      </w:divBdr>
    </w:div>
    <w:div w:id="107050718">
      <w:bodyDiv w:val="1"/>
      <w:marLeft w:val="0"/>
      <w:marRight w:val="0"/>
      <w:marTop w:val="0"/>
      <w:marBottom w:val="0"/>
      <w:divBdr>
        <w:top w:val="none" w:sz="0" w:space="0" w:color="auto"/>
        <w:left w:val="none" w:sz="0" w:space="0" w:color="auto"/>
        <w:bottom w:val="none" w:sz="0" w:space="0" w:color="auto"/>
        <w:right w:val="none" w:sz="0" w:space="0" w:color="auto"/>
      </w:divBdr>
    </w:div>
    <w:div w:id="124936357">
      <w:bodyDiv w:val="1"/>
      <w:marLeft w:val="0"/>
      <w:marRight w:val="0"/>
      <w:marTop w:val="0"/>
      <w:marBottom w:val="0"/>
      <w:divBdr>
        <w:top w:val="none" w:sz="0" w:space="0" w:color="auto"/>
        <w:left w:val="none" w:sz="0" w:space="0" w:color="auto"/>
        <w:bottom w:val="none" w:sz="0" w:space="0" w:color="auto"/>
        <w:right w:val="none" w:sz="0" w:space="0" w:color="auto"/>
      </w:divBdr>
    </w:div>
    <w:div w:id="128742961">
      <w:bodyDiv w:val="1"/>
      <w:marLeft w:val="0"/>
      <w:marRight w:val="0"/>
      <w:marTop w:val="0"/>
      <w:marBottom w:val="0"/>
      <w:divBdr>
        <w:top w:val="none" w:sz="0" w:space="0" w:color="auto"/>
        <w:left w:val="none" w:sz="0" w:space="0" w:color="auto"/>
        <w:bottom w:val="none" w:sz="0" w:space="0" w:color="auto"/>
        <w:right w:val="none" w:sz="0" w:space="0" w:color="auto"/>
      </w:divBdr>
    </w:div>
    <w:div w:id="132717170">
      <w:bodyDiv w:val="1"/>
      <w:marLeft w:val="0"/>
      <w:marRight w:val="0"/>
      <w:marTop w:val="0"/>
      <w:marBottom w:val="0"/>
      <w:divBdr>
        <w:top w:val="none" w:sz="0" w:space="0" w:color="auto"/>
        <w:left w:val="none" w:sz="0" w:space="0" w:color="auto"/>
        <w:bottom w:val="none" w:sz="0" w:space="0" w:color="auto"/>
        <w:right w:val="none" w:sz="0" w:space="0" w:color="auto"/>
      </w:divBdr>
    </w:div>
    <w:div w:id="145165652">
      <w:bodyDiv w:val="1"/>
      <w:marLeft w:val="0"/>
      <w:marRight w:val="0"/>
      <w:marTop w:val="0"/>
      <w:marBottom w:val="0"/>
      <w:divBdr>
        <w:top w:val="none" w:sz="0" w:space="0" w:color="auto"/>
        <w:left w:val="none" w:sz="0" w:space="0" w:color="auto"/>
        <w:bottom w:val="none" w:sz="0" w:space="0" w:color="auto"/>
        <w:right w:val="none" w:sz="0" w:space="0" w:color="auto"/>
      </w:divBdr>
    </w:div>
    <w:div w:id="156238747">
      <w:bodyDiv w:val="1"/>
      <w:marLeft w:val="0"/>
      <w:marRight w:val="0"/>
      <w:marTop w:val="0"/>
      <w:marBottom w:val="0"/>
      <w:divBdr>
        <w:top w:val="none" w:sz="0" w:space="0" w:color="auto"/>
        <w:left w:val="none" w:sz="0" w:space="0" w:color="auto"/>
        <w:bottom w:val="none" w:sz="0" w:space="0" w:color="auto"/>
        <w:right w:val="none" w:sz="0" w:space="0" w:color="auto"/>
      </w:divBdr>
    </w:div>
    <w:div w:id="159782926">
      <w:bodyDiv w:val="1"/>
      <w:marLeft w:val="0"/>
      <w:marRight w:val="0"/>
      <w:marTop w:val="0"/>
      <w:marBottom w:val="0"/>
      <w:divBdr>
        <w:top w:val="none" w:sz="0" w:space="0" w:color="auto"/>
        <w:left w:val="none" w:sz="0" w:space="0" w:color="auto"/>
        <w:bottom w:val="none" w:sz="0" w:space="0" w:color="auto"/>
        <w:right w:val="none" w:sz="0" w:space="0" w:color="auto"/>
      </w:divBdr>
    </w:div>
    <w:div w:id="162401626">
      <w:bodyDiv w:val="1"/>
      <w:marLeft w:val="0"/>
      <w:marRight w:val="0"/>
      <w:marTop w:val="0"/>
      <w:marBottom w:val="0"/>
      <w:divBdr>
        <w:top w:val="none" w:sz="0" w:space="0" w:color="auto"/>
        <w:left w:val="none" w:sz="0" w:space="0" w:color="auto"/>
        <w:bottom w:val="none" w:sz="0" w:space="0" w:color="auto"/>
        <w:right w:val="none" w:sz="0" w:space="0" w:color="auto"/>
      </w:divBdr>
    </w:div>
    <w:div w:id="165369035">
      <w:bodyDiv w:val="1"/>
      <w:marLeft w:val="0"/>
      <w:marRight w:val="0"/>
      <w:marTop w:val="0"/>
      <w:marBottom w:val="0"/>
      <w:divBdr>
        <w:top w:val="none" w:sz="0" w:space="0" w:color="auto"/>
        <w:left w:val="none" w:sz="0" w:space="0" w:color="auto"/>
        <w:bottom w:val="none" w:sz="0" w:space="0" w:color="auto"/>
        <w:right w:val="none" w:sz="0" w:space="0" w:color="auto"/>
      </w:divBdr>
    </w:div>
    <w:div w:id="168453295">
      <w:bodyDiv w:val="1"/>
      <w:marLeft w:val="0"/>
      <w:marRight w:val="0"/>
      <w:marTop w:val="0"/>
      <w:marBottom w:val="0"/>
      <w:divBdr>
        <w:top w:val="none" w:sz="0" w:space="0" w:color="auto"/>
        <w:left w:val="none" w:sz="0" w:space="0" w:color="auto"/>
        <w:bottom w:val="none" w:sz="0" w:space="0" w:color="auto"/>
        <w:right w:val="none" w:sz="0" w:space="0" w:color="auto"/>
      </w:divBdr>
    </w:div>
    <w:div w:id="183523934">
      <w:bodyDiv w:val="1"/>
      <w:marLeft w:val="0"/>
      <w:marRight w:val="0"/>
      <w:marTop w:val="0"/>
      <w:marBottom w:val="0"/>
      <w:divBdr>
        <w:top w:val="none" w:sz="0" w:space="0" w:color="auto"/>
        <w:left w:val="none" w:sz="0" w:space="0" w:color="auto"/>
        <w:bottom w:val="none" w:sz="0" w:space="0" w:color="auto"/>
        <w:right w:val="none" w:sz="0" w:space="0" w:color="auto"/>
      </w:divBdr>
    </w:div>
    <w:div w:id="184293565">
      <w:bodyDiv w:val="1"/>
      <w:marLeft w:val="0"/>
      <w:marRight w:val="0"/>
      <w:marTop w:val="0"/>
      <w:marBottom w:val="0"/>
      <w:divBdr>
        <w:top w:val="none" w:sz="0" w:space="0" w:color="auto"/>
        <w:left w:val="none" w:sz="0" w:space="0" w:color="auto"/>
        <w:bottom w:val="none" w:sz="0" w:space="0" w:color="auto"/>
        <w:right w:val="none" w:sz="0" w:space="0" w:color="auto"/>
      </w:divBdr>
    </w:div>
    <w:div w:id="199320650">
      <w:bodyDiv w:val="1"/>
      <w:marLeft w:val="0"/>
      <w:marRight w:val="0"/>
      <w:marTop w:val="0"/>
      <w:marBottom w:val="0"/>
      <w:divBdr>
        <w:top w:val="none" w:sz="0" w:space="0" w:color="auto"/>
        <w:left w:val="none" w:sz="0" w:space="0" w:color="auto"/>
        <w:bottom w:val="none" w:sz="0" w:space="0" w:color="auto"/>
        <w:right w:val="none" w:sz="0" w:space="0" w:color="auto"/>
      </w:divBdr>
    </w:div>
    <w:div w:id="206070833">
      <w:bodyDiv w:val="1"/>
      <w:marLeft w:val="0"/>
      <w:marRight w:val="0"/>
      <w:marTop w:val="0"/>
      <w:marBottom w:val="0"/>
      <w:divBdr>
        <w:top w:val="none" w:sz="0" w:space="0" w:color="auto"/>
        <w:left w:val="none" w:sz="0" w:space="0" w:color="auto"/>
        <w:bottom w:val="none" w:sz="0" w:space="0" w:color="auto"/>
        <w:right w:val="none" w:sz="0" w:space="0" w:color="auto"/>
      </w:divBdr>
    </w:div>
    <w:div w:id="213391885">
      <w:bodyDiv w:val="1"/>
      <w:marLeft w:val="0"/>
      <w:marRight w:val="0"/>
      <w:marTop w:val="0"/>
      <w:marBottom w:val="0"/>
      <w:divBdr>
        <w:top w:val="none" w:sz="0" w:space="0" w:color="auto"/>
        <w:left w:val="none" w:sz="0" w:space="0" w:color="auto"/>
        <w:bottom w:val="none" w:sz="0" w:space="0" w:color="auto"/>
        <w:right w:val="none" w:sz="0" w:space="0" w:color="auto"/>
      </w:divBdr>
    </w:div>
    <w:div w:id="217597060">
      <w:bodyDiv w:val="1"/>
      <w:marLeft w:val="0"/>
      <w:marRight w:val="0"/>
      <w:marTop w:val="0"/>
      <w:marBottom w:val="0"/>
      <w:divBdr>
        <w:top w:val="none" w:sz="0" w:space="0" w:color="auto"/>
        <w:left w:val="none" w:sz="0" w:space="0" w:color="auto"/>
        <w:bottom w:val="none" w:sz="0" w:space="0" w:color="auto"/>
        <w:right w:val="none" w:sz="0" w:space="0" w:color="auto"/>
      </w:divBdr>
    </w:div>
    <w:div w:id="218519595">
      <w:bodyDiv w:val="1"/>
      <w:marLeft w:val="0"/>
      <w:marRight w:val="0"/>
      <w:marTop w:val="0"/>
      <w:marBottom w:val="0"/>
      <w:divBdr>
        <w:top w:val="none" w:sz="0" w:space="0" w:color="auto"/>
        <w:left w:val="none" w:sz="0" w:space="0" w:color="auto"/>
        <w:bottom w:val="none" w:sz="0" w:space="0" w:color="auto"/>
        <w:right w:val="none" w:sz="0" w:space="0" w:color="auto"/>
      </w:divBdr>
    </w:div>
    <w:div w:id="218978377">
      <w:bodyDiv w:val="1"/>
      <w:marLeft w:val="0"/>
      <w:marRight w:val="0"/>
      <w:marTop w:val="0"/>
      <w:marBottom w:val="0"/>
      <w:divBdr>
        <w:top w:val="none" w:sz="0" w:space="0" w:color="auto"/>
        <w:left w:val="none" w:sz="0" w:space="0" w:color="auto"/>
        <w:bottom w:val="none" w:sz="0" w:space="0" w:color="auto"/>
        <w:right w:val="none" w:sz="0" w:space="0" w:color="auto"/>
      </w:divBdr>
    </w:div>
    <w:div w:id="219557005">
      <w:bodyDiv w:val="1"/>
      <w:marLeft w:val="0"/>
      <w:marRight w:val="0"/>
      <w:marTop w:val="0"/>
      <w:marBottom w:val="0"/>
      <w:divBdr>
        <w:top w:val="none" w:sz="0" w:space="0" w:color="auto"/>
        <w:left w:val="none" w:sz="0" w:space="0" w:color="auto"/>
        <w:bottom w:val="none" w:sz="0" w:space="0" w:color="auto"/>
        <w:right w:val="none" w:sz="0" w:space="0" w:color="auto"/>
      </w:divBdr>
    </w:div>
    <w:div w:id="226454541">
      <w:bodyDiv w:val="1"/>
      <w:marLeft w:val="0"/>
      <w:marRight w:val="0"/>
      <w:marTop w:val="0"/>
      <w:marBottom w:val="0"/>
      <w:divBdr>
        <w:top w:val="none" w:sz="0" w:space="0" w:color="auto"/>
        <w:left w:val="none" w:sz="0" w:space="0" w:color="auto"/>
        <w:bottom w:val="none" w:sz="0" w:space="0" w:color="auto"/>
        <w:right w:val="none" w:sz="0" w:space="0" w:color="auto"/>
      </w:divBdr>
    </w:div>
    <w:div w:id="244270199">
      <w:bodyDiv w:val="1"/>
      <w:marLeft w:val="0"/>
      <w:marRight w:val="0"/>
      <w:marTop w:val="0"/>
      <w:marBottom w:val="0"/>
      <w:divBdr>
        <w:top w:val="none" w:sz="0" w:space="0" w:color="auto"/>
        <w:left w:val="none" w:sz="0" w:space="0" w:color="auto"/>
        <w:bottom w:val="none" w:sz="0" w:space="0" w:color="auto"/>
        <w:right w:val="none" w:sz="0" w:space="0" w:color="auto"/>
      </w:divBdr>
    </w:div>
    <w:div w:id="249656595">
      <w:bodyDiv w:val="1"/>
      <w:marLeft w:val="0"/>
      <w:marRight w:val="0"/>
      <w:marTop w:val="0"/>
      <w:marBottom w:val="0"/>
      <w:divBdr>
        <w:top w:val="none" w:sz="0" w:space="0" w:color="auto"/>
        <w:left w:val="none" w:sz="0" w:space="0" w:color="auto"/>
        <w:bottom w:val="none" w:sz="0" w:space="0" w:color="auto"/>
        <w:right w:val="none" w:sz="0" w:space="0" w:color="auto"/>
      </w:divBdr>
    </w:div>
    <w:div w:id="249772659">
      <w:bodyDiv w:val="1"/>
      <w:marLeft w:val="0"/>
      <w:marRight w:val="0"/>
      <w:marTop w:val="0"/>
      <w:marBottom w:val="0"/>
      <w:divBdr>
        <w:top w:val="none" w:sz="0" w:space="0" w:color="auto"/>
        <w:left w:val="none" w:sz="0" w:space="0" w:color="auto"/>
        <w:bottom w:val="none" w:sz="0" w:space="0" w:color="auto"/>
        <w:right w:val="none" w:sz="0" w:space="0" w:color="auto"/>
      </w:divBdr>
    </w:div>
    <w:div w:id="250507801">
      <w:bodyDiv w:val="1"/>
      <w:marLeft w:val="0"/>
      <w:marRight w:val="0"/>
      <w:marTop w:val="0"/>
      <w:marBottom w:val="0"/>
      <w:divBdr>
        <w:top w:val="none" w:sz="0" w:space="0" w:color="auto"/>
        <w:left w:val="none" w:sz="0" w:space="0" w:color="auto"/>
        <w:bottom w:val="none" w:sz="0" w:space="0" w:color="auto"/>
        <w:right w:val="none" w:sz="0" w:space="0" w:color="auto"/>
      </w:divBdr>
    </w:div>
    <w:div w:id="255676534">
      <w:bodyDiv w:val="1"/>
      <w:marLeft w:val="0"/>
      <w:marRight w:val="0"/>
      <w:marTop w:val="0"/>
      <w:marBottom w:val="0"/>
      <w:divBdr>
        <w:top w:val="none" w:sz="0" w:space="0" w:color="auto"/>
        <w:left w:val="none" w:sz="0" w:space="0" w:color="auto"/>
        <w:bottom w:val="none" w:sz="0" w:space="0" w:color="auto"/>
        <w:right w:val="none" w:sz="0" w:space="0" w:color="auto"/>
      </w:divBdr>
    </w:div>
    <w:div w:id="263651679">
      <w:bodyDiv w:val="1"/>
      <w:marLeft w:val="0"/>
      <w:marRight w:val="0"/>
      <w:marTop w:val="0"/>
      <w:marBottom w:val="0"/>
      <w:divBdr>
        <w:top w:val="none" w:sz="0" w:space="0" w:color="auto"/>
        <w:left w:val="none" w:sz="0" w:space="0" w:color="auto"/>
        <w:bottom w:val="none" w:sz="0" w:space="0" w:color="auto"/>
        <w:right w:val="none" w:sz="0" w:space="0" w:color="auto"/>
      </w:divBdr>
    </w:div>
    <w:div w:id="265697984">
      <w:bodyDiv w:val="1"/>
      <w:marLeft w:val="0"/>
      <w:marRight w:val="0"/>
      <w:marTop w:val="0"/>
      <w:marBottom w:val="0"/>
      <w:divBdr>
        <w:top w:val="none" w:sz="0" w:space="0" w:color="auto"/>
        <w:left w:val="none" w:sz="0" w:space="0" w:color="auto"/>
        <w:bottom w:val="none" w:sz="0" w:space="0" w:color="auto"/>
        <w:right w:val="none" w:sz="0" w:space="0" w:color="auto"/>
      </w:divBdr>
    </w:div>
    <w:div w:id="266543487">
      <w:bodyDiv w:val="1"/>
      <w:marLeft w:val="0"/>
      <w:marRight w:val="0"/>
      <w:marTop w:val="0"/>
      <w:marBottom w:val="0"/>
      <w:divBdr>
        <w:top w:val="none" w:sz="0" w:space="0" w:color="auto"/>
        <w:left w:val="none" w:sz="0" w:space="0" w:color="auto"/>
        <w:bottom w:val="none" w:sz="0" w:space="0" w:color="auto"/>
        <w:right w:val="none" w:sz="0" w:space="0" w:color="auto"/>
      </w:divBdr>
    </w:div>
    <w:div w:id="268003373">
      <w:bodyDiv w:val="1"/>
      <w:marLeft w:val="0"/>
      <w:marRight w:val="0"/>
      <w:marTop w:val="0"/>
      <w:marBottom w:val="0"/>
      <w:divBdr>
        <w:top w:val="none" w:sz="0" w:space="0" w:color="auto"/>
        <w:left w:val="none" w:sz="0" w:space="0" w:color="auto"/>
        <w:bottom w:val="none" w:sz="0" w:space="0" w:color="auto"/>
        <w:right w:val="none" w:sz="0" w:space="0" w:color="auto"/>
      </w:divBdr>
    </w:div>
    <w:div w:id="271977507">
      <w:bodyDiv w:val="1"/>
      <w:marLeft w:val="0"/>
      <w:marRight w:val="0"/>
      <w:marTop w:val="0"/>
      <w:marBottom w:val="0"/>
      <w:divBdr>
        <w:top w:val="none" w:sz="0" w:space="0" w:color="auto"/>
        <w:left w:val="none" w:sz="0" w:space="0" w:color="auto"/>
        <w:bottom w:val="none" w:sz="0" w:space="0" w:color="auto"/>
        <w:right w:val="none" w:sz="0" w:space="0" w:color="auto"/>
      </w:divBdr>
    </w:div>
    <w:div w:id="273753766">
      <w:bodyDiv w:val="1"/>
      <w:marLeft w:val="0"/>
      <w:marRight w:val="0"/>
      <w:marTop w:val="0"/>
      <w:marBottom w:val="0"/>
      <w:divBdr>
        <w:top w:val="none" w:sz="0" w:space="0" w:color="auto"/>
        <w:left w:val="none" w:sz="0" w:space="0" w:color="auto"/>
        <w:bottom w:val="none" w:sz="0" w:space="0" w:color="auto"/>
        <w:right w:val="none" w:sz="0" w:space="0" w:color="auto"/>
      </w:divBdr>
    </w:div>
    <w:div w:id="274335567">
      <w:bodyDiv w:val="1"/>
      <w:marLeft w:val="0"/>
      <w:marRight w:val="0"/>
      <w:marTop w:val="0"/>
      <w:marBottom w:val="0"/>
      <w:divBdr>
        <w:top w:val="none" w:sz="0" w:space="0" w:color="auto"/>
        <w:left w:val="none" w:sz="0" w:space="0" w:color="auto"/>
        <w:bottom w:val="none" w:sz="0" w:space="0" w:color="auto"/>
        <w:right w:val="none" w:sz="0" w:space="0" w:color="auto"/>
      </w:divBdr>
    </w:div>
    <w:div w:id="279991733">
      <w:bodyDiv w:val="1"/>
      <w:marLeft w:val="0"/>
      <w:marRight w:val="0"/>
      <w:marTop w:val="0"/>
      <w:marBottom w:val="0"/>
      <w:divBdr>
        <w:top w:val="none" w:sz="0" w:space="0" w:color="auto"/>
        <w:left w:val="none" w:sz="0" w:space="0" w:color="auto"/>
        <w:bottom w:val="none" w:sz="0" w:space="0" w:color="auto"/>
        <w:right w:val="none" w:sz="0" w:space="0" w:color="auto"/>
      </w:divBdr>
    </w:div>
    <w:div w:id="281688559">
      <w:bodyDiv w:val="1"/>
      <w:marLeft w:val="0"/>
      <w:marRight w:val="0"/>
      <w:marTop w:val="0"/>
      <w:marBottom w:val="0"/>
      <w:divBdr>
        <w:top w:val="none" w:sz="0" w:space="0" w:color="auto"/>
        <w:left w:val="none" w:sz="0" w:space="0" w:color="auto"/>
        <w:bottom w:val="none" w:sz="0" w:space="0" w:color="auto"/>
        <w:right w:val="none" w:sz="0" w:space="0" w:color="auto"/>
      </w:divBdr>
    </w:div>
    <w:div w:id="291978650">
      <w:bodyDiv w:val="1"/>
      <w:marLeft w:val="0"/>
      <w:marRight w:val="0"/>
      <w:marTop w:val="0"/>
      <w:marBottom w:val="0"/>
      <w:divBdr>
        <w:top w:val="none" w:sz="0" w:space="0" w:color="auto"/>
        <w:left w:val="none" w:sz="0" w:space="0" w:color="auto"/>
        <w:bottom w:val="none" w:sz="0" w:space="0" w:color="auto"/>
        <w:right w:val="none" w:sz="0" w:space="0" w:color="auto"/>
      </w:divBdr>
      <w:divsChild>
        <w:div w:id="47805583">
          <w:marLeft w:val="0"/>
          <w:marRight w:val="0"/>
          <w:marTop w:val="0"/>
          <w:marBottom w:val="0"/>
          <w:divBdr>
            <w:top w:val="none" w:sz="0" w:space="0" w:color="auto"/>
            <w:left w:val="none" w:sz="0" w:space="0" w:color="auto"/>
            <w:bottom w:val="none" w:sz="0" w:space="0" w:color="auto"/>
            <w:right w:val="none" w:sz="0" w:space="0" w:color="auto"/>
          </w:divBdr>
        </w:div>
        <w:div w:id="104736797">
          <w:marLeft w:val="0"/>
          <w:marRight w:val="0"/>
          <w:marTop w:val="0"/>
          <w:marBottom w:val="0"/>
          <w:divBdr>
            <w:top w:val="none" w:sz="0" w:space="0" w:color="auto"/>
            <w:left w:val="none" w:sz="0" w:space="0" w:color="auto"/>
            <w:bottom w:val="none" w:sz="0" w:space="0" w:color="auto"/>
            <w:right w:val="none" w:sz="0" w:space="0" w:color="auto"/>
          </w:divBdr>
        </w:div>
        <w:div w:id="124086837">
          <w:marLeft w:val="0"/>
          <w:marRight w:val="0"/>
          <w:marTop w:val="0"/>
          <w:marBottom w:val="0"/>
          <w:divBdr>
            <w:top w:val="none" w:sz="0" w:space="0" w:color="auto"/>
            <w:left w:val="none" w:sz="0" w:space="0" w:color="auto"/>
            <w:bottom w:val="none" w:sz="0" w:space="0" w:color="auto"/>
            <w:right w:val="none" w:sz="0" w:space="0" w:color="auto"/>
          </w:divBdr>
        </w:div>
        <w:div w:id="466751114">
          <w:marLeft w:val="0"/>
          <w:marRight w:val="0"/>
          <w:marTop w:val="0"/>
          <w:marBottom w:val="0"/>
          <w:divBdr>
            <w:top w:val="none" w:sz="0" w:space="0" w:color="auto"/>
            <w:left w:val="none" w:sz="0" w:space="0" w:color="auto"/>
            <w:bottom w:val="none" w:sz="0" w:space="0" w:color="auto"/>
            <w:right w:val="none" w:sz="0" w:space="0" w:color="auto"/>
          </w:divBdr>
        </w:div>
        <w:div w:id="585921210">
          <w:marLeft w:val="0"/>
          <w:marRight w:val="0"/>
          <w:marTop w:val="0"/>
          <w:marBottom w:val="0"/>
          <w:divBdr>
            <w:top w:val="none" w:sz="0" w:space="0" w:color="auto"/>
            <w:left w:val="none" w:sz="0" w:space="0" w:color="auto"/>
            <w:bottom w:val="none" w:sz="0" w:space="0" w:color="auto"/>
            <w:right w:val="none" w:sz="0" w:space="0" w:color="auto"/>
          </w:divBdr>
        </w:div>
        <w:div w:id="670838967">
          <w:marLeft w:val="0"/>
          <w:marRight w:val="0"/>
          <w:marTop w:val="0"/>
          <w:marBottom w:val="0"/>
          <w:divBdr>
            <w:top w:val="none" w:sz="0" w:space="0" w:color="auto"/>
            <w:left w:val="none" w:sz="0" w:space="0" w:color="auto"/>
            <w:bottom w:val="none" w:sz="0" w:space="0" w:color="auto"/>
            <w:right w:val="none" w:sz="0" w:space="0" w:color="auto"/>
          </w:divBdr>
        </w:div>
        <w:div w:id="702290284">
          <w:marLeft w:val="0"/>
          <w:marRight w:val="0"/>
          <w:marTop w:val="0"/>
          <w:marBottom w:val="0"/>
          <w:divBdr>
            <w:top w:val="none" w:sz="0" w:space="0" w:color="auto"/>
            <w:left w:val="none" w:sz="0" w:space="0" w:color="auto"/>
            <w:bottom w:val="none" w:sz="0" w:space="0" w:color="auto"/>
            <w:right w:val="none" w:sz="0" w:space="0" w:color="auto"/>
          </w:divBdr>
        </w:div>
        <w:div w:id="772017997">
          <w:marLeft w:val="0"/>
          <w:marRight w:val="0"/>
          <w:marTop w:val="0"/>
          <w:marBottom w:val="0"/>
          <w:divBdr>
            <w:top w:val="none" w:sz="0" w:space="0" w:color="auto"/>
            <w:left w:val="none" w:sz="0" w:space="0" w:color="auto"/>
            <w:bottom w:val="none" w:sz="0" w:space="0" w:color="auto"/>
            <w:right w:val="none" w:sz="0" w:space="0" w:color="auto"/>
          </w:divBdr>
        </w:div>
        <w:div w:id="844174749">
          <w:marLeft w:val="0"/>
          <w:marRight w:val="0"/>
          <w:marTop w:val="0"/>
          <w:marBottom w:val="0"/>
          <w:divBdr>
            <w:top w:val="none" w:sz="0" w:space="0" w:color="auto"/>
            <w:left w:val="none" w:sz="0" w:space="0" w:color="auto"/>
            <w:bottom w:val="none" w:sz="0" w:space="0" w:color="auto"/>
            <w:right w:val="none" w:sz="0" w:space="0" w:color="auto"/>
          </w:divBdr>
        </w:div>
        <w:div w:id="992486330">
          <w:marLeft w:val="0"/>
          <w:marRight w:val="0"/>
          <w:marTop w:val="0"/>
          <w:marBottom w:val="0"/>
          <w:divBdr>
            <w:top w:val="none" w:sz="0" w:space="0" w:color="auto"/>
            <w:left w:val="none" w:sz="0" w:space="0" w:color="auto"/>
            <w:bottom w:val="none" w:sz="0" w:space="0" w:color="auto"/>
            <w:right w:val="none" w:sz="0" w:space="0" w:color="auto"/>
          </w:divBdr>
        </w:div>
        <w:div w:id="1090661422">
          <w:marLeft w:val="0"/>
          <w:marRight w:val="0"/>
          <w:marTop w:val="0"/>
          <w:marBottom w:val="0"/>
          <w:divBdr>
            <w:top w:val="none" w:sz="0" w:space="0" w:color="auto"/>
            <w:left w:val="none" w:sz="0" w:space="0" w:color="auto"/>
            <w:bottom w:val="none" w:sz="0" w:space="0" w:color="auto"/>
            <w:right w:val="none" w:sz="0" w:space="0" w:color="auto"/>
          </w:divBdr>
        </w:div>
        <w:div w:id="1293902117">
          <w:marLeft w:val="0"/>
          <w:marRight w:val="0"/>
          <w:marTop w:val="0"/>
          <w:marBottom w:val="0"/>
          <w:divBdr>
            <w:top w:val="none" w:sz="0" w:space="0" w:color="auto"/>
            <w:left w:val="none" w:sz="0" w:space="0" w:color="auto"/>
            <w:bottom w:val="none" w:sz="0" w:space="0" w:color="auto"/>
            <w:right w:val="none" w:sz="0" w:space="0" w:color="auto"/>
          </w:divBdr>
        </w:div>
        <w:div w:id="1433941706">
          <w:marLeft w:val="0"/>
          <w:marRight w:val="0"/>
          <w:marTop w:val="0"/>
          <w:marBottom w:val="0"/>
          <w:divBdr>
            <w:top w:val="none" w:sz="0" w:space="0" w:color="auto"/>
            <w:left w:val="none" w:sz="0" w:space="0" w:color="auto"/>
            <w:bottom w:val="none" w:sz="0" w:space="0" w:color="auto"/>
            <w:right w:val="none" w:sz="0" w:space="0" w:color="auto"/>
          </w:divBdr>
        </w:div>
        <w:div w:id="1588034477">
          <w:marLeft w:val="0"/>
          <w:marRight w:val="0"/>
          <w:marTop w:val="0"/>
          <w:marBottom w:val="0"/>
          <w:divBdr>
            <w:top w:val="none" w:sz="0" w:space="0" w:color="auto"/>
            <w:left w:val="none" w:sz="0" w:space="0" w:color="auto"/>
            <w:bottom w:val="none" w:sz="0" w:space="0" w:color="auto"/>
            <w:right w:val="none" w:sz="0" w:space="0" w:color="auto"/>
          </w:divBdr>
        </w:div>
        <w:div w:id="1645428333">
          <w:marLeft w:val="0"/>
          <w:marRight w:val="0"/>
          <w:marTop w:val="0"/>
          <w:marBottom w:val="0"/>
          <w:divBdr>
            <w:top w:val="none" w:sz="0" w:space="0" w:color="auto"/>
            <w:left w:val="none" w:sz="0" w:space="0" w:color="auto"/>
            <w:bottom w:val="none" w:sz="0" w:space="0" w:color="auto"/>
            <w:right w:val="none" w:sz="0" w:space="0" w:color="auto"/>
          </w:divBdr>
        </w:div>
        <w:div w:id="1693335767">
          <w:marLeft w:val="0"/>
          <w:marRight w:val="0"/>
          <w:marTop w:val="0"/>
          <w:marBottom w:val="0"/>
          <w:divBdr>
            <w:top w:val="none" w:sz="0" w:space="0" w:color="auto"/>
            <w:left w:val="none" w:sz="0" w:space="0" w:color="auto"/>
            <w:bottom w:val="none" w:sz="0" w:space="0" w:color="auto"/>
            <w:right w:val="none" w:sz="0" w:space="0" w:color="auto"/>
          </w:divBdr>
        </w:div>
        <w:div w:id="1842040276">
          <w:marLeft w:val="0"/>
          <w:marRight w:val="0"/>
          <w:marTop w:val="0"/>
          <w:marBottom w:val="0"/>
          <w:divBdr>
            <w:top w:val="none" w:sz="0" w:space="0" w:color="auto"/>
            <w:left w:val="none" w:sz="0" w:space="0" w:color="auto"/>
            <w:bottom w:val="none" w:sz="0" w:space="0" w:color="auto"/>
            <w:right w:val="none" w:sz="0" w:space="0" w:color="auto"/>
          </w:divBdr>
        </w:div>
        <w:div w:id="1944069036">
          <w:marLeft w:val="0"/>
          <w:marRight w:val="0"/>
          <w:marTop w:val="0"/>
          <w:marBottom w:val="0"/>
          <w:divBdr>
            <w:top w:val="none" w:sz="0" w:space="0" w:color="auto"/>
            <w:left w:val="none" w:sz="0" w:space="0" w:color="auto"/>
            <w:bottom w:val="none" w:sz="0" w:space="0" w:color="auto"/>
            <w:right w:val="none" w:sz="0" w:space="0" w:color="auto"/>
          </w:divBdr>
        </w:div>
        <w:div w:id="1961066382">
          <w:marLeft w:val="0"/>
          <w:marRight w:val="0"/>
          <w:marTop w:val="0"/>
          <w:marBottom w:val="0"/>
          <w:divBdr>
            <w:top w:val="none" w:sz="0" w:space="0" w:color="auto"/>
            <w:left w:val="none" w:sz="0" w:space="0" w:color="auto"/>
            <w:bottom w:val="none" w:sz="0" w:space="0" w:color="auto"/>
            <w:right w:val="none" w:sz="0" w:space="0" w:color="auto"/>
          </w:divBdr>
        </w:div>
        <w:div w:id="2065593839">
          <w:marLeft w:val="0"/>
          <w:marRight w:val="0"/>
          <w:marTop w:val="0"/>
          <w:marBottom w:val="0"/>
          <w:divBdr>
            <w:top w:val="none" w:sz="0" w:space="0" w:color="auto"/>
            <w:left w:val="none" w:sz="0" w:space="0" w:color="auto"/>
            <w:bottom w:val="none" w:sz="0" w:space="0" w:color="auto"/>
            <w:right w:val="none" w:sz="0" w:space="0" w:color="auto"/>
          </w:divBdr>
        </w:div>
        <w:div w:id="2118404291">
          <w:marLeft w:val="0"/>
          <w:marRight w:val="0"/>
          <w:marTop w:val="0"/>
          <w:marBottom w:val="0"/>
          <w:divBdr>
            <w:top w:val="none" w:sz="0" w:space="0" w:color="auto"/>
            <w:left w:val="none" w:sz="0" w:space="0" w:color="auto"/>
            <w:bottom w:val="none" w:sz="0" w:space="0" w:color="auto"/>
            <w:right w:val="none" w:sz="0" w:space="0" w:color="auto"/>
          </w:divBdr>
        </w:div>
        <w:div w:id="2118868782">
          <w:marLeft w:val="0"/>
          <w:marRight w:val="0"/>
          <w:marTop w:val="0"/>
          <w:marBottom w:val="0"/>
          <w:divBdr>
            <w:top w:val="none" w:sz="0" w:space="0" w:color="auto"/>
            <w:left w:val="none" w:sz="0" w:space="0" w:color="auto"/>
            <w:bottom w:val="none" w:sz="0" w:space="0" w:color="auto"/>
            <w:right w:val="none" w:sz="0" w:space="0" w:color="auto"/>
          </w:divBdr>
        </w:div>
      </w:divsChild>
    </w:div>
    <w:div w:id="295843918">
      <w:bodyDiv w:val="1"/>
      <w:marLeft w:val="0"/>
      <w:marRight w:val="0"/>
      <w:marTop w:val="0"/>
      <w:marBottom w:val="0"/>
      <w:divBdr>
        <w:top w:val="none" w:sz="0" w:space="0" w:color="auto"/>
        <w:left w:val="none" w:sz="0" w:space="0" w:color="auto"/>
        <w:bottom w:val="none" w:sz="0" w:space="0" w:color="auto"/>
        <w:right w:val="none" w:sz="0" w:space="0" w:color="auto"/>
      </w:divBdr>
    </w:div>
    <w:div w:id="301691629">
      <w:bodyDiv w:val="1"/>
      <w:marLeft w:val="0"/>
      <w:marRight w:val="0"/>
      <w:marTop w:val="0"/>
      <w:marBottom w:val="0"/>
      <w:divBdr>
        <w:top w:val="none" w:sz="0" w:space="0" w:color="auto"/>
        <w:left w:val="none" w:sz="0" w:space="0" w:color="auto"/>
        <w:bottom w:val="none" w:sz="0" w:space="0" w:color="auto"/>
        <w:right w:val="none" w:sz="0" w:space="0" w:color="auto"/>
      </w:divBdr>
    </w:div>
    <w:div w:id="323046035">
      <w:bodyDiv w:val="1"/>
      <w:marLeft w:val="0"/>
      <w:marRight w:val="0"/>
      <w:marTop w:val="0"/>
      <w:marBottom w:val="0"/>
      <w:divBdr>
        <w:top w:val="none" w:sz="0" w:space="0" w:color="auto"/>
        <w:left w:val="none" w:sz="0" w:space="0" w:color="auto"/>
        <w:bottom w:val="none" w:sz="0" w:space="0" w:color="auto"/>
        <w:right w:val="none" w:sz="0" w:space="0" w:color="auto"/>
      </w:divBdr>
    </w:div>
    <w:div w:id="324169148">
      <w:bodyDiv w:val="1"/>
      <w:marLeft w:val="0"/>
      <w:marRight w:val="0"/>
      <w:marTop w:val="0"/>
      <w:marBottom w:val="0"/>
      <w:divBdr>
        <w:top w:val="none" w:sz="0" w:space="0" w:color="auto"/>
        <w:left w:val="none" w:sz="0" w:space="0" w:color="auto"/>
        <w:bottom w:val="none" w:sz="0" w:space="0" w:color="auto"/>
        <w:right w:val="none" w:sz="0" w:space="0" w:color="auto"/>
      </w:divBdr>
    </w:div>
    <w:div w:id="325743891">
      <w:bodyDiv w:val="1"/>
      <w:marLeft w:val="0"/>
      <w:marRight w:val="0"/>
      <w:marTop w:val="0"/>
      <w:marBottom w:val="0"/>
      <w:divBdr>
        <w:top w:val="none" w:sz="0" w:space="0" w:color="auto"/>
        <w:left w:val="none" w:sz="0" w:space="0" w:color="auto"/>
        <w:bottom w:val="none" w:sz="0" w:space="0" w:color="auto"/>
        <w:right w:val="none" w:sz="0" w:space="0" w:color="auto"/>
      </w:divBdr>
    </w:div>
    <w:div w:id="327562738">
      <w:bodyDiv w:val="1"/>
      <w:marLeft w:val="0"/>
      <w:marRight w:val="0"/>
      <w:marTop w:val="0"/>
      <w:marBottom w:val="0"/>
      <w:divBdr>
        <w:top w:val="none" w:sz="0" w:space="0" w:color="auto"/>
        <w:left w:val="none" w:sz="0" w:space="0" w:color="auto"/>
        <w:bottom w:val="none" w:sz="0" w:space="0" w:color="auto"/>
        <w:right w:val="none" w:sz="0" w:space="0" w:color="auto"/>
      </w:divBdr>
    </w:div>
    <w:div w:id="328481557">
      <w:bodyDiv w:val="1"/>
      <w:marLeft w:val="0"/>
      <w:marRight w:val="0"/>
      <w:marTop w:val="0"/>
      <w:marBottom w:val="0"/>
      <w:divBdr>
        <w:top w:val="none" w:sz="0" w:space="0" w:color="auto"/>
        <w:left w:val="none" w:sz="0" w:space="0" w:color="auto"/>
        <w:bottom w:val="none" w:sz="0" w:space="0" w:color="auto"/>
        <w:right w:val="none" w:sz="0" w:space="0" w:color="auto"/>
      </w:divBdr>
    </w:div>
    <w:div w:id="329797693">
      <w:bodyDiv w:val="1"/>
      <w:marLeft w:val="0"/>
      <w:marRight w:val="0"/>
      <w:marTop w:val="0"/>
      <w:marBottom w:val="0"/>
      <w:divBdr>
        <w:top w:val="none" w:sz="0" w:space="0" w:color="auto"/>
        <w:left w:val="none" w:sz="0" w:space="0" w:color="auto"/>
        <w:bottom w:val="none" w:sz="0" w:space="0" w:color="auto"/>
        <w:right w:val="none" w:sz="0" w:space="0" w:color="auto"/>
      </w:divBdr>
    </w:div>
    <w:div w:id="330136367">
      <w:bodyDiv w:val="1"/>
      <w:marLeft w:val="0"/>
      <w:marRight w:val="0"/>
      <w:marTop w:val="0"/>
      <w:marBottom w:val="0"/>
      <w:divBdr>
        <w:top w:val="none" w:sz="0" w:space="0" w:color="auto"/>
        <w:left w:val="none" w:sz="0" w:space="0" w:color="auto"/>
        <w:bottom w:val="none" w:sz="0" w:space="0" w:color="auto"/>
        <w:right w:val="none" w:sz="0" w:space="0" w:color="auto"/>
      </w:divBdr>
    </w:div>
    <w:div w:id="333842804">
      <w:bodyDiv w:val="1"/>
      <w:marLeft w:val="0"/>
      <w:marRight w:val="0"/>
      <w:marTop w:val="0"/>
      <w:marBottom w:val="0"/>
      <w:divBdr>
        <w:top w:val="none" w:sz="0" w:space="0" w:color="auto"/>
        <w:left w:val="none" w:sz="0" w:space="0" w:color="auto"/>
        <w:bottom w:val="none" w:sz="0" w:space="0" w:color="auto"/>
        <w:right w:val="none" w:sz="0" w:space="0" w:color="auto"/>
      </w:divBdr>
    </w:div>
    <w:div w:id="335115270">
      <w:bodyDiv w:val="1"/>
      <w:marLeft w:val="0"/>
      <w:marRight w:val="0"/>
      <w:marTop w:val="0"/>
      <w:marBottom w:val="0"/>
      <w:divBdr>
        <w:top w:val="none" w:sz="0" w:space="0" w:color="auto"/>
        <w:left w:val="none" w:sz="0" w:space="0" w:color="auto"/>
        <w:bottom w:val="none" w:sz="0" w:space="0" w:color="auto"/>
        <w:right w:val="none" w:sz="0" w:space="0" w:color="auto"/>
      </w:divBdr>
    </w:div>
    <w:div w:id="342824082">
      <w:bodyDiv w:val="1"/>
      <w:marLeft w:val="0"/>
      <w:marRight w:val="0"/>
      <w:marTop w:val="0"/>
      <w:marBottom w:val="0"/>
      <w:divBdr>
        <w:top w:val="none" w:sz="0" w:space="0" w:color="auto"/>
        <w:left w:val="none" w:sz="0" w:space="0" w:color="auto"/>
        <w:bottom w:val="none" w:sz="0" w:space="0" w:color="auto"/>
        <w:right w:val="none" w:sz="0" w:space="0" w:color="auto"/>
      </w:divBdr>
    </w:div>
    <w:div w:id="345250806">
      <w:bodyDiv w:val="1"/>
      <w:marLeft w:val="0"/>
      <w:marRight w:val="0"/>
      <w:marTop w:val="0"/>
      <w:marBottom w:val="0"/>
      <w:divBdr>
        <w:top w:val="none" w:sz="0" w:space="0" w:color="auto"/>
        <w:left w:val="none" w:sz="0" w:space="0" w:color="auto"/>
        <w:bottom w:val="none" w:sz="0" w:space="0" w:color="auto"/>
        <w:right w:val="none" w:sz="0" w:space="0" w:color="auto"/>
      </w:divBdr>
    </w:div>
    <w:div w:id="346300019">
      <w:bodyDiv w:val="1"/>
      <w:marLeft w:val="0"/>
      <w:marRight w:val="0"/>
      <w:marTop w:val="0"/>
      <w:marBottom w:val="0"/>
      <w:divBdr>
        <w:top w:val="none" w:sz="0" w:space="0" w:color="auto"/>
        <w:left w:val="none" w:sz="0" w:space="0" w:color="auto"/>
        <w:bottom w:val="none" w:sz="0" w:space="0" w:color="auto"/>
        <w:right w:val="none" w:sz="0" w:space="0" w:color="auto"/>
      </w:divBdr>
    </w:div>
    <w:div w:id="369188116">
      <w:bodyDiv w:val="1"/>
      <w:marLeft w:val="0"/>
      <w:marRight w:val="0"/>
      <w:marTop w:val="0"/>
      <w:marBottom w:val="0"/>
      <w:divBdr>
        <w:top w:val="none" w:sz="0" w:space="0" w:color="auto"/>
        <w:left w:val="none" w:sz="0" w:space="0" w:color="auto"/>
        <w:bottom w:val="none" w:sz="0" w:space="0" w:color="auto"/>
        <w:right w:val="none" w:sz="0" w:space="0" w:color="auto"/>
      </w:divBdr>
    </w:div>
    <w:div w:id="369841954">
      <w:bodyDiv w:val="1"/>
      <w:marLeft w:val="0"/>
      <w:marRight w:val="0"/>
      <w:marTop w:val="0"/>
      <w:marBottom w:val="0"/>
      <w:divBdr>
        <w:top w:val="none" w:sz="0" w:space="0" w:color="auto"/>
        <w:left w:val="none" w:sz="0" w:space="0" w:color="auto"/>
        <w:bottom w:val="none" w:sz="0" w:space="0" w:color="auto"/>
        <w:right w:val="none" w:sz="0" w:space="0" w:color="auto"/>
      </w:divBdr>
    </w:div>
    <w:div w:id="372118320">
      <w:bodyDiv w:val="1"/>
      <w:marLeft w:val="0"/>
      <w:marRight w:val="0"/>
      <w:marTop w:val="0"/>
      <w:marBottom w:val="0"/>
      <w:divBdr>
        <w:top w:val="none" w:sz="0" w:space="0" w:color="auto"/>
        <w:left w:val="none" w:sz="0" w:space="0" w:color="auto"/>
        <w:bottom w:val="none" w:sz="0" w:space="0" w:color="auto"/>
        <w:right w:val="none" w:sz="0" w:space="0" w:color="auto"/>
      </w:divBdr>
    </w:div>
    <w:div w:id="374702045">
      <w:bodyDiv w:val="1"/>
      <w:marLeft w:val="0"/>
      <w:marRight w:val="0"/>
      <w:marTop w:val="0"/>
      <w:marBottom w:val="0"/>
      <w:divBdr>
        <w:top w:val="none" w:sz="0" w:space="0" w:color="auto"/>
        <w:left w:val="none" w:sz="0" w:space="0" w:color="auto"/>
        <w:bottom w:val="none" w:sz="0" w:space="0" w:color="auto"/>
        <w:right w:val="none" w:sz="0" w:space="0" w:color="auto"/>
      </w:divBdr>
    </w:div>
    <w:div w:id="385177539">
      <w:bodyDiv w:val="1"/>
      <w:marLeft w:val="0"/>
      <w:marRight w:val="0"/>
      <w:marTop w:val="0"/>
      <w:marBottom w:val="0"/>
      <w:divBdr>
        <w:top w:val="none" w:sz="0" w:space="0" w:color="auto"/>
        <w:left w:val="none" w:sz="0" w:space="0" w:color="auto"/>
        <w:bottom w:val="none" w:sz="0" w:space="0" w:color="auto"/>
        <w:right w:val="none" w:sz="0" w:space="0" w:color="auto"/>
      </w:divBdr>
    </w:div>
    <w:div w:id="385374250">
      <w:bodyDiv w:val="1"/>
      <w:marLeft w:val="0"/>
      <w:marRight w:val="0"/>
      <w:marTop w:val="0"/>
      <w:marBottom w:val="0"/>
      <w:divBdr>
        <w:top w:val="none" w:sz="0" w:space="0" w:color="auto"/>
        <w:left w:val="none" w:sz="0" w:space="0" w:color="auto"/>
        <w:bottom w:val="none" w:sz="0" w:space="0" w:color="auto"/>
        <w:right w:val="none" w:sz="0" w:space="0" w:color="auto"/>
      </w:divBdr>
    </w:div>
    <w:div w:id="388891937">
      <w:bodyDiv w:val="1"/>
      <w:marLeft w:val="0"/>
      <w:marRight w:val="0"/>
      <w:marTop w:val="0"/>
      <w:marBottom w:val="0"/>
      <w:divBdr>
        <w:top w:val="none" w:sz="0" w:space="0" w:color="auto"/>
        <w:left w:val="none" w:sz="0" w:space="0" w:color="auto"/>
        <w:bottom w:val="none" w:sz="0" w:space="0" w:color="auto"/>
        <w:right w:val="none" w:sz="0" w:space="0" w:color="auto"/>
      </w:divBdr>
    </w:div>
    <w:div w:id="391541557">
      <w:bodyDiv w:val="1"/>
      <w:marLeft w:val="0"/>
      <w:marRight w:val="0"/>
      <w:marTop w:val="0"/>
      <w:marBottom w:val="0"/>
      <w:divBdr>
        <w:top w:val="none" w:sz="0" w:space="0" w:color="auto"/>
        <w:left w:val="none" w:sz="0" w:space="0" w:color="auto"/>
        <w:bottom w:val="none" w:sz="0" w:space="0" w:color="auto"/>
        <w:right w:val="none" w:sz="0" w:space="0" w:color="auto"/>
      </w:divBdr>
    </w:div>
    <w:div w:id="391930193">
      <w:bodyDiv w:val="1"/>
      <w:marLeft w:val="0"/>
      <w:marRight w:val="0"/>
      <w:marTop w:val="0"/>
      <w:marBottom w:val="0"/>
      <w:divBdr>
        <w:top w:val="none" w:sz="0" w:space="0" w:color="auto"/>
        <w:left w:val="none" w:sz="0" w:space="0" w:color="auto"/>
        <w:bottom w:val="none" w:sz="0" w:space="0" w:color="auto"/>
        <w:right w:val="none" w:sz="0" w:space="0" w:color="auto"/>
      </w:divBdr>
    </w:div>
    <w:div w:id="392583161">
      <w:bodyDiv w:val="1"/>
      <w:marLeft w:val="0"/>
      <w:marRight w:val="0"/>
      <w:marTop w:val="0"/>
      <w:marBottom w:val="0"/>
      <w:divBdr>
        <w:top w:val="none" w:sz="0" w:space="0" w:color="auto"/>
        <w:left w:val="none" w:sz="0" w:space="0" w:color="auto"/>
        <w:bottom w:val="none" w:sz="0" w:space="0" w:color="auto"/>
        <w:right w:val="none" w:sz="0" w:space="0" w:color="auto"/>
      </w:divBdr>
    </w:div>
    <w:div w:id="398797041">
      <w:bodyDiv w:val="1"/>
      <w:marLeft w:val="0"/>
      <w:marRight w:val="0"/>
      <w:marTop w:val="0"/>
      <w:marBottom w:val="0"/>
      <w:divBdr>
        <w:top w:val="none" w:sz="0" w:space="0" w:color="auto"/>
        <w:left w:val="none" w:sz="0" w:space="0" w:color="auto"/>
        <w:bottom w:val="none" w:sz="0" w:space="0" w:color="auto"/>
        <w:right w:val="none" w:sz="0" w:space="0" w:color="auto"/>
      </w:divBdr>
    </w:div>
    <w:div w:id="403183835">
      <w:bodyDiv w:val="1"/>
      <w:marLeft w:val="0"/>
      <w:marRight w:val="0"/>
      <w:marTop w:val="0"/>
      <w:marBottom w:val="0"/>
      <w:divBdr>
        <w:top w:val="none" w:sz="0" w:space="0" w:color="auto"/>
        <w:left w:val="none" w:sz="0" w:space="0" w:color="auto"/>
        <w:bottom w:val="none" w:sz="0" w:space="0" w:color="auto"/>
        <w:right w:val="none" w:sz="0" w:space="0" w:color="auto"/>
      </w:divBdr>
    </w:div>
    <w:div w:id="403527937">
      <w:bodyDiv w:val="1"/>
      <w:marLeft w:val="0"/>
      <w:marRight w:val="0"/>
      <w:marTop w:val="0"/>
      <w:marBottom w:val="0"/>
      <w:divBdr>
        <w:top w:val="none" w:sz="0" w:space="0" w:color="auto"/>
        <w:left w:val="none" w:sz="0" w:space="0" w:color="auto"/>
        <w:bottom w:val="none" w:sz="0" w:space="0" w:color="auto"/>
        <w:right w:val="none" w:sz="0" w:space="0" w:color="auto"/>
      </w:divBdr>
    </w:div>
    <w:div w:id="408429331">
      <w:bodyDiv w:val="1"/>
      <w:marLeft w:val="0"/>
      <w:marRight w:val="0"/>
      <w:marTop w:val="0"/>
      <w:marBottom w:val="0"/>
      <w:divBdr>
        <w:top w:val="none" w:sz="0" w:space="0" w:color="auto"/>
        <w:left w:val="none" w:sz="0" w:space="0" w:color="auto"/>
        <w:bottom w:val="none" w:sz="0" w:space="0" w:color="auto"/>
        <w:right w:val="none" w:sz="0" w:space="0" w:color="auto"/>
      </w:divBdr>
    </w:div>
    <w:div w:id="409813697">
      <w:bodyDiv w:val="1"/>
      <w:marLeft w:val="0"/>
      <w:marRight w:val="0"/>
      <w:marTop w:val="0"/>
      <w:marBottom w:val="0"/>
      <w:divBdr>
        <w:top w:val="none" w:sz="0" w:space="0" w:color="auto"/>
        <w:left w:val="none" w:sz="0" w:space="0" w:color="auto"/>
        <w:bottom w:val="none" w:sz="0" w:space="0" w:color="auto"/>
        <w:right w:val="none" w:sz="0" w:space="0" w:color="auto"/>
      </w:divBdr>
    </w:div>
    <w:div w:id="409960306">
      <w:bodyDiv w:val="1"/>
      <w:marLeft w:val="0"/>
      <w:marRight w:val="0"/>
      <w:marTop w:val="0"/>
      <w:marBottom w:val="0"/>
      <w:divBdr>
        <w:top w:val="none" w:sz="0" w:space="0" w:color="auto"/>
        <w:left w:val="none" w:sz="0" w:space="0" w:color="auto"/>
        <w:bottom w:val="none" w:sz="0" w:space="0" w:color="auto"/>
        <w:right w:val="none" w:sz="0" w:space="0" w:color="auto"/>
      </w:divBdr>
    </w:div>
    <w:div w:id="415246112">
      <w:bodyDiv w:val="1"/>
      <w:marLeft w:val="0"/>
      <w:marRight w:val="0"/>
      <w:marTop w:val="0"/>
      <w:marBottom w:val="0"/>
      <w:divBdr>
        <w:top w:val="none" w:sz="0" w:space="0" w:color="auto"/>
        <w:left w:val="none" w:sz="0" w:space="0" w:color="auto"/>
        <w:bottom w:val="none" w:sz="0" w:space="0" w:color="auto"/>
        <w:right w:val="none" w:sz="0" w:space="0" w:color="auto"/>
      </w:divBdr>
    </w:div>
    <w:div w:id="419790299">
      <w:bodyDiv w:val="1"/>
      <w:marLeft w:val="0"/>
      <w:marRight w:val="0"/>
      <w:marTop w:val="0"/>
      <w:marBottom w:val="0"/>
      <w:divBdr>
        <w:top w:val="none" w:sz="0" w:space="0" w:color="auto"/>
        <w:left w:val="none" w:sz="0" w:space="0" w:color="auto"/>
        <w:bottom w:val="none" w:sz="0" w:space="0" w:color="auto"/>
        <w:right w:val="none" w:sz="0" w:space="0" w:color="auto"/>
      </w:divBdr>
    </w:div>
    <w:div w:id="422411321">
      <w:bodyDiv w:val="1"/>
      <w:marLeft w:val="0"/>
      <w:marRight w:val="0"/>
      <w:marTop w:val="0"/>
      <w:marBottom w:val="0"/>
      <w:divBdr>
        <w:top w:val="none" w:sz="0" w:space="0" w:color="auto"/>
        <w:left w:val="none" w:sz="0" w:space="0" w:color="auto"/>
        <w:bottom w:val="none" w:sz="0" w:space="0" w:color="auto"/>
        <w:right w:val="none" w:sz="0" w:space="0" w:color="auto"/>
      </w:divBdr>
    </w:div>
    <w:div w:id="424307944">
      <w:bodyDiv w:val="1"/>
      <w:marLeft w:val="0"/>
      <w:marRight w:val="0"/>
      <w:marTop w:val="0"/>
      <w:marBottom w:val="0"/>
      <w:divBdr>
        <w:top w:val="none" w:sz="0" w:space="0" w:color="auto"/>
        <w:left w:val="none" w:sz="0" w:space="0" w:color="auto"/>
        <w:bottom w:val="none" w:sz="0" w:space="0" w:color="auto"/>
        <w:right w:val="none" w:sz="0" w:space="0" w:color="auto"/>
      </w:divBdr>
    </w:div>
    <w:div w:id="424770062">
      <w:bodyDiv w:val="1"/>
      <w:marLeft w:val="0"/>
      <w:marRight w:val="0"/>
      <w:marTop w:val="0"/>
      <w:marBottom w:val="0"/>
      <w:divBdr>
        <w:top w:val="none" w:sz="0" w:space="0" w:color="auto"/>
        <w:left w:val="none" w:sz="0" w:space="0" w:color="auto"/>
        <w:bottom w:val="none" w:sz="0" w:space="0" w:color="auto"/>
        <w:right w:val="none" w:sz="0" w:space="0" w:color="auto"/>
      </w:divBdr>
    </w:div>
    <w:div w:id="429206303">
      <w:bodyDiv w:val="1"/>
      <w:marLeft w:val="0"/>
      <w:marRight w:val="0"/>
      <w:marTop w:val="0"/>
      <w:marBottom w:val="0"/>
      <w:divBdr>
        <w:top w:val="none" w:sz="0" w:space="0" w:color="auto"/>
        <w:left w:val="none" w:sz="0" w:space="0" w:color="auto"/>
        <w:bottom w:val="none" w:sz="0" w:space="0" w:color="auto"/>
        <w:right w:val="none" w:sz="0" w:space="0" w:color="auto"/>
      </w:divBdr>
    </w:div>
    <w:div w:id="431247041">
      <w:bodyDiv w:val="1"/>
      <w:marLeft w:val="0"/>
      <w:marRight w:val="0"/>
      <w:marTop w:val="0"/>
      <w:marBottom w:val="0"/>
      <w:divBdr>
        <w:top w:val="none" w:sz="0" w:space="0" w:color="auto"/>
        <w:left w:val="none" w:sz="0" w:space="0" w:color="auto"/>
        <w:bottom w:val="none" w:sz="0" w:space="0" w:color="auto"/>
        <w:right w:val="none" w:sz="0" w:space="0" w:color="auto"/>
      </w:divBdr>
    </w:div>
    <w:div w:id="437868694">
      <w:bodyDiv w:val="1"/>
      <w:marLeft w:val="0"/>
      <w:marRight w:val="0"/>
      <w:marTop w:val="0"/>
      <w:marBottom w:val="0"/>
      <w:divBdr>
        <w:top w:val="none" w:sz="0" w:space="0" w:color="auto"/>
        <w:left w:val="none" w:sz="0" w:space="0" w:color="auto"/>
        <w:bottom w:val="none" w:sz="0" w:space="0" w:color="auto"/>
        <w:right w:val="none" w:sz="0" w:space="0" w:color="auto"/>
      </w:divBdr>
    </w:div>
    <w:div w:id="441460841">
      <w:bodyDiv w:val="1"/>
      <w:marLeft w:val="0"/>
      <w:marRight w:val="0"/>
      <w:marTop w:val="0"/>
      <w:marBottom w:val="0"/>
      <w:divBdr>
        <w:top w:val="none" w:sz="0" w:space="0" w:color="auto"/>
        <w:left w:val="none" w:sz="0" w:space="0" w:color="auto"/>
        <w:bottom w:val="none" w:sz="0" w:space="0" w:color="auto"/>
        <w:right w:val="none" w:sz="0" w:space="0" w:color="auto"/>
      </w:divBdr>
    </w:div>
    <w:div w:id="445467662">
      <w:bodyDiv w:val="1"/>
      <w:marLeft w:val="0"/>
      <w:marRight w:val="0"/>
      <w:marTop w:val="0"/>
      <w:marBottom w:val="0"/>
      <w:divBdr>
        <w:top w:val="none" w:sz="0" w:space="0" w:color="auto"/>
        <w:left w:val="none" w:sz="0" w:space="0" w:color="auto"/>
        <w:bottom w:val="none" w:sz="0" w:space="0" w:color="auto"/>
        <w:right w:val="none" w:sz="0" w:space="0" w:color="auto"/>
      </w:divBdr>
    </w:div>
    <w:div w:id="458062929">
      <w:bodyDiv w:val="1"/>
      <w:marLeft w:val="0"/>
      <w:marRight w:val="0"/>
      <w:marTop w:val="0"/>
      <w:marBottom w:val="0"/>
      <w:divBdr>
        <w:top w:val="none" w:sz="0" w:space="0" w:color="auto"/>
        <w:left w:val="none" w:sz="0" w:space="0" w:color="auto"/>
        <w:bottom w:val="none" w:sz="0" w:space="0" w:color="auto"/>
        <w:right w:val="none" w:sz="0" w:space="0" w:color="auto"/>
      </w:divBdr>
    </w:div>
    <w:div w:id="464587560">
      <w:bodyDiv w:val="1"/>
      <w:marLeft w:val="0"/>
      <w:marRight w:val="0"/>
      <w:marTop w:val="0"/>
      <w:marBottom w:val="0"/>
      <w:divBdr>
        <w:top w:val="none" w:sz="0" w:space="0" w:color="auto"/>
        <w:left w:val="none" w:sz="0" w:space="0" w:color="auto"/>
        <w:bottom w:val="none" w:sz="0" w:space="0" w:color="auto"/>
        <w:right w:val="none" w:sz="0" w:space="0" w:color="auto"/>
      </w:divBdr>
    </w:div>
    <w:div w:id="464659676">
      <w:bodyDiv w:val="1"/>
      <w:marLeft w:val="0"/>
      <w:marRight w:val="0"/>
      <w:marTop w:val="0"/>
      <w:marBottom w:val="0"/>
      <w:divBdr>
        <w:top w:val="none" w:sz="0" w:space="0" w:color="auto"/>
        <w:left w:val="none" w:sz="0" w:space="0" w:color="auto"/>
        <w:bottom w:val="none" w:sz="0" w:space="0" w:color="auto"/>
        <w:right w:val="none" w:sz="0" w:space="0" w:color="auto"/>
      </w:divBdr>
    </w:div>
    <w:div w:id="478815129">
      <w:bodyDiv w:val="1"/>
      <w:marLeft w:val="0"/>
      <w:marRight w:val="0"/>
      <w:marTop w:val="0"/>
      <w:marBottom w:val="0"/>
      <w:divBdr>
        <w:top w:val="none" w:sz="0" w:space="0" w:color="auto"/>
        <w:left w:val="none" w:sz="0" w:space="0" w:color="auto"/>
        <w:bottom w:val="none" w:sz="0" w:space="0" w:color="auto"/>
        <w:right w:val="none" w:sz="0" w:space="0" w:color="auto"/>
      </w:divBdr>
    </w:div>
    <w:div w:id="480736202">
      <w:bodyDiv w:val="1"/>
      <w:marLeft w:val="0"/>
      <w:marRight w:val="0"/>
      <w:marTop w:val="0"/>
      <w:marBottom w:val="0"/>
      <w:divBdr>
        <w:top w:val="none" w:sz="0" w:space="0" w:color="auto"/>
        <w:left w:val="none" w:sz="0" w:space="0" w:color="auto"/>
        <w:bottom w:val="none" w:sz="0" w:space="0" w:color="auto"/>
        <w:right w:val="none" w:sz="0" w:space="0" w:color="auto"/>
      </w:divBdr>
    </w:div>
    <w:div w:id="484050658">
      <w:bodyDiv w:val="1"/>
      <w:marLeft w:val="0"/>
      <w:marRight w:val="0"/>
      <w:marTop w:val="0"/>
      <w:marBottom w:val="0"/>
      <w:divBdr>
        <w:top w:val="none" w:sz="0" w:space="0" w:color="auto"/>
        <w:left w:val="none" w:sz="0" w:space="0" w:color="auto"/>
        <w:bottom w:val="none" w:sz="0" w:space="0" w:color="auto"/>
        <w:right w:val="none" w:sz="0" w:space="0" w:color="auto"/>
      </w:divBdr>
    </w:div>
    <w:div w:id="486672260">
      <w:bodyDiv w:val="1"/>
      <w:marLeft w:val="0"/>
      <w:marRight w:val="0"/>
      <w:marTop w:val="0"/>
      <w:marBottom w:val="0"/>
      <w:divBdr>
        <w:top w:val="none" w:sz="0" w:space="0" w:color="auto"/>
        <w:left w:val="none" w:sz="0" w:space="0" w:color="auto"/>
        <w:bottom w:val="none" w:sz="0" w:space="0" w:color="auto"/>
        <w:right w:val="none" w:sz="0" w:space="0" w:color="auto"/>
      </w:divBdr>
    </w:div>
    <w:div w:id="487088431">
      <w:bodyDiv w:val="1"/>
      <w:marLeft w:val="0"/>
      <w:marRight w:val="0"/>
      <w:marTop w:val="0"/>
      <w:marBottom w:val="0"/>
      <w:divBdr>
        <w:top w:val="none" w:sz="0" w:space="0" w:color="auto"/>
        <w:left w:val="none" w:sz="0" w:space="0" w:color="auto"/>
        <w:bottom w:val="none" w:sz="0" w:space="0" w:color="auto"/>
        <w:right w:val="none" w:sz="0" w:space="0" w:color="auto"/>
      </w:divBdr>
    </w:div>
    <w:div w:id="487745530">
      <w:bodyDiv w:val="1"/>
      <w:marLeft w:val="0"/>
      <w:marRight w:val="0"/>
      <w:marTop w:val="0"/>
      <w:marBottom w:val="0"/>
      <w:divBdr>
        <w:top w:val="none" w:sz="0" w:space="0" w:color="auto"/>
        <w:left w:val="none" w:sz="0" w:space="0" w:color="auto"/>
        <w:bottom w:val="none" w:sz="0" w:space="0" w:color="auto"/>
        <w:right w:val="none" w:sz="0" w:space="0" w:color="auto"/>
      </w:divBdr>
    </w:div>
    <w:div w:id="494617010">
      <w:bodyDiv w:val="1"/>
      <w:marLeft w:val="0"/>
      <w:marRight w:val="0"/>
      <w:marTop w:val="0"/>
      <w:marBottom w:val="0"/>
      <w:divBdr>
        <w:top w:val="none" w:sz="0" w:space="0" w:color="auto"/>
        <w:left w:val="none" w:sz="0" w:space="0" w:color="auto"/>
        <w:bottom w:val="none" w:sz="0" w:space="0" w:color="auto"/>
        <w:right w:val="none" w:sz="0" w:space="0" w:color="auto"/>
      </w:divBdr>
    </w:div>
    <w:div w:id="495920087">
      <w:bodyDiv w:val="1"/>
      <w:marLeft w:val="0"/>
      <w:marRight w:val="0"/>
      <w:marTop w:val="0"/>
      <w:marBottom w:val="0"/>
      <w:divBdr>
        <w:top w:val="none" w:sz="0" w:space="0" w:color="auto"/>
        <w:left w:val="none" w:sz="0" w:space="0" w:color="auto"/>
        <w:bottom w:val="none" w:sz="0" w:space="0" w:color="auto"/>
        <w:right w:val="none" w:sz="0" w:space="0" w:color="auto"/>
      </w:divBdr>
    </w:div>
    <w:div w:id="506140344">
      <w:bodyDiv w:val="1"/>
      <w:marLeft w:val="0"/>
      <w:marRight w:val="0"/>
      <w:marTop w:val="0"/>
      <w:marBottom w:val="0"/>
      <w:divBdr>
        <w:top w:val="none" w:sz="0" w:space="0" w:color="auto"/>
        <w:left w:val="none" w:sz="0" w:space="0" w:color="auto"/>
        <w:bottom w:val="none" w:sz="0" w:space="0" w:color="auto"/>
        <w:right w:val="none" w:sz="0" w:space="0" w:color="auto"/>
      </w:divBdr>
    </w:div>
    <w:div w:id="515846950">
      <w:bodyDiv w:val="1"/>
      <w:marLeft w:val="0"/>
      <w:marRight w:val="0"/>
      <w:marTop w:val="0"/>
      <w:marBottom w:val="0"/>
      <w:divBdr>
        <w:top w:val="none" w:sz="0" w:space="0" w:color="auto"/>
        <w:left w:val="none" w:sz="0" w:space="0" w:color="auto"/>
        <w:bottom w:val="none" w:sz="0" w:space="0" w:color="auto"/>
        <w:right w:val="none" w:sz="0" w:space="0" w:color="auto"/>
      </w:divBdr>
    </w:div>
    <w:div w:id="519858479">
      <w:bodyDiv w:val="1"/>
      <w:marLeft w:val="0"/>
      <w:marRight w:val="0"/>
      <w:marTop w:val="0"/>
      <w:marBottom w:val="0"/>
      <w:divBdr>
        <w:top w:val="none" w:sz="0" w:space="0" w:color="auto"/>
        <w:left w:val="none" w:sz="0" w:space="0" w:color="auto"/>
        <w:bottom w:val="none" w:sz="0" w:space="0" w:color="auto"/>
        <w:right w:val="none" w:sz="0" w:space="0" w:color="auto"/>
      </w:divBdr>
    </w:div>
    <w:div w:id="527573192">
      <w:bodyDiv w:val="1"/>
      <w:marLeft w:val="0"/>
      <w:marRight w:val="0"/>
      <w:marTop w:val="0"/>
      <w:marBottom w:val="0"/>
      <w:divBdr>
        <w:top w:val="none" w:sz="0" w:space="0" w:color="auto"/>
        <w:left w:val="none" w:sz="0" w:space="0" w:color="auto"/>
        <w:bottom w:val="none" w:sz="0" w:space="0" w:color="auto"/>
        <w:right w:val="none" w:sz="0" w:space="0" w:color="auto"/>
      </w:divBdr>
    </w:div>
    <w:div w:id="550044940">
      <w:bodyDiv w:val="1"/>
      <w:marLeft w:val="0"/>
      <w:marRight w:val="0"/>
      <w:marTop w:val="0"/>
      <w:marBottom w:val="0"/>
      <w:divBdr>
        <w:top w:val="none" w:sz="0" w:space="0" w:color="auto"/>
        <w:left w:val="none" w:sz="0" w:space="0" w:color="auto"/>
        <w:bottom w:val="none" w:sz="0" w:space="0" w:color="auto"/>
        <w:right w:val="none" w:sz="0" w:space="0" w:color="auto"/>
      </w:divBdr>
    </w:div>
    <w:div w:id="550926703">
      <w:bodyDiv w:val="1"/>
      <w:marLeft w:val="0"/>
      <w:marRight w:val="0"/>
      <w:marTop w:val="0"/>
      <w:marBottom w:val="0"/>
      <w:divBdr>
        <w:top w:val="none" w:sz="0" w:space="0" w:color="auto"/>
        <w:left w:val="none" w:sz="0" w:space="0" w:color="auto"/>
        <w:bottom w:val="none" w:sz="0" w:space="0" w:color="auto"/>
        <w:right w:val="none" w:sz="0" w:space="0" w:color="auto"/>
      </w:divBdr>
    </w:div>
    <w:div w:id="551426343">
      <w:bodyDiv w:val="1"/>
      <w:marLeft w:val="0"/>
      <w:marRight w:val="0"/>
      <w:marTop w:val="0"/>
      <w:marBottom w:val="0"/>
      <w:divBdr>
        <w:top w:val="none" w:sz="0" w:space="0" w:color="auto"/>
        <w:left w:val="none" w:sz="0" w:space="0" w:color="auto"/>
        <w:bottom w:val="none" w:sz="0" w:space="0" w:color="auto"/>
        <w:right w:val="none" w:sz="0" w:space="0" w:color="auto"/>
      </w:divBdr>
    </w:div>
    <w:div w:id="551843907">
      <w:bodyDiv w:val="1"/>
      <w:marLeft w:val="0"/>
      <w:marRight w:val="0"/>
      <w:marTop w:val="0"/>
      <w:marBottom w:val="0"/>
      <w:divBdr>
        <w:top w:val="none" w:sz="0" w:space="0" w:color="auto"/>
        <w:left w:val="none" w:sz="0" w:space="0" w:color="auto"/>
        <w:bottom w:val="none" w:sz="0" w:space="0" w:color="auto"/>
        <w:right w:val="none" w:sz="0" w:space="0" w:color="auto"/>
      </w:divBdr>
    </w:div>
    <w:div w:id="557328924">
      <w:bodyDiv w:val="1"/>
      <w:marLeft w:val="0"/>
      <w:marRight w:val="0"/>
      <w:marTop w:val="0"/>
      <w:marBottom w:val="0"/>
      <w:divBdr>
        <w:top w:val="none" w:sz="0" w:space="0" w:color="auto"/>
        <w:left w:val="none" w:sz="0" w:space="0" w:color="auto"/>
        <w:bottom w:val="none" w:sz="0" w:space="0" w:color="auto"/>
        <w:right w:val="none" w:sz="0" w:space="0" w:color="auto"/>
      </w:divBdr>
    </w:div>
    <w:div w:id="560750652">
      <w:bodyDiv w:val="1"/>
      <w:marLeft w:val="0"/>
      <w:marRight w:val="0"/>
      <w:marTop w:val="0"/>
      <w:marBottom w:val="0"/>
      <w:divBdr>
        <w:top w:val="none" w:sz="0" w:space="0" w:color="auto"/>
        <w:left w:val="none" w:sz="0" w:space="0" w:color="auto"/>
        <w:bottom w:val="none" w:sz="0" w:space="0" w:color="auto"/>
        <w:right w:val="none" w:sz="0" w:space="0" w:color="auto"/>
      </w:divBdr>
    </w:div>
    <w:div w:id="563377694">
      <w:bodyDiv w:val="1"/>
      <w:marLeft w:val="0"/>
      <w:marRight w:val="0"/>
      <w:marTop w:val="0"/>
      <w:marBottom w:val="0"/>
      <w:divBdr>
        <w:top w:val="none" w:sz="0" w:space="0" w:color="auto"/>
        <w:left w:val="none" w:sz="0" w:space="0" w:color="auto"/>
        <w:bottom w:val="none" w:sz="0" w:space="0" w:color="auto"/>
        <w:right w:val="none" w:sz="0" w:space="0" w:color="auto"/>
      </w:divBdr>
      <w:divsChild>
        <w:div w:id="370111880">
          <w:marLeft w:val="0"/>
          <w:marRight w:val="0"/>
          <w:marTop w:val="0"/>
          <w:marBottom w:val="0"/>
          <w:divBdr>
            <w:top w:val="none" w:sz="0" w:space="0" w:color="auto"/>
            <w:left w:val="none" w:sz="0" w:space="0" w:color="auto"/>
            <w:bottom w:val="none" w:sz="0" w:space="0" w:color="auto"/>
            <w:right w:val="none" w:sz="0" w:space="0" w:color="auto"/>
          </w:divBdr>
        </w:div>
        <w:div w:id="540165578">
          <w:marLeft w:val="0"/>
          <w:marRight w:val="0"/>
          <w:marTop w:val="0"/>
          <w:marBottom w:val="0"/>
          <w:divBdr>
            <w:top w:val="none" w:sz="0" w:space="0" w:color="auto"/>
            <w:left w:val="none" w:sz="0" w:space="0" w:color="auto"/>
            <w:bottom w:val="none" w:sz="0" w:space="0" w:color="auto"/>
            <w:right w:val="none" w:sz="0" w:space="0" w:color="auto"/>
          </w:divBdr>
        </w:div>
        <w:div w:id="740447529">
          <w:marLeft w:val="0"/>
          <w:marRight w:val="0"/>
          <w:marTop w:val="0"/>
          <w:marBottom w:val="0"/>
          <w:divBdr>
            <w:top w:val="none" w:sz="0" w:space="0" w:color="auto"/>
            <w:left w:val="none" w:sz="0" w:space="0" w:color="auto"/>
            <w:bottom w:val="none" w:sz="0" w:space="0" w:color="auto"/>
            <w:right w:val="none" w:sz="0" w:space="0" w:color="auto"/>
          </w:divBdr>
        </w:div>
        <w:div w:id="1323007553">
          <w:marLeft w:val="0"/>
          <w:marRight w:val="0"/>
          <w:marTop w:val="0"/>
          <w:marBottom w:val="0"/>
          <w:divBdr>
            <w:top w:val="none" w:sz="0" w:space="0" w:color="auto"/>
            <w:left w:val="none" w:sz="0" w:space="0" w:color="auto"/>
            <w:bottom w:val="none" w:sz="0" w:space="0" w:color="auto"/>
            <w:right w:val="none" w:sz="0" w:space="0" w:color="auto"/>
          </w:divBdr>
        </w:div>
        <w:div w:id="1755741698">
          <w:marLeft w:val="0"/>
          <w:marRight w:val="0"/>
          <w:marTop w:val="0"/>
          <w:marBottom w:val="0"/>
          <w:divBdr>
            <w:top w:val="none" w:sz="0" w:space="0" w:color="auto"/>
            <w:left w:val="none" w:sz="0" w:space="0" w:color="auto"/>
            <w:bottom w:val="none" w:sz="0" w:space="0" w:color="auto"/>
            <w:right w:val="none" w:sz="0" w:space="0" w:color="auto"/>
          </w:divBdr>
        </w:div>
        <w:div w:id="1855725401">
          <w:marLeft w:val="0"/>
          <w:marRight w:val="0"/>
          <w:marTop w:val="0"/>
          <w:marBottom w:val="0"/>
          <w:divBdr>
            <w:top w:val="none" w:sz="0" w:space="0" w:color="auto"/>
            <w:left w:val="none" w:sz="0" w:space="0" w:color="auto"/>
            <w:bottom w:val="none" w:sz="0" w:space="0" w:color="auto"/>
            <w:right w:val="none" w:sz="0" w:space="0" w:color="auto"/>
          </w:divBdr>
        </w:div>
        <w:div w:id="2037267496">
          <w:marLeft w:val="0"/>
          <w:marRight w:val="0"/>
          <w:marTop w:val="0"/>
          <w:marBottom w:val="0"/>
          <w:divBdr>
            <w:top w:val="none" w:sz="0" w:space="0" w:color="auto"/>
            <w:left w:val="none" w:sz="0" w:space="0" w:color="auto"/>
            <w:bottom w:val="none" w:sz="0" w:space="0" w:color="auto"/>
            <w:right w:val="none" w:sz="0" w:space="0" w:color="auto"/>
          </w:divBdr>
        </w:div>
      </w:divsChild>
    </w:div>
    <w:div w:id="584723555">
      <w:bodyDiv w:val="1"/>
      <w:marLeft w:val="0"/>
      <w:marRight w:val="0"/>
      <w:marTop w:val="0"/>
      <w:marBottom w:val="0"/>
      <w:divBdr>
        <w:top w:val="none" w:sz="0" w:space="0" w:color="auto"/>
        <w:left w:val="none" w:sz="0" w:space="0" w:color="auto"/>
        <w:bottom w:val="none" w:sz="0" w:space="0" w:color="auto"/>
        <w:right w:val="none" w:sz="0" w:space="0" w:color="auto"/>
      </w:divBdr>
    </w:div>
    <w:div w:id="599334236">
      <w:bodyDiv w:val="1"/>
      <w:marLeft w:val="0"/>
      <w:marRight w:val="0"/>
      <w:marTop w:val="0"/>
      <w:marBottom w:val="0"/>
      <w:divBdr>
        <w:top w:val="none" w:sz="0" w:space="0" w:color="auto"/>
        <w:left w:val="none" w:sz="0" w:space="0" w:color="auto"/>
        <w:bottom w:val="none" w:sz="0" w:space="0" w:color="auto"/>
        <w:right w:val="none" w:sz="0" w:space="0" w:color="auto"/>
      </w:divBdr>
    </w:div>
    <w:div w:id="605774850">
      <w:bodyDiv w:val="1"/>
      <w:marLeft w:val="0"/>
      <w:marRight w:val="0"/>
      <w:marTop w:val="0"/>
      <w:marBottom w:val="0"/>
      <w:divBdr>
        <w:top w:val="none" w:sz="0" w:space="0" w:color="auto"/>
        <w:left w:val="none" w:sz="0" w:space="0" w:color="auto"/>
        <w:bottom w:val="none" w:sz="0" w:space="0" w:color="auto"/>
        <w:right w:val="none" w:sz="0" w:space="0" w:color="auto"/>
      </w:divBdr>
    </w:div>
    <w:div w:id="608853628">
      <w:bodyDiv w:val="1"/>
      <w:marLeft w:val="0"/>
      <w:marRight w:val="0"/>
      <w:marTop w:val="0"/>
      <w:marBottom w:val="0"/>
      <w:divBdr>
        <w:top w:val="none" w:sz="0" w:space="0" w:color="auto"/>
        <w:left w:val="none" w:sz="0" w:space="0" w:color="auto"/>
        <w:bottom w:val="none" w:sz="0" w:space="0" w:color="auto"/>
        <w:right w:val="none" w:sz="0" w:space="0" w:color="auto"/>
      </w:divBdr>
    </w:div>
    <w:div w:id="609748775">
      <w:bodyDiv w:val="1"/>
      <w:marLeft w:val="0"/>
      <w:marRight w:val="0"/>
      <w:marTop w:val="0"/>
      <w:marBottom w:val="0"/>
      <w:divBdr>
        <w:top w:val="none" w:sz="0" w:space="0" w:color="auto"/>
        <w:left w:val="none" w:sz="0" w:space="0" w:color="auto"/>
        <w:bottom w:val="none" w:sz="0" w:space="0" w:color="auto"/>
        <w:right w:val="none" w:sz="0" w:space="0" w:color="auto"/>
      </w:divBdr>
    </w:div>
    <w:div w:id="610016457">
      <w:bodyDiv w:val="1"/>
      <w:marLeft w:val="0"/>
      <w:marRight w:val="0"/>
      <w:marTop w:val="0"/>
      <w:marBottom w:val="0"/>
      <w:divBdr>
        <w:top w:val="none" w:sz="0" w:space="0" w:color="auto"/>
        <w:left w:val="none" w:sz="0" w:space="0" w:color="auto"/>
        <w:bottom w:val="none" w:sz="0" w:space="0" w:color="auto"/>
        <w:right w:val="none" w:sz="0" w:space="0" w:color="auto"/>
      </w:divBdr>
    </w:div>
    <w:div w:id="610943624">
      <w:bodyDiv w:val="1"/>
      <w:marLeft w:val="0"/>
      <w:marRight w:val="0"/>
      <w:marTop w:val="0"/>
      <w:marBottom w:val="0"/>
      <w:divBdr>
        <w:top w:val="none" w:sz="0" w:space="0" w:color="auto"/>
        <w:left w:val="none" w:sz="0" w:space="0" w:color="auto"/>
        <w:bottom w:val="none" w:sz="0" w:space="0" w:color="auto"/>
        <w:right w:val="none" w:sz="0" w:space="0" w:color="auto"/>
      </w:divBdr>
    </w:div>
    <w:div w:id="612176619">
      <w:bodyDiv w:val="1"/>
      <w:marLeft w:val="0"/>
      <w:marRight w:val="0"/>
      <w:marTop w:val="0"/>
      <w:marBottom w:val="0"/>
      <w:divBdr>
        <w:top w:val="none" w:sz="0" w:space="0" w:color="auto"/>
        <w:left w:val="none" w:sz="0" w:space="0" w:color="auto"/>
        <w:bottom w:val="none" w:sz="0" w:space="0" w:color="auto"/>
        <w:right w:val="none" w:sz="0" w:space="0" w:color="auto"/>
      </w:divBdr>
    </w:div>
    <w:div w:id="612631422">
      <w:bodyDiv w:val="1"/>
      <w:marLeft w:val="0"/>
      <w:marRight w:val="0"/>
      <w:marTop w:val="0"/>
      <w:marBottom w:val="0"/>
      <w:divBdr>
        <w:top w:val="none" w:sz="0" w:space="0" w:color="auto"/>
        <w:left w:val="none" w:sz="0" w:space="0" w:color="auto"/>
        <w:bottom w:val="none" w:sz="0" w:space="0" w:color="auto"/>
        <w:right w:val="none" w:sz="0" w:space="0" w:color="auto"/>
      </w:divBdr>
    </w:div>
    <w:div w:id="623384474">
      <w:bodyDiv w:val="1"/>
      <w:marLeft w:val="0"/>
      <w:marRight w:val="0"/>
      <w:marTop w:val="0"/>
      <w:marBottom w:val="0"/>
      <w:divBdr>
        <w:top w:val="none" w:sz="0" w:space="0" w:color="auto"/>
        <w:left w:val="none" w:sz="0" w:space="0" w:color="auto"/>
        <w:bottom w:val="none" w:sz="0" w:space="0" w:color="auto"/>
        <w:right w:val="none" w:sz="0" w:space="0" w:color="auto"/>
      </w:divBdr>
    </w:div>
    <w:div w:id="624896884">
      <w:bodyDiv w:val="1"/>
      <w:marLeft w:val="0"/>
      <w:marRight w:val="0"/>
      <w:marTop w:val="0"/>
      <w:marBottom w:val="0"/>
      <w:divBdr>
        <w:top w:val="none" w:sz="0" w:space="0" w:color="auto"/>
        <w:left w:val="none" w:sz="0" w:space="0" w:color="auto"/>
        <w:bottom w:val="none" w:sz="0" w:space="0" w:color="auto"/>
        <w:right w:val="none" w:sz="0" w:space="0" w:color="auto"/>
      </w:divBdr>
    </w:div>
    <w:div w:id="630788875">
      <w:bodyDiv w:val="1"/>
      <w:marLeft w:val="0"/>
      <w:marRight w:val="0"/>
      <w:marTop w:val="0"/>
      <w:marBottom w:val="0"/>
      <w:divBdr>
        <w:top w:val="none" w:sz="0" w:space="0" w:color="auto"/>
        <w:left w:val="none" w:sz="0" w:space="0" w:color="auto"/>
        <w:bottom w:val="none" w:sz="0" w:space="0" w:color="auto"/>
        <w:right w:val="none" w:sz="0" w:space="0" w:color="auto"/>
      </w:divBdr>
    </w:div>
    <w:div w:id="634651211">
      <w:bodyDiv w:val="1"/>
      <w:marLeft w:val="0"/>
      <w:marRight w:val="0"/>
      <w:marTop w:val="0"/>
      <w:marBottom w:val="0"/>
      <w:divBdr>
        <w:top w:val="none" w:sz="0" w:space="0" w:color="auto"/>
        <w:left w:val="none" w:sz="0" w:space="0" w:color="auto"/>
        <w:bottom w:val="none" w:sz="0" w:space="0" w:color="auto"/>
        <w:right w:val="none" w:sz="0" w:space="0" w:color="auto"/>
      </w:divBdr>
    </w:div>
    <w:div w:id="638803200">
      <w:bodyDiv w:val="1"/>
      <w:marLeft w:val="0"/>
      <w:marRight w:val="0"/>
      <w:marTop w:val="0"/>
      <w:marBottom w:val="0"/>
      <w:divBdr>
        <w:top w:val="none" w:sz="0" w:space="0" w:color="auto"/>
        <w:left w:val="none" w:sz="0" w:space="0" w:color="auto"/>
        <w:bottom w:val="none" w:sz="0" w:space="0" w:color="auto"/>
        <w:right w:val="none" w:sz="0" w:space="0" w:color="auto"/>
      </w:divBdr>
    </w:div>
    <w:div w:id="640382776">
      <w:bodyDiv w:val="1"/>
      <w:marLeft w:val="0"/>
      <w:marRight w:val="0"/>
      <w:marTop w:val="0"/>
      <w:marBottom w:val="0"/>
      <w:divBdr>
        <w:top w:val="none" w:sz="0" w:space="0" w:color="auto"/>
        <w:left w:val="none" w:sz="0" w:space="0" w:color="auto"/>
        <w:bottom w:val="none" w:sz="0" w:space="0" w:color="auto"/>
        <w:right w:val="none" w:sz="0" w:space="0" w:color="auto"/>
      </w:divBdr>
    </w:div>
    <w:div w:id="642779870">
      <w:bodyDiv w:val="1"/>
      <w:marLeft w:val="0"/>
      <w:marRight w:val="0"/>
      <w:marTop w:val="0"/>
      <w:marBottom w:val="0"/>
      <w:divBdr>
        <w:top w:val="none" w:sz="0" w:space="0" w:color="auto"/>
        <w:left w:val="none" w:sz="0" w:space="0" w:color="auto"/>
        <w:bottom w:val="none" w:sz="0" w:space="0" w:color="auto"/>
        <w:right w:val="none" w:sz="0" w:space="0" w:color="auto"/>
      </w:divBdr>
    </w:div>
    <w:div w:id="643588917">
      <w:bodyDiv w:val="1"/>
      <w:marLeft w:val="0"/>
      <w:marRight w:val="0"/>
      <w:marTop w:val="0"/>
      <w:marBottom w:val="0"/>
      <w:divBdr>
        <w:top w:val="none" w:sz="0" w:space="0" w:color="auto"/>
        <w:left w:val="none" w:sz="0" w:space="0" w:color="auto"/>
        <w:bottom w:val="none" w:sz="0" w:space="0" w:color="auto"/>
        <w:right w:val="none" w:sz="0" w:space="0" w:color="auto"/>
      </w:divBdr>
    </w:div>
    <w:div w:id="645204689">
      <w:bodyDiv w:val="1"/>
      <w:marLeft w:val="0"/>
      <w:marRight w:val="0"/>
      <w:marTop w:val="0"/>
      <w:marBottom w:val="0"/>
      <w:divBdr>
        <w:top w:val="none" w:sz="0" w:space="0" w:color="auto"/>
        <w:left w:val="none" w:sz="0" w:space="0" w:color="auto"/>
        <w:bottom w:val="none" w:sz="0" w:space="0" w:color="auto"/>
        <w:right w:val="none" w:sz="0" w:space="0" w:color="auto"/>
      </w:divBdr>
    </w:div>
    <w:div w:id="648093882">
      <w:bodyDiv w:val="1"/>
      <w:marLeft w:val="0"/>
      <w:marRight w:val="0"/>
      <w:marTop w:val="0"/>
      <w:marBottom w:val="0"/>
      <w:divBdr>
        <w:top w:val="none" w:sz="0" w:space="0" w:color="auto"/>
        <w:left w:val="none" w:sz="0" w:space="0" w:color="auto"/>
        <w:bottom w:val="none" w:sz="0" w:space="0" w:color="auto"/>
        <w:right w:val="none" w:sz="0" w:space="0" w:color="auto"/>
      </w:divBdr>
    </w:div>
    <w:div w:id="654995238">
      <w:bodyDiv w:val="1"/>
      <w:marLeft w:val="0"/>
      <w:marRight w:val="0"/>
      <w:marTop w:val="0"/>
      <w:marBottom w:val="0"/>
      <w:divBdr>
        <w:top w:val="none" w:sz="0" w:space="0" w:color="auto"/>
        <w:left w:val="none" w:sz="0" w:space="0" w:color="auto"/>
        <w:bottom w:val="none" w:sz="0" w:space="0" w:color="auto"/>
        <w:right w:val="none" w:sz="0" w:space="0" w:color="auto"/>
      </w:divBdr>
    </w:div>
    <w:div w:id="655840975">
      <w:bodyDiv w:val="1"/>
      <w:marLeft w:val="0"/>
      <w:marRight w:val="0"/>
      <w:marTop w:val="0"/>
      <w:marBottom w:val="0"/>
      <w:divBdr>
        <w:top w:val="none" w:sz="0" w:space="0" w:color="auto"/>
        <w:left w:val="none" w:sz="0" w:space="0" w:color="auto"/>
        <w:bottom w:val="none" w:sz="0" w:space="0" w:color="auto"/>
        <w:right w:val="none" w:sz="0" w:space="0" w:color="auto"/>
      </w:divBdr>
    </w:div>
    <w:div w:id="660043873">
      <w:bodyDiv w:val="1"/>
      <w:marLeft w:val="0"/>
      <w:marRight w:val="0"/>
      <w:marTop w:val="0"/>
      <w:marBottom w:val="0"/>
      <w:divBdr>
        <w:top w:val="none" w:sz="0" w:space="0" w:color="auto"/>
        <w:left w:val="none" w:sz="0" w:space="0" w:color="auto"/>
        <w:bottom w:val="none" w:sz="0" w:space="0" w:color="auto"/>
        <w:right w:val="none" w:sz="0" w:space="0" w:color="auto"/>
      </w:divBdr>
    </w:div>
    <w:div w:id="663119587">
      <w:bodyDiv w:val="1"/>
      <w:marLeft w:val="0"/>
      <w:marRight w:val="0"/>
      <w:marTop w:val="0"/>
      <w:marBottom w:val="0"/>
      <w:divBdr>
        <w:top w:val="none" w:sz="0" w:space="0" w:color="auto"/>
        <w:left w:val="none" w:sz="0" w:space="0" w:color="auto"/>
        <w:bottom w:val="none" w:sz="0" w:space="0" w:color="auto"/>
        <w:right w:val="none" w:sz="0" w:space="0" w:color="auto"/>
      </w:divBdr>
    </w:div>
    <w:div w:id="663748672">
      <w:bodyDiv w:val="1"/>
      <w:marLeft w:val="0"/>
      <w:marRight w:val="0"/>
      <w:marTop w:val="0"/>
      <w:marBottom w:val="0"/>
      <w:divBdr>
        <w:top w:val="none" w:sz="0" w:space="0" w:color="auto"/>
        <w:left w:val="none" w:sz="0" w:space="0" w:color="auto"/>
        <w:bottom w:val="none" w:sz="0" w:space="0" w:color="auto"/>
        <w:right w:val="none" w:sz="0" w:space="0" w:color="auto"/>
      </w:divBdr>
    </w:div>
    <w:div w:id="671227859">
      <w:bodyDiv w:val="1"/>
      <w:marLeft w:val="0"/>
      <w:marRight w:val="0"/>
      <w:marTop w:val="0"/>
      <w:marBottom w:val="0"/>
      <w:divBdr>
        <w:top w:val="none" w:sz="0" w:space="0" w:color="auto"/>
        <w:left w:val="none" w:sz="0" w:space="0" w:color="auto"/>
        <w:bottom w:val="none" w:sz="0" w:space="0" w:color="auto"/>
        <w:right w:val="none" w:sz="0" w:space="0" w:color="auto"/>
      </w:divBdr>
    </w:div>
    <w:div w:id="689377463">
      <w:bodyDiv w:val="1"/>
      <w:marLeft w:val="0"/>
      <w:marRight w:val="0"/>
      <w:marTop w:val="0"/>
      <w:marBottom w:val="0"/>
      <w:divBdr>
        <w:top w:val="none" w:sz="0" w:space="0" w:color="auto"/>
        <w:left w:val="none" w:sz="0" w:space="0" w:color="auto"/>
        <w:bottom w:val="none" w:sz="0" w:space="0" w:color="auto"/>
        <w:right w:val="none" w:sz="0" w:space="0" w:color="auto"/>
      </w:divBdr>
    </w:div>
    <w:div w:id="702754275">
      <w:bodyDiv w:val="1"/>
      <w:marLeft w:val="0"/>
      <w:marRight w:val="0"/>
      <w:marTop w:val="0"/>
      <w:marBottom w:val="0"/>
      <w:divBdr>
        <w:top w:val="none" w:sz="0" w:space="0" w:color="auto"/>
        <w:left w:val="none" w:sz="0" w:space="0" w:color="auto"/>
        <w:bottom w:val="none" w:sz="0" w:space="0" w:color="auto"/>
        <w:right w:val="none" w:sz="0" w:space="0" w:color="auto"/>
      </w:divBdr>
    </w:div>
    <w:div w:id="707291678">
      <w:bodyDiv w:val="1"/>
      <w:marLeft w:val="0"/>
      <w:marRight w:val="0"/>
      <w:marTop w:val="0"/>
      <w:marBottom w:val="0"/>
      <w:divBdr>
        <w:top w:val="none" w:sz="0" w:space="0" w:color="auto"/>
        <w:left w:val="none" w:sz="0" w:space="0" w:color="auto"/>
        <w:bottom w:val="none" w:sz="0" w:space="0" w:color="auto"/>
        <w:right w:val="none" w:sz="0" w:space="0" w:color="auto"/>
      </w:divBdr>
    </w:div>
    <w:div w:id="714083575">
      <w:bodyDiv w:val="1"/>
      <w:marLeft w:val="0"/>
      <w:marRight w:val="0"/>
      <w:marTop w:val="0"/>
      <w:marBottom w:val="0"/>
      <w:divBdr>
        <w:top w:val="none" w:sz="0" w:space="0" w:color="auto"/>
        <w:left w:val="none" w:sz="0" w:space="0" w:color="auto"/>
        <w:bottom w:val="none" w:sz="0" w:space="0" w:color="auto"/>
        <w:right w:val="none" w:sz="0" w:space="0" w:color="auto"/>
      </w:divBdr>
    </w:div>
    <w:div w:id="719523001">
      <w:bodyDiv w:val="1"/>
      <w:marLeft w:val="0"/>
      <w:marRight w:val="0"/>
      <w:marTop w:val="0"/>
      <w:marBottom w:val="0"/>
      <w:divBdr>
        <w:top w:val="none" w:sz="0" w:space="0" w:color="auto"/>
        <w:left w:val="none" w:sz="0" w:space="0" w:color="auto"/>
        <w:bottom w:val="none" w:sz="0" w:space="0" w:color="auto"/>
        <w:right w:val="none" w:sz="0" w:space="0" w:color="auto"/>
      </w:divBdr>
    </w:div>
    <w:div w:id="727649231">
      <w:bodyDiv w:val="1"/>
      <w:marLeft w:val="0"/>
      <w:marRight w:val="0"/>
      <w:marTop w:val="0"/>
      <w:marBottom w:val="0"/>
      <w:divBdr>
        <w:top w:val="none" w:sz="0" w:space="0" w:color="auto"/>
        <w:left w:val="none" w:sz="0" w:space="0" w:color="auto"/>
        <w:bottom w:val="none" w:sz="0" w:space="0" w:color="auto"/>
        <w:right w:val="none" w:sz="0" w:space="0" w:color="auto"/>
      </w:divBdr>
    </w:div>
    <w:div w:id="732311501">
      <w:bodyDiv w:val="1"/>
      <w:marLeft w:val="0"/>
      <w:marRight w:val="0"/>
      <w:marTop w:val="0"/>
      <w:marBottom w:val="0"/>
      <w:divBdr>
        <w:top w:val="none" w:sz="0" w:space="0" w:color="auto"/>
        <w:left w:val="none" w:sz="0" w:space="0" w:color="auto"/>
        <w:bottom w:val="none" w:sz="0" w:space="0" w:color="auto"/>
        <w:right w:val="none" w:sz="0" w:space="0" w:color="auto"/>
      </w:divBdr>
    </w:div>
    <w:div w:id="738402945">
      <w:bodyDiv w:val="1"/>
      <w:marLeft w:val="0"/>
      <w:marRight w:val="0"/>
      <w:marTop w:val="0"/>
      <w:marBottom w:val="0"/>
      <w:divBdr>
        <w:top w:val="none" w:sz="0" w:space="0" w:color="auto"/>
        <w:left w:val="none" w:sz="0" w:space="0" w:color="auto"/>
        <w:bottom w:val="none" w:sz="0" w:space="0" w:color="auto"/>
        <w:right w:val="none" w:sz="0" w:space="0" w:color="auto"/>
      </w:divBdr>
    </w:div>
    <w:div w:id="739065041">
      <w:bodyDiv w:val="1"/>
      <w:marLeft w:val="0"/>
      <w:marRight w:val="0"/>
      <w:marTop w:val="0"/>
      <w:marBottom w:val="0"/>
      <w:divBdr>
        <w:top w:val="none" w:sz="0" w:space="0" w:color="auto"/>
        <w:left w:val="none" w:sz="0" w:space="0" w:color="auto"/>
        <w:bottom w:val="none" w:sz="0" w:space="0" w:color="auto"/>
        <w:right w:val="none" w:sz="0" w:space="0" w:color="auto"/>
      </w:divBdr>
    </w:div>
    <w:div w:id="740785598">
      <w:bodyDiv w:val="1"/>
      <w:marLeft w:val="0"/>
      <w:marRight w:val="0"/>
      <w:marTop w:val="0"/>
      <w:marBottom w:val="0"/>
      <w:divBdr>
        <w:top w:val="none" w:sz="0" w:space="0" w:color="auto"/>
        <w:left w:val="none" w:sz="0" w:space="0" w:color="auto"/>
        <w:bottom w:val="none" w:sz="0" w:space="0" w:color="auto"/>
        <w:right w:val="none" w:sz="0" w:space="0" w:color="auto"/>
      </w:divBdr>
    </w:div>
    <w:div w:id="752356140">
      <w:bodyDiv w:val="1"/>
      <w:marLeft w:val="0"/>
      <w:marRight w:val="0"/>
      <w:marTop w:val="0"/>
      <w:marBottom w:val="0"/>
      <w:divBdr>
        <w:top w:val="none" w:sz="0" w:space="0" w:color="auto"/>
        <w:left w:val="none" w:sz="0" w:space="0" w:color="auto"/>
        <w:bottom w:val="none" w:sz="0" w:space="0" w:color="auto"/>
        <w:right w:val="none" w:sz="0" w:space="0" w:color="auto"/>
      </w:divBdr>
    </w:div>
    <w:div w:id="752823579">
      <w:bodyDiv w:val="1"/>
      <w:marLeft w:val="0"/>
      <w:marRight w:val="0"/>
      <w:marTop w:val="0"/>
      <w:marBottom w:val="0"/>
      <w:divBdr>
        <w:top w:val="none" w:sz="0" w:space="0" w:color="auto"/>
        <w:left w:val="none" w:sz="0" w:space="0" w:color="auto"/>
        <w:bottom w:val="none" w:sz="0" w:space="0" w:color="auto"/>
        <w:right w:val="none" w:sz="0" w:space="0" w:color="auto"/>
      </w:divBdr>
    </w:div>
    <w:div w:id="756829540">
      <w:bodyDiv w:val="1"/>
      <w:marLeft w:val="0"/>
      <w:marRight w:val="0"/>
      <w:marTop w:val="0"/>
      <w:marBottom w:val="0"/>
      <w:divBdr>
        <w:top w:val="none" w:sz="0" w:space="0" w:color="auto"/>
        <w:left w:val="none" w:sz="0" w:space="0" w:color="auto"/>
        <w:bottom w:val="none" w:sz="0" w:space="0" w:color="auto"/>
        <w:right w:val="none" w:sz="0" w:space="0" w:color="auto"/>
      </w:divBdr>
    </w:div>
    <w:div w:id="758140669">
      <w:bodyDiv w:val="1"/>
      <w:marLeft w:val="0"/>
      <w:marRight w:val="0"/>
      <w:marTop w:val="0"/>
      <w:marBottom w:val="0"/>
      <w:divBdr>
        <w:top w:val="none" w:sz="0" w:space="0" w:color="auto"/>
        <w:left w:val="none" w:sz="0" w:space="0" w:color="auto"/>
        <w:bottom w:val="none" w:sz="0" w:space="0" w:color="auto"/>
        <w:right w:val="none" w:sz="0" w:space="0" w:color="auto"/>
      </w:divBdr>
    </w:div>
    <w:div w:id="760687373">
      <w:bodyDiv w:val="1"/>
      <w:marLeft w:val="0"/>
      <w:marRight w:val="0"/>
      <w:marTop w:val="0"/>
      <w:marBottom w:val="0"/>
      <w:divBdr>
        <w:top w:val="none" w:sz="0" w:space="0" w:color="auto"/>
        <w:left w:val="none" w:sz="0" w:space="0" w:color="auto"/>
        <w:bottom w:val="none" w:sz="0" w:space="0" w:color="auto"/>
        <w:right w:val="none" w:sz="0" w:space="0" w:color="auto"/>
      </w:divBdr>
    </w:div>
    <w:div w:id="761075047">
      <w:bodyDiv w:val="1"/>
      <w:marLeft w:val="0"/>
      <w:marRight w:val="0"/>
      <w:marTop w:val="0"/>
      <w:marBottom w:val="0"/>
      <w:divBdr>
        <w:top w:val="none" w:sz="0" w:space="0" w:color="auto"/>
        <w:left w:val="none" w:sz="0" w:space="0" w:color="auto"/>
        <w:bottom w:val="none" w:sz="0" w:space="0" w:color="auto"/>
        <w:right w:val="none" w:sz="0" w:space="0" w:color="auto"/>
      </w:divBdr>
    </w:div>
    <w:div w:id="767846170">
      <w:bodyDiv w:val="1"/>
      <w:marLeft w:val="0"/>
      <w:marRight w:val="0"/>
      <w:marTop w:val="0"/>
      <w:marBottom w:val="0"/>
      <w:divBdr>
        <w:top w:val="none" w:sz="0" w:space="0" w:color="auto"/>
        <w:left w:val="none" w:sz="0" w:space="0" w:color="auto"/>
        <w:bottom w:val="none" w:sz="0" w:space="0" w:color="auto"/>
        <w:right w:val="none" w:sz="0" w:space="0" w:color="auto"/>
      </w:divBdr>
    </w:div>
    <w:div w:id="779641519">
      <w:bodyDiv w:val="1"/>
      <w:marLeft w:val="0"/>
      <w:marRight w:val="0"/>
      <w:marTop w:val="0"/>
      <w:marBottom w:val="0"/>
      <w:divBdr>
        <w:top w:val="none" w:sz="0" w:space="0" w:color="auto"/>
        <w:left w:val="none" w:sz="0" w:space="0" w:color="auto"/>
        <w:bottom w:val="none" w:sz="0" w:space="0" w:color="auto"/>
        <w:right w:val="none" w:sz="0" w:space="0" w:color="auto"/>
      </w:divBdr>
    </w:div>
    <w:div w:id="779952068">
      <w:bodyDiv w:val="1"/>
      <w:marLeft w:val="0"/>
      <w:marRight w:val="0"/>
      <w:marTop w:val="0"/>
      <w:marBottom w:val="0"/>
      <w:divBdr>
        <w:top w:val="none" w:sz="0" w:space="0" w:color="auto"/>
        <w:left w:val="none" w:sz="0" w:space="0" w:color="auto"/>
        <w:bottom w:val="none" w:sz="0" w:space="0" w:color="auto"/>
        <w:right w:val="none" w:sz="0" w:space="0" w:color="auto"/>
      </w:divBdr>
    </w:div>
    <w:div w:id="780149105">
      <w:bodyDiv w:val="1"/>
      <w:marLeft w:val="0"/>
      <w:marRight w:val="0"/>
      <w:marTop w:val="0"/>
      <w:marBottom w:val="0"/>
      <w:divBdr>
        <w:top w:val="none" w:sz="0" w:space="0" w:color="auto"/>
        <w:left w:val="none" w:sz="0" w:space="0" w:color="auto"/>
        <w:bottom w:val="none" w:sz="0" w:space="0" w:color="auto"/>
        <w:right w:val="none" w:sz="0" w:space="0" w:color="auto"/>
      </w:divBdr>
    </w:div>
    <w:div w:id="780607661">
      <w:bodyDiv w:val="1"/>
      <w:marLeft w:val="0"/>
      <w:marRight w:val="0"/>
      <w:marTop w:val="0"/>
      <w:marBottom w:val="0"/>
      <w:divBdr>
        <w:top w:val="none" w:sz="0" w:space="0" w:color="auto"/>
        <w:left w:val="none" w:sz="0" w:space="0" w:color="auto"/>
        <w:bottom w:val="none" w:sz="0" w:space="0" w:color="auto"/>
        <w:right w:val="none" w:sz="0" w:space="0" w:color="auto"/>
      </w:divBdr>
    </w:div>
    <w:div w:id="784155113">
      <w:bodyDiv w:val="1"/>
      <w:marLeft w:val="0"/>
      <w:marRight w:val="0"/>
      <w:marTop w:val="0"/>
      <w:marBottom w:val="0"/>
      <w:divBdr>
        <w:top w:val="none" w:sz="0" w:space="0" w:color="auto"/>
        <w:left w:val="none" w:sz="0" w:space="0" w:color="auto"/>
        <w:bottom w:val="none" w:sz="0" w:space="0" w:color="auto"/>
        <w:right w:val="none" w:sz="0" w:space="0" w:color="auto"/>
      </w:divBdr>
    </w:div>
    <w:div w:id="786120255">
      <w:bodyDiv w:val="1"/>
      <w:marLeft w:val="0"/>
      <w:marRight w:val="0"/>
      <w:marTop w:val="0"/>
      <w:marBottom w:val="0"/>
      <w:divBdr>
        <w:top w:val="none" w:sz="0" w:space="0" w:color="auto"/>
        <w:left w:val="none" w:sz="0" w:space="0" w:color="auto"/>
        <w:bottom w:val="none" w:sz="0" w:space="0" w:color="auto"/>
        <w:right w:val="none" w:sz="0" w:space="0" w:color="auto"/>
      </w:divBdr>
    </w:div>
    <w:div w:id="793061767">
      <w:bodyDiv w:val="1"/>
      <w:marLeft w:val="0"/>
      <w:marRight w:val="0"/>
      <w:marTop w:val="0"/>
      <w:marBottom w:val="0"/>
      <w:divBdr>
        <w:top w:val="none" w:sz="0" w:space="0" w:color="auto"/>
        <w:left w:val="none" w:sz="0" w:space="0" w:color="auto"/>
        <w:bottom w:val="none" w:sz="0" w:space="0" w:color="auto"/>
        <w:right w:val="none" w:sz="0" w:space="0" w:color="auto"/>
      </w:divBdr>
    </w:div>
    <w:div w:id="811482301">
      <w:bodyDiv w:val="1"/>
      <w:marLeft w:val="0"/>
      <w:marRight w:val="0"/>
      <w:marTop w:val="0"/>
      <w:marBottom w:val="0"/>
      <w:divBdr>
        <w:top w:val="none" w:sz="0" w:space="0" w:color="auto"/>
        <w:left w:val="none" w:sz="0" w:space="0" w:color="auto"/>
        <w:bottom w:val="none" w:sz="0" w:space="0" w:color="auto"/>
        <w:right w:val="none" w:sz="0" w:space="0" w:color="auto"/>
      </w:divBdr>
    </w:div>
    <w:div w:id="821698556">
      <w:bodyDiv w:val="1"/>
      <w:marLeft w:val="0"/>
      <w:marRight w:val="0"/>
      <w:marTop w:val="0"/>
      <w:marBottom w:val="0"/>
      <w:divBdr>
        <w:top w:val="none" w:sz="0" w:space="0" w:color="auto"/>
        <w:left w:val="none" w:sz="0" w:space="0" w:color="auto"/>
        <w:bottom w:val="none" w:sz="0" w:space="0" w:color="auto"/>
        <w:right w:val="none" w:sz="0" w:space="0" w:color="auto"/>
      </w:divBdr>
    </w:div>
    <w:div w:id="824319925">
      <w:bodyDiv w:val="1"/>
      <w:marLeft w:val="0"/>
      <w:marRight w:val="0"/>
      <w:marTop w:val="0"/>
      <w:marBottom w:val="0"/>
      <w:divBdr>
        <w:top w:val="none" w:sz="0" w:space="0" w:color="auto"/>
        <w:left w:val="none" w:sz="0" w:space="0" w:color="auto"/>
        <w:bottom w:val="none" w:sz="0" w:space="0" w:color="auto"/>
        <w:right w:val="none" w:sz="0" w:space="0" w:color="auto"/>
      </w:divBdr>
    </w:div>
    <w:div w:id="831796111">
      <w:bodyDiv w:val="1"/>
      <w:marLeft w:val="0"/>
      <w:marRight w:val="0"/>
      <w:marTop w:val="0"/>
      <w:marBottom w:val="0"/>
      <w:divBdr>
        <w:top w:val="none" w:sz="0" w:space="0" w:color="auto"/>
        <w:left w:val="none" w:sz="0" w:space="0" w:color="auto"/>
        <w:bottom w:val="none" w:sz="0" w:space="0" w:color="auto"/>
        <w:right w:val="none" w:sz="0" w:space="0" w:color="auto"/>
      </w:divBdr>
    </w:div>
    <w:div w:id="835538828">
      <w:bodyDiv w:val="1"/>
      <w:marLeft w:val="0"/>
      <w:marRight w:val="0"/>
      <w:marTop w:val="0"/>
      <w:marBottom w:val="0"/>
      <w:divBdr>
        <w:top w:val="none" w:sz="0" w:space="0" w:color="auto"/>
        <w:left w:val="none" w:sz="0" w:space="0" w:color="auto"/>
        <w:bottom w:val="none" w:sz="0" w:space="0" w:color="auto"/>
        <w:right w:val="none" w:sz="0" w:space="0" w:color="auto"/>
      </w:divBdr>
    </w:div>
    <w:div w:id="848064068">
      <w:bodyDiv w:val="1"/>
      <w:marLeft w:val="0"/>
      <w:marRight w:val="0"/>
      <w:marTop w:val="0"/>
      <w:marBottom w:val="0"/>
      <w:divBdr>
        <w:top w:val="none" w:sz="0" w:space="0" w:color="auto"/>
        <w:left w:val="none" w:sz="0" w:space="0" w:color="auto"/>
        <w:bottom w:val="none" w:sz="0" w:space="0" w:color="auto"/>
        <w:right w:val="none" w:sz="0" w:space="0" w:color="auto"/>
      </w:divBdr>
    </w:div>
    <w:div w:id="848953890">
      <w:bodyDiv w:val="1"/>
      <w:marLeft w:val="0"/>
      <w:marRight w:val="0"/>
      <w:marTop w:val="0"/>
      <w:marBottom w:val="0"/>
      <w:divBdr>
        <w:top w:val="none" w:sz="0" w:space="0" w:color="auto"/>
        <w:left w:val="none" w:sz="0" w:space="0" w:color="auto"/>
        <w:bottom w:val="none" w:sz="0" w:space="0" w:color="auto"/>
        <w:right w:val="none" w:sz="0" w:space="0" w:color="auto"/>
      </w:divBdr>
    </w:div>
    <w:div w:id="861357887">
      <w:bodyDiv w:val="1"/>
      <w:marLeft w:val="0"/>
      <w:marRight w:val="0"/>
      <w:marTop w:val="0"/>
      <w:marBottom w:val="0"/>
      <w:divBdr>
        <w:top w:val="none" w:sz="0" w:space="0" w:color="auto"/>
        <w:left w:val="none" w:sz="0" w:space="0" w:color="auto"/>
        <w:bottom w:val="none" w:sz="0" w:space="0" w:color="auto"/>
        <w:right w:val="none" w:sz="0" w:space="0" w:color="auto"/>
      </w:divBdr>
    </w:div>
    <w:div w:id="873494169">
      <w:bodyDiv w:val="1"/>
      <w:marLeft w:val="0"/>
      <w:marRight w:val="0"/>
      <w:marTop w:val="0"/>
      <w:marBottom w:val="0"/>
      <w:divBdr>
        <w:top w:val="none" w:sz="0" w:space="0" w:color="auto"/>
        <w:left w:val="none" w:sz="0" w:space="0" w:color="auto"/>
        <w:bottom w:val="none" w:sz="0" w:space="0" w:color="auto"/>
        <w:right w:val="none" w:sz="0" w:space="0" w:color="auto"/>
      </w:divBdr>
    </w:div>
    <w:div w:id="877013554">
      <w:bodyDiv w:val="1"/>
      <w:marLeft w:val="0"/>
      <w:marRight w:val="0"/>
      <w:marTop w:val="0"/>
      <w:marBottom w:val="0"/>
      <w:divBdr>
        <w:top w:val="none" w:sz="0" w:space="0" w:color="auto"/>
        <w:left w:val="none" w:sz="0" w:space="0" w:color="auto"/>
        <w:bottom w:val="none" w:sz="0" w:space="0" w:color="auto"/>
        <w:right w:val="none" w:sz="0" w:space="0" w:color="auto"/>
      </w:divBdr>
    </w:div>
    <w:div w:id="879051557">
      <w:bodyDiv w:val="1"/>
      <w:marLeft w:val="0"/>
      <w:marRight w:val="0"/>
      <w:marTop w:val="0"/>
      <w:marBottom w:val="0"/>
      <w:divBdr>
        <w:top w:val="none" w:sz="0" w:space="0" w:color="auto"/>
        <w:left w:val="none" w:sz="0" w:space="0" w:color="auto"/>
        <w:bottom w:val="none" w:sz="0" w:space="0" w:color="auto"/>
        <w:right w:val="none" w:sz="0" w:space="0" w:color="auto"/>
      </w:divBdr>
    </w:div>
    <w:div w:id="880046767">
      <w:bodyDiv w:val="1"/>
      <w:marLeft w:val="0"/>
      <w:marRight w:val="0"/>
      <w:marTop w:val="0"/>
      <w:marBottom w:val="0"/>
      <w:divBdr>
        <w:top w:val="none" w:sz="0" w:space="0" w:color="auto"/>
        <w:left w:val="none" w:sz="0" w:space="0" w:color="auto"/>
        <w:bottom w:val="none" w:sz="0" w:space="0" w:color="auto"/>
        <w:right w:val="none" w:sz="0" w:space="0" w:color="auto"/>
      </w:divBdr>
    </w:div>
    <w:div w:id="888153379">
      <w:bodyDiv w:val="1"/>
      <w:marLeft w:val="0"/>
      <w:marRight w:val="0"/>
      <w:marTop w:val="0"/>
      <w:marBottom w:val="0"/>
      <w:divBdr>
        <w:top w:val="none" w:sz="0" w:space="0" w:color="auto"/>
        <w:left w:val="none" w:sz="0" w:space="0" w:color="auto"/>
        <w:bottom w:val="none" w:sz="0" w:space="0" w:color="auto"/>
        <w:right w:val="none" w:sz="0" w:space="0" w:color="auto"/>
      </w:divBdr>
    </w:div>
    <w:div w:id="891891923">
      <w:bodyDiv w:val="1"/>
      <w:marLeft w:val="0"/>
      <w:marRight w:val="0"/>
      <w:marTop w:val="0"/>
      <w:marBottom w:val="0"/>
      <w:divBdr>
        <w:top w:val="none" w:sz="0" w:space="0" w:color="auto"/>
        <w:left w:val="none" w:sz="0" w:space="0" w:color="auto"/>
        <w:bottom w:val="none" w:sz="0" w:space="0" w:color="auto"/>
        <w:right w:val="none" w:sz="0" w:space="0" w:color="auto"/>
      </w:divBdr>
    </w:div>
    <w:div w:id="913589115">
      <w:bodyDiv w:val="1"/>
      <w:marLeft w:val="0"/>
      <w:marRight w:val="0"/>
      <w:marTop w:val="0"/>
      <w:marBottom w:val="0"/>
      <w:divBdr>
        <w:top w:val="none" w:sz="0" w:space="0" w:color="auto"/>
        <w:left w:val="none" w:sz="0" w:space="0" w:color="auto"/>
        <w:bottom w:val="none" w:sz="0" w:space="0" w:color="auto"/>
        <w:right w:val="none" w:sz="0" w:space="0" w:color="auto"/>
      </w:divBdr>
    </w:div>
    <w:div w:id="925118492">
      <w:bodyDiv w:val="1"/>
      <w:marLeft w:val="0"/>
      <w:marRight w:val="0"/>
      <w:marTop w:val="0"/>
      <w:marBottom w:val="0"/>
      <w:divBdr>
        <w:top w:val="none" w:sz="0" w:space="0" w:color="auto"/>
        <w:left w:val="none" w:sz="0" w:space="0" w:color="auto"/>
        <w:bottom w:val="none" w:sz="0" w:space="0" w:color="auto"/>
        <w:right w:val="none" w:sz="0" w:space="0" w:color="auto"/>
      </w:divBdr>
    </w:div>
    <w:div w:id="926966229">
      <w:bodyDiv w:val="1"/>
      <w:marLeft w:val="0"/>
      <w:marRight w:val="0"/>
      <w:marTop w:val="0"/>
      <w:marBottom w:val="0"/>
      <w:divBdr>
        <w:top w:val="none" w:sz="0" w:space="0" w:color="auto"/>
        <w:left w:val="none" w:sz="0" w:space="0" w:color="auto"/>
        <w:bottom w:val="none" w:sz="0" w:space="0" w:color="auto"/>
        <w:right w:val="none" w:sz="0" w:space="0" w:color="auto"/>
      </w:divBdr>
    </w:div>
    <w:div w:id="935821097">
      <w:bodyDiv w:val="1"/>
      <w:marLeft w:val="0"/>
      <w:marRight w:val="0"/>
      <w:marTop w:val="0"/>
      <w:marBottom w:val="0"/>
      <w:divBdr>
        <w:top w:val="none" w:sz="0" w:space="0" w:color="auto"/>
        <w:left w:val="none" w:sz="0" w:space="0" w:color="auto"/>
        <w:bottom w:val="none" w:sz="0" w:space="0" w:color="auto"/>
        <w:right w:val="none" w:sz="0" w:space="0" w:color="auto"/>
      </w:divBdr>
    </w:div>
    <w:div w:id="937443860">
      <w:bodyDiv w:val="1"/>
      <w:marLeft w:val="0"/>
      <w:marRight w:val="0"/>
      <w:marTop w:val="0"/>
      <w:marBottom w:val="0"/>
      <w:divBdr>
        <w:top w:val="none" w:sz="0" w:space="0" w:color="auto"/>
        <w:left w:val="none" w:sz="0" w:space="0" w:color="auto"/>
        <w:bottom w:val="none" w:sz="0" w:space="0" w:color="auto"/>
        <w:right w:val="none" w:sz="0" w:space="0" w:color="auto"/>
      </w:divBdr>
    </w:div>
    <w:div w:id="940333553">
      <w:bodyDiv w:val="1"/>
      <w:marLeft w:val="0"/>
      <w:marRight w:val="0"/>
      <w:marTop w:val="0"/>
      <w:marBottom w:val="0"/>
      <w:divBdr>
        <w:top w:val="none" w:sz="0" w:space="0" w:color="auto"/>
        <w:left w:val="none" w:sz="0" w:space="0" w:color="auto"/>
        <w:bottom w:val="none" w:sz="0" w:space="0" w:color="auto"/>
        <w:right w:val="none" w:sz="0" w:space="0" w:color="auto"/>
      </w:divBdr>
    </w:div>
    <w:div w:id="944536710">
      <w:bodyDiv w:val="1"/>
      <w:marLeft w:val="0"/>
      <w:marRight w:val="0"/>
      <w:marTop w:val="0"/>
      <w:marBottom w:val="0"/>
      <w:divBdr>
        <w:top w:val="none" w:sz="0" w:space="0" w:color="auto"/>
        <w:left w:val="none" w:sz="0" w:space="0" w:color="auto"/>
        <w:bottom w:val="none" w:sz="0" w:space="0" w:color="auto"/>
        <w:right w:val="none" w:sz="0" w:space="0" w:color="auto"/>
      </w:divBdr>
      <w:divsChild>
        <w:div w:id="228539688">
          <w:marLeft w:val="480"/>
          <w:marRight w:val="0"/>
          <w:marTop w:val="0"/>
          <w:marBottom w:val="0"/>
          <w:divBdr>
            <w:top w:val="none" w:sz="0" w:space="0" w:color="auto"/>
            <w:left w:val="none" w:sz="0" w:space="0" w:color="auto"/>
            <w:bottom w:val="none" w:sz="0" w:space="0" w:color="auto"/>
            <w:right w:val="none" w:sz="0" w:space="0" w:color="auto"/>
          </w:divBdr>
          <w:divsChild>
            <w:div w:id="120567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3191">
      <w:bodyDiv w:val="1"/>
      <w:marLeft w:val="0"/>
      <w:marRight w:val="0"/>
      <w:marTop w:val="0"/>
      <w:marBottom w:val="0"/>
      <w:divBdr>
        <w:top w:val="none" w:sz="0" w:space="0" w:color="auto"/>
        <w:left w:val="none" w:sz="0" w:space="0" w:color="auto"/>
        <w:bottom w:val="none" w:sz="0" w:space="0" w:color="auto"/>
        <w:right w:val="none" w:sz="0" w:space="0" w:color="auto"/>
      </w:divBdr>
      <w:divsChild>
        <w:div w:id="1120684762">
          <w:marLeft w:val="0"/>
          <w:marRight w:val="0"/>
          <w:marTop w:val="0"/>
          <w:marBottom w:val="0"/>
          <w:divBdr>
            <w:top w:val="none" w:sz="0" w:space="0" w:color="auto"/>
            <w:left w:val="none" w:sz="0" w:space="0" w:color="auto"/>
            <w:bottom w:val="none" w:sz="0" w:space="0" w:color="auto"/>
            <w:right w:val="none" w:sz="0" w:space="0" w:color="auto"/>
          </w:divBdr>
          <w:divsChild>
            <w:div w:id="411270204">
              <w:marLeft w:val="0"/>
              <w:marRight w:val="0"/>
              <w:marTop w:val="0"/>
              <w:marBottom w:val="0"/>
              <w:divBdr>
                <w:top w:val="none" w:sz="0" w:space="0" w:color="auto"/>
                <w:left w:val="none" w:sz="0" w:space="0" w:color="auto"/>
                <w:bottom w:val="none" w:sz="0" w:space="0" w:color="auto"/>
                <w:right w:val="none" w:sz="0" w:space="0" w:color="auto"/>
              </w:divBdr>
              <w:divsChild>
                <w:div w:id="408431212">
                  <w:marLeft w:val="0"/>
                  <w:marRight w:val="0"/>
                  <w:marTop w:val="0"/>
                  <w:marBottom w:val="0"/>
                  <w:divBdr>
                    <w:top w:val="none" w:sz="0" w:space="0" w:color="auto"/>
                    <w:left w:val="none" w:sz="0" w:space="0" w:color="auto"/>
                    <w:bottom w:val="none" w:sz="0" w:space="0" w:color="auto"/>
                    <w:right w:val="none" w:sz="0" w:space="0" w:color="auto"/>
                  </w:divBdr>
                  <w:divsChild>
                    <w:div w:id="664093237">
                      <w:marLeft w:val="-150"/>
                      <w:marRight w:val="-150"/>
                      <w:marTop w:val="0"/>
                      <w:marBottom w:val="0"/>
                      <w:divBdr>
                        <w:top w:val="none" w:sz="0" w:space="0" w:color="auto"/>
                        <w:left w:val="none" w:sz="0" w:space="0" w:color="auto"/>
                        <w:bottom w:val="none" w:sz="0" w:space="0" w:color="auto"/>
                        <w:right w:val="none" w:sz="0" w:space="0" w:color="auto"/>
                      </w:divBdr>
                      <w:divsChild>
                        <w:div w:id="10497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235480">
      <w:bodyDiv w:val="1"/>
      <w:marLeft w:val="0"/>
      <w:marRight w:val="0"/>
      <w:marTop w:val="0"/>
      <w:marBottom w:val="0"/>
      <w:divBdr>
        <w:top w:val="none" w:sz="0" w:space="0" w:color="auto"/>
        <w:left w:val="none" w:sz="0" w:space="0" w:color="auto"/>
        <w:bottom w:val="none" w:sz="0" w:space="0" w:color="auto"/>
        <w:right w:val="none" w:sz="0" w:space="0" w:color="auto"/>
      </w:divBdr>
    </w:div>
    <w:div w:id="951396349">
      <w:bodyDiv w:val="1"/>
      <w:marLeft w:val="0"/>
      <w:marRight w:val="0"/>
      <w:marTop w:val="0"/>
      <w:marBottom w:val="0"/>
      <w:divBdr>
        <w:top w:val="none" w:sz="0" w:space="0" w:color="auto"/>
        <w:left w:val="none" w:sz="0" w:space="0" w:color="auto"/>
        <w:bottom w:val="none" w:sz="0" w:space="0" w:color="auto"/>
        <w:right w:val="none" w:sz="0" w:space="0" w:color="auto"/>
      </w:divBdr>
    </w:div>
    <w:div w:id="959265839">
      <w:bodyDiv w:val="1"/>
      <w:marLeft w:val="0"/>
      <w:marRight w:val="0"/>
      <w:marTop w:val="0"/>
      <w:marBottom w:val="0"/>
      <w:divBdr>
        <w:top w:val="none" w:sz="0" w:space="0" w:color="auto"/>
        <w:left w:val="none" w:sz="0" w:space="0" w:color="auto"/>
        <w:bottom w:val="none" w:sz="0" w:space="0" w:color="auto"/>
        <w:right w:val="none" w:sz="0" w:space="0" w:color="auto"/>
      </w:divBdr>
    </w:div>
    <w:div w:id="962465319">
      <w:bodyDiv w:val="1"/>
      <w:marLeft w:val="0"/>
      <w:marRight w:val="0"/>
      <w:marTop w:val="0"/>
      <w:marBottom w:val="0"/>
      <w:divBdr>
        <w:top w:val="none" w:sz="0" w:space="0" w:color="auto"/>
        <w:left w:val="none" w:sz="0" w:space="0" w:color="auto"/>
        <w:bottom w:val="none" w:sz="0" w:space="0" w:color="auto"/>
        <w:right w:val="none" w:sz="0" w:space="0" w:color="auto"/>
      </w:divBdr>
    </w:div>
    <w:div w:id="971984527">
      <w:bodyDiv w:val="1"/>
      <w:marLeft w:val="0"/>
      <w:marRight w:val="0"/>
      <w:marTop w:val="0"/>
      <w:marBottom w:val="0"/>
      <w:divBdr>
        <w:top w:val="none" w:sz="0" w:space="0" w:color="auto"/>
        <w:left w:val="none" w:sz="0" w:space="0" w:color="auto"/>
        <w:bottom w:val="none" w:sz="0" w:space="0" w:color="auto"/>
        <w:right w:val="none" w:sz="0" w:space="0" w:color="auto"/>
      </w:divBdr>
    </w:div>
    <w:div w:id="985746705">
      <w:bodyDiv w:val="1"/>
      <w:marLeft w:val="0"/>
      <w:marRight w:val="0"/>
      <w:marTop w:val="0"/>
      <w:marBottom w:val="0"/>
      <w:divBdr>
        <w:top w:val="none" w:sz="0" w:space="0" w:color="auto"/>
        <w:left w:val="none" w:sz="0" w:space="0" w:color="auto"/>
        <w:bottom w:val="none" w:sz="0" w:space="0" w:color="auto"/>
        <w:right w:val="none" w:sz="0" w:space="0" w:color="auto"/>
      </w:divBdr>
    </w:div>
    <w:div w:id="986282867">
      <w:bodyDiv w:val="1"/>
      <w:marLeft w:val="0"/>
      <w:marRight w:val="0"/>
      <w:marTop w:val="0"/>
      <w:marBottom w:val="0"/>
      <w:divBdr>
        <w:top w:val="none" w:sz="0" w:space="0" w:color="auto"/>
        <w:left w:val="none" w:sz="0" w:space="0" w:color="auto"/>
        <w:bottom w:val="none" w:sz="0" w:space="0" w:color="auto"/>
        <w:right w:val="none" w:sz="0" w:space="0" w:color="auto"/>
      </w:divBdr>
    </w:div>
    <w:div w:id="991375697">
      <w:bodyDiv w:val="1"/>
      <w:marLeft w:val="0"/>
      <w:marRight w:val="0"/>
      <w:marTop w:val="0"/>
      <w:marBottom w:val="0"/>
      <w:divBdr>
        <w:top w:val="none" w:sz="0" w:space="0" w:color="auto"/>
        <w:left w:val="none" w:sz="0" w:space="0" w:color="auto"/>
        <w:bottom w:val="none" w:sz="0" w:space="0" w:color="auto"/>
        <w:right w:val="none" w:sz="0" w:space="0" w:color="auto"/>
      </w:divBdr>
    </w:div>
    <w:div w:id="993726150">
      <w:bodyDiv w:val="1"/>
      <w:marLeft w:val="0"/>
      <w:marRight w:val="0"/>
      <w:marTop w:val="0"/>
      <w:marBottom w:val="0"/>
      <w:divBdr>
        <w:top w:val="none" w:sz="0" w:space="0" w:color="auto"/>
        <w:left w:val="none" w:sz="0" w:space="0" w:color="auto"/>
        <w:bottom w:val="none" w:sz="0" w:space="0" w:color="auto"/>
        <w:right w:val="none" w:sz="0" w:space="0" w:color="auto"/>
      </w:divBdr>
    </w:div>
    <w:div w:id="994725679">
      <w:bodyDiv w:val="1"/>
      <w:marLeft w:val="0"/>
      <w:marRight w:val="0"/>
      <w:marTop w:val="0"/>
      <w:marBottom w:val="0"/>
      <w:divBdr>
        <w:top w:val="none" w:sz="0" w:space="0" w:color="auto"/>
        <w:left w:val="none" w:sz="0" w:space="0" w:color="auto"/>
        <w:bottom w:val="none" w:sz="0" w:space="0" w:color="auto"/>
        <w:right w:val="none" w:sz="0" w:space="0" w:color="auto"/>
      </w:divBdr>
    </w:div>
    <w:div w:id="996110258">
      <w:bodyDiv w:val="1"/>
      <w:marLeft w:val="0"/>
      <w:marRight w:val="0"/>
      <w:marTop w:val="0"/>
      <w:marBottom w:val="0"/>
      <w:divBdr>
        <w:top w:val="none" w:sz="0" w:space="0" w:color="auto"/>
        <w:left w:val="none" w:sz="0" w:space="0" w:color="auto"/>
        <w:bottom w:val="none" w:sz="0" w:space="0" w:color="auto"/>
        <w:right w:val="none" w:sz="0" w:space="0" w:color="auto"/>
      </w:divBdr>
    </w:div>
    <w:div w:id="1000425746">
      <w:bodyDiv w:val="1"/>
      <w:marLeft w:val="0"/>
      <w:marRight w:val="0"/>
      <w:marTop w:val="0"/>
      <w:marBottom w:val="0"/>
      <w:divBdr>
        <w:top w:val="none" w:sz="0" w:space="0" w:color="auto"/>
        <w:left w:val="none" w:sz="0" w:space="0" w:color="auto"/>
        <w:bottom w:val="none" w:sz="0" w:space="0" w:color="auto"/>
        <w:right w:val="none" w:sz="0" w:space="0" w:color="auto"/>
      </w:divBdr>
    </w:div>
    <w:div w:id="1017972102">
      <w:bodyDiv w:val="1"/>
      <w:marLeft w:val="0"/>
      <w:marRight w:val="0"/>
      <w:marTop w:val="0"/>
      <w:marBottom w:val="0"/>
      <w:divBdr>
        <w:top w:val="none" w:sz="0" w:space="0" w:color="auto"/>
        <w:left w:val="none" w:sz="0" w:space="0" w:color="auto"/>
        <w:bottom w:val="none" w:sz="0" w:space="0" w:color="auto"/>
        <w:right w:val="none" w:sz="0" w:space="0" w:color="auto"/>
      </w:divBdr>
    </w:div>
    <w:div w:id="1019744500">
      <w:bodyDiv w:val="1"/>
      <w:marLeft w:val="0"/>
      <w:marRight w:val="0"/>
      <w:marTop w:val="0"/>
      <w:marBottom w:val="0"/>
      <w:divBdr>
        <w:top w:val="none" w:sz="0" w:space="0" w:color="auto"/>
        <w:left w:val="none" w:sz="0" w:space="0" w:color="auto"/>
        <w:bottom w:val="none" w:sz="0" w:space="0" w:color="auto"/>
        <w:right w:val="none" w:sz="0" w:space="0" w:color="auto"/>
      </w:divBdr>
    </w:div>
    <w:div w:id="1024136918">
      <w:bodyDiv w:val="1"/>
      <w:marLeft w:val="0"/>
      <w:marRight w:val="0"/>
      <w:marTop w:val="0"/>
      <w:marBottom w:val="0"/>
      <w:divBdr>
        <w:top w:val="none" w:sz="0" w:space="0" w:color="auto"/>
        <w:left w:val="none" w:sz="0" w:space="0" w:color="auto"/>
        <w:bottom w:val="none" w:sz="0" w:space="0" w:color="auto"/>
        <w:right w:val="none" w:sz="0" w:space="0" w:color="auto"/>
      </w:divBdr>
    </w:div>
    <w:div w:id="1025786021">
      <w:bodyDiv w:val="1"/>
      <w:marLeft w:val="0"/>
      <w:marRight w:val="0"/>
      <w:marTop w:val="0"/>
      <w:marBottom w:val="0"/>
      <w:divBdr>
        <w:top w:val="none" w:sz="0" w:space="0" w:color="auto"/>
        <w:left w:val="none" w:sz="0" w:space="0" w:color="auto"/>
        <w:bottom w:val="none" w:sz="0" w:space="0" w:color="auto"/>
        <w:right w:val="none" w:sz="0" w:space="0" w:color="auto"/>
      </w:divBdr>
    </w:div>
    <w:div w:id="1048719225">
      <w:bodyDiv w:val="1"/>
      <w:marLeft w:val="0"/>
      <w:marRight w:val="0"/>
      <w:marTop w:val="0"/>
      <w:marBottom w:val="0"/>
      <w:divBdr>
        <w:top w:val="none" w:sz="0" w:space="0" w:color="auto"/>
        <w:left w:val="none" w:sz="0" w:space="0" w:color="auto"/>
        <w:bottom w:val="none" w:sz="0" w:space="0" w:color="auto"/>
        <w:right w:val="none" w:sz="0" w:space="0" w:color="auto"/>
      </w:divBdr>
    </w:div>
    <w:div w:id="1053386197">
      <w:bodyDiv w:val="1"/>
      <w:marLeft w:val="0"/>
      <w:marRight w:val="0"/>
      <w:marTop w:val="0"/>
      <w:marBottom w:val="0"/>
      <w:divBdr>
        <w:top w:val="none" w:sz="0" w:space="0" w:color="auto"/>
        <w:left w:val="none" w:sz="0" w:space="0" w:color="auto"/>
        <w:bottom w:val="none" w:sz="0" w:space="0" w:color="auto"/>
        <w:right w:val="none" w:sz="0" w:space="0" w:color="auto"/>
      </w:divBdr>
    </w:div>
    <w:div w:id="1054619043">
      <w:bodyDiv w:val="1"/>
      <w:marLeft w:val="0"/>
      <w:marRight w:val="0"/>
      <w:marTop w:val="0"/>
      <w:marBottom w:val="0"/>
      <w:divBdr>
        <w:top w:val="none" w:sz="0" w:space="0" w:color="auto"/>
        <w:left w:val="none" w:sz="0" w:space="0" w:color="auto"/>
        <w:bottom w:val="none" w:sz="0" w:space="0" w:color="auto"/>
        <w:right w:val="none" w:sz="0" w:space="0" w:color="auto"/>
      </w:divBdr>
    </w:div>
    <w:div w:id="1060665329">
      <w:bodyDiv w:val="1"/>
      <w:marLeft w:val="0"/>
      <w:marRight w:val="0"/>
      <w:marTop w:val="0"/>
      <w:marBottom w:val="0"/>
      <w:divBdr>
        <w:top w:val="none" w:sz="0" w:space="0" w:color="auto"/>
        <w:left w:val="none" w:sz="0" w:space="0" w:color="auto"/>
        <w:bottom w:val="none" w:sz="0" w:space="0" w:color="auto"/>
        <w:right w:val="none" w:sz="0" w:space="0" w:color="auto"/>
      </w:divBdr>
    </w:div>
    <w:div w:id="1063334213">
      <w:bodyDiv w:val="1"/>
      <w:marLeft w:val="0"/>
      <w:marRight w:val="0"/>
      <w:marTop w:val="0"/>
      <w:marBottom w:val="0"/>
      <w:divBdr>
        <w:top w:val="none" w:sz="0" w:space="0" w:color="auto"/>
        <w:left w:val="none" w:sz="0" w:space="0" w:color="auto"/>
        <w:bottom w:val="none" w:sz="0" w:space="0" w:color="auto"/>
        <w:right w:val="none" w:sz="0" w:space="0" w:color="auto"/>
      </w:divBdr>
    </w:div>
    <w:div w:id="1085569339">
      <w:bodyDiv w:val="1"/>
      <w:marLeft w:val="0"/>
      <w:marRight w:val="0"/>
      <w:marTop w:val="0"/>
      <w:marBottom w:val="0"/>
      <w:divBdr>
        <w:top w:val="none" w:sz="0" w:space="0" w:color="auto"/>
        <w:left w:val="none" w:sz="0" w:space="0" w:color="auto"/>
        <w:bottom w:val="none" w:sz="0" w:space="0" w:color="auto"/>
        <w:right w:val="none" w:sz="0" w:space="0" w:color="auto"/>
      </w:divBdr>
    </w:div>
    <w:div w:id="1090471271">
      <w:bodyDiv w:val="1"/>
      <w:marLeft w:val="0"/>
      <w:marRight w:val="0"/>
      <w:marTop w:val="0"/>
      <w:marBottom w:val="0"/>
      <w:divBdr>
        <w:top w:val="none" w:sz="0" w:space="0" w:color="auto"/>
        <w:left w:val="none" w:sz="0" w:space="0" w:color="auto"/>
        <w:bottom w:val="none" w:sz="0" w:space="0" w:color="auto"/>
        <w:right w:val="none" w:sz="0" w:space="0" w:color="auto"/>
      </w:divBdr>
    </w:div>
    <w:div w:id="1106576855">
      <w:bodyDiv w:val="1"/>
      <w:marLeft w:val="0"/>
      <w:marRight w:val="0"/>
      <w:marTop w:val="0"/>
      <w:marBottom w:val="0"/>
      <w:divBdr>
        <w:top w:val="none" w:sz="0" w:space="0" w:color="auto"/>
        <w:left w:val="none" w:sz="0" w:space="0" w:color="auto"/>
        <w:bottom w:val="none" w:sz="0" w:space="0" w:color="auto"/>
        <w:right w:val="none" w:sz="0" w:space="0" w:color="auto"/>
      </w:divBdr>
    </w:div>
    <w:div w:id="1109544118">
      <w:bodyDiv w:val="1"/>
      <w:marLeft w:val="0"/>
      <w:marRight w:val="0"/>
      <w:marTop w:val="0"/>
      <w:marBottom w:val="0"/>
      <w:divBdr>
        <w:top w:val="none" w:sz="0" w:space="0" w:color="auto"/>
        <w:left w:val="none" w:sz="0" w:space="0" w:color="auto"/>
        <w:bottom w:val="none" w:sz="0" w:space="0" w:color="auto"/>
        <w:right w:val="none" w:sz="0" w:space="0" w:color="auto"/>
      </w:divBdr>
    </w:div>
    <w:div w:id="1113597393">
      <w:bodyDiv w:val="1"/>
      <w:marLeft w:val="0"/>
      <w:marRight w:val="0"/>
      <w:marTop w:val="0"/>
      <w:marBottom w:val="0"/>
      <w:divBdr>
        <w:top w:val="none" w:sz="0" w:space="0" w:color="auto"/>
        <w:left w:val="none" w:sz="0" w:space="0" w:color="auto"/>
        <w:bottom w:val="none" w:sz="0" w:space="0" w:color="auto"/>
        <w:right w:val="none" w:sz="0" w:space="0" w:color="auto"/>
      </w:divBdr>
    </w:div>
    <w:div w:id="1128007601">
      <w:bodyDiv w:val="1"/>
      <w:marLeft w:val="0"/>
      <w:marRight w:val="0"/>
      <w:marTop w:val="0"/>
      <w:marBottom w:val="0"/>
      <w:divBdr>
        <w:top w:val="none" w:sz="0" w:space="0" w:color="auto"/>
        <w:left w:val="none" w:sz="0" w:space="0" w:color="auto"/>
        <w:bottom w:val="none" w:sz="0" w:space="0" w:color="auto"/>
        <w:right w:val="none" w:sz="0" w:space="0" w:color="auto"/>
      </w:divBdr>
    </w:div>
    <w:div w:id="1155952088">
      <w:bodyDiv w:val="1"/>
      <w:marLeft w:val="0"/>
      <w:marRight w:val="0"/>
      <w:marTop w:val="0"/>
      <w:marBottom w:val="0"/>
      <w:divBdr>
        <w:top w:val="none" w:sz="0" w:space="0" w:color="auto"/>
        <w:left w:val="none" w:sz="0" w:space="0" w:color="auto"/>
        <w:bottom w:val="none" w:sz="0" w:space="0" w:color="auto"/>
        <w:right w:val="none" w:sz="0" w:space="0" w:color="auto"/>
      </w:divBdr>
    </w:div>
    <w:div w:id="1185053587">
      <w:bodyDiv w:val="1"/>
      <w:marLeft w:val="0"/>
      <w:marRight w:val="0"/>
      <w:marTop w:val="0"/>
      <w:marBottom w:val="0"/>
      <w:divBdr>
        <w:top w:val="none" w:sz="0" w:space="0" w:color="auto"/>
        <w:left w:val="none" w:sz="0" w:space="0" w:color="auto"/>
        <w:bottom w:val="none" w:sz="0" w:space="0" w:color="auto"/>
        <w:right w:val="none" w:sz="0" w:space="0" w:color="auto"/>
      </w:divBdr>
    </w:div>
    <w:div w:id="1186165537">
      <w:bodyDiv w:val="1"/>
      <w:marLeft w:val="0"/>
      <w:marRight w:val="0"/>
      <w:marTop w:val="0"/>
      <w:marBottom w:val="0"/>
      <w:divBdr>
        <w:top w:val="none" w:sz="0" w:space="0" w:color="auto"/>
        <w:left w:val="none" w:sz="0" w:space="0" w:color="auto"/>
        <w:bottom w:val="none" w:sz="0" w:space="0" w:color="auto"/>
        <w:right w:val="none" w:sz="0" w:space="0" w:color="auto"/>
      </w:divBdr>
    </w:div>
    <w:div w:id="1203130651">
      <w:bodyDiv w:val="1"/>
      <w:marLeft w:val="0"/>
      <w:marRight w:val="0"/>
      <w:marTop w:val="0"/>
      <w:marBottom w:val="0"/>
      <w:divBdr>
        <w:top w:val="none" w:sz="0" w:space="0" w:color="auto"/>
        <w:left w:val="none" w:sz="0" w:space="0" w:color="auto"/>
        <w:bottom w:val="none" w:sz="0" w:space="0" w:color="auto"/>
        <w:right w:val="none" w:sz="0" w:space="0" w:color="auto"/>
      </w:divBdr>
    </w:div>
    <w:div w:id="1211191128">
      <w:bodyDiv w:val="1"/>
      <w:marLeft w:val="0"/>
      <w:marRight w:val="0"/>
      <w:marTop w:val="0"/>
      <w:marBottom w:val="0"/>
      <w:divBdr>
        <w:top w:val="none" w:sz="0" w:space="0" w:color="auto"/>
        <w:left w:val="none" w:sz="0" w:space="0" w:color="auto"/>
        <w:bottom w:val="none" w:sz="0" w:space="0" w:color="auto"/>
        <w:right w:val="none" w:sz="0" w:space="0" w:color="auto"/>
      </w:divBdr>
    </w:div>
    <w:div w:id="1222134567">
      <w:bodyDiv w:val="1"/>
      <w:marLeft w:val="0"/>
      <w:marRight w:val="0"/>
      <w:marTop w:val="0"/>
      <w:marBottom w:val="0"/>
      <w:divBdr>
        <w:top w:val="none" w:sz="0" w:space="0" w:color="auto"/>
        <w:left w:val="none" w:sz="0" w:space="0" w:color="auto"/>
        <w:bottom w:val="none" w:sz="0" w:space="0" w:color="auto"/>
        <w:right w:val="none" w:sz="0" w:space="0" w:color="auto"/>
      </w:divBdr>
    </w:div>
    <w:div w:id="1222323492">
      <w:bodyDiv w:val="1"/>
      <w:marLeft w:val="0"/>
      <w:marRight w:val="0"/>
      <w:marTop w:val="0"/>
      <w:marBottom w:val="0"/>
      <w:divBdr>
        <w:top w:val="none" w:sz="0" w:space="0" w:color="auto"/>
        <w:left w:val="none" w:sz="0" w:space="0" w:color="auto"/>
        <w:bottom w:val="none" w:sz="0" w:space="0" w:color="auto"/>
        <w:right w:val="none" w:sz="0" w:space="0" w:color="auto"/>
      </w:divBdr>
    </w:div>
    <w:div w:id="1246384117">
      <w:bodyDiv w:val="1"/>
      <w:marLeft w:val="0"/>
      <w:marRight w:val="0"/>
      <w:marTop w:val="0"/>
      <w:marBottom w:val="0"/>
      <w:divBdr>
        <w:top w:val="none" w:sz="0" w:space="0" w:color="auto"/>
        <w:left w:val="none" w:sz="0" w:space="0" w:color="auto"/>
        <w:bottom w:val="none" w:sz="0" w:space="0" w:color="auto"/>
        <w:right w:val="none" w:sz="0" w:space="0" w:color="auto"/>
      </w:divBdr>
    </w:div>
    <w:div w:id="1247350410">
      <w:bodyDiv w:val="1"/>
      <w:marLeft w:val="0"/>
      <w:marRight w:val="0"/>
      <w:marTop w:val="0"/>
      <w:marBottom w:val="0"/>
      <w:divBdr>
        <w:top w:val="none" w:sz="0" w:space="0" w:color="auto"/>
        <w:left w:val="none" w:sz="0" w:space="0" w:color="auto"/>
        <w:bottom w:val="none" w:sz="0" w:space="0" w:color="auto"/>
        <w:right w:val="none" w:sz="0" w:space="0" w:color="auto"/>
      </w:divBdr>
    </w:div>
    <w:div w:id="1258514274">
      <w:bodyDiv w:val="1"/>
      <w:marLeft w:val="0"/>
      <w:marRight w:val="0"/>
      <w:marTop w:val="0"/>
      <w:marBottom w:val="0"/>
      <w:divBdr>
        <w:top w:val="none" w:sz="0" w:space="0" w:color="auto"/>
        <w:left w:val="none" w:sz="0" w:space="0" w:color="auto"/>
        <w:bottom w:val="none" w:sz="0" w:space="0" w:color="auto"/>
        <w:right w:val="none" w:sz="0" w:space="0" w:color="auto"/>
      </w:divBdr>
    </w:div>
    <w:div w:id="1269192897">
      <w:bodyDiv w:val="1"/>
      <w:marLeft w:val="0"/>
      <w:marRight w:val="0"/>
      <w:marTop w:val="0"/>
      <w:marBottom w:val="0"/>
      <w:divBdr>
        <w:top w:val="none" w:sz="0" w:space="0" w:color="auto"/>
        <w:left w:val="none" w:sz="0" w:space="0" w:color="auto"/>
        <w:bottom w:val="none" w:sz="0" w:space="0" w:color="auto"/>
        <w:right w:val="none" w:sz="0" w:space="0" w:color="auto"/>
      </w:divBdr>
    </w:div>
    <w:div w:id="1272975792">
      <w:bodyDiv w:val="1"/>
      <w:marLeft w:val="0"/>
      <w:marRight w:val="0"/>
      <w:marTop w:val="0"/>
      <w:marBottom w:val="0"/>
      <w:divBdr>
        <w:top w:val="none" w:sz="0" w:space="0" w:color="auto"/>
        <w:left w:val="none" w:sz="0" w:space="0" w:color="auto"/>
        <w:bottom w:val="none" w:sz="0" w:space="0" w:color="auto"/>
        <w:right w:val="none" w:sz="0" w:space="0" w:color="auto"/>
      </w:divBdr>
    </w:div>
    <w:div w:id="1273703093">
      <w:bodyDiv w:val="1"/>
      <w:marLeft w:val="0"/>
      <w:marRight w:val="0"/>
      <w:marTop w:val="0"/>
      <w:marBottom w:val="0"/>
      <w:divBdr>
        <w:top w:val="none" w:sz="0" w:space="0" w:color="auto"/>
        <w:left w:val="none" w:sz="0" w:space="0" w:color="auto"/>
        <w:bottom w:val="none" w:sz="0" w:space="0" w:color="auto"/>
        <w:right w:val="none" w:sz="0" w:space="0" w:color="auto"/>
      </w:divBdr>
    </w:div>
    <w:div w:id="1273703304">
      <w:bodyDiv w:val="1"/>
      <w:marLeft w:val="0"/>
      <w:marRight w:val="0"/>
      <w:marTop w:val="0"/>
      <w:marBottom w:val="0"/>
      <w:divBdr>
        <w:top w:val="none" w:sz="0" w:space="0" w:color="auto"/>
        <w:left w:val="none" w:sz="0" w:space="0" w:color="auto"/>
        <w:bottom w:val="none" w:sz="0" w:space="0" w:color="auto"/>
        <w:right w:val="none" w:sz="0" w:space="0" w:color="auto"/>
      </w:divBdr>
    </w:div>
    <w:div w:id="1279988347">
      <w:bodyDiv w:val="1"/>
      <w:marLeft w:val="0"/>
      <w:marRight w:val="0"/>
      <w:marTop w:val="0"/>
      <w:marBottom w:val="0"/>
      <w:divBdr>
        <w:top w:val="none" w:sz="0" w:space="0" w:color="auto"/>
        <w:left w:val="none" w:sz="0" w:space="0" w:color="auto"/>
        <w:bottom w:val="none" w:sz="0" w:space="0" w:color="auto"/>
        <w:right w:val="none" w:sz="0" w:space="0" w:color="auto"/>
      </w:divBdr>
    </w:div>
    <w:div w:id="1295330203">
      <w:bodyDiv w:val="1"/>
      <w:marLeft w:val="0"/>
      <w:marRight w:val="0"/>
      <w:marTop w:val="0"/>
      <w:marBottom w:val="0"/>
      <w:divBdr>
        <w:top w:val="none" w:sz="0" w:space="0" w:color="auto"/>
        <w:left w:val="none" w:sz="0" w:space="0" w:color="auto"/>
        <w:bottom w:val="none" w:sz="0" w:space="0" w:color="auto"/>
        <w:right w:val="none" w:sz="0" w:space="0" w:color="auto"/>
      </w:divBdr>
    </w:div>
    <w:div w:id="1296060821">
      <w:bodyDiv w:val="1"/>
      <w:marLeft w:val="0"/>
      <w:marRight w:val="0"/>
      <w:marTop w:val="0"/>
      <w:marBottom w:val="0"/>
      <w:divBdr>
        <w:top w:val="none" w:sz="0" w:space="0" w:color="auto"/>
        <w:left w:val="none" w:sz="0" w:space="0" w:color="auto"/>
        <w:bottom w:val="none" w:sz="0" w:space="0" w:color="auto"/>
        <w:right w:val="none" w:sz="0" w:space="0" w:color="auto"/>
      </w:divBdr>
    </w:div>
    <w:div w:id="1305281391">
      <w:bodyDiv w:val="1"/>
      <w:marLeft w:val="0"/>
      <w:marRight w:val="0"/>
      <w:marTop w:val="0"/>
      <w:marBottom w:val="0"/>
      <w:divBdr>
        <w:top w:val="none" w:sz="0" w:space="0" w:color="auto"/>
        <w:left w:val="none" w:sz="0" w:space="0" w:color="auto"/>
        <w:bottom w:val="none" w:sz="0" w:space="0" w:color="auto"/>
        <w:right w:val="none" w:sz="0" w:space="0" w:color="auto"/>
      </w:divBdr>
    </w:div>
    <w:div w:id="1307052920">
      <w:bodyDiv w:val="1"/>
      <w:marLeft w:val="0"/>
      <w:marRight w:val="0"/>
      <w:marTop w:val="0"/>
      <w:marBottom w:val="0"/>
      <w:divBdr>
        <w:top w:val="none" w:sz="0" w:space="0" w:color="auto"/>
        <w:left w:val="none" w:sz="0" w:space="0" w:color="auto"/>
        <w:bottom w:val="none" w:sz="0" w:space="0" w:color="auto"/>
        <w:right w:val="none" w:sz="0" w:space="0" w:color="auto"/>
      </w:divBdr>
    </w:div>
    <w:div w:id="1308629566">
      <w:bodyDiv w:val="1"/>
      <w:marLeft w:val="0"/>
      <w:marRight w:val="0"/>
      <w:marTop w:val="0"/>
      <w:marBottom w:val="0"/>
      <w:divBdr>
        <w:top w:val="none" w:sz="0" w:space="0" w:color="auto"/>
        <w:left w:val="none" w:sz="0" w:space="0" w:color="auto"/>
        <w:bottom w:val="none" w:sz="0" w:space="0" w:color="auto"/>
        <w:right w:val="none" w:sz="0" w:space="0" w:color="auto"/>
      </w:divBdr>
    </w:div>
    <w:div w:id="1308973323">
      <w:bodyDiv w:val="1"/>
      <w:marLeft w:val="0"/>
      <w:marRight w:val="0"/>
      <w:marTop w:val="0"/>
      <w:marBottom w:val="0"/>
      <w:divBdr>
        <w:top w:val="none" w:sz="0" w:space="0" w:color="auto"/>
        <w:left w:val="none" w:sz="0" w:space="0" w:color="auto"/>
        <w:bottom w:val="none" w:sz="0" w:space="0" w:color="auto"/>
        <w:right w:val="none" w:sz="0" w:space="0" w:color="auto"/>
      </w:divBdr>
    </w:div>
    <w:div w:id="1313412027">
      <w:bodyDiv w:val="1"/>
      <w:marLeft w:val="0"/>
      <w:marRight w:val="0"/>
      <w:marTop w:val="0"/>
      <w:marBottom w:val="0"/>
      <w:divBdr>
        <w:top w:val="none" w:sz="0" w:space="0" w:color="auto"/>
        <w:left w:val="none" w:sz="0" w:space="0" w:color="auto"/>
        <w:bottom w:val="none" w:sz="0" w:space="0" w:color="auto"/>
        <w:right w:val="none" w:sz="0" w:space="0" w:color="auto"/>
      </w:divBdr>
    </w:div>
    <w:div w:id="1314144884">
      <w:bodyDiv w:val="1"/>
      <w:marLeft w:val="0"/>
      <w:marRight w:val="0"/>
      <w:marTop w:val="0"/>
      <w:marBottom w:val="0"/>
      <w:divBdr>
        <w:top w:val="none" w:sz="0" w:space="0" w:color="auto"/>
        <w:left w:val="none" w:sz="0" w:space="0" w:color="auto"/>
        <w:bottom w:val="none" w:sz="0" w:space="0" w:color="auto"/>
        <w:right w:val="none" w:sz="0" w:space="0" w:color="auto"/>
      </w:divBdr>
    </w:div>
    <w:div w:id="1315450088">
      <w:bodyDiv w:val="1"/>
      <w:marLeft w:val="0"/>
      <w:marRight w:val="0"/>
      <w:marTop w:val="0"/>
      <w:marBottom w:val="0"/>
      <w:divBdr>
        <w:top w:val="none" w:sz="0" w:space="0" w:color="auto"/>
        <w:left w:val="none" w:sz="0" w:space="0" w:color="auto"/>
        <w:bottom w:val="none" w:sz="0" w:space="0" w:color="auto"/>
        <w:right w:val="none" w:sz="0" w:space="0" w:color="auto"/>
      </w:divBdr>
    </w:div>
    <w:div w:id="1319533714">
      <w:bodyDiv w:val="1"/>
      <w:marLeft w:val="0"/>
      <w:marRight w:val="0"/>
      <w:marTop w:val="0"/>
      <w:marBottom w:val="0"/>
      <w:divBdr>
        <w:top w:val="none" w:sz="0" w:space="0" w:color="auto"/>
        <w:left w:val="none" w:sz="0" w:space="0" w:color="auto"/>
        <w:bottom w:val="none" w:sz="0" w:space="0" w:color="auto"/>
        <w:right w:val="none" w:sz="0" w:space="0" w:color="auto"/>
      </w:divBdr>
    </w:div>
    <w:div w:id="1323117609">
      <w:bodyDiv w:val="1"/>
      <w:marLeft w:val="0"/>
      <w:marRight w:val="0"/>
      <w:marTop w:val="0"/>
      <w:marBottom w:val="0"/>
      <w:divBdr>
        <w:top w:val="none" w:sz="0" w:space="0" w:color="auto"/>
        <w:left w:val="none" w:sz="0" w:space="0" w:color="auto"/>
        <w:bottom w:val="none" w:sz="0" w:space="0" w:color="auto"/>
        <w:right w:val="none" w:sz="0" w:space="0" w:color="auto"/>
      </w:divBdr>
    </w:div>
    <w:div w:id="1332833301">
      <w:bodyDiv w:val="1"/>
      <w:marLeft w:val="0"/>
      <w:marRight w:val="0"/>
      <w:marTop w:val="0"/>
      <w:marBottom w:val="0"/>
      <w:divBdr>
        <w:top w:val="none" w:sz="0" w:space="0" w:color="auto"/>
        <w:left w:val="none" w:sz="0" w:space="0" w:color="auto"/>
        <w:bottom w:val="none" w:sz="0" w:space="0" w:color="auto"/>
        <w:right w:val="none" w:sz="0" w:space="0" w:color="auto"/>
      </w:divBdr>
    </w:div>
    <w:div w:id="1345744972">
      <w:bodyDiv w:val="1"/>
      <w:marLeft w:val="0"/>
      <w:marRight w:val="0"/>
      <w:marTop w:val="0"/>
      <w:marBottom w:val="0"/>
      <w:divBdr>
        <w:top w:val="none" w:sz="0" w:space="0" w:color="auto"/>
        <w:left w:val="none" w:sz="0" w:space="0" w:color="auto"/>
        <w:bottom w:val="none" w:sz="0" w:space="0" w:color="auto"/>
        <w:right w:val="none" w:sz="0" w:space="0" w:color="auto"/>
      </w:divBdr>
    </w:div>
    <w:div w:id="1346634441">
      <w:bodyDiv w:val="1"/>
      <w:marLeft w:val="0"/>
      <w:marRight w:val="0"/>
      <w:marTop w:val="0"/>
      <w:marBottom w:val="0"/>
      <w:divBdr>
        <w:top w:val="none" w:sz="0" w:space="0" w:color="auto"/>
        <w:left w:val="none" w:sz="0" w:space="0" w:color="auto"/>
        <w:bottom w:val="none" w:sz="0" w:space="0" w:color="auto"/>
        <w:right w:val="none" w:sz="0" w:space="0" w:color="auto"/>
      </w:divBdr>
    </w:div>
    <w:div w:id="1349526656">
      <w:bodyDiv w:val="1"/>
      <w:marLeft w:val="0"/>
      <w:marRight w:val="0"/>
      <w:marTop w:val="0"/>
      <w:marBottom w:val="0"/>
      <w:divBdr>
        <w:top w:val="none" w:sz="0" w:space="0" w:color="auto"/>
        <w:left w:val="none" w:sz="0" w:space="0" w:color="auto"/>
        <w:bottom w:val="none" w:sz="0" w:space="0" w:color="auto"/>
        <w:right w:val="none" w:sz="0" w:space="0" w:color="auto"/>
      </w:divBdr>
    </w:div>
    <w:div w:id="1351831333">
      <w:bodyDiv w:val="1"/>
      <w:marLeft w:val="0"/>
      <w:marRight w:val="0"/>
      <w:marTop w:val="0"/>
      <w:marBottom w:val="0"/>
      <w:divBdr>
        <w:top w:val="none" w:sz="0" w:space="0" w:color="auto"/>
        <w:left w:val="none" w:sz="0" w:space="0" w:color="auto"/>
        <w:bottom w:val="none" w:sz="0" w:space="0" w:color="auto"/>
        <w:right w:val="none" w:sz="0" w:space="0" w:color="auto"/>
      </w:divBdr>
    </w:div>
    <w:div w:id="1352073832">
      <w:bodyDiv w:val="1"/>
      <w:marLeft w:val="0"/>
      <w:marRight w:val="0"/>
      <w:marTop w:val="0"/>
      <w:marBottom w:val="0"/>
      <w:divBdr>
        <w:top w:val="none" w:sz="0" w:space="0" w:color="auto"/>
        <w:left w:val="none" w:sz="0" w:space="0" w:color="auto"/>
        <w:bottom w:val="none" w:sz="0" w:space="0" w:color="auto"/>
        <w:right w:val="none" w:sz="0" w:space="0" w:color="auto"/>
      </w:divBdr>
    </w:div>
    <w:div w:id="1354846280">
      <w:bodyDiv w:val="1"/>
      <w:marLeft w:val="0"/>
      <w:marRight w:val="0"/>
      <w:marTop w:val="0"/>
      <w:marBottom w:val="0"/>
      <w:divBdr>
        <w:top w:val="none" w:sz="0" w:space="0" w:color="auto"/>
        <w:left w:val="none" w:sz="0" w:space="0" w:color="auto"/>
        <w:bottom w:val="none" w:sz="0" w:space="0" w:color="auto"/>
        <w:right w:val="none" w:sz="0" w:space="0" w:color="auto"/>
      </w:divBdr>
    </w:div>
    <w:div w:id="1355615867">
      <w:bodyDiv w:val="1"/>
      <w:marLeft w:val="0"/>
      <w:marRight w:val="0"/>
      <w:marTop w:val="0"/>
      <w:marBottom w:val="0"/>
      <w:divBdr>
        <w:top w:val="none" w:sz="0" w:space="0" w:color="auto"/>
        <w:left w:val="none" w:sz="0" w:space="0" w:color="auto"/>
        <w:bottom w:val="none" w:sz="0" w:space="0" w:color="auto"/>
        <w:right w:val="none" w:sz="0" w:space="0" w:color="auto"/>
      </w:divBdr>
    </w:div>
    <w:div w:id="1363674200">
      <w:bodyDiv w:val="1"/>
      <w:marLeft w:val="0"/>
      <w:marRight w:val="0"/>
      <w:marTop w:val="0"/>
      <w:marBottom w:val="0"/>
      <w:divBdr>
        <w:top w:val="none" w:sz="0" w:space="0" w:color="auto"/>
        <w:left w:val="none" w:sz="0" w:space="0" w:color="auto"/>
        <w:bottom w:val="none" w:sz="0" w:space="0" w:color="auto"/>
        <w:right w:val="none" w:sz="0" w:space="0" w:color="auto"/>
      </w:divBdr>
    </w:div>
    <w:div w:id="1369404863">
      <w:bodyDiv w:val="1"/>
      <w:marLeft w:val="0"/>
      <w:marRight w:val="0"/>
      <w:marTop w:val="0"/>
      <w:marBottom w:val="0"/>
      <w:divBdr>
        <w:top w:val="none" w:sz="0" w:space="0" w:color="auto"/>
        <w:left w:val="none" w:sz="0" w:space="0" w:color="auto"/>
        <w:bottom w:val="none" w:sz="0" w:space="0" w:color="auto"/>
        <w:right w:val="none" w:sz="0" w:space="0" w:color="auto"/>
      </w:divBdr>
    </w:div>
    <w:div w:id="1370955061">
      <w:bodyDiv w:val="1"/>
      <w:marLeft w:val="0"/>
      <w:marRight w:val="0"/>
      <w:marTop w:val="0"/>
      <w:marBottom w:val="0"/>
      <w:divBdr>
        <w:top w:val="none" w:sz="0" w:space="0" w:color="auto"/>
        <w:left w:val="none" w:sz="0" w:space="0" w:color="auto"/>
        <w:bottom w:val="none" w:sz="0" w:space="0" w:color="auto"/>
        <w:right w:val="none" w:sz="0" w:space="0" w:color="auto"/>
      </w:divBdr>
    </w:div>
    <w:div w:id="1384602677">
      <w:bodyDiv w:val="1"/>
      <w:marLeft w:val="0"/>
      <w:marRight w:val="0"/>
      <w:marTop w:val="0"/>
      <w:marBottom w:val="0"/>
      <w:divBdr>
        <w:top w:val="none" w:sz="0" w:space="0" w:color="auto"/>
        <w:left w:val="none" w:sz="0" w:space="0" w:color="auto"/>
        <w:bottom w:val="none" w:sz="0" w:space="0" w:color="auto"/>
        <w:right w:val="none" w:sz="0" w:space="0" w:color="auto"/>
      </w:divBdr>
    </w:div>
    <w:div w:id="1391731304">
      <w:bodyDiv w:val="1"/>
      <w:marLeft w:val="0"/>
      <w:marRight w:val="0"/>
      <w:marTop w:val="0"/>
      <w:marBottom w:val="0"/>
      <w:divBdr>
        <w:top w:val="none" w:sz="0" w:space="0" w:color="auto"/>
        <w:left w:val="none" w:sz="0" w:space="0" w:color="auto"/>
        <w:bottom w:val="none" w:sz="0" w:space="0" w:color="auto"/>
        <w:right w:val="none" w:sz="0" w:space="0" w:color="auto"/>
      </w:divBdr>
    </w:div>
    <w:div w:id="1392263610">
      <w:bodyDiv w:val="1"/>
      <w:marLeft w:val="0"/>
      <w:marRight w:val="0"/>
      <w:marTop w:val="0"/>
      <w:marBottom w:val="0"/>
      <w:divBdr>
        <w:top w:val="none" w:sz="0" w:space="0" w:color="auto"/>
        <w:left w:val="none" w:sz="0" w:space="0" w:color="auto"/>
        <w:bottom w:val="none" w:sz="0" w:space="0" w:color="auto"/>
        <w:right w:val="none" w:sz="0" w:space="0" w:color="auto"/>
      </w:divBdr>
    </w:div>
    <w:div w:id="1399279728">
      <w:bodyDiv w:val="1"/>
      <w:marLeft w:val="0"/>
      <w:marRight w:val="0"/>
      <w:marTop w:val="0"/>
      <w:marBottom w:val="0"/>
      <w:divBdr>
        <w:top w:val="none" w:sz="0" w:space="0" w:color="auto"/>
        <w:left w:val="none" w:sz="0" w:space="0" w:color="auto"/>
        <w:bottom w:val="none" w:sz="0" w:space="0" w:color="auto"/>
        <w:right w:val="none" w:sz="0" w:space="0" w:color="auto"/>
      </w:divBdr>
    </w:div>
    <w:div w:id="1405448438">
      <w:bodyDiv w:val="1"/>
      <w:marLeft w:val="0"/>
      <w:marRight w:val="0"/>
      <w:marTop w:val="0"/>
      <w:marBottom w:val="0"/>
      <w:divBdr>
        <w:top w:val="none" w:sz="0" w:space="0" w:color="auto"/>
        <w:left w:val="none" w:sz="0" w:space="0" w:color="auto"/>
        <w:bottom w:val="none" w:sz="0" w:space="0" w:color="auto"/>
        <w:right w:val="none" w:sz="0" w:space="0" w:color="auto"/>
      </w:divBdr>
    </w:div>
    <w:div w:id="1405831047">
      <w:bodyDiv w:val="1"/>
      <w:marLeft w:val="0"/>
      <w:marRight w:val="0"/>
      <w:marTop w:val="0"/>
      <w:marBottom w:val="0"/>
      <w:divBdr>
        <w:top w:val="none" w:sz="0" w:space="0" w:color="auto"/>
        <w:left w:val="none" w:sz="0" w:space="0" w:color="auto"/>
        <w:bottom w:val="none" w:sz="0" w:space="0" w:color="auto"/>
        <w:right w:val="none" w:sz="0" w:space="0" w:color="auto"/>
      </w:divBdr>
    </w:div>
    <w:div w:id="1406566349">
      <w:bodyDiv w:val="1"/>
      <w:marLeft w:val="0"/>
      <w:marRight w:val="0"/>
      <w:marTop w:val="0"/>
      <w:marBottom w:val="0"/>
      <w:divBdr>
        <w:top w:val="none" w:sz="0" w:space="0" w:color="auto"/>
        <w:left w:val="none" w:sz="0" w:space="0" w:color="auto"/>
        <w:bottom w:val="none" w:sz="0" w:space="0" w:color="auto"/>
        <w:right w:val="none" w:sz="0" w:space="0" w:color="auto"/>
      </w:divBdr>
    </w:div>
    <w:div w:id="1410229189">
      <w:bodyDiv w:val="1"/>
      <w:marLeft w:val="0"/>
      <w:marRight w:val="0"/>
      <w:marTop w:val="0"/>
      <w:marBottom w:val="0"/>
      <w:divBdr>
        <w:top w:val="none" w:sz="0" w:space="0" w:color="auto"/>
        <w:left w:val="none" w:sz="0" w:space="0" w:color="auto"/>
        <w:bottom w:val="none" w:sz="0" w:space="0" w:color="auto"/>
        <w:right w:val="none" w:sz="0" w:space="0" w:color="auto"/>
      </w:divBdr>
    </w:div>
    <w:div w:id="1412390874">
      <w:bodyDiv w:val="1"/>
      <w:marLeft w:val="0"/>
      <w:marRight w:val="0"/>
      <w:marTop w:val="0"/>
      <w:marBottom w:val="0"/>
      <w:divBdr>
        <w:top w:val="none" w:sz="0" w:space="0" w:color="auto"/>
        <w:left w:val="none" w:sz="0" w:space="0" w:color="auto"/>
        <w:bottom w:val="none" w:sz="0" w:space="0" w:color="auto"/>
        <w:right w:val="none" w:sz="0" w:space="0" w:color="auto"/>
      </w:divBdr>
    </w:div>
    <w:div w:id="1412583274">
      <w:bodyDiv w:val="1"/>
      <w:marLeft w:val="0"/>
      <w:marRight w:val="0"/>
      <w:marTop w:val="0"/>
      <w:marBottom w:val="0"/>
      <w:divBdr>
        <w:top w:val="none" w:sz="0" w:space="0" w:color="auto"/>
        <w:left w:val="none" w:sz="0" w:space="0" w:color="auto"/>
        <w:bottom w:val="none" w:sz="0" w:space="0" w:color="auto"/>
        <w:right w:val="none" w:sz="0" w:space="0" w:color="auto"/>
      </w:divBdr>
    </w:div>
    <w:div w:id="1417437435">
      <w:bodyDiv w:val="1"/>
      <w:marLeft w:val="0"/>
      <w:marRight w:val="0"/>
      <w:marTop w:val="0"/>
      <w:marBottom w:val="0"/>
      <w:divBdr>
        <w:top w:val="none" w:sz="0" w:space="0" w:color="auto"/>
        <w:left w:val="none" w:sz="0" w:space="0" w:color="auto"/>
        <w:bottom w:val="none" w:sz="0" w:space="0" w:color="auto"/>
        <w:right w:val="none" w:sz="0" w:space="0" w:color="auto"/>
      </w:divBdr>
    </w:div>
    <w:div w:id="1419449023">
      <w:bodyDiv w:val="1"/>
      <w:marLeft w:val="0"/>
      <w:marRight w:val="0"/>
      <w:marTop w:val="0"/>
      <w:marBottom w:val="0"/>
      <w:divBdr>
        <w:top w:val="none" w:sz="0" w:space="0" w:color="auto"/>
        <w:left w:val="none" w:sz="0" w:space="0" w:color="auto"/>
        <w:bottom w:val="none" w:sz="0" w:space="0" w:color="auto"/>
        <w:right w:val="none" w:sz="0" w:space="0" w:color="auto"/>
      </w:divBdr>
    </w:div>
    <w:div w:id="1432780724">
      <w:bodyDiv w:val="1"/>
      <w:marLeft w:val="0"/>
      <w:marRight w:val="0"/>
      <w:marTop w:val="0"/>
      <w:marBottom w:val="0"/>
      <w:divBdr>
        <w:top w:val="none" w:sz="0" w:space="0" w:color="auto"/>
        <w:left w:val="none" w:sz="0" w:space="0" w:color="auto"/>
        <w:bottom w:val="none" w:sz="0" w:space="0" w:color="auto"/>
        <w:right w:val="none" w:sz="0" w:space="0" w:color="auto"/>
      </w:divBdr>
      <w:divsChild>
        <w:div w:id="63843591">
          <w:marLeft w:val="0"/>
          <w:marRight w:val="0"/>
          <w:marTop w:val="0"/>
          <w:marBottom w:val="0"/>
          <w:divBdr>
            <w:top w:val="none" w:sz="0" w:space="0" w:color="auto"/>
            <w:left w:val="none" w:sz="0" w:space="0" w:color="auto"/>
            <w:bottom w:val="none" w:sz="0" w:space="0" w:color="auto"/>
            <w:right w:val="none" w:sz="0" w:space="0" w:color="auto"/>
          </w:divBdr>
        </w:div>
        <w:div w:id="71316686">
          <w:marLeft w:val="0"/>
          <w:marRight w:val="0"/>
          <w:marTop w:val="0"/>
          <w:marBottom w:val="0"/>
          <w:divBdr>
            <w:top w:val="none" w:sz="0" w:space="0" w:color="auto"/>
            <w:left w:val="none" w:sz="0" w:space="0" w:color="auto"/>
            <w:bottom w:val="none" w:sz="0" w:space="0" w:color="auto"/>
            <w:right w:val="none" w:sz="0" w:space="0" w:color="auto"/>
          </w:divBdr>
        </w:div>
        <w:div w:id="1609661154">
          <w:marLeft w:val="0"/>
          <w:marRight w:val="0"/>
          <w:marTop w:val="0"/>
          <w:marBottom w:val="0"/>
          <w:divBdr>
            <w:top w:val="none" w:sz="0" w:space="0" w:color="auto"/>
            <w:left w:val="none" w:sz="0" w:space="0" w:color="auto"/>
            <w:bottom w:val="none" w:sz="0" w:space="0" w:color="auto"/>
            <w:right w:val="none" w:sz="0" w:space="0" w:color="auto"/>
          </w:divBdr>
        </w:div>
      </w:divsChild>
    </w:div>
    <w:div w:id="1433286417">
      <w:bodyDiv w:val="1"/>
      <w:marLeft w:val="0"/>
      <w:marRight w:val="0"/>
      <w:marTop w:val="0"/>
      <w:marBottom w:val="0"/>
      <w:divBdr>
        <w:top w:val="none" w:sz="0" w:space="0" w:color="auto"/>
        <w:left w:val="none" w:sz="0" w:space="0" w:color="auto"/>
        <w:bottom w:val="none" w:sz="0" w:space="0" w:color="auto"/>
        <w:right w:val="none" w:sz="0" w:space="0" w:color="auto"/>
      </w:divBdr>
    </w:div>
    <w:div w:id="1435859529">
      <w:bodyDiv w:val="1"/>
      <w:marLeft w:val="0"/>
      <w:marRight w:val="0"/>
      <w:marTop w:val="0"/>
      <w:marBottom w:val="0"/>
      <w:divBdr>
        <w:top w:val="none" w:sz="0" w:space="0" w:color="auto"/>
        <w:left w:val="none" w:sz="0" w:space="0" w:color="auto"/>
        <w:bottom w:val="none" w:sz="0" w:space="0" w:color="auto"/>
        <w:right w:val="none" w:sz="0" w:space="0" w:color="auto"/>
      </w:divBdr>
    </w:div>
    <w:div w:id="1444031770">
      <w:bodyDiv w:val="1"/>
      <w:marLeft w:val="0"/>
      <w:marRight w:val="0"/>
      <w:marTop w:val="0"/>
      <w:marBottom w:val="0"/>
      <w:divBdr>
        <w:top w:val="none" w:sz="0" w:space="0" w:color="auto"/>
        <w:left w:val="none" w:sz="0" w:space="0" w:color="auto"/>
        <w:bottom w:val="none" w:sz="0" w:space="0" w:color="auto"/>
        <w:right w:val="none" w:sz="0" w:space="0" w:color="auto"/>
      </w:divBdr>
    </w:div>
    <w:div w:id="1446656884">
      <w:bodyDiv w:val="1"/>
      <w:marLeft w:val="0"/>
      <w:marRight w:val="0"/>
      <w:marTop w:val="0"/>
      <w:marBottom w:val="0"/>
      <w:divBdr>
        <w:top w:val="none" w:sz="0" w:space="0" w:color="auto"/>
        <w:left w:val="none" w:sz="0" w:space="0" w:color="auto"/>
        <w:bottom w:val="none" w:sz="0" w:space="0" w:color="auto"/>
        <w:right w:val="none" w:sz="0" w:space="0" w:color="auto"/>
      </w:divBdr>
    </w:div>
    <w:div w:id="1454669582">
      <w:bodyDiv w:val="1"/>
      <w:marLeft w:val="0"/>
      <w:marRight w:val="0"/>
      <w:marTop w:val="0"/>
      <w:marBottom w:val="0"/>
      <w:divBdr>
        <w:top w:val="none" w:sz="0" w:space="0" w:color="auto"/>
        <w:left w:val="none" w:sz="0" w:space="0" w:color="auto"/>
        <w:bottom w:val="none" w:sz="0" w:space="0" w:color="auto"/>
        <w:right w:val="none" w:sz="0" w:space="0" w:color="auto"/>
      </w:divBdr>
    </w:div>
    <w:div w:id="1457606055">
      <w:bodyDiv w:val="1"/>
      <w:marLeft w:val="0"/>
      <w:marRight w:val="0"/>
      <w:marTop w:val="0"/>
      <w:marBottom w:val="0"/>
      <w:divBdr>
        <w:top w:val="none" w:sz="0" w:space="0" w:color="auto"/>
        <w:left w:val="none" w:sz="0" w:space="0" w:color="auto"/>
        <w:bottom w:val="none" w:sz="0" w:space="0" w:color="auto"/>
        <w:right w:val="none" w:sz="0" w:space="0" w:color="auto"/>
      </w:divBdr>
    </w:div>
    <w:div w:id="1460343858">
      <w:bodyDiv w:val="1"/>
      <w:marLeft w:val="0"/>
      <w:marRight w:val="0"/>
      <w:marTop w:val="0"/>
      <w:marBottom w:val="0"/>
      <w:divBdr>
        <w:top w:val="none" w:sz="0" w:space="0" w:color="auto"/>
        <w:left w:val="none" w:sz="0" w:space="0" w:color="auto"/>
        <w:bottom w:val="none" w:sz="0" w:space="0" w:color="auto"/>
        <w:right w:val="none" w:sz="0" w:space="0" w:color="auto"/>
      </w:divBdr>
    </w:div>
    <w:div w:id="1466387397">
      <w:bodyDiv w:val="1"/>
      <w:marLeft w:val="0"/>
      <w:marRight w:val="0"/>
      <w:marTop w:val="0"/>
      <w:marBottom w:val="0"/>
      <w:divBdr>
        <w:top w:val="none" w:sz="0" w:space="0" w:color="auto"/>
        <w:left w:val="none" w:sz="0" w:space="0" w:color="auto"/>
        <w:bottom w:val="none" w:sz="0" w:space="0" w:color="auto"/>
        <w:right w:val="none" w:sz="0" w:space="0" w:color="auto"/>
      </w:divBdr>
    </w:div>
    <w:div w:id="1470972470">
      <w:bodyDiv w:val="1"/>
      <w:marLeft w:val="0"/>
      <w:marRight w:val="0"/>
      <w:marTop w:val="0"/>
      <w:marBottom w:val="0"/>
      <w:divBdr>
        <w:top w:val="none" w:sz="0" w:space="0" w:color="auto"/>
        <w:left w:val="none" w:sz="0" w:space="0" w:color="auto"/>
        <w:bottom w:val="none" w:sz="0" w:space="0" w:color="auto"/>
        <w:right w:val="none" w:sz="0" w:space="0" w:color="auto"/>
      </w:divBdr>
    </w:div>
    <w:div w:id="1481115186">
      <w:bodyDiv w:val="1"/>
      <w:marLeft w:val="0"/>
      <w:marRight w:val="0"/>
      <w:marTop w:val="0"/>
      <w:marBottom w:val="0"/>
      <w:divBdr>
        <w:top w:val="none" w:sz="0" w:space="0" w:color="auto"/>
        <w:left w:val="none" w:sz="0" w:space="0" w:color="auto"/>
        <w:bottom w:val="none" w:sz="0" w:space="0" w:color="auto"/>
        <w:right w:val="none" w:sz="0" w:space="0" w:color="auto"/>
      </w:divBdr>
    </w:div>
    <w:div w:id="1481190119">
      <w:bodyDiv w:val="1"/>
      <w:marLeft w:val="0"/>
      <w:marRight w:val="0"/>
      <w:marTop w:val="0"/>
      <w:marBottom w:val="0"/>
      <w:divBdr>
        <w:top w:val="none" w:sz="0" w:space="0" w:color="auto"/>
        <w:left w:val="none" w:sz="0" w:space="0" w:color="auto"/>
        <w:bottom w:val="none" w:sz="0" w:space="0" w:color="auto"/>
        <w:right w:val="none" w:sz="0" w:space="0" w:color="auto"/>
      </w:divBdr>
    </w:div>
    <w:div w:id="1485050559">
      <w:bodyDiv w:val="1"/>
      <w:marLeft w:val="0"/>
      <w:marRight w:val="0"/>
      <w:marTop w:val="0"/>
      <w:marBottom w:val="0"/>
      <w:divBdr>
        <w:top w:val="none" w:sz="0" w:space="0" w:color="auto"/>
        <w:left w:val="none" w:sz="0" w:space="0" w:color="auto"/>
        <w:bottom w:val="none" w:sz="0" w:space="0" w:color="auto"/>
        <w:right w:val="none" w:sz="0" w:space="0" w:color="auto"/>
      </w:divBdr>
    </w:div>
    <w:div w:id="1495728880">
      <w:bodyDiv w:val="1"/>
      <w:marLeft w:val="0"/>
      <w:marRight w:val="0"/>
      <w:marTop w:val="0"/>
      <w:marBottom w:val="0"/>
      <w:divBdr>
        <w:top w:val="none" w:sz="0" w:space="0" w:color="auto"/>
        <w:left w:val="none" w:sz="0" w:space="0" w:color="auto"/>
        <w:bottom w:val="none" w:sz="0" w:space="0" w:color="auto"/>
        <w:right w:val="none" w:sz="0" w:space="0" w:color="auto"/>
      </w:divBdr>
    </w:div>
    <w:div w:id="1497064813">
      <w:bodyDiv w:val="1"/>
      <w:marLeft w:val="0"/>
      <w:marRight w:val="0"/>
      <w:marTop w:val="0"/>
      <w:marBottom w:val="0"/>
      <w:divBdr>
        <w:top w:val="none" w:sz="0" w:space="0" w:color="auto"/>
        <w:left w:val="none" w:sz="0" w:space="0" w:color="auto"/>
        <w:bottom w:val="none" w:sz="0" w:space="0" w:color="auto"/>
        <w:right w:val="none" w:sz="0" w:space="0" w:color="auto"/>
      </w:divBdr>
    </w:div>
    <w:div w:id="1501583488">
      <w:bodyDiv w:val="1"/>
      <w:marLeft w:val="0"/>
      <w:marRight w:val="0"/>
      <w:marTop w:val="0"/>
      <w:marBottom w:val="0"/>
      <w:divBdr>
        <w:top w:val="none" w:sz="0" w:space="0" w:color="auto"/>
        <w:left w:val="none" w:sz="0" w:space="0" w:color="auto"/>
        <w:bottom w:val="none" w:sz="0" w:space="0" w:color="auto"/>
        <w:right w:val="none" w:sz="0" w:space="0" w:color="auto"/>
      </w:divBdr>
    </w:div>
    <w:div w:id="1504472520">
      <w:bodyDiv w:val="1"/>
      <w:marLeft w:val="0"/>
      <w:marRight w:val="0"/>
      <w:marTop w:val="0"/>
      <w:marBottom w:val="0"/>
      <w:divBdr>
        <w:top w:val="none" w:sz="0" w:space="0" w:color="auto"/>
        <w:left w:val="none" w:sz="0" w:space="0" w:color="auto"/>
        <w:bottom w:val="none" w:sz="0" w:space="0" w:color="auto"/>
        <w:right w:val="none" w:sz="0" w:space="0" w:color="auto"/>
      </w:divBdr>
    </w:div>
    <w:div w:id="1505316958">
      <w:bodyDiv w:val="1"/>
      <w:marLeft w:val="0"/>
      <w:marRight w:val="0"/>
      <w:marTop w:val="0"/>
      <w:marBottom w:val="0"/>
      <w:divBdr>
        <w:top w:val="none" w:sz="0" w:space="0" w:color="auto"/>
        <w:left w:val="none" w:sz="0" w:space="0" w:color="auto"/>
        <w:bottom w:val="none" w:sz="0" w:space="0" w:color="auto"/>
        <w:right w:val="none" w:sz="0" w:space="0" w:color="auto"/>
      </w:divBdr>
    </w:div>
    <w:div w:id="1505627968">
      <w:bodyDiv w:val="1"/>
      <w:marLeft w:val="0"/>
      <w:marRight w:val="0"/>
      <w:marTop w:val="0"/>
      <w:marBottom w:val="0"/>
      <w:divBdr>
        <w:top w:val="none" w:sz="0" w:space="0" w:color="auto"/>
        <w:left w:val="none" w:sz="0" w:space="0" w:color="auto"/>
        <w:bottom w:val="none" w:sz="0" w:space="0" w:color="auto"/>
        <w:right w:val="none" w:sz="0" w:space="0" w:color="auto"/>
      </w:divBdr>
    </w:div>
    <w:div w:id="1506549793">
      <w:bodyDiv w:val="1"/>
      <w:marLeft w:val="0"/>
      <w:marRight w:val="0"/>
      <w:marTop w:val="0"/>
      <w:marBottom w:val="0"/>
      <w:divBdr>
        <w:top w:val="none" w:sz="0" w:space="0" w:color="auto"/>
        <w:left w:val="none" w:sz="0" w:space="0" w:color="auto"/>
        <w:bottom w:val="none" w:sz="0" w:space="0" w:color="auto"/>
        <w:right w:val="none" w:sz="0" w:space="0" w:color="auto"/>
      </w:divBdr>
    </w:div>
    <w:div w:id="1508521364">
      <w:bodyDiv w:val="1"/>
      <w:marLeft w:val="0"/>
      <w:marRight w:val="0"/>
      <w:marTop w:val="0"/>
      <w:marBottom w:val="0"/>
      <w:divBdr>
        <w:top w:val="none" w:sz="0" w:space="0" w:color="auto"/>
        <w:left w:val="none" w:sz="0" w:space="0" w:color="auto"/>
        <w:bottom w:val="none" w:sz="0" w:space="0" w:color="auto"/>
        <w:right w:val="none" w:sz="0" w:space="0" w:color="auto"/>
      </w:divBdr>
      <w:divsChild>
        <w:div w:id="276838112">
          <w:marLeft w:val="0"/>
          <w:marRight w:val="0"/>
          <w:marTop w:val="0"/>
          <w:marBottom w:val="0"/>
          <w:divBdr>
            <w:top w:val="none" w:sz="0" w:space="0" w:color="auto"/>
            <w:left w:val="none" w:sz="0" w:space="0" w:color="auto"/>
            <w:bottom w:val="none" w:sz="0" w:space="0" w:color="auto"/>
            <w:right w:val="none" w:sz="0" w:space="0" w:color="auto"/>
          </w:divBdr>
          <w:divsChild>
            <w:div w:id="618536392">
              <w:marLeft w:val="0"/>
              <w:marRight w:val="0"/>
              <w:marTop w:val="0"/>
              <w:marBottom w:val="0"/>
              <w:divBdr>
                <w:top w:val="none" w:sz="0" w:space="0" w:color="auto"/>
                <w:left w:val="none" w:sz="0" w:space="0" w:color="auto"/>
                <w:bottom w:val="none" w:sz="0" w:space="0" w:color="auto"/>
                <w:right w:val="none" w:sz="0" w:space="0" w:color="auto"/>
              </w:divBdr>
              <w:divsChild>
                <w:div w:id="1118060759">
                  <w:marLeft w:val="0"/>
                  <w:marRight w:val="0"/>
                  <w:marTop w:val="0"/>
                  <w:marBottom w:val="0"/>
                  <w:divBdr>
                    <w:top w:val="none" w:sz="0" w:space="0" w:color="auto"/>
                    <w:left w:val="none" w:sz="0" w:space="0" w:color="auto"/>
                    <w:bottom w:val="none" w:sz="0" w:space="0" w:color="auto"/>
                    <w:right w:val="none" w:sz="0" w:space="0" w:color="auto"/>
                  </w:divBdr>
                  <w:divsChild>
                    <w:div w:id="32583144">
                      <w:marLeft w:val="0"/>
                      <w:marRight w:val="0"/>
                      <w:marTop w:val="0"/>
                      <w:marBottom w:val="0"/>
                      <w:divBdr>
                        <w:top w:val="none" w:sz="0" w:space="0" w:color="auto"/>
                        <w:left w:val="none" w:sz="0" w:space="0" w:color="auto"/>
                        <w:bottom w:val="none" w:sz="0" w:space="0" w:color="auto"/>
                        <w:right w:val="none" w:sz="0" w:space="0" w:color="auto"/>
                      </w:divBdr>
                      <w:divsChild>
                        <w:div w:id="1067189729">
                          <w:marLeft w:val="0"/>
                          <w:marRight w:val="0"/>
                          <w:marTop w:val="0"/>
                          <w:marBottom w:val="0"/>
                          <w:divBdr>
                            <w:top w:val="none" w:sz="0" w:space="0" w:color="auto"/>
                            <w:left w:val="none" w:sz="0" w:space="0" w:color="auto"/>
                            <w:bottom w:val="none" w:sz="0" w:space="0" w:color="auto"/>
                            <w:right w:val="none" w:sz="0" w:space="0" w:color="auto"/>
                          </w:divBdr>
                          <w:divsChild>
                            <w:div w:id="987826885">
                              <w:marLeft w:val="0"/>
                              <w:marRight w:val="0"/>
                              <w:marTop w:val="0"/>
                              <w:marBottom w:val="0"/>
                              <w:divBdr>
                                <w:top w:val="none" w:sz="0" w:space="0" w:color="auto"/>
                                <w:left w:val="none" w:sz="0" w:space="0" w:color="auto"/>
                                <w:bottom w:val="none" w:sz="0" w:space="0" w:color="auto"/>
                                <w:right w:val="none" w:sz="0" w:space="0" w:color="auto"/>
                              </w:divBdr>
                              <w:divsChild>
                                <w:div w:id="1719671781">
                                  <w:marLeft w:val="0"/>
                                  <w:marRight w:val="0"/>
                                  <w:marTop w:val="0"/>
                                  <w:marBottom w:val="0"/>
                                  <w:divBdr>
                                    <w:top w:val="none" w:sz="0" w:space="0" w:color="auto"/>
                                    <w:left w:val="none" w:sz="0" w:space="0" w:color="auto"/>
                                    <w:bottom w:val="none" w:sz="0" w:space="0" w:color="auto"/>
                                    <w:right w:val="none" w:sz="0" w:space="0" w:color="auto"/>
                                  </w:divBdr>
                                  <w:divsChild>
                                    <w:div w:id="1918712709">
                                      <w:marLeft w:val="0"/>
                                      <w:marRight w:val="0"/>
                                      <w:marTop w:val="0"/>
                                      <w:marBottom w:val="0"/>
                                      <w:divBdr>
                                        <w:top w:val="none" w:sz="0" w:space="0" w:color="auto"/>
                                        <w:left w:val="none" w:sz="0" w:space="0" w:color="auto"/>
                                        <w:bottom w:val="none" w:sz="0" w:space="0" w:color="auto"/>
                                        <w:right w:val="none" w:sz="0" w:space="0" w:color="auto"/>
                                      </w:divBdr>
                                      <w:divsChild>
                                        <w:div w:id="892691773">
                                          <w:marLeft w:val="0"/>
                                          <w:marRight w:val="0"/>
                                          <w:marTop w:val="0"/>
                                          <w:marBottom w:val="0"/>
                                          <w:divBdr>
                                            <w:top w:val="none" w:sz="0" w:space="0" w:color="auto"/>
                                            <w:left w:val="none" w:sz="0" w:space="0" w:color="auto"/>
                                            <w:bottom w:val="none" w:sz="0" w:space="0" w:color="auto"/>
                                            <w:right w:val="none" w:sz="0" w:space="0" w:color="auto"/>
                                          </w:divBdr>
                                          <w:divsChild>
                                            <w:div w:id="2098557581">
                                              <w:marLeft w:val="0"/>
                                              <w:marRight w:val="0"/>
                                              <w:marTop w:val="0"/>
                                              <w:marBottom w:val="0"/>
                                              <w:divBdr>
                                                <w:top w:val="none" w:sz="0" w:space="0" w:color="auto"/>
                                                <w:left w:val="none" w:sz="0" w:space="0" w:color="auto"/>
                                                <w:bottom w:val="none" w:sz="0" w:space="0" w:color="auto"/>
                                                <w:right w:val="none" w:sz="0" w:space="0" w:color="auto"/>
                                              </w:divBdr>
                                              <w:divsChild>
                                                <w:div w:id="1883708711">
                                                  <w:marLeft w:val="0"/>
                                                  <w:marRight w:val="0"/>
                                                  <w:marTop w:val="0"/>
                                                  <w:marBottom w:val="0"/>
                                                  <w:divBdr>
                                                    <w:top w:val="none" w:sz="0" w:space="0" w:color="auto"/>
                                                    <w:left w:val="none" w:sz="0" w:space="0" w:color="auto"/>
                                                    <w:bottom w:val="none" w:sz="0" w:space="0" w:color="auto"/>
                                                    <w:right w:val="none" w:sz="0" w:space="0" w:color="auto"/>
                                                  </w:divBdr>
                                                  <w:divsChild>
                                                    <w:div w:id="447968300">
                                                      <w:marLeft w:val="0"/>
                                                      <w:marRight w:val="0"/>
                                                      <w:marTop w:val="0"/>
                                                      <w:marBottom w:val="0"/>
                                                      <w:divBdr>
                                                        <w:top w:val="none" w:sz="0" w:space="0" w:color="auto"/>
                                                        <w:left w:val="none" w:sz="0" w:space="0" w:color="auto"/>
                                                        <w:bottom w:val="none" w:sz="0" w:space="0" w:color="auto"/>
                                                        <w:right w:val="none" w:sz="0" w:space="0" w:color="auto"/>
                                                      </w:divBdr>
                                                      <w:divsChild>
                                                        <w:div w:id="143010149">
                                                          <w:marLeft w:val="0"/>
                                                          <w:marRight w:val="0"/>
                                                          <w:marTop w:val="0"/>
                                                          <w:marBottom w:val="0"/>
                                                          <w:divBdr>
                                                            <w:top w:val="none" w:sz="0" w:space="0" w:color="auto"/>
                                                            <w:left w:val="none" w:sz="0" w:space="0" w:color="auto"/>
                                                            <w:bottom w:val="none" w:sz="0" w:space="0" w:color="auto"/>
                                                            <w:right w:val="none" w:sz="0" w:space="0" w:color="auto"/>
                                                          </w:divBdr>
                                                          <w:divsChild>
                                                            <w:div w:id="647785593">
                                                              <w:marLeft w:val="0"/>
                                                              <w:marRight w:val="0"/>
                                                              <w:marTop w:val="0"/>
                                                              <w:marBottom w:val="0"/>
                                                              <w:divBdr>
                                                                <w:top w:val="none" w:sz="0" w:space="0" w:color="auto"/>
                                                                <w:left w:val="none" w:sz="0" w:space="0" w:color="auto"/>
                                                                <w:bottom w:val="none" w:sz="0" w:space="0" w:color="auto"/>
                                                                <w:right w:val="none" w:sz="0" w:space="0" w:color="auto"/>
                                                              </w:divBdr>
                                                              <w:divsChild>
                                                                <w:div w:id="1052079637">
                                                                  <w:marLeft w:val="0"/>
                                                                  <w:marRight w:val="0"/>
                                                                  <w:marTop w:val="0"/>
                                                                  <w:marBottom w:val="0"/>
                                                                  <w:divBdr>
                                                                    <w:top w:val="none" w:sz="0" w:space="0" w:color="auto"/>
                                                                    <w:left w:val="none" w:sz="0" w:space="0" w:color="auto"/>
                                                                    <w:bottom w:val="none" w:sz="0" w:space="0" w:color="auto"/>
                                                                    <w:right w:val="none" w:sz="0" w:space="0" w:color="auto"/>
                                                                  </w:divBdr>
                                                                  <w:divsChild>
                                                                    <w:div w:id="1542934385">
                                                                      <w:marLeft w:val="0"/>
                                                                      <w:marRight w:val="0"/>
                                                                      <w:marTop w:val="0"/>
                                                                      <w:marBottom w:val="0"/>
                                                                      <w:divBdr>
                                                                        <w:top w:val="none" w:sz="0" w:space="0" w:color="auto"/>
                                                                        <w:left w:val="none" w:sz="0" w:space="0" w:color="auto"/>
                                                                        <w:bottom w:val="none" w:sz="0" w:space="0" w:color="auto"/>
                                                                        <w:right w:val="none" w:sz="0" w:space="0" w:color="auto"/>
                                                                      </w:divBdr>
                                                                      <w:divsChild>
                                                                        <w:div w:id="2132088781">
                                                                          <w:marLeft w:val="0"/>
                                                                          <w:marRight w:val="0"/>
                                                                          <w:marTop w:val="0"/>
                                                                          <w:marBottom w:val="0"/>
                                                                          <w:divBdr>
                                                                            <w:top w:val="none" w:sz="0" w:space="0" w:color="auto"/>
                                                                            <w:left w:val="none" w:sz="0" w:space="0" w:color="auto"/>
                                                                            <w:bottom w:val="none" w:sz="0" w:space="0" w:color="auto"/>
                                                                            <w:right w:val="none" w:sz="0" w:space="0" w:color="auto"/>
                                                                          </w:divBdr>
                                                                          <w:divsChild>
                                                                            <w:div w:id="1803577922">
                                                                              <w:marLeft w:val="0"/>
                                                                              <w:marRight w:val="0"/>
                                                                              <w:marTop w:val="0"/>
                                                                              <w:marBottom w:val="0"/>
                                                                              <w:divBdr>
                                                                                <w:top w:val="none" w:sz="0" w:space="0" w:color="auto"/>
                                                                                <w:left w:val="none" w:sz="0" w:space="0" w:color="auto"/>
                                                                                <w:bottom w:val="none" w:sz="0" w:space="0" w:color="auto"/>
                                                                                <w:right w:val="none" w:sz="0" w:space="0" w:color="auto"/>
                                                                              </w:divBdr>
                                                                              <w:divsChild>
                                                                                <w:div w:id="1638418393">
                                                                                  <w:marLeft w:val="0"/>
                                                                                  <w:marRight w:val="0"/>
                                                                                  <w:marTop w:val="0"/>
                                                                                  <w:marBottom w:val="0"/>
                                                                                  <w:divBdr>
                                                                                    <w:top w:val="none" w:sz="0" w:space="0" w:color="auto"/>
                                                                                    <w:left w:val="none" w:sz="0" w:space="0" w:color="auto"/>
                                                                                    <w:bottom w:val="none" w:sz="0" w:space="0" w:color="auto"/>
                                                                                    <w:right w:val="none" w:sz="0" w:space="0" w:color="auto"/>
                                                                                  </w:divBdr>
                                                                                  <w:divsChild>
                                                                                    <w:div w:id="60687086">
                                                                                      <w:marLeft w:val="0"/>
                                                                                      <w:marRight w:val="0"/>
                                                                                      <w:marTop w:val="0"/>
                                                                                      <w:marBottom w:val="0"/>
                                                                                      <w:divBdr>
                                                                                        <w:top w:val="none" w:sz="0" w:space="0" w:color="auto"/>
                                                                                        <w:left w:val="none" w:sz="0" w:space="0" w:color="auto"/>
                                                                                        <w:bottom w:val="none" w:sz="0" w:space="0" w:color="auto"/>
                                                                                        <w:right w:val="none" w:sz="0" w:space="0" w:color="auto"/>
                                                                                      </w:divBdr>
                                                                                      <w:divsChild>
                                                                                        <w:div w:id="154956181">
                                                                                          <w:marLeft w:val="0"/>
                                                                                          <w:marRight w:val="0"/>
                                                                                          <w:marTop w:val="0"/>
                                                                                          <w:marBottom w:val="0"/>
                                                                                          <w:divBdr>
                                                                                            <w:top w:val="none" w:sz="0" w:space="0" w:color="auto"/>
                                                                                            <w:left w:val="none" w:sz="0" w:space="0" w:color="auto"/>
                                                                                            <w:bottom w:val="none" w:sz="0" w:space="0" w:color="auto"/>
                                                                                            <w:right w:val="none" w:sz="0" w:space="0" w:color="auto"/>
                                                                                          </w:divBdr>
                                                                                          <w:divsChild>
                                                                                            <w:div w:id="1474449320">
                                                                                              <w:marLeft w:val="0"/>
                                                                                              <w:marRight w:val="120"/>
                                                                                              <w:marTop w:val="0"/>
                                                                                              <w:marBottom w:val="150"/>
                                                                                              <w:divBdr>
                                                                                                <w:top w:val="single" w:sz="2" w:space="0" w:color="EFEFEF"/>
                                                                                                <w:left w:val="single" w:sz="6" w:space="0" w:color="EFEFEF"/>
                                                                                                <w:bottom w:val="single" w:sz="6" w:space="0" w:color="E2E2E2"/>
                                                                                                <w:right w:val="single" w:sz="6" w:space="0" w:color="EFEFEF"/>
                                                                                              </w:divBdr>
                                                                                              <w:divsChild>
                                                                                                <w:div w:id="387535520">
                                                                                                  <w:marLeft w:val="0"/>
                                                                                                  <w:marRight w:val="0"/>
                                                                                                  <w:marTop w:val="0"/>
                                                                                                  <w:marBottom w:val="0"/>
                                                                                                  <w:divBdr>
                                                                                                    <w:top w:val="none" w:sz="0" w:space="0" w:color="auto"/>
                                                                                                    <w:left w:val="none" w:sz="0" w:space="0" w:color="auto"/>
                                                                                                    <w:bottom w:val="none" w:sz="0" w:space="0" w:color="auto"/>
                                                                                                    <w:right w:val="none" w:sz="0" w:space="0" w:color="auto"/>
                                                                                                  </w:divBdr>
                                                                                                  <w:divsChild>
                                                                                                    <w:div w:id="1571502872">
                                                                                                      <w:marLeft w:val="0"/>
                                                                                                      <w:marRight w:val="0"/>
                                                                                                      <w:marTop w:val="0"/>
                                                                                                      <w:marBottom w:val="0"/>
                                                                                                      <w:divBdr>
                                                                                                        <w:top w:val="none" w:sz="0" w:space="0" w:color="auto"/>
                                                                                                        <w:left w:val="none" w:sz="0" w:space="0" w:color="auto"/>
                                                                                                        <w:bottom w:val="none" w:sz="0" w:space="0" w:color="auto"/>
                                                                                                        <w:right w:val="none" w:sz="0" w:space="0" w:color="auto"/>
                                                                                                      </w:divBdr>
                                                                                                      <w:divsChild>
                                                                                                        <w:div w:id="1678917846">
                                                                                                          <w:marLeft w:val="0"/>
                                                                                                          <w:marRight w:val="0"/>
                                                                                                          <w:marTop w:val="0"/>
                                                                                                          <w:marBottom w:val="0"/>
                                                                                                          <w:divBdr>
                                                                                                            <w:top w:val="none" w:sz="0" w:space="0" w:color="auto"/>
                                                                                                            <w:left w:val="none" w:sz="0" w:space="0" w:color="auto"/>
                                                                                                            <w:bottom w:val="none" w:sz="0" w:space="0" w:color="auto"/>
                                                                                                            <w:right w:val="none" w:sz="0" w:space="0" w:color="auto"/>
                                                                                                          </w:divBdr>
                                                                                                          <w:divsChild>
                                                                                                            <w:div w:id="716123162">
                                                                                                              <w:marLeft w:val="0"/>
                                                                                                              <w:marRight w:val="0"/>
                                                                                                              <w:marTop w:val="0"/>
                                                                                                              <w:marBottom w:val="0"/>
                                                                                                              <w:divBdr>
                                                                                                                <w:top w:val="none" w:sz="0" w:space="0" w:color="auto"/>
                                                                                                                <w:left w:val="none" w:sz="0" w:space="0" w:color="auto"/>
                                                                                                                <w:bottom w:val="none" w:sz="0" w:space="0" w:color="auto"/>
                                                                                                                <w:right w:val="none" w:sz="0" w:space="0" w:color="auto"/>
                                                                                                              </w:divBdr>
                                                                                                              <w:divsChild>
                                                                                                                <w:div w:id="67731751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95865850">
                                                                                                                      <w:marLeft w:val="225"/>
                                                                                                                      <w:marRight w:val="225"/>
                                                                                                                      <w:marTop w:val="75"/>
                                                                                                                      <w:marBottom w:val="75"/>
                                                                                                                      <w:divBdr>
                                                                                                                        <w:top w:val="none" w:sz="0" w:space="0" w:color="auto"/>
                                                                                                                        <w:left w:val="none" w:sz="0" w:space="0" w:color="auto"/>
                                                                                                                        <w:bottom w:val="none" w:sz="0" w:space="0" w:color="auto"/>
                                                                                                                        <w:right w:val="none" w:sz="0" w:space="0" w:color="auto"/>
                                                                                                                      </w:divBdr>
                                                                                                                      <w:divsChild>
                                                                                                                        <w:div w:id="685132053">
                                                                                                                          <w:marLeft w:val="0"/>
                                                                                                                          <w:marRight w:val="0"/>
                                                                                                                          <w:marTop w:val="0"/>
                                                                                                                          <w:marBottom w:val="0"/>
                                                                                                                          <w:divBdr>
                                                                                                                            <w:top w:val="single" w:sz="6" w:space="0" w:color="auto"/>
                                                                                                                            <w:left w:val="single" w:sz="6" w:space="0" w:color="auto"/>
                                                                                                                            <w:bottom w:val="single" w:sz="6" w:space="0" w:color="auto"/>
                                                                                                                            <w:right w:val="single" w:sz="6" w:space="0" w:color="auto"/>
                                                                                                                          </w:divBdr>
                                                                                                                          <w:divsChild>
                                                                                                                            <w:div w:id="1879510625">
                                                                                                                              <w:marLeft w:val="0"/>
                                                                                                                              <w:marRight w:val="0"/>
                                                                                                                              <w:marTop w:val="0"/>
                                                                                                                              <w:marBottom w:val="0"/>
                                                                                                                              <w:divBdr>
                                                                                                                                <w:top w:val="none" w:sz="0" w:space="0" w:color="auto"/>
                                                                                                                                <w:left w:val="none" w:sz="0" w:space="0" w:color="auto"/>
                                                                                                                                <w:bottom w:val="none" w:sz="0" w:space="0" w:color="auto"/>
                                                                                                                                <w:right w:val="none" w:sz="0" w:space="0" w:color="auto"/>
                                                                                                                              </w:divBdr>
                                                                                                                              <w:divsChild>
                                                                                                                                <w:div w:id="192846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827423">
      <w:bodyDiv w:val="1"/>
      <w:marLeft w:val="0"/>
      <w:marRight w:val="0"/>
      <w:marTop w:val="0"/>
      <w:marBottom w:val="0"/>
      <w:divBdr>
        <w:top w:val="none" w:sz="0" w:space="0" w:color="auto"/>
        <w:left w:val="none" w:sz="0" w:space="0" w:color="auto"/>
        <w:bottom w:val="none" w:sz="0" w:space="0" w:color="auto"/>
        <w:right w:val="none" w:sz="0" w:space="0" w:color="auto"/>
      </w:divBdr>
    </w:div>
    <w:div w:id="1517188246">
      <w:bodyDiv w:val="1"/>
      <w:marLeft w:val="0"/>
      <w:marRight w:val="0"/>
      <w:marTop w:val="0"/>
      <w:marBottom w:val="0"/>
      <w:divBdr>
        <w:top w:val="none" w:sz="0" w:space="0" w:color="auto"/>
        <w:left w:val="none" w:sz="0" w:space="0" w:color="auto"/>
        <w:bottom w:val="none" w:sz="0" w:space="0" w:color="auto"/>
        <w:right w:val="none" w:sz="0" w:space="0" w:color="auto"/>
      </w:divBdr>
    </w:div>
    <w:div w:id="1520510641">
      <w:bodyDiv w:val="1"/>
      <w:marLeft w:val="0"/>
      <w:marRight w:val="0"/>
      <w:marTop w:val="0"/>
      <w:marBottom w:val="0"/>
      <w:divBdr>
        <w:top w:val="none" w:sz="0" w:space="0" w:color="auto"/>
        <w:left w:val="none" w:sz="0" w:space="0" w:color="auto"/>
        <w:bottom w:val="none" w:sz="0" w:space="0" w:color="auto"/>
        <w:right w:val="none" w:sz="0" w:space="0" w:color="auto"/>
      </w:divBdr>
    </w:div>
    <w:div w:id="1521315633">
      <w:bodyDiv w:val="1"/>
      <w:marLeft w:val="0"/>
      <w:marRight w:val="0"/>
      <w:marTop w:val="0"/>
      <w:marBottom w:val="0"/>
      <w:divBdr>
        <w:top w:val="none" w:sz="0" w:space="0" w:color="auto"/>
        <w:left w:val="none" w:sz="0" w:space="0" w:color="auto"/>
        <w:bottom w:val="none" w:sz="0" w:space="0" w:color="auto"/>
        <w:right w:val="none" w:sz="0" w:space="0" w:color="auto"/>
      </w:divBdr>
    </w:div>
    <w:div w:id="1521434320">
      <w:bodyDiv w:val="1"/>
      <w:marLeft w:val="0"/>
      <w:marRight w:val="0"/>
      <w:marTop w:val="0"/>
      <w:marBottom w:val="0"/>
      <w:divBdr>
        <w:top w:val="none" w:sz="0" w:space="0" w:color="auto"/>
        <w:left w:val="none" w:sz="0" w:space="0" w:color="auto"/>
        <w:bottom w:val="none" w:sz="0" w:space="0" w:color="auto"/>
        <w:right w:val="none" w:sz="0" w:space="0" w:color="auto"/>
      </w:divBdr>
    </w:div>
    <w:div w:id="1522547597">
      <w:bodyDiv w:val="1"/>
      <w:marLeft w:val="0"/>
      <w:marRight w:val="0"/>
      <w:marTop w:val="0"/>
      <w:marBottom w:val="0"/>
      <w:divBdr>
        <w:top w:val="none" w:sz="0" w:space="0" w:color="auto"/>
        <w:left w:val="none" w:sz="0" w:space="0" w:color="auto"/>
        <w:bottom w:val="none" w:sz="0" w:space="0" w:color="auto"/>
        <w:right w:val="none" w:sz="0" w:space="0" w:color="auto"/>
      </w:divBdr>
    </w:div>
    <w:div w:id="1526358686">
      <w:bodyDiv w:val="1"/>
      <w:marLeft w:val="0"/>
      <w:marRight w:val="0"/>
      <w:marTop w:val="0"/>
      <w:marBottom w:val="0"/>
      <w:divBdr>
        <w:top w:val="none" w:sz="0" w:space="0" w:color="auto"/>
        <w:left w:val="none" w:sz="0" w:space="0" w:color="auto"/>
        <w:bottom w:val="none" w:sz="0" w:space="0" w:color="auto"/>
        <w:right w:val="none" w:sz="0" w:space="0" w:color="auto"/>
      </w:divBdr>
    </w:div>
    <w:div w:id="1526555041">
      <w:bodyDiv w:val="1"/>
      <w:marLeft w:val="0"/>
      <w:marRight w:val="0"/>
      <w:marTop w:val="0"/>
      <w:marBottom w:val="0"/>
      <w:divBdr>
        <w:top w:val="none" w:sz="0" w:space="0" w:color="auto"/>
        <w:left w:val="none" w:sz="0" w:space="0" w:color="auto"/>
        <w:bottom w:val="none" w:sz="0" w:space="0" w:color="auto"/>
        <w:right w:val="none" w:sz="0" w:space="0" w:color="auto"/>
      </w:divBdr>
    </w:div>
    <w:div w:id="1527061885">
      <w:bodyDiv w:val="1"/>
      <w:marLeft w:val="0"/>
      <w:marRight w:val="0"/>
      <w:marTop w:val="0"/>
      <w:marBottom w:val="0"/>
      <w:divBdr>
        <w:top w:val="none" w:sz="0" w:space="0" w:color="auto"/>
        <w:left w:val="none" w:sz="0" w:space="0" w:color="auto"/>
        <w:bottom w:val="none" w:sz="0" w:space="0" w:color="auto"/>
        <w:right w:val="none" w:sz="0" w:space="0" w:color="auto"/>
      </w:divBdr>
    </w:div>
    <w:div w:id="1527862840">
      <w:bodyDiv w:val="1"/>
      <w:marLeft w:val="0"/>
      <w:marRight w:val="0"/>
      <w:marTop w:val="0"/>
      <w:marBottom w:val="0"/>
      <w:divBdr>
        <w:top w:val="none" w:sz="0" w:space="0" w:color="auto"/>
        <w:left w:val="none" w:sz="0" w:space="0" w:color="auto"/>
        <w:bottom w:val="none" w:sz="0" w:space="0" w:color="auto"/>
        <w:right w:val="none" w:sz="0" w:space="0" w:color="auto"/>
      </w:divBdr>
    </w:div>
    <w:div w:id="1528906697">
      <w:bodyDiv w:val="1"/>
      <w:marLeft w:val="0"/>
      <w:marRight w:val="0"/>
      <w:marTop w:val="0"/>
      <w:marBottom w:val="0"/>
      <w:divBdr>
        <w:top w:val="none" w:sz="0" w:space="0" w:color="auto"/>
        <w:left w:val="none" w:sz="0" w:space="0" w:color="auto"/>
        <w:bottom w:val="none" w:sz="0" w:space="0" w:color="auto"/>
        <w:right w:val="none" w:sz="0" w:space="0" w:color="auto"/>
      </w:divBdr>
    </w:div>
    <w:div w:id="1535071243">
      <w:bodyDiv w:val="1"/>
      <w:marLeft w:val="0"/>
      <w:marRight w:val="0"/>
      <w:marTop w:val="0"/>
      <w:marBottom w:val="0"/>
      <w:divBdr>
        <w:top w:val="none" w:sz="0" w:space="0" w:color="auto"/>
        <w:left w:val="none" w:sz="0" w:space="0" w:color="auto"/>
        <w:bottom w:val="none" w:sz="0" w:space="0" w:color="auto"/>
        <w:right w:val="none" w:sz="0" w:space="0" w:color="auto"/>
      </w:divBdr>
    </w:div>
    <w:div w:id="1544904003">
      <w:bodyDiv w:val="1"/>
      <w:marLeft w:val="0"/>
      <w:marRight w:val="0"/>
      <w:marTop w:val="0"/>
      <w:marBottom w:val="0"/>
      <w:divBdr>
        <w:top w:val="none" w:sz="0" w:space="0" w:color="auto"/>
        <w:left w:val="none" w:sz="0" w:space="0" w:color="auto"/>
        <w:bottom w:val="none" w:sz="0" w:space="0" w:color="auto"/>
        <w:right w:val="none" w:sz="0" w:space="0" w:color="auto"/>
      </w:divBdr>
    </w:div>
    <w:div w:id="1547595738">
      <w:bodyDiv w:val="1"/>
      <w:marLeft w:val="0"/>
      <w:marRight w:val="0"/>
      <w:marTop w:val="0"/>
      <w:marBottom w:val="0"/>
      <w:divBdr>
        <w:top w:val="none" w:sz="0" w:space="0" w:color="auto"/>
        <w:left w:val="none" w:sz="0" w:space="0" w:color="auto"/>
        <w:bottom w:val="none" w:sz="0" w:space="0" w:color="auto"/>
        <w:right w:val="none" w:sz="0" w:space="0" w:color="auto"/>
      </w:divBdr>
    </w:div>
    <w:div w:id="1549755218">
      <w:bodyDiv w:val="1"/>
      <w:marLeft w:val="0"/>
      <w:marRight w:val="0"/>
      <w:marTop w:val="0"/>
      <w:marBottom w:val="0"/>
      <w:divBdr>
        <w:top w:val="none" w:sz="0" w:space="0" w:color="auto"/>
        <w:left w:val="none" w:sz="0" w:space="0" w:color="auto"/>
        <w:bottom w:val="none" w:sz="0" w:space="0" w:color="auto"/>
        <w:right w:val="none" w:sz="0" w:space="0" w:color="auto"/>
      </w:divBdr>
    </w:div>
    <w:div w:id="1556310670">
      <w:bodyDiv w:val="1"/>
      <w:marLeft w:val="0"/>
      <w:marRight w:val="0"/>
      <w:marTop w:val="0"/>
      <w:marBottom w:val="0"/>
      <w:divBdr>
        <w:top w:val="none" w:sz="0" w:space="0" w:color="auto"/>
        <w:left w:val="none" w:sz="0" w:space="0" w:color="auto"/>
        <w:bottom w:val="none" w:sz="0" w:space="0" w:color="auto"/>
        <w:right w:val="none" w:sz="0" w:space="0" w:color="auto"/>
      </w:divBdr>
    </w:div>
    <w:div w:id="1563521684">
      <w:bodyDiv w:val="1"/>
      <w:marLeft w:val="0"/>
      <w:marRight w:val="0"/>
      <w:marTop w:val="0"/>
      <w:marBottom w:val="0"/>
      <w:divBdr>
        <w:top w:val="none" w:sz="0" w:space="0" w:color="auto"/>
        <w:left w:val="none" w:sz="0" w:space="0" w:color="auto"/>
        <w:bottom w:val="none" w:sz="0" w:space="0" w:color="auto"/>
        <w:right w:val="none" w:sz="0" w:space="0" w:color="auto"/>
      </w:divBdr>
    </w:div>
    <w:div w:id="1566798135">
      <w:bodyDiv w:val="1"/>
      <w:marLeft w:val="0"/>
      <w:marRight w:val="0"/>
      <w:marTop w:val="0"/>
      <w:marBottom w:val="0"/>
      <w:divBdr>
        <w:top w:val="none" w:sz="0" w:space="0" w:color="auto"/>
        <w:left w:val="none" w:sz="0" w:space="0" w:color="auto"/>
        <w:bottom w:val="none" w:sz="0" w:space="0" w:color="auto"/>
        <w:right w:val="none" w:sz="0" w:space="0" w:color="auto"/>
      </w:divBdr>
    </w:div>
    <w:div w:id="1570069221">
      <w:bodyDiv w:val="1"/>
      <w:marLeft w:val="0"/>
      <w:marRight w:val="0"/>
      <w:marTop w:val="0"/>
      <w:marBottom w:val="0"/>
      <w:divBdr>
        <w:top w:val="none" w:sz="0" w:space="0" w:color="auto"/>
        <w:left w:val="none" w:sz="0" w:space="0" w:color="auto"/>
        <w:bottom w:val="none" w:sz="0" w:space="0" w:color="auto"/>
        <w:right w:val="none" w:sz="0" w:space="0" w:color="auto"/>
      </w:divBdr>
    </w:div>
    <w:div w:id="1573538126">
      <w:bodyDiv w:val="1"/>
      <w:marLeft w:val="0"/>
      <w:marRight w:val="0"/>
      <w:marTop w:val="0"/>
      <w:marBottom w:val="0"/>
      <w:divBdr>
        <w:top w:val="none" w:sz="0" w:space="0" w:color="auto"/>
        <w:left w:val="none" w:sz="0" w:space="0" w:color="auto"/>
        <w:bottom w:val="none" w:sz="0" w:space="0" w:color="auto"/>
        <w:right w:val="none" w:sz="0" w:space="0" w:color="auto"/>
      </w:divBdr>
    </w:div>
    <w:div w:id="1577857862">
      <w:bodyDiv w:val="1"/>
      <w:marLeft w:val="0"/>
      <w:marRight w:val="0"/>
      <w:marTop w:val="0"/>
      <w:marBottom w:val="0"/>
      <w:divBdr>
        <w:top w:val="none" w:sz="0" w:space="0" w:color="auto"/>
        <w:left w:val="none" w:sz="0" w:space="0" w:color="auto"/>
        <w:bottom w:val="none" w:sz="0" w:space="0" w:color="auto"/>
        <w:right w:val="none" w:sz="0" w:space="0" w:color="auto"/>
      </w:divBdr>
    </w:div>
    <w:div w:id="1581136568">
      <w:bodyDiv w:val="1"/>
      <w:marLeft w:val="0"/>
      <w:marRight w:val="0"/>
      <w:marTop w:val="0"/>
      <w:marBottom w:val="0"/>
      <w:divBdr>
        <w:top w:val="none" w:sz="0" w:space="0" w:color="auto"/>
        <w:left w:val="none" w:sz="0" w:space="0" w:color="auto"/>
        <w:bottom w:val="none" w:sz="0" w:space="0" w:color="auto"/>
        <w:right w:val="none" w:sz="0" w:space="0" w:color="auto"/>
      </w:divBdr>
    </w:div>
    <w:div w:id="1582907208">
      <w:bodyDiv w:val="1"/>
      <w:marLeft w:val="0"/>
      <w:marRight w:val="0"/>
      <w:marTop w:val="0"/>
      <w:marBottom w:val="0"/>
      <w:divBdr>
        <w:top w:val="none" w:sz="0" w:space="0" w:color="auto"/>
        <w:left w:val="none" w:sz="0" w:space="0" w:color="auto"/>
        <w:bottom w:val="none" w:sz="0" w:space="0" w:color="auto"/>
        <w:right w:val="none" w:sz="0" w:space="0" w:color="auto"/>
      </w:divBdr>
    </w:div>
    <w:div w:id="1591691500">
      <w:bodyDiv w:val="1"/>
      <w:marLeft w:val="0"/>
      <w:marRight w:val="0"/>
      <w:marTop w:val="0"/>
      <w:marBottom w:val="0"/>
      <w:divBdr>
        <w:top w:val="none" w:sz="0" w:space="0" w:color="auto"/>
        <w:left w:val="none" w:sz="0" w:space="0" w:color="auto"/>
        <w:bottom w:val="none" w:sz="0" w:space="0" w:color="auto"/>
        <w:right w:val="none" w:sz="0" w:space="0" w:color="auto"/>
      </w:divBdr>
    </w:div>
    <w:div w:id="1592003235">
      <w:bodyDiv w:val="1"/>
      <w:marLeft w:val="0"/>
      <w:marRight w:val="0"/>
      <w:marTop w:val="0"/>
      <w:marBottom w:val="0"/>
      <w:divBdr>
        <w:top w:val="none" w:sz="0" w:space="0" w:color="auto"/>
        <w:left w:val="none" w:sz="0" w:space="0" w:color="auto"/>
        <w:bottom w:val="none" w:sz="0" w:space="0" w:color="auto"/>
        <w:right w:val="none" w:sz="0" w:space="0" w:color="auto"/>
      </w:divBdr>
    </w:div>
    <w:div w:id="1593776270">
      <w:bodyDiv w:val="1"/>
      <w:marLeft w:val="0"/>
      <w:marRight w:val="0"/>
      <w:marTop w:val="0"/>
      <w:marBottom w:val="0"/>
      <w:divBdr>
        <w:top w:val="none" w:sz="0" w:space="0" w:color="auto"/>
        <w:left w:val="none" w:sz="0" w:space="0" w:color="auto"/>
        <w:bottom w:val="none" w:sz="0" w:space="0" w:color="auto"/>
        <w:right w:val="none" w:sz="0" w:space="0" w:color="auto"/>
      </w:divBdr>
    </w:div>
    <w:div w:id="1596472210">
      <w:bodyDiv w:val="1"/>
      <w:marLeft w:val="0"/>
      <w:marRight w:val="0"/>
      <w:marTop w:val="0"/>
      <w:marBottom w:val="0"/>
      <w:divBdr>
        <w:top w:val="none" w:sz="0" w:space="0" w:color="auto"/>
        <w:left w:val="none" w:sz="0" w:space="0" w:color="auto"/>
        <w:bottom w:val="none" w:sz="0" w:space="0" w:color="auto"/>
        <w:right w:val="none" w:sz="0" w:space="0" w:color="auto"/>
      </w:divBdr>
    </w:div>
    <w:div w:id="1606308794">
      <w:bodyDiv w:val="1"/>
      <w:marLeft w:val="0"/>
      <w:marRight w:val="0"/>
      <w:marTop w:val="0"/>
      <w:marBottom w:val="0"/>
      <w:divBdr>
        <w:top w:val="none" w:sz="0" w:space="0" w:color="auto"/>
        <w:left w:val="none" w:sz="0" w:space="0" w:color="auto"/>
        <w:bottom w:val="none" w:sz="0" w:space="0" w:color="auto"/>
        <w:right w:val="none" w:sz="0" w:space="0" w:color="auto"/>
      </w:divBdr>
    </w:div>
    <w:div w:id="1607227885">
      <w:bodyDiv w:val="1"/>
      <w:marLeft w:val="0"/>
      <w:marRight w:val="0"/>
      <w:marTop w:val="0"/>
      <w:marBottom w:val="0"/>
      <w:divBdr>
        <w:top w:val="none" w:sz="0" w:space="0" w:color="auto"/>
        <w:left w:val="none" w:sz="0" w:space="0" w:color="auto"/>
        <w:bottom w:val="none" w:sz="0" w:space="0" w:color="auto"/>
        <w:right w:val="none" w:sz="0" w:space="0" w:color="auto"/>
      </w:divBdr>
    </w:div>
    <w:div w:id="1608073348">
      <w:bodyDiv w:val="1"/>
      <w:marLeft w:val="0"/>
      <w:marRight w:val="0"/>
      <w:marTop w:val="0"/>
      <w:marBottom w:val="0"/>
      <w:divBdr>
        <w:top w:val="none" w:sz="0" w:space="0" w:color="auto"/>
        <w:left w:val="none" w:sz="0" w:space="0" w:color="auto"/>
        <w:bottom w:val="none" w:sz="0" w:space="0" w:color="auto"/>
        <w:right w:val="none" w:sz="0" w:space="0" w:color="auto"/>
      </w:divBdr>
    </w:div>
    <w:div w:id="1608613412">
      <w:bodyDiv w:val="1"/>
      <w:marLeft w:val="0"/>
      <w:marRight w:val="0"/>
      <w:marTop w:val="0"/>
      <w:marBottom w:val="0"/>
      <w:divBdr>
        <w:top w:val="none" w:sz="0" w:space="0" w:color="auto"/>
        <w:left w:val="none" w:sz="0" w:space="0" w:color="auto"/>
        <w:bottom w:val="none" w:sz="0" w:space="0" w:color="auto"/>
        <w:right w:val="none" w:sz="0" w:space="0" w:color="auto"/>
      </w:divBdr>
    </w:div>
    <w:div w:id="1621841798">
      <w:bodyDiv w:val="1"/>
      <w:marLeft w:val="0"/>
      <w:marRight w:val="0"/>
      <w:marTop w:val="0"/>
      <w:marBottom w:val="0"/>
      <w:divBdr>
        <w:top w:val="none" w:sz="0" w:space="0" w:color="auto"/>
        <w:left w:val="none" w:sz="0" w:space="0" w:color="auto"/>
        <w:bottom w:val="none" w:sz="0" w:space="0" w:color="auto"/>
        <w:right w:val="none" w:sz="0" w:space="0" w:color="auto"/>
      </w:divBdr>
      <w:divsChild>
        <w:div w:id="1994526473">
          <w:marLeft w:val="0"/>
          <w:marRight w:val="0"/>
          <w:marTop w:val="0"/>
          <w:marBottom w:val="0"/>
          <w:divBdr>
            <w:top w:val="none" w:sz="0" w:space="0" w:color="auto"/>
            <w:left w:val="none" w:sz="0" w:space="0" w:color="auto"/>
            <w:bottom w:val="none" w:sz="0" w:space="0" w:color="auto"/>
            <w:right w:val="none" w:sz="0" w:space="0" w:color="auto"/>
          </w:divBdr>
          <w:divsChild>
            <w:div w:id="2054844217">
              <w:marLeft w:val="0"/>
              <w:marRight w:val="0"/>
              <w:marTop w:val="0"/>
              <w:marBottom w:val="0"/>
              <w:divBdr>
                <w:top w:val="none" w:sz="0" w:space="0" w:color="auto"/>
                <w:left w:val="none" w:sz="0" w:space="0" w:color="auto"/>
                <w:bottom w:val="none" w:sz="0" w:space="0" w:color="auto"/>
                <w:right w:val="none" w:sz="0" w:space="0" w:color="auto"/>
              </w:divBdr>
              <w:divsChild>
                <w:div w:id="805391058">
                  <w:marLeft w:val="0"/>
                  <w:marRight w:val="0"/>
                  <w:marTop w:val="0"/>
                  <w:marBottom w:val="0"/>
                  <w:divBdr>
                    <w:top w:val="none" w:sz="0" w:space="0" w:color="auto"/>
                    <w:left w:val="none" w:sz="0" w:space="0" w:color="auto"/>
                    <w:bottom w:val="none" w:sz="0" w:space="0" w:color="auto"/>
                    <w:right w:val="none" w:sz="0" w:space="0" w:color="auto"/>
                  </w:divBdr>
                  <w:divsChild>
                    <w:div w:id="761494041">
                      <w:marLeft w:val="0"/>
                      <w:marRight w:val="0"/>
                      <w:marTop w:val="0"/>
                      <w:marBottom w:val="0"/>
                      <w:divBdr>
                        <w:top w:val="none" w:sz="0" w:space="0" w:color="auto"/>
                        <w:left w:val="none" w:sz="0" w:space="0" w:color="auto"/>
                        <w:bottom w:val="none" w:sz="0" w:space="0" w:color="auto"/>
                        <w:right w:val="none" w:sz="0" w:space="0" w:color="auto"/>
                      </w:divBdr>
                      <w:divsChild>
                        <w:div w:id="381057671">
                          <w:marLeft w:val="0"/>
                          <w:marRight w:val="0"/>
                          <w:marTop w:val="0"/>
                          <w:marBottom w:val="0"/>
                          <w:divBdr>
                            <w:top w:val="none" w:sz="0" w:space="0" w:color="auto"/>
                            <w:left w:val="none" w:sz="0" w:space="0" w:color="auto"/>
                            <w:bottom w:val="none" w:sz="0" w:space="0" w:color="auto"/>
                            <w:right w:val="none" w:sz="0" w:space="0" w:color="auto"/>
                          </w:divBdr>
                          <w:divsChild>
                            <w:div w:id="976953390">
                              <w:marLeft w:val="0"/>
                              <w:marRight w:val="0"/>
                              <w:marTop w:val="0"/>
                              <w:marBottom w:val="0"/>
                              <w:divBdr>
                                <w:top w:val="none" w:sz="0" w:space="0" w:color="auto"/>
                                <w:left w:val="none" w:sz="0" w:space="0" w:color="auto"/>
                                <w:bottom w:val="none" w:sz="0" w:space="0" w:color="auto"/>
                                <w:right w:val="none" w:sz="0" w:space="0" w:color="auto"/>
                              </w:divBdr>
                              <w:divsChild>
                                <w:div w:id="1700623453">
                                  <w:marLeft w:val="0"/>
                                  <w:marRight w:val="0"/>
                                  <w:marTop w:val="0"/>
                                  <w:marBottom w:val="0"/>
                                  <w:divBdr>
                                    <w:top w:val="none" w:sz="0" w:space="0" w:color="auto"/>
                                    <w:left w:val="none" w:sz="0" w:space="0" w:color="auto"/>
                                    <w:bottom w:val="none" w:sz="0" w:space="0" w:color="auto"/>
                                    <w:right w:val="none" w:sz="0" w:space="0" w:color="auto"/>
                                  </w:divBdr>
                                  <w:divsChild>
                                    <w:div w:id="463235809">
                                      <w:marLeft w:val="0"/>
                                      <w:marRight w:val="0"/>
                                      <w:marTop w:val="0"/>
                                      <w:marBottom w:val="0"/>
                                      <w:divBdr>
                                        <w:top w:val="none" w:sz="0" w:space="0" w:color="auto"/>
                                        <w:left w:val="none" w:sz="0" w:space="0" w:color="auto"/>
                                        <w:bottom w:val="none" w:sz="0" w:space="0" w:color="auto"/>
                                        <w:right w:val="none" w:sz="0" w:space="0" w:color="auto"/>
                                      </w:divBdr>
                                      <w:divsChild>
                                        <w:div w:id="2112583525">
                                          <w:marLeft w:val="0"/>
                                          <w:marRight w:val="0"/>
                                          <w:marTop w:val="0"/>
                                          <w:marBottom w:val="0"/>
                                          <w:divBdr>
                                            <w:top w:val="none" w:sz="0" w:space="0" w:color="auto"/>
                                            <w:left w:val="none" w:sz="0" w:space="0" w:color="auto"/>
                                            <w:bottom w:val="none" w:sz="0" w:space="0" w:color="auto"/>
                                            <w:right w:val="none" w:sz="0" w:space="0" w:color="auto"/>
                                          </w:divBdr>
                                          <w:divsChild>
                                            <w:div w:id="795370896">
                                              <w:marLeft w:val="0"/>
                                              <w:marRight w:val="0"/>
                                              <w:marTop w:val="0"/>
                                              <w:marBottom w:val="0"/>
                                              <w:divBdr>
                                                <w:top w:val="none" w:sz="0" w:space="0" w:color="auto"/>
                                                <w:left w:val="none" w:sz="0" w:space="0" w:color="auto"/>
                                                <w:bottom w:val="none" w:sz="0" w:space="0" w:color="auto"/>
                                                <w:right w:val="none" w:sz="0" w:space="0" w:color="auto"/>
                                              </w:divBdr>
                                              <w:divsChild>
                                                <w:div w:id="1202670505">
                                                  <w:marLeft w:val="0"/>
                                                  <w:marRight w:val="0"/>
                                                  <w:marTop w:val="0"/>
                                                  <w:marBottom w:val="0"/>
                                                  <w:divBdr>
                                                    <w:top w:val="none" w:sz="0" w:space="0" w:color="auto"/>
                                                    <w:left w:val="none" w:sz="0" w:space="0" w:color="auto"/>
                                                    <w:bottom w:val="none" w:sz="0" w:space="0" w:color="auto"/>
                                                    <w:right w:val="none" w:sz="0" w:space="0" w:color="auto"/>
                                                  </w:divBdr>
                                                  <w:divsChild>
                                                    <w:div w:id="1027751899">
                                                      <w:marLeft w:val="0"/>
                                                      <w:marRight w:val="0"/>
                                                      <w:marTop w:val="0"/>
                                                      <w:marBottom w:val="0"/>
                                                      <w:divBdr>
                                                        <w:top w:val="none" w:sz="0" w:space="0" w:color="auto"/>
                                                        <w:left w:val="none" w:sz="0" w:space="0" w:color="auto"/>
                                                        <w:bottom w:val="none" w:sz="0" w:space="0" w:color="auto"/>
                                                        <w:right w:val="none" w:sz="0" w:space="0" w:color="auto"/>
                                                      </w:divBdr>
                                                      <w:divsChild>
                                                        <w:div w:id="523400612">
                                                          <w:marLeft w:val="0"/>
                                                          <w:marRight w:val="0"/>
                                                          <w:marTop w:val="0"/>
                                                          <w:marBottom w:val="0"/>
                                                          <w:divBdr>
                                                            <w:top w:val="none" w:sz="0" w:space="0" w:color="auto"/>
                                                            <w:left w:val="none" w:sz="0" w:space="0" w:color="auto"/>
                                                            <w:bottom w:val="none" w:sz="0" w:space="0" w:color="auto"/>
                                                            <w:right w:val="none" w:sz="0" w:space="0" w:color="auto"/>
                                                          </w:divBdr>
                                                          <w:divsChild>
                                                            <w:div w:id="1985498862">
                                                              <w:marLeft w:val="0"/>
                                                              <w:marRight w:val="0"/>
                                                              <w:marTop w:val="0"/>
                                                              <w:marBottom w:val="0"/>
                                                              <w:divBdr>
                                                                <w:top w:val="none" w:sz="0" w:space="0" w:color="auto"/>
                                                                <w:left w:val="none" w:sz="0" w:space="0" w:color="auto"/>
                                                                <w:bottom w:val="none" w:sz="0" w:space="0" w:color="auto"/>
                                                                <w:right w:val="none" w:sz="0" w:space="0" w:color="auto"/>
                                                              </w:divBdr>
                                                              <w:divsChild>
                                                                <w:div w:id="167063778">
                                                                  <w:marLeft w:val="0"/>
                                                                  <w:marRight w:val="0"/>
                                                                  <w:marTop w:val="0"/>
                                                                  <w:marBottom w:val="0"/>
                                                                  <w:divBdr>
                                                                    <w:top w:val="none" w:sz="0" w:space="0" w:color="auto"/>
                                                                    <w:left w:val="none" w:sz="0" w:space="0" w:color="auto"/>
                                                                    <w:bottom w:val="none" w:sz="0" w:space="0" w:color="auto"/>
                                                                    <w:right w:val="none" w:sz="0" w:space="0" w:color="auto"/>
                                                                  </w:divBdr>
                                                                  <w:divsChild>
                                                                    <w:div w:id="1045520254">
                                                                      <w:marLeft w:val="0"/>
                                                                      <w:marRight w:val="0"/>
                                                                      <w:marTop w:val="0"/>
                                                                      <w:marBottom w:val="0"/>
                                                                      <w:divBdr>
                                                                        <w:top w:val="none" w:sz="0" w:space="0" w:color="auto"/>
                                                                        <w:left w:val="none" w:sz="0" w:space="0" w:color="auto"/>
                                                                        <w:bottom w:val="none" w:sz="0" w:space="0" w:color="auto"/>
                                                                        <w:right w:val="none" w:sz="0" w:space="0" w:color="auto"/>
                                                                      </w:divBdr>
                                                                      <w:divsChild>
                                                                        <w:div w:id="1925413456">
                                                                          <w:marLeft w:val="0"/>
                                                                          <w:marRight w:val="0"/>
                                                                          <w:marTop w:val="0"/>
                                                                          <w:marBottom w:val="0"/>
                                                                          <w:divBdr>
                                                                            <w:top w:val="none" w:sz="0" w:space="0" w:color="auto"/>
                                                                            <w:left w:val="none" w:sz="0" w:space="0" w:color="auto"/>
                                                                            <w:bottom w:val="none" w:sz="0" w:space="0" w:color="auto"/>
                                                                            <w:right w:val="none" w:sz="0" w:space="0" w:color="auto"/>
                                                                          </w:divBdr>
                                                                          <w:divsChild>
                                                                            <w:div w:id="1829899878">
                                                                              <w:marLeft w:val="0"/>
                                                                              <w:marRight w:val="0"/>
                                                                              <w:marTop w:val="0"/>
                                                                              <w:marBottom w:val="0"/>
                                                                              <w:divBdr>
                                                                                <w:top w:val="none" w:sz="0" w:space="0" w:color="auto"/>
                                                                                <w:left w:val="none" w:sz="0" w:space="0" w:color="auto"/>
                                                                                <w:bottom w:val="none" w:sz="0" w:space="0" w:color="auto"/>
                                                                                <w:right w:val="none" w:sz="0" w:space="0" w:color="auto"/>
                                                                              </w:divBdr>
                                                                              <w:divsChild>
                                                                                <w:div w:id="1144472270">
                                                                                  <w:marLeft w:val="0"/>
                                                                                  <w:marRight w:val="0"/>
                                                                                  <w:marTop w:val="0"/>
                                                                                  <w:marBottom w:val="0"/>
                                                                                  <w:divBdr>
                                                                                    <w:top w:val="none" w:sz="0" w:space="0" w:color="auto"/>
                                                                                    <w:left w:val="none" w:sz="0" w:space="0" w:color="auto"/>
                                                                                    <w:bottom w:val="none" w:sz="0" w:space="0" w:color="auto"/>
                                                                                    <w:right w:val="none" w:sz="0" w:space="0" w:color="auto"/>
                                                                                  </w:divBdr>
                                                                                  <w:divsChild>
                                                                                    <w:div w:id="1920139526">
                                                                                      <w:marLeft w:val="0"/>
                                                                                      <w:marRight w:val="0"/>
                                                                                      <w:marTop w:val="0"/>
                                                                                      <w:marBottom w:val="0"/>
                                                                                      <w:divBdr>
                                                                                        <w:top w:val="none" w:sz="0" w:space="0" w:color="auto"/>
                                                                                        <w:left w:val="none" w:sz="0" w:space="0" w:color="auto"/>
                                                                                        <w:bottom w:val="none" w:sz="0" w:space="0" w:color="auto"/>
                                                                                        <w:right w:val="none" w:sz="0" w:space="0" w:color="auto"/>
                                                                                      </w:divBdr>
                                                                                      <w:divsChild>
                                                                                        <w:div w:id="1845704384">
                                                                                          <w:marLeft w:val="0"/>
                                                                                          <w:marRight w:val="0"/>
                                                                                          <w:marTop w:val="0"/>
                                                                                          <w:marBottom w:val="0"/>
                                                                                          <w:divBdr>
                                                                                            <w:top w:val="none" w:sz="0" w:space="0" w:color="auto"/>
                                                                                            <w:left w:val="none" w:sz="0" w:space="0" w:color="auto"/>
                                                                                            <w:bottom w:val="none" w:sz="0" w:space="0" w:color="auto"/>
                                                                                            <w:right w:val="none" w:sz="0" w:space="0" w:color="auto"/>
                                                                                          </w:divBdr>
                                                                                          <w:divsChild>
                                                                                            <w:div w:id="49650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1332176310">
                                                                                                  <w:marLeft w:val="0"/>
                                                                                                  <w:marRight w:val="0"/>
                                                                                                  <w:marTop w:val="0"/>
                                                                                                  <w:marBottom w:val="0"/>
                                                                                                  <w:divBdr>
                                                                                                    <w:top w:val="none" w:sz="0" w:space="0" w:color="auto"/>
                                                                                                    <w:left w:val="none" w:sz="0" w:space="0" w:color="auto"/>
                                                                                                    <w:bottom w:val="none" w:sz="0" w:space="0" w:color="auto"/>
                                                                                                    <w:right w:val="none" w:sz="0" w:space="0" w:color="auto"/>
                                                                                                  </w:divBdr>
                                                                                                  <w:divsChild>
                                                                                                    <w:div w:id="1457485854">
                                                                                                      <w:marLeft w:val="0"/>
                                                                                                      <w:marRight w:val="0"/>
                                                                                                      <w:marTop w:val="0"/>
                                                                                                      <w:marBottom w:val="0"/>
                                                                                                      <w:divBdr>
                                                                                                        <w:top w:val="none" w:sz="0" w:space="0" w:color="auto"/>
                                                                                                        <w:left w:val="none" w:sz="0" w:space="0" w:color="auto"/>
                                                                                                        <w:bottom w:val="none" w:sz="0" w:space="0" w:color="auto"/>
                                                                                                        <w:right w:val="none" w:sz="0" w:space="0" w:color="auto"/>
                                                                                                      </w:divBdr>
                                                                                                      <w:divsChild>
                                                                                                        <w:div w:id="1232807110">
                                                                                                          <w:marLeft w:val="0"/>
                                                                                                          <w:marRight w:val="0"/>
                                                                                                          <w:marTop w:val="0"/>
                                                                                                          <w:marBottom w:val="0"/>
                                                                                                          <w:divBdr>
                                                                                                            <w:top w:val="none" w:sz="0" w:space="0" w:color="auto"/>
                                                                                                            <w:left w:val="none" w:sz="0" w:space="0" w:color="auto"/>
                                                                                                            <w:bottom w:val="none" w:sz="0" w:space="0" w:color="auto"/>
                                                                                                            <w:right w:val="none" w:sz="0" w:space="0" w:color="auto"/>
                                                                                                          </w:divBdr>
                                                                                                          <w:divsChild>
                                                                                                            <w:div w:id="2134596943">
                                                                                                              <w:marLeft w:val="0"/>
                                                                                                              <w:marRight w:val="0"/>
                                                                                                              <w:marTop w:val="0"/>
                                                                                                              <w:marBottom w:val="0"/>
                                                                                                              <w:divBdr>
                                                                                                                <w:top w:val="none" w:sz="0" w:space="0" w:color="auto"/>
                                                                                                                <w:left w:val="none" w:sz="0" w:space="0" w:color="auto"/>
                                                                                                                <w:bottom w:val="none" w:sz="0" w:space="0" w:color="auto"/>
                                                                                                                <w:right w:val="none" w:sz="0" w:space="0" w:color="auto"/>
                                                                                                              </w:divBdr>
                                                                                                              <w:divsChild>
                                                                                                                <w:div w:id="169961892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4374239">
                                                                                                                      <w:marLeft w:val="225"/>
                                                                                                                      <w:marRight w:val="225"/>
                                                                                                                      <w:marTop w:val="75"/>
                                                                                                                      <w:marBottom w:val="75"/>
                                                                                                                      <w:divBdr>
                                                                                                                        <w:top w:val="none" w:sz="0" w:space="0" w:color="auto"/>
                                                                                                                        <w:left w:val="none" w:sz="0" w:space="0" w:color="auto"/>
                                                                                                                        <w:bottom w:val="none" w:sz="0" w:space="0" w:color="auto"/>
                                                                                                                        <w:right w:val="none" w:sz="0" w:space="0" w:color="auto"/>
                                                                                                                      </w:divBdr>
                                                                                                                      <w:divsChild>
                                                                                                                        <w:div w:id="93093884">
                                                                                                                          <w:marLeft w:val="0"/>
                                                                                                                          <w:marRight w:val="0"/>
                                                                                                                          <w:marTop w:val="0"/>
                                                                                                                          <w:marBottom w:val="0"/>
                                                                                                                          <w:divBdr>
                                                                                                                            <w:top w:val="single" w:sz="6" w:space="0" w:color="auto"/>
                                                                                                                            <w:left w:val="single" w:sz="6" w:space="0" w:color="auto"/>
                                                                                                                            <w:bottom w:val="single" w:sz="6" w:space="0" w:color="auto"/>
                                                                                                                            <w:right w:val="single" w:sz="6" w:space="0" w:color="auto"/>
                                                                                                                          </w:divBdr>
                                                                                                                          <w:divsChild>
                                                                                                                            <w:div w:id="1425372325">
                                                                                                                              <w:marLeft w:val="0"/>
                                                                                                                              <w:marRight w:val="0"/>
                                                                                                                              <w:marTop w:val="0"/>
                                                                                                                              <w:marBottom w:val="0"/>
                                                                                                                              <w:divBdr>
                                                                                                                                <w:top w:val="none" w:sz="0" w:space="0" w:color="auto"/>
                                                                                                                                <w:left w:val="none" w:sz="0" w:space="0" w:color="auto"/>
                                                                                                                                <w:bottom w:val="none" w:sz="0" w:space="0" w:color="auto"/>
                                                                                                                                <w:right w:val="none" w:sz="0" w:space="0" w:color="auto"/>
                                                                                                                              </w:divBdr>
                                                                                                                              <w:divsChild>
                                                                                                                                <w:div w:id="10280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490810">
      <w:bodyDiv w:val="1"/>
      <w:marLeft w:val="0"/>
      <w:marRight w:val="0"/>
      <w:marTop w:val="0"/>
      <w:marBottom w:val="0"/>
      <w:divBdr>
        <w:top w:val="none" w:sz="0" w:space="0" w:color="auto"/>
        <w:left w:val="none" w:sz="0" w:space="0" w:color="auto"/>
        <w:bottom w:val="none" w:sz="0" w:space="0" w:color="auto"/>
        <w:right w:val="none" w:sz="0" w:space="0" w:color="auto"/>
      </w:divBdr>
    </w:div>
    <w:div w:id="1622690111">
      <w:bodyDiv w:val="1"/>
      <w:marLeft w:val="0"/>
      <w:marRight w:val="0"/>
      <w:marTop w:val="0"/>
      <w:marBottom w:val="0"/>
      <w:divBdr>
        <w:top w:val="none" w:sz="0" w:space="0" w:color="auto"/>
        <w:left w:val="none" w:sz="0" w:space="0" w:color="auto"/>
        <w:bottom w:val="none" w:sz="0" w:space="0" w:color="auto"/>
        <w:right w:val="none" w:sz="0" w:space="0" w:color="auto"/>
      </w:divBdr>
    </w:div>
    <w:div w:id="1624775580">
      <w:bodyDiv w:val="1"/>
      <w:marLeft w:val="0"/>
      <w:marRight w:val="0"/>
      <w:marTop w:val="0"/>
      <w:marBottom w:val="0"/>
      <w:divBdr>
        <w:top w:val="none" w:sz="0" w:space="0" w:color="auto"/>
        <w:left w:val="none" w:sz="0" w:space="0" w:color="auto"/>
        <w:bottom w:val="none" w:sz="0" w:space="0" w:color="auto"/>
        <w:right w:val="none" w:sz="0" w:space="0" w:color="auto"/>
      </w:divBdr>
    </w:div>
    <w:div w:id="1626230944">
      <w:bodyDiv w:val="1"/>
      <w:marLeft w:val="0"/>
      <w:marRight w:val="0"/>
      <w:marTop w:val="0"/>
      <w:marBottom w:val="0"/>
      <w:divBdr>
        <w:top w:val="none" w:sz="0" w:space="0" w:color="auto"/>
        <w:left w:val="none" w:sz="0" w:space="0" w:color="auto"/>
        <w:bottom w:val="none" w:sz="0" w:space="0" w:color="auto"/>
        <w:right w:val="none" w:sz="0" w:space="0" w:color="auto"/>
      </w:divBdr>
    </w:div>
    <w:div w:id="1640529135">
      <w:bodyDiv w:val="1"/>
      <w:marLeft w:val="0"/>
      <w:marRight w:val="0"/>
      <w:marTop w:val="0"/>
      <w:marBottom w:val="0"/>
      <w:divBdr>
        <w:top w:val="none" w:sz="0" w:space="0" w:color="auto"/>
        <w:left w:val="none" w:sz="0" w:space="0" w:color="auto"/>
        <w:bottom w:val="none" w:sz="0" w:space="0" w:color="auto"/>
        <w:right w:val="none" w:sz="0" w:space="0" w:color="auto"/>
      </w:divBdr>
    </w:div>
    <w:div w:id="1643150593">
      <w:bodyDiv w:val="1"/>
      <w:marLeft w:val="0"/>
      <w:marRight w:val="0"/>
      <w:marTop w:val="0"/>
      <w:marBottom w:val="0"/>
      <w:divBdr>
        <w:top w:val="none" w:sz="0" w:space="0" w:color="auto"/>
        <w:left w:val="none" w:sz="0" w:space="0" w:color="auto"/>
        <w:bottom w:val="none" w:sz="0" w:space="0" w:color="auto"/>
        <w:right w:val="none" w:sz="0" w:space="0" w:color="auto"/>
      </w:divBdr>
    </w:div>
    <w:div w:id="1645547737">
      <w:bodyDiv w:val="1"/>
      <w:marLeft w:val="0"/>
      <w:marRight w:val="0"/>
      <w:marTop w:val="0"/>
      <w:marBottom w:val="0"/>
      <w:divBdr>
        <w:top w:val="none" w:sz="0" w:space="0" w:color="auto"/>
        <w:left w:val="none" w:sz="0" w:space="0" w:color="auto"/>
        <w:bottom w:val="none" w:sz="0" w:space="0" w:color="auto"/>
        <w:right w:val="none" w:sz="0" w:space="0" w:color="auto"/>
      </w:divBdr>
    </w:div>
    <w:div w:id="1648585823">
      <w:bodyDiv w:val="1"/>
      <w:marLeft w:val="0"/>
      <w:marRight w:val="0"/>
      <w:marTop w:val="0"/>
      <w:marBottom w:val="0"/>
      <w:divBdr>
        <w:top w:val="none" w:sz="0" w:space="0" w:color="auto"/>
        <w:left w:val="none" w:sz="0" w:space="0" w:color="auto"/>
        <w:bottom w:val="none" w:sz="0" w:space="0" w:color="auto"/>
        <w:right w:val="none" w:sz="0" w:space="0" w:color="auto"/>
      </w:divBdr>
    </w:div>
    <w:div w:id="1657609028">
      <w:bodyDiv w:val="1"/>
      <w:marLeft w:val="0"/>
      <w:marRight w:val="0"/>
      <w:marTop w:val="0"/>
      <w:marBottom w:val="0"/>
      <w:divBdr>
        <w:top w:val="none" w:sz="0" w:space="0" w:color="auto"/>
        <w:left w:val="none" w:sz="0" w:space="0" w:color="auto"/>
        <w:bottom w:val="none" w:sz="0" w:space="0" w:color="auto"/>
        <w:right w:val="none" w:sz="0" w:space="0" w:color="auto"/>
      </w:divBdr>
    </w:div>
    <w:div w:id="1658146981">
      <w:bodyDiv w:val="1"/>
      <w:marLeft w:val="0"/>
      <w:marRight w:val="0"/>
      <w:marTop w:val="0"/>
      <w:marBottom w:val="0"/>
      <w:divBdr>
        <w:top w:val="none" w:sz="0" w:space="0" w:color="auto"/>
        <w:left w:val="none" w:sz="0" w:space="0" w:color="auto"/>
        <w:bottom w:val="none" w:sz="0" w:space="0" w:color="auto"/>
        <w:right w:val="none" w:sz="0" w:space="0" w:color="auto"/>
      </w:divBdr>
    </w:div>
    <w:div w:id="1660189472">
      <w:bodyDiv w:val="1"/>
      <w:marLeft w:val="0"/>
      <w:marRight w:val="0"/>
      <w:marTop w:val="0"/>
      <w:marBottom w:val="0"/>
      <w:divBdr>
        <w:top w:val="none" w:sz="0" w:space="0" w:color="auto"/>
        <w:left w:val="none" w:sz="0" w:space="0" w:color="auto"/>
        <w:bottom w:val="none" w:sz="0" w:space="0" w:color="auto"/>
        <w:right w:val="none" w:sz="0" w:space="0" w:color="auto"/>
      </w:divBdr>
    </w:div>
    <w:div w:id="1660963402">
      <w:bodyDiv w:val="1"/>
      <w:marLeft w:val="0"/>
      <w:marRight w:val="0"/>
      <w:marTop w:val="0"/>
      <w:marBottom w:val="0"/>
      <w:divBdr>
        <w:top w:val="none" w:sz="0" w:space="0" w:color="auto"/>
        <w:left w:val="none" w:sz="0" w:space="0" w:color="auto"/>
        <w:bottom w:val="none" w:sz="0" w:space="0" w:color="auto"/>
        <w:right w:val="none" w:sz="0" w:space="0" w:color="auto"/>
      </w:divBdr>
    </w:div>
    <w:div w:id="1661303061">
      <w:bodyDiv w:val="1"/>
      <w:marLeft w:val="0"/>
      <w:marRight w:val="0"/>
      <w:marTop w:val="0"/>
      <w:marBottom w:val="0"/>
      <w:divBdr>
        <w:top w:val="none" w:sz="0" w:space="0" w:color="auto"/>
        <w:left w:val="none" w:sz="0" w:space="0" w:color="auto"/>
        <w:bottom w:val="none" w:sz="0" w:space="0" w:color="auto"/>
        <w:right w:val="none" w:sz="0" w:space="0" w:color="auto"/>
      </w:divBdr>
    </w:div>
    <w:div w:id="1663002879">
      <w:bodyDiv w:val="1"/>
      <w:marLeft w:val="0"/>
      <w:marRight w:val="0"/>
      <w:marTop w:val="0"/>
      <w:marBottom w:val="0"/>
      <w:divBdr>
        <w:top w:val="none" w:sz="0" w:space="0" w:color="auto"/>
        <w:left w:val="none" w:sz="0" w:space="0" w:color="auto"/>
        <w:bottom w:val="none" w:sz="0" w:space="0" w:color="auto"/>
        <w:right w:val="none" w:sz="0" w:space="0" w:color="auto"/>
      </w:divBdr>
    </w:div>
    <w:div w:id="1664508978">
      <w:bodyDiv w:val="1"/>
      <w:marLeft w:val="0"/>
      <w:marRight w:val="0"/>
      <w:marTop w:val="0"/>
      <w:marBottom w:val="0"/>
      <w:divBdr>
        <w:top w:val="none" w:sz="0" w:space="0" w:color="auto"/>
        <w:left w:val="none" w:sz="0" w:space="0" w:color="auto"/>
        <w:bottom w:val="none" w:sz="0" w:space="0" w:color="auto"/>
        <w:right w:val="none" w:sz="0" w:space="0" w:color="auto"/>
      </w:divBdr>
    </w:div>
    <w:div w:id="1668634900">
      <w:bodyDiv w:val="1"/>
      <w:marLeft w:val="0"/>
      <w:marRight w:val="0"/>
      <w:marTop w:val="0"/>
      <w:marBottom w:val="0"/>
      <w:divBdr>
        <w:top w:val="none" w:sz="0" w:space="0" w:color="auto"/>
        <w:left w:val="none" w:sz="0" w:space="0" w:color="auto"/>
        <w:bottom w:val="none" w:sz="0" w:space="0" w:color="auto"/>
        <w:right w:val="none" w:sz="0" w:space="0" w:color="auto"/>
      </w:divBdr>
    </w:div>
    <w:div w:id="1668820681">
      <w:bodyDiv w:val="1"/>
      <w:marLeft w:val="0"/>
      <w:marRight w:val="0"/>
      <w:marTop w:val="0"/>
      <w:marBottom w:val="0"/>
      <w:divBdr>
        <w:top w:val="none" w:sz="0" w:space="0" w:color="auto"/>
        <w:left w:val="none" w:sz="0" w:space="0" w:color="auto"/>
        <w:bottom w:val="none" w:sz="0" w:space="0" w:color="auto"/>
        <w:right w:val="none" w:sz="0" w:space="0" w:color="auto"/>
      </w:divBdr>
    </w:div>
    <w:div w:id="1674142786">
      <w:bodyDiv w:val="1"/>
      <w:marLeft w:val="0"/>
      <w:marRight w:val="0"/>
      <w:marTop w:val="0"/>
      <w:marBottom w:val="0"/>
      <w:divBdr>
        <w:top w:val="none" w:sz="0" w:space="0" w:color="auto"/>
        <w:left w:val="none" w:sz="0" w:space="0" w:color="auto"/>
        <w:bottom w:val="none" w:sz="0" w:space="0" w:color="auto"/>
        <w:right w:val="none" w:sz="0" w:space="0" w:color="auto"/>
      </w:divBdr>
    </w:div>
    <w:div w:id="1680422474">
      <w:bodyDiv w:val="1"/>
      <w:marLeft w:val="0"/>
      <w:marRight w:val="0"/>
      <w:marTop w:val="0"/>
      <w:marBottom w:val="0"/>
      <w:divBdr>
        <w:top w:val="none" w:sz="0" w:space="0" w:color="auto"/>
        <w:left w:val="none" w:sz="0" w:space="0" w:color="auto"/>
        <w:bottom w:val="none" w:sz="0" w:space="0" w:color="auto"/>
        <w:right w:val="none" w:sz="0" w:space="0" w:color="auto"/>
      </w:divBdr>
    </w:div>
    <w:div w:id="1684168751">
      <w:bodyDiv w:val="1"/>
      <w:marLeft w:val="0"/>
      <w:marRight w:val="0"/>
      <w:marTop w:val="0"/>
      <w:marBottom w:val="0"/>
      <w:divBdr>
        <w:top w:val="none" w:sz="0" w:space="0" w:color="auto"/>
        <w:left w:val="none" w:sz="0" w:space="0" w:color="auto"/>
        <w:bottom w:val="none" w:sz="0" w:space="0" w:color="auto"/>
        <w:right w:val="none" w:sz="0" w:space="0" w:color="auto"/>
      </w:divBdr>
    </w:div>
    <w:div w:id="1686059256">
      <w:bodyDiv w:val="1"/>
      <w:marLeft w:val="0"/>
      <w:marRight w:val="0"/>
      <w:marTop w:val="0"/>
      <w:marBottom w:val="0"/>
      <w:divBdr>
        <w:top w:val="none" w:sz="0" w:space="0" w:color="auto"/>
        <w:left w:val="none" w:sz="0" w:space="0" w:color="auto"/>
        <w:bottom w:val="none" w:sz="0" w:space="0" w:color="auto"/>
        <w:right w:val="none" w:sz="0" w:space="0" w:color="auto"/>
      </w:divBdr>
    </w:div>
    <w:div w:id="1688293757">
      <w:bodyDiv w:val="1"/>
      <w:marLeft w:val="0"/>
      <w:marRight w:val="0"/>
      <w:marTop w:val="0"/>
      <w:marBottom w:val="0"/>
      <w:divBdr>
        <w:top w:val="none" w:sz="0" w:space="0" w:color="auto"/>
        <w:left w:val="none" w:sz="0" w:space="0" w:color="auto"/>
        <w:bottom w:val="none" w:sz="0" w:space="0" w:color="auto"/>
        <w:right w:val="none" w:sz="0" w:space="0" w:color="auto"/>
      </w:divBdr>
    </w:div>
    <w:div w:id="1691566898">
      <w:bodyDiv w:val="1"/>
      <w:marLeft w:val="0"/>
      <w:marRight w:val="0"/>
      <w:marTop w:val="0"/>
      <w:marBottom w:val="0"/>
      <w:divBdr>
        <w:top w:val="none" w:sz="0" w:space="0" w:color="auto"/>
        <w:left w:val="none" w:sz="0" w:space="0" w:color="auto"/>
        <w:bottom w:val="none" w:sz="0" w:space="0" w:color="auto"/>
        <w:right w:val="none" w:sz="0" w:space="0" w:color="auto"/>
      </w:divBdr>
    </w:div>
    <w:div w:id="1694263426">
      <w:bodyDiv w:val="1"/>
      <w:marLeft w:val="0"/>
      <w:marRight w:val="0"/>
      <w:marTop w:val="0"/>
      <w:marBottom w:val="0"/>
      <w:divBdr>
        <w:top w:val="none" w:sz="0" w:space="0" w:color="auto"/>
        <w:left w:val="none" w:sz="0" w:space="0" w:color="auto"/>
        <w:bottom w:val="none" w:sz="0" w:space="0" w:color="auto"/>
        <w:right w:val="none" w:sz="0" w:space="0" w:color="auto"/>
      </w:divBdr>
    </w:div>
    <w:div w:id="1698314030">
      <w:bodyDiv w:val="1"/>
      <w:marLeft w:val="0"/>
      <w:marRight w:val="0"/>
      <w:marTop w:val="0"/>
      <w:marBottom w:val="0"/>
      <w:divBdr>
        <w:top w:val="none" w:sz="0" w:space="0" w:color="auto"/>
        <w:left w:val="none" w:sz="0" w:space="0" w:color="auto"/>
        <w:bottom w:val="none" w:sz="0" w:space="0" w:color="auto"/>
        <w:right w:val="none" w:sz="0" w:space="0" w:color="auto"/>
      </w:divBdr>
    </w:div>
    <w:div w:id="1699312111">
      <w:bodyDiv w:val="1"/>
      <w:marLeft w:val="0"/>
      <w:marRight w:val="0"/>
      <w:marTop w:val="0"/>
      <w:marBottom w:val="0"/>
      <w:divBdr>
        <w:top w:val="none" w:sz="0" w:space="0" w:color="auto"/>
        <w:left w:val="none" w:sz="0" w:space="0" w:color="auto"/>
        <w:bottom w:val="none" w:sz="0" w:space="0" w:color="auto"/>
        <w:right w:val="none" w:sz="0" w:space="0" w:color="auto"/>
      </w:divBdr>
    </w:div>
    <w:div w:id="1701516575">
      <w:bodyDiv w:val="1"/>
      <w:marLeft w:val="0"/>
      <w:marRight w:val="0"/>
      <w:marTop w:val="0"/>
      <w:marBottom w:val="0"/>
      <w:divBdr>
        <w:top w:val="none" w:sz="0" w:space="0" w:color="auto"/>
        <w:left w:val="none" w:sz="0" w:space="0" w:color="auto"/>
        <w:bottom w:val="none" w:sz="0" w:space="0" w:color="auto"/>
        <w:right w:val="none" w:sz="0" w:space="0" w:color="auto"/>
      </w:divBdr>
    </w:div>
    <w:div w:id="1701780789">
      <w:bodyDiv w:val="1"/>
      <w:marLeft w:val="0"/>
      <w:marRight w:val="0"/>
      <w:marTop w:val="0"/>
      <w:marBottom w:val="0"/>
      <w:divBdr>
        <w:top w:val="none" w:sz="0" w:space="0" w:color="auto"/>
        <w:left w:val="none" w:sz="0" w:space="0" w:color="auto"/>
        <w:bottom w:val="none" w:sz="0" w:space="0" w:color="auto"/>
        <w:right w:val="none" w:sz="0" w:space="0" w:color="auto"/>
      </w:divBdr>
    </w:div>
    <w:div w:id="1704095693">
      <w:bodyDiv w:val="1"/>
      <w:marLeft w:val="0"/>
      <w:marRight w:val="0"/>
      <w:marTop w:val="0"/>
      <w:marBottom w:val="0"/>
      <w:divBdr>
        <w:top w:val="none" w:sz="0" w:space="0" w:color="auto"/>
        <w:left w:val="none" w:sz="0" w:space="0" w:color="auto"/>
        <w:bottom w:val="none" w:sz="0" w:space="0" w:color="auto"/>
        <w:right w:val="none" w:sz="0" w:space="0" w:color="auto"/>
      </w:divBdr>
    </w:div>
    <w:div w:id="1704553807">
      <w:bodyDiv w:val="1"/>
      <w:marLeft w:val="0"/>
      <w:marRight w:val="0"/>
      <w:marTop w:val="0"/>
      <w:marBottom w:val="0"/>
      <w:divBdr>
        <w:top w:val="none" w:sz="0" w:space="0" w:color="auto"/>
        <w:left w:val="none" w:sz="0" w:space="0" w:color="auto"/>
        <w:bottom w:val="none" w:sz="0" w:space="0" w:color="auto"/>
        <w:right w:val="none" w:sz="0" w:space="0" w:color="auto"/>
      </w:divBdr>
    </w:div>
    <w:div w:id="1709136985">
      <w:bodyDiv w:val="1"/>
      <w:marLeft w:val="0"/>
      <w:marRight w:val="0"/>
      <w:marTop w:val="0"/>
      <w:marBottom w:val="0"/>
      <w:divBdr>
        <w:top w:val="none" w:sz="0" w:space="0" w:color="auto"/>
        <w:left w:val="none" w:sz="0" w:space="0" w:color="auto"/>
        <w:bottom w:val="none" w:sz="0" w:space="0" w:color="auto"/>
        <w:right w:val="none" w:sz="0" w:space="0" w:color="auto"/>
      </w:divBdr>
    </w:div>
    <w:div w:id="1711151385">
      <w:bodyDiv w:val="1"/>
      <w:marLeft w:val="0"/>
      <w:marRight w:val="0"/>
      <w:marTop w:val="0"/>
      <w:marBottom w:val="0"/>
      <w:divBdr>
        <w:top w:val="none" w:sz="0" w:space="0" w:color="auto"/>
        <w:left w:val="none" w:sz="0" w:space="0" w:color="auto"/>
        <w:bottom w:val="none" w:sz="0" w:space="0" w:color="auto"/>
        <w:right w:val="none" w:sz="0" w:space="0" w:color="auto"/>
      </w:divBdr>
    </w:div>
    <w:div w:id="1720788728">
      <w:bodyDiv w:val="1"/>
      <w:marLeft w:val="0"/>
      <w:marRight w:val="0"/>
      <w:marTop w:val="0"/>
      <w:marBottom w:val="0"/>
      <w:divBdr>
        <w:top w:val="none" w:sz="0" w:space="0" w:color="auto"/>
        <w:left w:val="none" w:sz="0" w:space="0" w:color="auto"/>
        <w:bottom w:val="none" w:sz="0" w:space="0" w:color="auto"/>
        <w:right w:val="none" w:sz="0" w:space="0" w:color="auto"/>
      </w:divBdr>
    </w:div>
    <w:div w:id="1726102570">
      <w:bodyDiv w:val="1"/>
      <w:marLeft w:val="0"/>
      <w:marRight w:val="0"/>
      <w:marTop w:val="0"/>
      <w:marBottom w:val="0"/>
      <w:divBdr>
        <w:top w:val="none" w:sz="0" w:space="0" w:color="auto"/>
        <w:left w:val="none" w:sz="0" w:space="0" w:color="auto"/>
        <w:bottom w:val="none" w:sz="0" w:space="0" w:color="auto"/>
        <w:right w:val="none" w:sz="0" w:space="0" w:color="auto"/>
      </w:divBdr>
    </w:div>
    <w:div w:id="1730500021">
      <w:bodyDiv w:val="1"/>
      <w:marLeft w:val="0"/>
      <w:marRight w:val="0"/>
      <w:marTop w:val="0"/>
      <w:marBottom w:val="0"/>
      <w:divBdr>
        <w:top w:val="none" w:sz="0" w:space="0" w:color="auto"/>
        <w:left w:val="none" w:sz="0" w:space="0" w:color="auto"/>
        <w:bottom w:val="none" w:sz="0" w:space="0" w:color="auto"/>
        <w:right w:val="none" w:sz="0" w:space="0" w:color="auto"/>
      </w:divBdr>
    </w:div>
    <w:div w:id="1745182361">
      <w:bodyDiv w:val="1"/>
      <w:marLeft w:val="0"/>
      <w:marRight w:val="0"/>
      <w:marTop w:val="0"/>
      <w:marBottom w:val="0"/>
      <w:divBdr>
        <w:top w:val="none" w:sz="0" w:space="0" w:color="auto"/>
        <w:left w:val="none" w:sz="0" w:space="0" w:color="auto"/>
        <w:bottom w:val="none" w:sz="0" w:space="0" w:color="auto"/>
        <w:right w:val="none" w:sz="0" w:space="0" w:color="auto"/>
      </w:divBdr>
    </w:div>
    <w:div w:id="1751195804">
      <w:bodyDiv w:val="1"/>
      <w:marLeft w:val="0"/>
      <w:marRight w:val="0"/>
      <w:marTop w:val="0"/>
      <w:marBottom w:val="0"/>
      <w:divBdr>
        <w:top w:val="none" w:sz="0" w:space="0" w:color="auto"/>
        <w:left w:val="none" w:sz="0" w:space="0" w:color="auto"/>
        <w:bottom w:val="none" w:sz="0" w:space="0" w:color="auto"/>
        <w:right w:val="none" w:sz="0" w:space="0" w:color="auto"/>
      </w:divBdr>
    </w:div>
    <w:div w:id="1752580438">
      <w:bodyDiv w:val="1"/>
      <w:marLeft w:val="0"/>
      <w:marRight w:val="0"/>
      <w:marTop w:val="0"/>
      <w:marBottom w:val="0"/>
      <w:divBdr>
        <w:top w:val="none" w:sz="0" w:space="0" w:color="auto"/>
        <w:left w:val="none" w:sz="0" w:space="0" w:color="auto"/>
        <w:bottom w:val="none" w:sz="0" w:space="0" w:color="auto"/>
        <w:right w:val="none" w:sz="0" w:space="0" w:color="auto"/>
      </w:divBdr>
    </w:div>
    <w:div w:id="1754812009">
      <w:bodyDiv w:val="1"/>
      <w:marLeft w:val="0"/>
      <w:marRight w:val="0"/>
      <w:marTop w:val="0"/>
      <w:marBottom w:val="0"/>
      <w:divBdr>
        <w:top w:val="none" w:sz="0" w:space="0" w:color="auto"/>
        <w:left w:val="none" w:sz="0" w:space="0" w:color="auto"/>
        <w:bottom w:val="none" w:sz="0" w:space="0" w:color="auto"/>
        <w:right w:val="none" w:sz="0" w:space="0" w:color="auto"/>
      </w:divBdr>
    </w:div>
    <w:div w:id="1755004547">
      <w:bodyDiv w:val="1"/>
      <w:marLeft w:val="0"/>
      <w:marRight w:val="0"/>
      <w:marTop w:val="0"/>
      <w:marBottom w:val="0"/>
      <w:divBdr>
        <w:top w:val="none" w:sz="0" w:space="0" w:color="auto"/>
        <w:left w:val="none" w:sz="0" w:space="0" w:color="auto"/>
        <w:bottom w:val="none" w:sz="0" w:space="0" w:color="auto"/>
        <w:right w:val="none" w:sz="0" w:space="0" w:color="auto"/>
      </w:divBdr>
    </w:div>
    <w:div w:id="1755786597">
      <w:bodyDiv w:val="1"/>
      <w:marLeft w:val="0"/>
      <w:marRight w:val="0"/>
      <w:marTop w:val="0"/>
      <w:marBottom w:val="0"/>
      <w:divBdr>
        <w:top w:val="none" w:sz="0" w:space="0" w:color="auto"/>
        <w:left w:val="none" w:sz="0" w:space="0" w:color="auto"/>
        <w:bottom w:val="none" w:sz="0" w:space="0" w:color="auto"/>
        <w:right w:val="none" w:sz="0" w:space="0" w:color="auto"/>
      </w:divBdr>
    </w:div>
    <w:div w:id="1759672484">
      <w:bodyDiv w:val="1"/>
      <w:marLeft w:val="0"/>
      <w:marRight w:val="0"/>
      <w:marTop w:val="0"/>
      <w:marBottom w:val="0"/>
      <w:divBdr>
        <w:top w:val="none" w:sz="0" w:space="0" w:color="auto"/>
        <w:left w:val="none" w:sz="0" w:space="0" w:color="auto"/>
        <w:bottom w:val="none" w:sz="0" w:space="0" w:color="auto"/>
        <w:right w:val="none" w:sz="0" w:space="0" w:color="auto"/>
      </w:divBdr>
    </w:div>
    <w:div w:id="1761291782">
      <w:bodyDiv w:val="1"/>
      <w:marLeft w:val="0"/>
      <w:marRight w:val="0"/>
      <w:marTop w:val="0"/>
      <w:marBottom w:val="0"/>
      <w:divBdr>
        <w:top w:val="none" w:sz="0" w:space="0" w:color="auto"/>
        <w:left w:val="none" w:sz="0" w:space="0" w:color="auto"/>
        <w:bottom w:val="none" w:sz="0" w:space="0" w:color="auto"/>
        <w:right w:val="none" w:sz="0" w:space="0" w:color="auto"/>
      </w:divBdr>
    </w:div>
    <w:div w:id="1766922854">
      <w:bodyDiv w:val="1"/>
      <w:marLeft w:val="0"/>
      <w:marRight w:val="0"/>
      <w:marTop w:val="0"/>
      <w:marBottom w:val="0"/>
      <w:divBdr>
        <w:top w:val="none" w:sz="0" w:space="0" w:color="auto"/>
        <w:left w:val="none" w:sz="0" w:space="0" w:color="auto"/>
        <w:bottom w:val="none" w:sz="0" w:space="0" w:color="auto"/>
        <w:right w:val="none" w:sz="0" w:space="0" w:color="auto"/>
      </w:divBdr>
    </w:div>
    <w:div w:id="1770810018">
      <w:bodyDiv w:val="1"/>
      <w:marLeft w:val="0"/>
      <w:marRight w:val="0"/>
      <w:marTop w:val="0"/>
      <w:marBottom w:val="0"/>
      <w:divBdr>
        <w:top w:val="none" w:sz="0" w:space="0" w:color="auto"/>
        <w:left w:val="none" w:sz="0" w:space="0" w:color="auto"/>
        <w:bottom w:val="none" w:sz="0" w:space="0" w:color="auto"/>
        <w:right w:val="none" w:sz="0" w:space="0" w:color="auto"/>
      </w:divBdr>
    </w:div>
    <w:div w:id="1771244844">
      <w:bodyDiv w:val="1"/>
      <w:marLeft w:val="0"/>
      <w:marRight w:val="0"/>
      <w:marTop w:val="0"/>
      <w:marBottom w:val="0"/>
      <w:divBdr>
        <w:top w:val="none" w:sz="0" w:space="0" w:color="auto"/>
        <w:left w:val="none" w:sz="0" w:space="0" w:color="auto"/>
        <w:bottom w:val="none" w:sz="0" w:space="0" w:color="auto"/>
        <w:right w:val="none" w:sz="0" w:space="0" w:color="auto"/>
      </w:divBdr>
    </w:div>
    <w:div w:id="1778452757">
      <w:bodyDiv w:val="1"/>
      <w:marLeft w:val="0"/>
      <w:marRight w:val="0"/>
      <w:marTop w:val="0"/>
      <w:marBottom w:val="0"/>
      <w:divBdr>
        <w:top w:val="none" w:sz="0" w:space="0" w:color="auto"/>
        <w:left w:val="none" w:sz="0" w:space="0" w:color="auto"/>
        <w:bottom w:val="none" w:sz="0" w:space="0" w:color="auto"/>
        <w:right w:val="none" w:sz="0" w:space="0" w:color="auto"/>
      </w:divBdr>
    </w:div>
    <w:div w:id="1781685233">
      <w:bodyDiv w:val="1"/>
      <w:marLeft w:val="0"/>
      <w:marRight w:val="0"/>
      <w:marTop w:val="0"/>
      <w:marBottom w:val="0"/>
      <w:divBdr>
        <w:top w:val="none" w:sz="0" w:space="0" w:color="auto"/>
        <w:left w:val="none" w:sz="0" w:space="0" w:color="auto"/>
        <w:bottom w:val="none" w:sz="0" w:space="0" w:color="auto"/>
        <w:right w:val="none" w:sz="0" w:space="0" w:color="auto"/>
      </w:divBdr>
    </w:div>
    <w:div w:id="1788816316">
      <w:bodyDiv w:val="1"/>
      <w:marLeft w:val="0"/>
      <w:marRight w:val="0"/>
      <w:marTop w:val="0"/>
      <w:marBottom w:val="0"/>
      <w:divBdr>
        <w:top w:val="none" w:sz="0" w:space="0" w:color="auto"/>
        <w:left w:val="none" w:sz="0" w:space="0" w:color="auto"/>
        <w:bottom w:val="none" w:sz="0" w:space="0" w:color="auto"/>
        <w:right w:val="none" w:sz="0" w:space="0" w:color="auto"/>
      </w:divBdr>
    </w:div>
    <w:div w:id="1793136418">
      <w:bodyDiv w:val="1"/>
      <w:marLeft w:val="0"/>
      <w:marRight w:val="0"/>
      <w:marTop w:val="0"/>
      <w:marBottom w:val="0"/>
      <w:divBdr>
        <w:top w:val="none" w:sz="0" w:space="0" w:color="auto"/>
        <w:left w:val="none" w:sz="0" w:space="0" w:color="auto"/>
        <w:bottom w:val="none" w:sz="0" w:space="0" w:color="auto"/>
        <w:right w:val="none" w:sz="0" w:space="0" w:color="auto"/>
      </w:divBdr>
    </w:div>
    <w:div w:id="1793355646">
      <w:bodyDiv w:val="1"/>
      <w:marLeft w:val="0"/>
      <w:marRight w:val="0"/>
      <w:marTop w:val="0"/>
      <w:marBottom w:val="0"/>
      <w:divBdr>
        <w:top w:val="none" w:sz="0" w:space="0" w:color="auto"/>
        <w:left w:val="none" w:sz="0" w:space="0" w:color="auto"/>
        <w:bottom w:val="none" w:sz="0" w:space="0" w:color="auto"/>
        <w:right w:val="none" w:sz="0" w:space="0" w:color="auto"/>
      </w:divBdr>
    </w:div>
    <w:div w:id="1794249262">
      <w:bodyDiv w:val="1"/>
      <w:marLeft w:val="0"/>
      <w:marRight w:val="0"/>
      <w:marTop w:val="0"/>
      <w:marBottom w:val="0"/>
      <w:divBdr>
        <w:top w:val="none" w:sz="0" w:space="0" w:color="auto"/>
        <w:left w:val="none" w:sz="0" w:space="0" w:color="auto"/>
        <w:bottom w:val="none" w:sz="0" w:space="0" w:color="auto"/>
        <w:right w:val="none" w:sz="0" w:space="0" w:color="auto"/>
      </w:divBdr>
    </w:div>
    <w:div w:id="1798251949">
      <w:bodyDiv w:val="1"/>
      <w:marLeft w:val="0"/>
      <w:marRight w:val="0"/>
      <w:marTop w:val="0"/>
      <w:marBottom w:val="0"/>
      <w:divBdr>
        <w:top w:val="none" w:sz="0" w:space="0" w:color="auto"/>
        <w:left w:val="none" w:sz="0" w:space="0" w:color="auto"/>
        <w:bottom w:val="none" w:sz="0" w:space="0" w:color="auto"/>
        <w:right w:val="none" w:sz="0" w:space="0" w:color="auto"/>
      </w:divBdr>
    </w:div>
    <w:div w:id="1800420606">
      <w:bodyDiv w:val="1"/>
      <w:marLeft w:val="0"/>
      <w:marRight w:val="0"/>
      <w:marTop w:val="0"/>
      <w:marBottom w:val="0"/>
      <w:divBdr>
        <w:top w:val="none" w:sz="0" w:space="0" w:color="auto"/>
        <w:left w:val="none" w:sz="0" w:space="0" w:color="auto"/>
        <w:bottom w:val="none" w:sz="0" w:space="0" w:color="auto"/>
        <w:right w:val="none" w:sz="0" w:space="0" w:color="auto"/>
      </w:divBdr>
    </w:div>
    <w:div w:id="1801879357">
      <w:bodyDiv w:val="1"/>
      <w:marLeft w:val="0"/>
      <w:marRight w:val="0"/>
      <w:marTop w:val="0"/>
      <w:marBottom w:val="0"/>
      <w:divBdr>
        <w:top w:val="none" w:sz="0" w:space="0" w:color="auto"/>
        <w:left w:val="none" w:sz="0" w:space="0" w:color="auto"/>
        <w:bottom w:val="none" w:sz="0" w:space="0" w:color="auto"/>
        <w:right w:val="none" w:sz="0" w:space="0" w:color="auto"/>
      </w:divBdr>
    </w:div>
    <w:div w:id="1809005139">
      <w:bodyDiv w:val="1"/>
      <w:marLeft w:val="0"/>
      <w:marRight w:val="0"/>
      <w:marTop w:val="0"/>
      <w:marBottom w:val="0"/>
      <w:divBdr>
        <w:top w:val="none" w:sz="0" w:space="0" w:color="auto"/>
        <w:left w:val="none" w:sz="0" w:space="0" w:color="auto"/>
        <w:bottom w:val="none" w:sz="0" w:space="0" w:color="auto"/>
        <w:right w:val="none" w:sz="0" w:space="0" w:color="auto"/>
      </w:divBdr>
    </w:div>
    <w:div w:id="1812482781">
      <w:bodyDiv w:val="1"/>
      <w:marLeft w:val="0"/>
      <w:marRight w:val="0"/>
      <w:marTop w:val="0"/>
      <w:marBottom w:val="0"/>
      <w:divBdr>
        <w:top w:val="none" w:sz="0" w:space="0" w:color="auto"/>
        <w:left w:val="none" w:sz="0" w:space="0" w:color="auto"/>
        <w:bottom w:val="none" w:sz="0" w:space="0" w:color="auto"/>
        <w:right w:val="none" w:sz="0" w:space="0" w:color="auto"/>
      </w:divBdr>
    </w:div>
    <w:div w:id="1813668481">
      <w:bodyDiv w:val="1"/>
      <w:marLeft w:val="0"/>
      <w:marRight w:val="0"/>
      <w:marTop w:val="0"/>
      <w:marBottom w:val="0"/>
      <w:divBdr>
        <w:top w:val="none" w:sz="0" w:space="0" w:color="auto"/>
        <w:left w:val="none" w:sz="0" w:space="0" w:color="auto"/>
        <w:bottom w:val="none" w:sz="0" w:space="0" w:color="auto"/>
        <w:right w:val="none" w:sz="0" w:space="0" w:color="auto"/>
      </w:divBdr>
    </w:div>
    <w:div w:id="1820491542">
      <w:bodyDiv w:val="1"/>
      <w:marLeft w:val="0"/>
      <w:marRight w:val="0"/>
      <w:marTop w:val="0"/>
      <w:marBottom w:val="0"/>
      <w:divBdr>
        <w:top w:val="none" w:sz="0" w:space="0" w:color="auto"/>
        <w:left w:val="none" w:sz="0" w:space="0" w:color="auto"/>
        <w:bottom w:val="none" w:sz="0" w:space="0" w:color="auto"/>
        <w:right w:val="none" w:sz="0" w:space="0" w:color="auto"/>
      </w:divBdr>
    </w:div>
    <w:div w:id="1820881235">
      <w:bodyDiv w:val="1"/>
      <w:marLeft w:val="0"/>
      <w:marRight w:val="0"/>
      <w:marTop w:val="0"/>
      <w:marBottom w:val="0"/>
      <w:divBdr>
        <w:top w:val="none" w:sz="0" w:space="0" w:color="auto"/>
        <w:left w:val="none" w:sz="0" w:space="0" w:color="auto"/>
        <w:bottom w:val="none" w:sz="0" w:space="0" w:color="auto"/>
        <w:right w:val="none" w:sz="0" w:space="0" w:color="auto"/>
      </w:divBdr>
    </w:div>
    <w:div w:id="1823229846">
      <w:bodyDiv w:val="1"/>
      <w:marLeft w:val="0"/>
      <w:marRight w:val="0"/>
      <w:marTop w:val="0"/>
      <w:marBottom w:val="0"/>
      <w:divBdr>
        <w:top w:val="none" w:sz="0" w:space="0" w:color="auto"/>
        <w:left w:val="none" w:sz="0" w:space="0" w:color="auto"/>
        <w:bottom w:val="none" w:sz="0" w:space="0" w:color="auto"/>
        <w:right w:val="none" w:sz="0" w:space="0" w:color="auto"/>
      </w:divBdr>
    </w:div>
    <w:div w:id="1825195532">
      <w:bodyDiv w:val="1"/>
      <w:marLeft w:val="0"/>
      <w:marRight w:val="0"/>
      <w:marTop w:val="0"/>
      <w:marBottom w:val="0"/>
      <w:divBdr>
        <w:top w:val="none" w:sz="0" w:space="0" w:color="auto"/>
        <w:left w:val="none" w:sz="0" w:space="0" w:color="auto"/>
        <w:bottom w:val="none" w:sz="0" w:space="0" w:color="auto"/>
        <w:right w:val="none" w:sz="0" w:space="0" w:color="auto"/>
      </w:divBdr>
    </w:div>
    <w:div w:id="1826968681">
      <w:bodyDiv w:val="1"/>
      <w:marLeft w:val="0"/>
      <w:marRight w:val="0"/>
      <w:marTop w:val="0"/>
      <w:marBottom w:val="0"/>
      <w:divBdr>
        <w:top w:val="none" w:sz="0" w:space="0" w:color="auto"/>
        <w:left w:val="none" w:sz="0" w:space="0" w:color="auto"/>
        <w:bottom w:val="none" w:sz="0" w:space="0" w:color="auto"/>
        <w:right w:val="none" w:sz="0" w:space="0" w:color="auto"/>
      </w:divBdr>
    </w:div>
    <w:div w:id="1828280581">
      <w:bodyDiv w:val="1"/>
      <w:marLeft w:val="0"/>
      <w:marRight w:val="0"/>
      <w:marTop w:val="0"/>
      <w:marBottom w:val="0"/>
      <w:divBdr>
        <w:top w:val="none" w:sz="0" w:space="0" w:color="auto"/>
        <w:left w:val="none" w:sz="0" w:space="0" w:color="auto"/>
        <w:bottom w:val="none" w:sz="0" w:space="0" w:color="auto"/>
        <w:right w:val="none" w:sz="0" w:space="0" w:color="auto"/>
      </w:divBdr>
    </w:div>
    <w:div w:id="1835299566">
      <w:bodyDiv w:val="1"/>
      <w:marLeft w:val="0"/>
      <w:marRight w:val="0"/>
      <w:marTop w:val="0"/>
      <w:marBottom w:val="0"/>
      <w:divBdr>
        <w:top w:val="none" w:sz="0" w:space="0" w:color="auto"/>
        <w:left w:val="none" w:sz="0" w:space="0" w:color="auto"/>
        <w:bottom w:val="none" w:sz="0" w:space="0" w:color="auto"/>
        <w:right w:val="none" w:sz="0" w:space="0" w:color="auto"/>
      </w:divBdr>
    </w:div>
    <w:div w:id="1841385134">
      <w:bodyDiv w:val="1"/>
      <w:marLeft w:val="0"/>
      <w:marRight w:val="0"/>
      <w:marTop w:val="0"/>
      <w:marBottom w:val="0"/>
      <w:divBdr>
        <w:top w:val="none" w:sz="0" w:space="0" w:color="auto"/>
        <w:left w:val="none" w:sz="0" w:space="0" w:color="auto"/>
        <w:bottom w:val="none" w:sz="0" w:space="0" w:color="auto"/>
        <w:right w:val="none" w:sz="0" w:space="0" w:color="auto"/>
      </w:divBdr>
    </w:div>
    <w:div w:id="1844511488">
      <w:bodyDiv w:val="1"/>
      <w:marLeft w:val="0"/>
      <w:marRight w:val="0"/>
      <w:marTop w:val="0"/>
      <w:marBottom w:val="0"/>
      <w:divBdr>
        <w:top w:val="none" w:sz="0" w:space="0" w:color="auto"/>
        <w:left w:val="none" w:sz="0" w:space="0" w:color="auto"/>
        <w:bottom w:val="none" w:sz="0" w:space="0" w:color="auto"/>
        <w:right w:val="none" w:sz="0" w:space="0" w:color="auto"/>
      </w:divBdr>
    </w:div>
    <w:div w:id="1845585018">
      <w:bodyDiv w:val="1"/>
      <w:marLeft w:val="0"/>
      <w:marRight w:val="0"/>
      <w:marTop w:val="0"/>
      <w:marBottom w:val="0"/>
      <w:divBdr>
        <w:top w:val="none" w:sz="0" w:space="0" w:color="auto"/>
        <w:left w:val="none" w:sz="0" w:space="0" w:color="auto"/>
        <w:bottom w:val="none" w:sz="0" w:space="0" w:color="auto"/>
        <w:right w:val="none" w:sz="0" w:space="0" w:color="auto"/>
      </w:divBdr>
    </w:div>
    <w:div w:id="1852405079">
      <w:bodyDiv w:val="1"/>
      <w:marLeft w:val="0"/>
      <w:marRight w:val="0"/>
      <w:marTop w:val="0"/>
      <w:marBottom w:val="0"/>
      <w:divBdr>
        <w:top w:val="none" w:sz="0" w:space="0" w:color="auto"/>
        <w:left w:val="none" w:sz="0" w:space="0" w:color="auto"/>
        <w:bottom w:val="none" w:sz="0" w:space="0" w:color="auto"/>
        <w:right w:val="none" w:sz="0" w:space="0" w:color="auto"/>
      </w:divBdr>
      <w:divsChild>
        <w:div w:id="142816589">
          <w:marLeft w:val="0"/>
          <w:marRight w:val="0"/>
          <w:marTop w:val="0"/>
          <w:marBottom w:val="0"/>
          <w:divBdr>
            <w:top w:val="none" w:sz="0" w:space="0" w:color="auto"/>
            <w:left w:val="none" w:sz="0" w:space="0" w:color="auto"/>
            <w:bottom w:val="none" w:sz="0" w:space="0" w:color="auto"/>
            <w:right w:val="none" w:sz="0" w:space="0" w:color="auto"/>
          </w:divBdr>
          <w:divsChild>
            <w:div w:id="1686980186">
              <w:marLeft w:val="0"/>
              <w:marRight w:val="0"/>
              <w:marTop w:val="0"/>
              <w:marBottom w:val="0"/>
              <w:divBdr>
                <w:top w:val="none" w:sz="0" w:space="0" w:color="auto"/>
                <w:left w:val="none" w:sz="0" w:space="0" w:color="auto"/>
                <w:bottom w:val="none" w:sz="0" w:space="0" w:color="auto"/>
                <w:right w:val="none" w:sz="0" w:space="0" w:color="auto"/>
              </w:divBdr>
              <w:divsChild>
                <w:div w:id="11228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84101">
          <w:marLeft w:val="0"/>
          <w:marRight w:val="150"/>
          <w:marTop w:val="0"/>
          <w:marBottom w:val="0"/>
          <w:divBdr>
            <w:top w:val="none" w:sz="0" w:space="0" w:color="auto"/>
            <w:left w:val="none" w:sz="0" w:space="0" w:color="auto"/>
            <w:bottom w:val="none" w:sz="0" w:space="0" w:color="auto"/>
            <w:right w:val="none" w:sz="0" w:space="0" w:color="auto"/>
          </w:divBdr>
        </w:div>
        <w:div w:id="709065211">
          <w:marLeft w:val="0"/>
          <w:marRight w:val="0"/>
          <w:marTop w:val="0"/>
          <w:marBottom w:val="0"/>
          <w:divBdr>
            <w:top w:val="none" w:sz="0" w:space="0" w:color="auto"/>
            <w:left w:val="none" w:sz="0" w:space="0" w:color="auto"/>
            <w:bottom w:val="none" w:sz="0" w:space="0" w:color="auto"/>
            <w:right w:val="none" w:sz="0" w:space="0" w:color="auto"/>
          </w:divBdr>
          <w:divsChild>
            <w:div w:id="772163553">
              <w:marLeft w:val="0"/>
              <w:marRight w:val="0"/>
              <w:marTop w:val="0"/>
              <w:marBottom w:val="0"/>
              <w:divBdr>
                <w:top w:val="none" w:sz="0" w:space="0" w:color="auto"/>
                <w:left w:val="none" w:sz="0" w:space="0" w:color="auto"/>
                <w:bottom w:val="none" w:sz="0" w:space="0" w:color="auto"/>
                <w:right w:val="none" w:sz="0" w:space="0" w:color="auto"/>
              </w:divBdr>
              <w:divsChild>
                <w:div w:id="4269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62587">
          <w:marLeft w:val="0"/>
          <w:marRight w:val="150"/>
          <w:marTop w:val="0"/>
          <w:marBottom w:val="0"/>
          <w:divBdr>
            <w:top w:val="none" w:sz="0" w:space="0" w:color="auto"/>
            <w:left w:val="none" w:sz="0" w:space="0" w:color="auto"/>
            <w:bottom w:val="none" w:sz="0" w:space="0" w:color="auto"/>
            <w:right w:val="none" w:sz="0" w:space="0" w:color="auto"/>
          </w:divBdr>
        </w:div>
        <w:div w:id="958531462">
          <w:marLeft w:val="0"/>
          <w:marRight w:val="0"/>
          <w:marTop w:val="0"/>
          <w:marBottom w:val="0"/>
          <w:divBdr>
            <w:top w:val="none" w:sz="0" w:space="0" w:color="auto"/>
            <w:left w:val="none" w:sz="0" w:space="0" w:color="auto"/>
            <w:bottom w:val="none" w:sz="0" w:space="0" w:color="auto"/>
            <w:right w:val="none" w:sz="0" w:space="0" w:color="auto"/>
          </w:divBdr>
          <w:divsChild>
            <w:div w:id="1006249281">
              <w:marLeft w:val="0"/>
              <w:marRight w:val="0"/>
              <w:marTop w:val="0"/>
              <w:marBottom w:val="0"/>
              <w:divBdr>
                <w:top w:val="none" w:sz="0" w:space="0" w:color="auto"/>
                <w:left w:val="none" w:sz="0" w:space="0" w:color="auto"/>
                <w:bottom w:val="none" w:sz="0" w:space="0" w:color="auto"/>
                <w:right w:val="none" w:sz="0" w:space="0" w:color="auto"/>
              </w:divBdr>
              <w:divsChild>
                <w:div w:id="10381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45609">
          <w:marLeft w:val="0"/>
          <w:marRight w:val="150"/>
          <w:marTop w:val="0"/>
          <w:marBottom w:val="0"/>
          <w:divBdr>
            <w:top w:val="none" w:sz="0" w:space="0" w:color="auto"/>
            <w:left w:val="none" w:sz="0" w:space="0" w:color="auto"/>
            <w:bottom w:val="none" w:sz="0" w:space="0" w:color="auto"/>
            <w:right w:val="none" w:sz="0" w:space="0" w:color="auto"/>
          </w:divBdr>
        </w:div>
        <w:div w:id="1060516841">
          <w:marLeft w:val="0"/>
          <w:marRight w:val="0"/>
          <w:marTop w:val="0"/>
          <w:marBottom w:val="0"/>
          <w:divBdr>
            <w:top w:val="none" w:sz="0" w:space="0" w:color="auto"/>
            <w:left w:val="none" w:sz="0" w:space="0" w:color="auto"/>
            <w:bottom w:val="none" w:sz="0" w:space="0" w:color="auto"/>
            <w:right w:val="none" w:sz="0" w:space="0" w:color="auto"/>
          </w:divBdr>
        </w:div>
        <w:div w:id="1173422848">
          <w:marLeft w:val="0"/>
          <w:marRight w:val="0"/>
          <w:marTop w:val="0"/>
          <w:marBottom w:val="0"/>
          <w:divBdr>
            <w:top w:val="none" w:sz="0" w:space="0" w:color="auto"/>
            <w:left w:val="none" w:sz="0" w:space="0" w:color="auto"/>
            <w:bottom w:val="none" w:sz="0" w:space="0" w:color="auto"/>
            <w:right w:val="none" w:sz="0" w:space="0" w:color="auto"/>
          </w:divBdr>
        </w:div>
        <w:div w:id="1235701685">
          <w:marLeft w:val="0"/>
          <w:marRight w:val="0"/>
          <w:marTop w:val="0"/>
          <w:marBottom w:val="0"/>
          <w:divBdr>
            <w:top w:val="none" w:sz="0" w:space="0" w:color="auto"/>
            <w:left w:val="none" w:sz="0" w:space="0" w:color="auto"/>
            <w:bottom w:val="none" w:sz="0" w:space="0" w:color="auto"/>
            <w:right w:val="none" w:sz="0" w:space="0" w:color="auto"/>
          </w:divBdr>
        </w:div>
        <w:div w:id="1307974538">
          <w:marLeft w:val="0"/>
          <w:marRight w:val="0"/>
          <w:marTop w:val="0"/>
          <w:marBottom w:val="0"/>
          <w:divBdr>
            <w:top w:val="none" w:sz="0" w:space="0" w:color="auto"/>
            <w:left w:val="none" w:sz="0" w:space="0" w:color="auto"/>
            <w:bottom w:val="none" w:sz="0" w:space="0" w:color="auto"/>
            <w:right w:val="none" w:sz="0" w:space="0" w:color="auto"/>
          </w:divBdr>
        </w:div>
        <w:div w:id="1363087850">
          <w:marLeft w:val="0"/>
          <w:marRight w:val="150"/>
          <w:marTop w:val="0"/>
          <w:marBottom w:val="0"/>
          <w:divBdr>
            <w:top w:val="none" w:sz="0" w:space="0" w:color="auto"/>
            <w:left w:val="none" w:sz="0" w:space="0" w:color="auto"/>
            <w:bottom w:val="none" w:sz="0" w:space="0" w:color="auto"/>
            <w:right w:val="none" w:sz="0" w:space="0" w:color="auto"/>
          </w:divBdr>
        </w:div>
        <w:div w:id="1446269900">
          <w:marLeft w:val="0"/>
          <w:marRight w:val="0"/>
          <w:marTop w:val="0"/>
          <w:marBottom w:val="0"/>
          <w:divBdr>
            <w:top w:val="none" w:sz="0" w:space="0" w:color="auto"/>
            <w:left w:val="none" w:sz="0" w:space="0" w:color="auto"/>
            <w:bottom w:val="none" w:sz="0" w:space="0" w:color="auto"/>
            <w:right w:val="none" w:sz="0" w:space="0" w:color="auto"/>
          </w:divBdr>
          <w:divsChild>
            <w:div w:id="910887402">
              <w:marLeft w:val="0"/>
              <w:marRight w:val="0"/>
              <w:marTop w:val="0"/>
              <w:marBottom w:val="0"/>
              <w:divBdr>
                <w:top w:val="none" w:sz="0" w:space="0" w:color="auto"/>
                <w:left w:val="none" w:sz="0" w:space="0" w:color="auto"/>
                <w:bottom w:val="none" w:sz="0" w:space="0" w:color="auto"/>
                <w:right w:val="none" w:sz="0" w:space="0" w:color="auto"/>
              </w:divBdr>
              <w:divsChild>
                <w:div w:id="2114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62276">
          <w:marLeft w:val="0"/>
          <w:marRight w:val="150"/>
          <w:marTop w:val="0"/>
          <w:marBottom w:val="0"/>
          <w:divBdr>
            <w:top w:val="none" w:sz="0" w:space="0" w:color="auto"/>
            <w:left w:val="none" w:sz="0" w:space="0" w:color="auto"/>
            <w:bottom w:val="none" w:sz="0" w:space="0" w:color="auto"/>
            <w:right w:val="none" w:sz="0" w:space="0" w:color="auto"/>
          </w:divBdr>
        </w:div>
        <w:div w:id="1528561956">
          <w:marLeft w:val="0"/>
          <w:marRight w:val="0"/>
          <w:marTop w:val="0"/>
          <w:marBottom w:val="0"/>
          <w:divBdr>
            <w:top w:val="none" w:sz="0" w:space="0" w:color="auto"/>
            <w:left w:val="none" w:sz="0" w:space="0" w:color="auto"/>
            <w:bottom w:val="none" w:sz="0" w:space="0" w:color="auto"/>
            <w:right w:val="none" w:sz="0" w:space="0" w:color="auto"/>
          </w:divBdr>
        </w:div>
        <w:div w:id="1556970886">
          <w:marLeft w:val="0"/>
          <w:marRight w:val="0"/>
          <w:marTop w:val="0"/>
          <w:marBottom w:val="0"/>
          <w:divBdr>
            <w:top w:val="none" w:sz="0" w:space="0" w:color="auto"/>
            <w:left w:val="none" w:sz="0" w:space="0" w:color="auto"/>
            <w:bottom w:val="none" w:sz="0" w:space="0" w:color="auto"/>
            <w:right w:val="none" w:sz="0" w:space="0" w:color="auto"/>
          </w:divBdr>
          <w:divsChild>
            <w:div w:id="320429935">
              <w:marLeft w:val="0"/>
              <w:marRight w:val="0"/>
              <w:marTop w:val="0"/>
              <w:marBottom w:val="0"/>
              <w:divBdr>
                <w:top w:val="none" w:sz="0" w:space="0" w:color="auto"/>
                <w:left w:val="none" w:sz="0" w:space="0" w:color="auto"/>
                <w:bottom w:val="none" w:sz="0" w:space="0" w:color="auto"/>
                <w:right w:val="none" w:sz="0" w:space="0" w:color="auto"/>
              </w:divBdr>
              <w:divsChild>
                <w:div w:id="2173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32782">
          <w:marLeft w:val="0"/>
          <w:marRight w:val="0"/>
          <w:marTop w:val="0"/>
          <w:marBottom w:val="0"/>
          <w:divBdr>
            <w:top w:val="none" w:sz="0" w:space="0" w:color="auto"/>
            <w:left w:val="none" w:sz="0" w:space="0" w:color="auto"/>
            <w:bottom w:val="none" w:sz="0" w:space="0" w:color="auto"/>
            <w:right w:val="none" w:sz="0" w:space="0" w:color="auto"/>
          </w:divBdr>
          <w:divsChild>
            <w:div w:id="70082219">
              <w:marLeft w:val="0"/>
              <w:marRight w:val="0"/>
              <w:marTop w:val="0"/>
              <w:marBottom w:val="0"/>
              <w:divBdr>
                <w:top w:val="none" w:sz="0" w:space="0" w:color="auto"/>
                <w:left w:val="none" w:sz="0" w:space="0" w:color="auto"/>
                <w:bottom w:val="none" w:sz="0" w:space="0" w:color="auto"/>
                <w:right w:val="none" w:sz="0" w:space="0" w:color="auto"/>
              </w:divBdr>
              <w:divsChild>
                <w:div w:id="668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99590">
          <w:marLeft w:val="0"/>
          <w:marRight w:val="0"/>
          <w:marTop w:val="0"/>
          <w:marBottom w:val="0"/>
          <w:divBdr>
            <w:top w:val="none" w:sz="0" w:space="0" w:color="auto"/>
            <w:left w:val="none" w:sz="0" w:space="0" w:color="auto"/>
            <w:bottom w:val="none" w:sz="0" w:space="0" w:color="auto"/>
            <w:right w:val="none" w:sz="0" w:space="0" w:color="auto"/>
          </w:divBdr>
        </w:div>
        <w:div w:id="1946186308">
          <w:marLeft w:val="0"/>
          <w:marRight w:val="150"/>
          <w:marTop w:val="0"/>
          <w:marBottom w:val="0"/>
          <w:divBdr>
            <w:top w:val="none" w:sz="0" w:space="0" w:color="auto"/>
            <w:left w:val="none" w:sz="0" w:space="0" w:color="auto"/>
            <w:bottom w:val="none" w:sz="0" w:space="0" w:color="auto"/>
            <w:right w:val="none" w:sz="0" w:space="0" w:color="auto"/>
          </w:divBdr>
        </w:div>
        <w:div w:id="2032101943">
          <w:marLeft w:val="0"/>
          <w:marRight w:val="0"/>
          <w:marTop w:val="0"/>
          <w:marBottom w:val="0"/>
          <w:divBdr>
            <w:top w:val="none" w:sz="0" w:space="0" w:color="auto"/>
            <w:left w:val="none" w:sz="0" w:space="0" w:color="auto"/>
            <w:bottom w:val="none" w:sz="0" w:space="0" w:color="auto"/>
            <w:right w:val="none" w:sz="0" w:space="0" w:color="auto"/>
          </w:divBdr>
          <w:divsChild>
            <w:div w:id="553084281">
              <w:marLeft w:val="0"/>
              <w:marRight w:val="0"/>
              <w:marTop w:val="0"/>
              <w:marBottom w:val="0"/>
              <w:divBdr>
                <w:top w:val="none" w:sz="0" w:space="0" w:color="auto"/>
                <w:left w:val="none" w:sz="0" w:space="0" w:color="auto"/>
                <w:bottom w:val="none" w:sz="0" w:space="0" w:color="auto"/>
                <w:right w:val="none" w:sz="0" w:space="0" w:color="auto"/>
              </w:divBdr>
              <w:divsChild>
                <w:div w:id="3384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88388">
      <w:bodyDiv w:val="1"/>
      <w:marLeft w:val="0"/>
      <w:marRight w:val="0"/>
      <w:marTop w:val="0"/>
      <w:marBottom w:val="0"/>
      <w:divBdr>
        <w:top w:val="none" w:sz="0" w:space="0" w:color="auto"/>
        <w:left w:val="none" w:sz="0" w:space="0" w:color="auto"/>
        <w:bottom w:val="none" w:sz="0" w:space="0" w:color="auto"/>
        <w:right w:val="none" w:sz="0" w:space="0" w:color="auto"/>
      </w:divBdr>
    </w:div>
    <w:div w:id="1854298094">
      <w:bodyDiv w:val="1"/>
      <w:marLeft w:val="0"/>
      <w:marRight w:val="0"/>
      <w:marTop w:val="0"/>
      <w:marBottom w:val="0"/>
      <w:divBdr>
        <w:top w:val="none" w:sz="0" w:space="0" w:color="auto"/>
        <w:left w:val="none" w:sz="0" w:space="0" w:color="auto"/>
        <w:bottom w:val="none" w:sz="0" w:space="0" w:color="auto"/>
        <w:right w:val="none" w:sz="0" w:space="0" w:color="auto"/>
      </w:divBdr>
    </w:div>
    <w:div w:id="1856461615">
      <w:bodyDiv w:val="1"/>
      <w:marLeft w:val="0"/>
      <w:marRight w:val="0"/>
      <w:marTop w:val="0"/>
      <w:marBottom w:val="0"/>
      <w:divBdr>
        <w:top w:val="none" w:sz="0" w:space="0" w:color="auto"/>
        <w:left w:val="none" w:sz="0" w:space="0" w:color="auto"/>
        <w:bottom w:val="none" w:sz="0" w:space="0" w:color="auto"/>
        <w:right w:val="none" w:sz="0" w:space="0" w:color="auto"/>
      </w:divBdr>
    </w:div>
    <w:div w:id="1859932128">
      <w:bodyDiv w:val="1"/>
      <w:marLeft w:val="0"/>
      <w:marRight w:val="0"/>
      <w:marTop w:val="0"/>
      <w:marBottom w:val="0"/>
      <w:divBdr>
        <w:top w:val="none" w:sz="0" w:space="0" w:color="auto"/>
        <w:left w:val="none" w:sz="0" w:space="0" w:color="auto"/>
        <w:bottom w:val="none" w:sz="0" w:space="0" w:color="auto"/>
        <w:right w:val="none" w:sz="0" w:space="0" w:color="auto"/>
      </w:divBdr>
    </w:div>
    <w:div w:id="1867324176">
      <w:bodyDiv w:val="1"/>
      <w:marLeft w:val="0"/>
      <w:marRight w:val="0"/>
      <w:marTop w:val="0"/>
      <w:marBottom w:val="0"/>
      <w:divBdr>
        <w:top w:val="none" w:sz="0" w:space="0" w:color="auto"/>
        <w:left w:val="none" w:sz="0" w:space="0" w:color="auto"/>
        <w:bottom w:val="none" w:sz="0" w:space="0" w:color="auto"/>
        <w:right w:val="none" w:sz="0" w:space="0" w:color="auto"/>
      </w:divBdr>
    </w:div>
    <w:div w:id="1869299318">
      <w:bodyDiv w:val="1"/>
      <w:marLeft w:val="0"/>
      <w:marRight w:val="0"/>
      <w:marTop w:val="0"/>
      <w:marBottom w:val="0"/>
      <w:divBdr>
        <w:top w:val="none" w:sz="0" w:space="0" w:color="auto"/>
        <w:left w:val="none" w:sz="0" w:space="0" w:color="auto"/>
        <w:bottom w:val="none" w:sz="0" w:space="0" w:color="auto"/>
        <w:right w:val="none" w:sz="0" w:space="0" w:color="auto"/>
      </w:divBdr>
    </w:div>
    <w:div w:id="1870025251">
      <w:bodyDiv w:val="1"/>
      <w:marLeft w:val="0"/>
      <w:marRight w:val="0"/>
      <w:marTop w:val="0"/>
      <w:marBottom w:val="0"/>
      <w:divBdr>
        <w:top w:val="none" w:sz="0" w:space="0" w:color="auto"/>
        <w:left w:val="none" w:sz="0" w:space="0" w:color="auto"/>
        <w:bottom w:val="none" w:sz="0" w:space="0" w:color="auto"/>
        <w:right w:val="none" w:sz="0" w:space="0" w:color="auto"/>
      </w:divBdr>
    </w:div>
    <w:div w:id="1881822553">
      <w:bodyDiv w:val="1"/>
      <w:marLeft w:val="0"/>
      <w:marRight w:val="0"/>
      <w:marTop w:val="0"/>
      <w:marBottom w:val="0"/>
      <w:divBdr>
        <w:top w:val="none" w:sz="0" w:space="0" w:color="auto"/>
        <w:left w:val="none" w:sz="0" w:space="0" w:color="auto"/>
        <w:bottom w:val="none" w:sz="0" w:space="0" w:color="auto"/>
        <w:right w:val="none" w:sz="0" w:space="0" w:color="auto"/>
      </w:divBdr>
    </w:div>
    <w:div w:id="1885604417">
      <w:bodyDiv w:val="1"/>
      <w:marLeft w:val="0"/>
      <w:marRight w:val="0"/>
      <w:marTop w:val="0"/>
      <w:marBottom w:val="0"/>
      <w:divBdr>
        <w:top w:val="none" w:sz="0" w:space="0" w:color="auto"/>
        <w:left w:val="none" w:sz="0" w:space="0" w:color="auto"/>
        <w:bottom w:val="none" w:sz="0" w:space="0" w:color="auto"/>
        <w:right w:val="none" w:sz="0" w:space="0" w:color="auto"/>
      </w:divBdr>
    </w:div>
    <w:div w:id="1888685408">
      <w:bodyDiv w:val="1"/>
      <w:marLeft w:val="0"/>
      <w:marRight w:val="0"/>
      <w:marTop w:val="0"/>
      <w:marBottom w:val="0"/>
      <w:divBdr>
        <w:top w:val="none" w:sz="0" w:space="0" w:color="auto"/>
        <w:left w:val="none" w:sz="0" w:space="0" w:color="auto"/>
        <w:bottom w:val="none" w:sz="0" w:space="0" w:color="auto"/>
        <w:right w:val="none" w:sz="0" w:space="0" w:color="auto"/>
      </w:divBdr>
    </w:div>
    <w:div w:id="1888713983">
      <w:bodyDiv w:val="1"/>
      <w:marLeft w:val="0"/>
      <w:marRight w:val="0"/>
      <w:marTop w:val="0"/>
      <w:marBottom w:val="0"/>
      <w:divBdr>
        <w:top w:val="none" w:sz="0" w:space="0" w:color="auto"/>
        <w:left w:val="none" w:sz="0" w:space="0" w:color="auto"/>
        <w:bottom w:val="none" w:sz="0" w:space="0" w:color="auto"/>
        <w:right w:val="none" w:sz="0" w:space="0" w:color="auto"/>
      </w:divBdr>
    </w:div>
    <w:div w:id="1890264635">
      <w:bodyDiv w:val="1"/>
      <w:marLeft w:val="0"/>
      <w:marRight w:val="0"/>
      <w:marTop w:val="0"/>
      <w:marBottom w:val="0"/>
      <w:divBdr>
        <w:top w:val="none" w:sz="0" w:space="0" w:color="auto"/>
        <w:left w:val="none" w:sz="0" w:space="0" w:color="auto"/>
        <w:bottom w:val="none" w:sz="0" w:space="0" w:color="auto"/>
        <w:right w:val="none" w:sz="0" w:space="0" w:color="auto"/>
      </w:divBdr>
    </w:div>
    <w:div w:id="1890608678">
      <w:bodyDiv w:val="1"/>
      <w:marLeft w:val="0"/>
      <w:marRight w:val="0"/>
      <w:marTop w:val="0"/>
      <w:marBottom w:val="0"/>
      <w:divBdr>
        <w:top w:val="none" w:sz="0" w:space="0" w:color="auto"/>
        <w:left w:val="none" w:sz="0" w:space="0" w:color="auto"/>
        <w:bottom w:val="none" w:sz="0" w:space="0" w:color="auto"/>
        <w:right w:val="none" w:sz="0" w:space="0" w:color="auto"/>
      </w:divBdr>
    </w:div>
    <w:div w:id="1896624992">
      <w:bodyDiv w:val="1"/>
      <w:marLeft w:val="0"/>
      <w:marRight w:val="0"/>
      <w:marTop w:val="0"/>
      <w:marBottom w:val="0"/>
      <w:divBdr>
        <w:top w:val="none" w:sz="0" w:space="0" w:color="auto"/>
        <w:left w:val="none" w:sz="0" w:space="0" w:color="auto"/>
        <w:bottom w:val="none" w:sz="0" w:space="0" w:color="auto"/>
        <w:right w:val="none" w:sz="0" w:space="0" w:color="auto"/>
      </w:divBdr>
    </w:div>
    <w:div w:id="1900165956">
      <w:bodyDiv w:val="1"/>
      <w:marLeft w:val="0"/>
      <w:marRight w:val="0"/>
      <w:marTop w:val="0"/>
      <w:marBottom w:val="0"/>
      <w:divBdr>
        <w:top w:val="none" w:sz="0" w:space="0" w:color="auto"/>
        <w:left w:val="none" w:sz="0" w:space="0" w:color="auto"/>
        <w:bottom w:val="none" w:sz="0" w:space="0" w:color="auto"/>
        <w:right w:val="none" w:sz="0" w:space="0" w:color="auto"/>
      </w:divBdr>
    </w:div>
    <w:div w:id="1909803573">
      <w:bodyDiv w:val="1"/>
      <w:marLeft w:val="0"/>
      <w:marRight w:val="0"/>
      <w:marTop w:val="0"/>
      <w:marBottom w:val="0"/>
      <w:divBdr>
        <w:top w:val="none" w:sz="0" w:space="0" w:color="auto"/>
        <w:left w:val="none" w:sz="0" w:space="0" w:color="auto"/>
        <w:bottom w:val="none" w:sz="0" w:space="0" w:color="auto"/>
        <w:right w:val="none" w:sz="0" w:space="0" w:color="auto"/>
      </w:divBdr>
    </w:div>
    <w:div w:id="1913739197">
      <w:bodyDiv w:val="1"/>
      <w:marLeft w:val="0"/>
      <w:marRight w:val="0"/>
      <w:marTop w:val="0"/>
      <w:marBottom w:val="0"/>
      <w:divBdr>
        <w:top w:val="none" w:sz="0" w:space="0" w:color="auto"/>
        <w:left w:val="none" w:sz="0" w:space="0" w:color="auto"/>
        <w:bottom w:val="none" w:sz="0" w:space="0" w:color="auto"/>
        <w:right w:val="none" w:sz="0" w:space="0" w:color="auto"/>
      </w:divBdr>
    </w:div>
    <w:div w:id="1915433577">
      <w:bodyDiv w:val="1"/>
      <w:marLeft w:val="0"/>
      <w:marRight w:val="0"/>
      <w:marTop w:val="0"/>
      <w:marBottom w:val="0"/>
      <w:divBdr>
        <w:top w:val="none" w:sz="0" w:space="0" w:color="auto"/>
        <w:left w:val="none" w:sz="0" w:space="0" w:color="auto"/>
        <w:bottom w:val="none" w:sz="0" w:space="0" w:color="auto"/>
        <w:right w:val="none" w:sz="0" w:space="0" w:color="auto"/>
      </w:divBdr>
    </w:div>
    <w:div w:id="1915968921">
      <w:bodyDiv w:val="1"/>
      <w:marLeft w:val="0"/>
      <w:marRight w:val="0"/>
      <w:marTop w:val="0"/>
      <w:marBottom w:val="0"/>
      <w:divBdr>
        <w:top w:val="none" w:sz="0" w:space="0" w:color="auto"/>
        <w:left w:val="none" w:sz="0" w:space="0" w:color="auto"/>
        <w:bottom w:val="none" w:sz="0" w:space="0" w:color="auto"/>
        <w:right w:val="none" w:sz="0" w:space="0" w:color="auto"/>
      </w:divBdr>
    </w:div>
    <w:div w:id="1916238525">
      <w:bodyDiv w:val="1"/>
      <w:marLeft w:val="0"/>
      <w:marRight w:val="0"/>
      <w:marTop w:val="0"/>
      <w:marBottom w:val="0"/>
      <w:divBdr>
        <w:top w:val="none" w:sz="0" w:space="0" w:color="auto"/>
        <w:left w:val="none" w:sz="0" w:space="0" w:color="auto"/>
        <w:bottom w:val="none" w:sz="0" w:space="0" w:color="auto"/>
        <w:right w:val="none" w:sz="0" w:space="0" w:color="auto"/>
      </w:divBdr>
    </w:div>
    <w:div w:id="1921329557">
      <w:bodyDiv w:val="1"/>
      <w:marLeft w:val="0"/>
      <w:marRight w:val="0"/>
      <w:marTop w:val="0"/>
      <w:marBottom w:val="0"/>
      <w:divBdr>
        <w:top w:val="none" w:sz="0" w:space="0" w:color="auto"/>
        <w:left w:val="none" w:sz="0" w:space="0" w:color="auto"/>
        <w:bottom w:val="none" w:sz="0" w:space="0" w:color="auto"/>
        <w:right w:val="none" w:sz="0" w:space="0" w:color="auto"/>
      </w:divBdr>
    </w:div>
    <w:div w:id="1922642419">
      <w:bodyDiv w:val="1"/>
      <w:marLeft w:val="0"/>
      <w:marRight w:val="0"/>
      <w:marTop w:val="0"/>
      <w:marBottom w:val="0"/>
      <w:divBdr>
        <w:top w:val="none" w:sz="0" w:space="0" w:color="auto"/>
        <w:left w:val="none" w:sz="0" w:space="0" w:color="auto"/>
        <w:bottom w:val="none" w:sz="0" w:space="0" w:color="auto"/>
        <w:right w:val="none" w:sz="0" w:space="0" w:color="auto"/>
      </w:divBdr>
    </w:div>
    <w:div w:id="1923173528">
      <w:bodyDiv w:val="1"/>
      <w:marLeft w:val="0"/>
      <w:marRight w:val="0"/>
      <w:marTop w:val="0"/>
      <w:marBottom w:val="0"/>
      <w:divBdr>
        <w:top w:val="none" w:sz="0" w:space="0" w:color="auto"/>
        <w:left w:val="none" w:sz="0" w:space="0" w:color="auto"/>
        <w:bottom w:val="none" w:sz="0" w:space="0" w:color="auto"/>
        <w:right w:val="none" w:sz="0" w:space="0" w:color="auto"/>
      </w:divBdr>
    </w:div>
    <w:div w:id="1924103626">
      <w:bodyDiv w:val="1"/>
      <w:marLeft w:val="0"/>
      <w:marRight w:val="0"/>
      <w:marTop w:val="0"/>
      <w:marBottom w:val="0"/>
      <w:divBdr>
        <w:top w:val="none" w:sz="0" w:space="0" w:color="auto"/>
        <w:left w:val="none" w:sz="0" w:space="0" w:color="auto"/>
        <w:bottom w:val="none" w:sz="0" w:space="0" w:color="auto"/>
        <w:right w:val="none" w:sz="0" w:space="0" w:color="auto"/>
      </w:divBdr>
    </w:div>
    <w:div w:id="1925530376">
      <w:bodyDiv w:val="1"/>
      <w:marLeft w:val="0"/>
      <w:marRight w:val="0"/>
      <w:marTop w:val="0"/>
      <w:marBottom w:val="0"/>
      <w:divBdr>
        <w:top w:val="none" w:sz="0" w:space="0" w:color="auto"/>
        <w:left w:val="none" w:sz="0" w:space="0" w:color="auto"/>
        <w:bottom w:val="none" w:sz="0" w:space="0" w:color="auto"/>
        <w:right w:val="none" w:sz="0" w:space="0" w:color="auto"/>
      </w:divBdr>
    </w:div>
    <w:div w:id="1927226556">
      <w:bodyDiv w:val="1"/>
      <w:marLeft w:val="0"/>
      <w:marRight w:val="0"/>
      <w:marTop w:val="0"/>
      <w:marBottom w:val="0"/>
      <w:divBdr>
        <w:top w:val="none" w:sz="0" w:space="0" w:color="auto"/>
        <w:left w:val="none" w:sz="0" w:space="0" w:color="auto"/>
        <w:bottom w:val="none" w:sz="0" w:space="0" w:color="auto"/>
        <w:right w:val="none" w:sz="0" w:space="0" w:color="auto"/>
      </w:divBdr>
    </w:div>
    <w:div w:id="1927613423">
      <w:bodyDiv w:val="1"/>
      <w:marLeft w:val="0"/>
      <w:marRight w:val="0"/>
      <w:marTop w:val="0"/>
      <w:marBottom w:val="0"/>
      <w:divBdr>
        <w:top w:val="none" w:sz="0" w:space="0" w:color="auto"/>
        <w:left w:val="none" w:sz="0" w:space="0" w:color="auto"/>
        <w:bottom w:val="none" w:sz="0" w:space="0" w:color="auto"/>
        <w:right w:val="none" w:sz="0" w:space="0" w:color="auto"/>
      </w:divBdr>
    </w:div>
    <w:div w:id="1927955204">
      <w:bodyDiv w:val="1"/>
      <w:marLeft w:val="0"/>
      <w:marRight w:val="0"/>
      <w:marTop w:val="0"/>
      <w:marBottom w:val="0"/>
      <w:divBdr>
        <w:top w:val="none" w:sz="0" w:space="0" w:color="auto"/>
        <w:left w:val="none" w:sz="0" w:space="0" w:color="auto"/>
        <w:bottom w:val="none" w:sz="0" w:space="0" w:color="auto"/>
        <w:right w:val="none" w:sz="0" w:space="0" w:color="auto"/>
      </w:divBdr>
    </w:div>
    <w:div w:id="1931043543">
      <w:bodyDiv w:val="1"/>
      <w:marLeft w:val="0"/>
      <w:marRight w:val="0"/>
      <w:marTop w:val="0"/>
      <w:marBottom w:val="0"/>
      <w:divBdr>
        <w:top w:val="none" w:sz="0" w:space="0" w:color="auto"/>
        <w:left w:val="none" w:sz="0" w:space="0" w:color="auto"/>
        <w:bottom w:val="none" w:sz="0" w:space="0" w:color="auto"/>
        <w:right w:val="none" w:sz="0" w:space="0" w:color="auto"/>
      </w:divBdr>
      <w:divsChild>
        <w:div w:id="351151522">
          <w:marLeft w:val="0"/>
          <w:marRight w:val="0"/>
          <w:marTop w:val="0"/>
          <w:marBottom w:val="0"/>
          <w:divBdr>
            <w:top w:val="none" w:sz="0" w:space="0" w:color="auto"/>
            <w:left w:val="none" w:sz="0" w:space="0" w:color="auto"/>
            <w:bottom w:val="none" w:sz="0" w:space="0" w:color="auto"/>
            <w:right w:val="none" w:sz="0" w:space="0" w:color="auto"/>
          </w:divBdr>
        </w:div>
        <w:div w:id="357658647">
          <w:marLeft w:val="0"/>
          <w:marRight w:val="0"/>
          <w:marTop w:val="0"/>
          <w:marBottom w:val="0"/>
          <w:divBdr>
            <w:top w:val="none" w:sz="0" w:space="0" w:color="auto"/>
            <w:left w:val="none" w:sz="0" w:space="0" w:color="auto"/>
            <w:bottom w:val="none" w:sz="0" w:space="0" w:color="auto"/>
            <w:right w:val="none" w:sz="0" w:space="0" w:color="auto"/>
          </w:divBdr>
        </w:div>
        <w:div w:id="1405490984">
          <w:marLeft w:val="0"/>
          <w:marRight w:val="0"/>
          <w:marTop w:val="0"/>
          <w:marBottom w:val="0"/>
          <w:divBdr>
            <w:top w:val="none" w:sz="0" w:space="0" w:color="auto"/>
            <w:left w:val="none" w:sz="0" w:space="0" w:color="auto"/>
            <w:bottom w:val="none" w:sz="0" w:space="0" w:color="auto"/>
            <w:right w:val="none" w:sz="0" w:space="0" w:color="auto"/>
          </w:divBdr>
        </w:div>
        <w:div w:id="1412460968">
          <w:marLeft w:val="0"/>
          <w:marRight w:val="0"/>
          <w:marTop w:val="0"/>
          <w:marBottom w:val="0"/>
          <w:divBdr>
            <w:top w:val="none" w:sz="0" w:space="0" w:color="auto"/>
            <w:left w:val="none" w:sz="0" w:space="0" w:color="auto"/>
            <w:bottom w:val="none" w:sz="0" w:space="0" w:color="auto"/>
            <w:right w:val="none" w:sz="0" w:space="0" w:color="auto"/>
          </w:divBdr>
        </w:div>
        <w:div w:id="1841237997">
          <w:marLeft w:val="0"/>
          <w:marRight w:val="0"/>
          <w:marTop w:val="0"/>
          <w:marBottom w:val="0"/>
          <w:divBdr>
            <w:top w:val="none" w:sz="0" w:space="0" w:color="auto"/>
            <w:left w:val="none" w:sz="0" w:space="0" w:color="auto"/>
            <w:bottom w:val="none" w:sz="0" w:space="0" w:color="auto"/>
            <w:right w:val="none" w:sz="0" w:space="0" w:color="auto"/>
          </w:divBdr>
        </w:div>
      </w:divsChild>
    </w:div>
    <w:div w:id="1934321451">
      <w:bodyDiv w:val="1"/>
      <w:marLeft w:val="0"/>
      <w:marRight w:val="0"/>
      <w:marTop w:val="0"/>
      <w:marBottom w:val="0"/>
      <w:divBdr>
        <w:top w:val="none" w:sz="0" w:space="0" w:color="auto"/>
        <w:left w:val="none" w:sz="0" w:space="0" w:color="auto"/>
        <w:bottom w:val="none" w:sz="0" w:space="0" w:color="auto"/>
        <w:right w:val="none" w:sz="0" w:space="0" w:color="auto"/>
      </w:divBdr>
    </w:div>
    <w:div w:id="1934780001">
      <w:bodyDiv w:val="1"/>
      <w:marLeft w:val="0"/>
      <w:marRight w:val="0"/>
      <w:marTop w:val="0"/>
      <w:marBottom w:val="0"/>
      <w:divBdr>
        <w:top w:val="none" w:sz="0" w:space="0" w:color="auto"/>
        <w:left w:val="none" w:sz="0" w:space="0" w:color="auto"/>
        <w:bottom w:val="none" w:sz="0" w:space="0" w:color="auto"/>
        <w:right w:val="none" w:sz="0" w:space="0" w:color="auto"/>
      </w:divBdr>
    </w:div>
    <w:div w:id="1946307676">
      <w:bodyDiv w:val="1"/>
      <w:marLeft w:val="0"/>
      <w:marRight w:val="0"/>
      <w:marTop w:val="0"/>
      <w:marBottom w:val="0"/>
      <w:divBdr>
        <w:top w:val="none" w:sz="0" w:space="0" w:color="auto"/>
        <w:left w:val="none" w:sz="0" w:space="0" w:color="auto"/>
        <w:bottom w:val="none" w:sz="0" w:space="0" w:color="auto"/>
        <w:right w:val="none" w:sz="0" w:space="0" w:color="auto"/>
      </w:divBdr>
    </w:div>
    <w:div w:id="1949390458">
      <w:bodyDiv w:val="1"/>
      <w:marLeft w:val="0"/>
      <w:marRight w:val="0"/>
      <w:marTop w:val="0"/>
      <w:marBottom w:val="0"/>
      <w:divBdr>
        <w:top w:val="none" w:sz="0" w:space="0" w:color="auto"/>
        <w:left w:val="none" w:sz="0" w:space="0" w:color="auto"/>
        <w:bottom w:val="none" w:sz="0" w:space="0" w:color="auto"/>
        <w:right w:val="none" w:sz="0" w:space="0" w:color="auto"/>
      </w:divBdr>
    </w:div>
    <w:div w:id="1950619989">
      <w:bodyDiv w:val="1"/>
      <w:marLeft w:val="0"/>
      <w:marRight w:val="0"/>
      <w:marTop w:val="0"/>
      <w:marBottom w:val="0"/>
      <w:divBdr>
        <w:top w:val="none" w:sz="0" w:space="0" w:color="auto"/>
        <w:left w:val="none" w:sz="0" w:space="0" w:color="auto"/>
        <w:bottom w:val="none" w:sz="0" w:space="0" w:color="auto"/>
        <w:right w:val="none" w:sz="0" w:space="0" w:color="auto"/>
      </w:divBdr>
    </w:div>
    <w:div w:id="1955095214">
      <w:bodyDiv w:val="1"/>
      <w:marLeft w:val="0"/>
      <w:marRight w:val="0"/>
      <w:marTop w:val="0"/>
      <w:marBottom w:val="0"/>
      <w:divBdr>
        <w:top w:val="none" w:sz="0" w:space="0" w:color="auto"/>
        <w:left w:val="none" w:sz="0" w:space="0" w:color="auto"/>
        <w:bottom w:val="none" w:sz="0" w:space="0" w:color="auto"/>
        <w:right w:val="none" w:sz="0" w:space="0" w:color="auto"/>
      </w:divBdr>
    </w:div>
    <w:div w:id="1959337066">
      <w:bodyDiv w:val="1"/>
      <w:marLeft w:val="0"/>
      <w:marRight w:val="0"/>
      <w:marTop w:val="0"/>
      <w:marBottom w:val="0"/>
      <w:divBdr>
        <w:top w:val="none" w:sz="0" w:space="0" w:color="auto"/>
        <w:left w:val="none" w:sz="0" w:space="0" w:color="auto"/>
        <w:bottom w:val="none" w:sz="0" w:space="0" w:color="auto"/>
        <w:right w:val="none" w:sz="0" w:space="0" w:color="auto"/>
      </w:divBdr>
    </w:div>
    <w:div w:id="1960378553">
      <w:bodyDiv w:val="1"/>
      <w:marLeft w:val="0"/>
      <w:marRight w:val="0"/>
      <w:marTop w:val="0"/>
      <w:marBottom w:val="0"/>
      <w:divBdr>
        <w:top w:val="none" w:sz="0" w:space="0" w:color="auto"/>
        <w:left w:val="none" w:sz="0" w:space="0" w:color="auto"/>
        <w:bottom w:val="none" w:sz="0" w:space="0" w:color="auto"/>
        <w:right w:val="none" w:sz="0" w:space="0" w:color="auto"/>
      </w:divBdr>
    </w:div>
    <w:div w:id="1960606075">
      <w:bodyDiv w:val="1"/>
      <w:marLeft w:val="0"/>
      <w:marRight w:val="0"/>
      <w:marTop w:val="0"/>
      <w:marBottom w:val="0"/>
      <w:divBdr>
        <w:top w:val="none" w:sz="0" w:space="0" w:color="auto"/>
        <w:left w:val="none" w:sz="0" w:space="0" w:color="auto"/>
        <w:bottom w:val="none" w:sz="0" w:space="0" w:color="auto"/>
        <w:right w:val="none" w:sz="0" w:space="0" w:color="auto"/>
      </w:divBdr>
    </w:div>
    <w:div w:id="1964800929">
      <w:bodyDiv w:val="1"/>
      <w:marLeft w:val="0"/>
      <w:marRight w:val="0"/>
      <w:marTop w:val="0"/>
      <w:marBottom w:val="0"/>
      <w:divBdr>
        <w:top w:val="none" w:sz="0" w:space="0" w:color="auto"/>
        <w:left w:val="none" w:sz="0" w:space="0" w:color="auto"/>
        <w:bottom w:val="none" w:sz="0" w:space="0" w:color="auto"/>
        <w:right w:val="none" w:sz="0" w:space="0" w:color="auto"/>
      </w:divBdr>
    </w:div>
    <w:div w:id="1967200422">
      <w:bodyDiv w:val="1"/>
      <w:marLeft w:val="0"/>
      <w:marRight w:val="0"/>
      <w:marTop w:val="0"/>
      <w:marBottom w:val="0"/>
      <w:divBdr>
        <w:top w:val="none" w:sz="0" w:space="0" w:color="auto"/>
        <w:left w:val="none" w:sz="0" w:space="0" w:color="auto"/>
        <w:bottom w:val="none" w:sz="0" w:space="0" w:color="auto"/>
        <w:right w:val="none" w:sz="0" w:space="0" w:color="auto"/>
      </w:divBdr>
    </w:div>
    <w:div w:id="1968199263">
      <w:bodyDiv w:val="1"/>
      <w:marLeft w:val="0"/>
      <w:marRight w:val="0"/>
      <w:marTop w:val="0"/>
      <w:marBottom w:val="0"/>
      <w:divBdr>
        <w:top w:val="none" w:sz="0" w:space="0" w:color="auto"/>
        <w:left w:val="none" w:sz="0" w:space="0" w:color="auto"/>
        <w:bottom w:val="none" w:sz="0" w:space="0" w:color="auto"/>
        <w:right w:val="none" w:sz="0" w:space="0" w:color="auto"/>
      </w:divBdr>
    </w:div>
    <w:div w:id="1973898969">
      <w:bodyDiv w:val="1"/>
      <w:marLeft w:val="0"/>
      <w:marRight w:val="0"/>
      <w:marTop w:val="0"/>
      <w:marBottom w:val="0"/>
      <w:divBdr>
        <w:top w:val="none" w:sz="0" w:space="0" w:color="auto"/>
        <w:left w:val="none" w:sz="0" w:space="0" w:color="auto"/>
        <w:bottom w:val="none" w:sz="0" w:space="0" w:color="auto"/>
        <w:right w:val="none" w:sz="0" w:space="0" w:color="auto"/>
      </w:divBdr>
    </w:div>
    <w:div w:id="1973904169">
      <w:bodyDiv w:val="1"/>
      <w:marLeft w:val="0"/>
      <w:marRight w:val="0"/>
      <w:marTop w:val="0"/>
      <w:marBottom w:val="0"/>
      <w:divBdr>
        <w:top w:val="none" w:sz="0" w:space="0" w:color="auto"/>
        <w:left w:val="none" w:sz="0" w:space="0" w:color="auto"/>
        <w:bottom w:val="none" w:sz="0" w:space="0" w:color="auto"/>
        <w:right w:val="none" w:sz="0" w:space="0" w:color="auto"/>
      </w:divBdr>
    </w:div>
    <w:div w:id="1978073296">
      <w:bodyDiv w:val="1"/>
      <w:marLeft w:val="0"/>
      <w:marRight w:val="0"/>
      <w:marTop w:val="0"/>
      <w:marBottom w:val="0"/>
      <w:divBdr>
        <w:top w:val="none" w:sz="0" w:space="0" w:color="auto"/>
        <w:left w:val="none" w:sz="0" w:space="0" w:color="auto"/>
        <w:bottom w:val="none" w:sz="0" w:space="0" w:color="auto"/>
        <w:right w:val="none" w:sz="0" w:space="0" w:color="auto"/>
      </w:divBdr>
    </w:div>
    <w:div w:id="1987775396">
      <w:bodyDiv w:val="1"/>
      <w:marLeft w:val="0"/>
      <w:marRight w:val="0"/>
      <w:marTop w:val="0"/>
      <w:marBottom w:val="0"/>
      <w:divBdr>
        <w:top w:val="none" w:sz="0" w:space="0" w:color="auto"/>
        <w:left w:val="none" w:sz="0" w:space="0" w:color="auto"/>
        <w:bottom w:val="none" w:sz="0" w:space="0" w:color="auto"/>
        <w:right w:val="none" w:sz="0" w:space="0" w:color="auto"/>
      </w:divBdr>
    </w:div>
    <w:div w:id="1988780862">
      <w:bodyDiv w:val="1"/>
      <w:marLeft w:val="0"/>
      <w:marRight w:val="0"/>
      <w:marTop w:val="0"/>
      <w:marBottom w:val="0"/>
      <w:divBdr>
        <w:top w:val="none" w:sz="0" w:space="0" w:color="auto"/>
        <w:left w:val="none" w:sz="0" w:space="0" w:color="auto"/>
        <w:bottom w:val="none" w:sz="0" w:space="0" w:color="auto"/>
        <w:right w:val="none" w:sz="0" w:space="0" w:color="auto"/>
      </w:divBdr>
    </w:div>
    <w:div w:id="1989244818">
      <w:bodyDiv w:val="1"/>
      <w:marLeft w:val="0"/>
      <w:marRight w:val="0"/>
      <w:marTop w:val="0"/>
      <w:marBottom w:val="0"/>
      <w:divBdr>
        <w:top w:val="none" w:sz="0" w:space="0" w:color="auto"/>
        <w:left w:val="none" w:sz="0" w:space="0" w:color="auto"/>
        <w:bottom w:val="none" w:sz="0" w:space="0" w:color="auto"/>
        <w:right w:val="none" w:sz="0" w:space="0" w:color="auto"/>
      </w:divBdr>
    </w:div>
    <w:div w:id="1990132350">
      <w:bodyDiv w:val="1"/>
      <w:marLeft w:val="0"/>
      <w:marRight w:val="0"/>
      <w:marTop w:val="0"/>
      <w:marBottom w:val="0"/>
      <w:divBdr>
        <w:top w:val="none" w:sz="0" w:space="0" w:color="auto"/>
        <w:left w:val="none" w:sz="0" w:space="0" w:color="auto"/>
        <w:bottom w:val="none" w:sz="0" w:space="0" w:color="auto"/>
        <w:right w:val="none" w:sz="0" w:space="0" w:color="auto"/>
      </w:divBdr>
    </w:div>
    <w:div w:id="1998535277">
      <w:bodyDiv w:val="1"/>
      <w:marLeft w:val="0"/>
      <w:marRight w:val="0"/>
      <w:marTop w:val="0"/>
      <w:marBottom w:val="0"/>
      <w:divBdr>
        <w:top w:val="none" w:sz="0" w:space="0" w:color="auto"/>
        <w:left w:val="none" w:sz="0" w:space="0" w:color="auto"/>
        <w:bottom w:val="none" w:sz="0" w:space="0" w:color="auto"/>
        <w:right w:val="none" w:sz="0" w:space="0" w:color="auto"/>
      </w:divBdr>
    </w:div>
    <w:div w:id="1999651181">
      <w:bodyDiv w:val="1"/>
      <w:marLeft w:val="0"/>
      <w:marRight w:val="0"/>
      <w:marTop w:val="0"/>
      <w:marBottom w:val="0"/>
      <w:divBdr>
        <w:top w:val="none" w:sz="0" w:space="0" w:color="auto"/>
        <w:left w:val="none" w:sz="0" w:space="0" w:color="auto"/>
        <w:bottom w:val="none" w:sz="0" w:space="0" w:color="auto"/>
        <w:right w:val="none" w:sz="0" w:space="0" w:color="auto"/>
      </w:divBdr>
    </w:div>
    <w:div w:id="2000578014">
      <w:bodyDiv w:val="1"/>
      <w:marLeft w:val="0"/>
      <w:marRight w:val="0"/>
      <w:marTop w:val="0"/>
      <w:marBottom w:val="0"/>
      <w:divBdr>
        <w:top w:val="none" w:sz="0" w:space="0" w:color="auto"/>
        <w:left w:val="none" w:sz="0" w:space="0" w:color="auto"/>
        <w:bottom w:val="none" w:sz="0" w:space="0" w:color="auto"/>
        <w:right w:val="none" w:sz="0" w:space="0" w:color="auto"/>
      </w:divBdr>
    </w:div>
    <w:div w:id="2016373892">
      <w:bodyDiv w:val="1"/>
      <w:marLeft w:val="0"/>
      <w:marRight w:val="0"/>
      <w:marTop w:val="0"/>
      <w:marBottom w:val="0"/>
      <w:divBdr>
        <w:top w:val="none" w:sz="0" w:space="0" w:color="auto"/>
        <w:left w:val="none" w:sz="0" w:space="0" w:color="auto"/>
        <w:bottom w:val="none" w:sz="0" w:space="0" w:color="auto"/>
        <w:right w:val="none" w:sz="0" w:space="0" w:color="auto"/>
      </w:divBdr>
    </w:div>
    <w:div w:id="2022198138">
      <w:bodyDiv w:val="1"/>
      <w:marLeft w:val="0"/>
      <w:marRight w:val="0"/>
      <w:marTop w:val="0"/>
      <w:marBottom w:val="0"/>
      <w:divBdr>
        <w:top w:val="none" w:sz="0" w:space="0" w:color="auto"/>
        <w:left w:val="none" w:sz="0" w:space="0" w:color="auto"/>
        <w:bottom w:val="none" w:sz="0" w:space="0" w:color="auto"/>
        <w:right w:val="none" w:sz="0" w:space="0" w:color="auto"/>
      </w:divBdr>
    </w:div>
    <w:div w:id="2055350094">
      <w:bodyDiv w:val="1"/>
      <w:marLeft w:val="0"/>
      <w:marRight w:val="0"/>
      <w:marTop w:val="0"/>
      <w:marBottom w:val="0"/>
      <w:divBdr>
        <w:top w:val="none" w:sz="0" w:space="0" w:color="auto"/>
        <w:left w:val="none" w:sz="0" w:space="0" w:color="auto"/>
        <w:bottom w:val="none" w:sz="0" w:space="0" w:color="auto"/>
        <w:right w:val="none" w:sz="0" w:space="0" w:color="auto"/>
      </w:divBdr>
    </w:div>
    <w:div w:id="2055931080">
      <w:bodyDiv w:val="1"/>
      <w:marLeft w:val="0"/>
      <w:marRight w:val="0"/>
      <w:marTop w:val="0"/>
      <w:marBottom w:val="0"/>
      <w:divBdr>
        <w:top w:val="none" w:sz="0" w:space="0" w:color="auto"/>
        <w:left w:val="none" w:sz="0" w:space="0" w:color="auto"/>
        <w:bottom w:val="none" w:sz="0" w:space="0" w:color="auto"/>
        <w:right w:val="none" w:sz="0" w:space="0" w:color="auto"/>
      </w:divBdr>
    </w:div>
    <w:div w:id="2063669543">
      <w:bodyDiv w:val="1"/>
      <w:marLeft w:val="0"/>
      <w:marRight w:val="0"/>
      <w:marTop w:val="0"/>
      <w:marBottom w:val="0"/>
      <w:divBdr>
        <w:top w:val="none" w:sz="0" w:space="0" w:color="auto"/>
        <w:left w:val="none" w:sz="0" w:space="0" w:color="auto"/>
        <w:bottom w:val="none" w:sz="0" w:space="0" w:color="auto"/>
        <w:right w:val="none" w:sz="0" w:space="0" w:color="auto"/>
      </w:divBdr>
    </w:div>
    <w:div w:id="2066486023">
      <w:bodyDiv w:val="1"/>
      <w:marLeft w:val="0"/>
      <w:marRight w:val="0"/>
      <w:marTop w:val="0"/>
      <w:marBottom w:val="0"/>
      <w:divBdr>
        <w:top w:val="none" w:sz="0" w:space="0" w:color="auto"/>
        <w:left w:val="none" w:sz="0" w:space="0" w:color="auto"/>
        <w:bottom w:val="none" w:sz="0" w:space="0" w:color="auto"/>
        <w:right w:val="none" w:sz="0" w:space="0" w:color="auto"/>
      </w:divBdr>
    </w:div>
    <w:div w:id="2067757229">
      <w:bodyDiv w:val="1"/>
      <w:marLeft w:val="0"/>
      <w:marRight w:val="0"/>
      <w:marTop w:val="0"/>
      <w:marBottom w:val="0"/>
      <w:divBdr>
        <w:top w:val="none" w:sz="0" w:space="0" w:color="auto"/>
        <w:left w:val="none" w:sz="0" w:space="0" w:color="auto"/>
        <w:bottom w:val="none" w:sz="0" w:space="0" w:color="auto"/>
        <w:right w:val="none" w:sz="0" w:space="0" w:color="auto"/>
      </w:divBdr>
    </w:div>
    <w:div w:id="2075348289">
      <w:bodyDiv w:val="1"/>
      <w:marLeft w:val="0"/>
      <w:marRight w:val="0"/>
      <w:marTop w:val="0"/>
      <w:marBottom w:val="0"/>
      <w:divBdr>
        <w:top w:val="none" w:sz="0" w:space="0" w:color="auto"/>
        <w:left w:val="none" w:sz="0" w:space="0" w:color="auto"/>
        <w:bottom w:val="none" w:sz="0" w:space="0" w:color="auto"/>
        <w:right w:val="none" w:sz="0" w:space="0" w:color="auto"/>
      </w:divBdr>
    </w:div>
    <w:div w:id="2081635041">
      <w:bodyDiv w:val="1"/>
      <w:marLeft w:val="0"/>
      <w:marRight w:val="0"/>
      <w:marTop w:val="0"/>
      <w:marBottom w:val="0"/>
      <w:divBdr>
        <w:top w:val="none" w:sz="0" w:space="0" w:color="auto"/>
        <w:left w:val="none" w:sz="0" w:space="0" w:color="auto"/>
        <w:bottom w:val="none" w:sz="0" w:space="0" w:color="auto"/>
        <w:right w:val="none" w:sz="0" w:space="0" w:color="auto"/>
      </w:divBdr>
    </w:div>
    <w:div w:id="2087874731">
      <w:bodyDiv w:val="1"/>
      <w:marLeft w:val="0"/>
      <w:marRight w:val="0"/>
      <w:marTop w:val="0"/>
      <w:marBottom w:val="0"/>
      <w:divBdr>
        <w:top w:val="none" w:sz="0" w:space="0" w:color="auto"/>
        <w:left w:val="none" w:sz="0" w:space="0" w:color="auto"/>
        <w:bottom w:val="none" w:sz="0" w:space="0" w:color="auto"/>
        <w:right w:val="none" w:sz="0" w:space="0" w:color="auto"/>
      </w:divBdr>
    </w:div>
    <w:div w:id="2089646024">
      <w:bodyDiv w:val="1"/>
      <w:marLeft w:val="0"/>
      <w:marRight w:val="0"/>
      <w:marTop w:val="0"/>
      <w:marBottom w:val="0"/>
      <w:divBdr>
        <w:top w:val="none" w:sz="0" w:space="0" w:color="auto"/>
        <w:left w:val="none" w:sz="0" w:space="0" w:color="auto"/>
        <w:bottom w:val="none" w:sz="0" w:space="0" w:color="auto"/>
        <w:right w:val="none" w:sz="0" w:space="0" w:color="auto"/>
      </w:divBdr>
    </w:div>
    <w:div w:id="2093893270">
      <w:bodyDiv w:val="1"/>
      <w:marLeft w:val="0"/>
      <w:marRight w:val="0"/>
      <w:marTop w:val="0"/>
      <w:marBottom w:val="0"/>
      <w:divBdr>
        <w:top w:val="none" w:sz="0" w:space="0" w:color="auto"/>
        <w:left w:val="none" w:sz="0" w:space="0" w:color="auto"/>
        <w:bottom w:val="none" w:sz="0" w:space="0" w:color="auto"/>
        <w:right w:val="none" w:sz="0" w:space="0" w:color="auto"/>
      </w:divBdr>
    </w:div>
    <w:div w:id="2106924033">
      <w:bodyDiv w:val="1"/>
      <w:marLeft w:val="0"/>
      <w:marRight w:val="0"/>
      <w:marTop w:val="0"/>
      <w:marBottom w:val="0"/>
      <w:divBdr>
        <w:top w:val="none" w:sz="0" w:space="0" w:color="auto"/>
        <w:left w:val="none" w:sz="0" w:space="0" w:color="auto"/>
        <w:bottom w:val="none" w:sz="0" w:space="0" w:color="auto"/>
        <w:right w:val="none" w:sz="0" w:space="0" w:color="auto"/>
      </w:divBdr>
    </w:div>
    <w:div w:id="2119593958">
      <w:bodyDiv w:val="1"/>
      <w:marLeft w:val="0"/>
      <w:marRight w:val="0"/>
      <w:marTop w:val="0"/>
      <w:marBottom w:val="0"/>
      <w:divBdr>
        <w:top w:val="none" w:sz="0" w:space="0" w:color="auto"/>
        <w:left w:val="none" w:sz="0" w:space="0" w:color="auto"/>
        <w:bottom w:val="none" w:sz="0" w:space="0" w:color="auto"/>
        <w:right w:val="none" w:sz="0" w:space="0" w:color="auto"/>
      </w:divBdr>
    </w:div>
    <w:div w:id="2120634674">
      <w:bodyDiv w:val="1"/>
      <w:marLeft w:val="0"/>
      <w:marRight w:val="0"/>
      <w:marTop w:val="0"/>
      <w:marBottom w:val="0"/>
      <w:divBdr>
        <w:top w:val="none" w:sz="0" w:space="0" w:color="auto"/>
        <w:left w:val="none" w:sz="0" w:space="0" w:color="auto"/>
        <w:bottom w:val="none" w:sz="0" w:space="0" w:color="auto"/>
        <w:right w:val="none" w:sz="0" w:space="0" w:color="auto"/>
      </w:divBdr>
    </w:div>
    <w:div w:id="2124835910">
      <w:bodyDiv w:val="1"/>
      <w:marLeft w:val="0"/>
      <w:marRight w:val="0"/>
      <w:marTop w:val="0"/>
      <w:marBottom w:val="0"/>
      <w:divBdr>
        <w:top w:val="none" w:sz="0" w:space="0" w:color="auto"/>
        <w:left w:val="none" w:sz="0" w:space="0" w:color="auto"/>
        <w:bottom w:val="none" w:sz="0" w:space="0" w:color="auto"/>
        <w:right w:val="none" w:sz="0" w:space="0" w:color="auto"/>
      </w:divBdr>
    </w:div>
    <w:div w:id="2131246253">
      <w:bodyDiv w:val="1"/>
      <w:marLeft w:val="0"/>
      <w:marRight w:val="0"/>
      <w:marTop w:val="0"/>
      <w:marBottom w:val="0"/>
      <w:divBdr>
        <w:top w:val="none" w:sz="0" w:space="0" w:color="auto"/>
        <w:left w:val="none" w:sz="0" w:space="0" w:color="auto"/>
        <w:bottom w:val="none" w:sz="0" w:space="0" w:color="auto"/>
        <w:right w:val="none" w:sz="0" w:space="0" w:color="auto"/>
      </w:divBdr>
    </w:div>
    <w:div w:id="2134325140">
      <w:bodyDiv w:val="1"/>
      <w:marLeft w:val="0"/>
      <w:marRight w:val="0"/>
      <w:marTop w:val="0"/>
      <w:marBottom w:val="0"/>
      <w:divBdr>
        <w:top w:val="none" w:sz="0" w:space="0" w:color="auto"/>
        <w:left w:val="none" w:sz="0" w:space="0" w:color="auto"/>
        <w:bottom w:val="none" w:sz="0" w:space="0" w:color="auto"/>
        <w:right w:val="none" w:sz="0" w:space="0" w:color="auto"/>
      </w:divBdr>
    </w:div>
    <w:div w:id="2140145741">
      <w:bodyDiv w:val="1"/>
      <w:marLeft w:val="0"/>
      <w:marRight w:val="0"/>
      <w:marTop w:val="0"/>
      <w:marBottom w:val="0"/>
      <w:divBdr>
        <w:top w:val="none" w:sz="0" w:space="0" w:color="auto"/>
        <w:left w:val="none" w:sz="0" w:space="0" w:color="auto"/>
        <w:bottom w:val="none" w:sz="0" w:space="0" w:color="auto"/>
        <w:right w:val="none" w:sz="0" w:space="0" w:color="auto"/>
      </w:divBdr>
    </w:div>
    <w:div w:id="2141222516">
      <w:bodyDiv w:val="1"/>
      <w:marLeft w:val="0"/>
      <w:marRight w:val="0"/>
      <w:marTop w:val="0"/>
      <w:marBottom w:val="0"/>
      <w:divBdr>
        <w:top w:val="none" w:sz="0" w:space="0" w:color="auto"/>
        <w:left w:val="none" w:sz="0" w:space="0" w:color="auto"/>
        <w:bottom w:val="none" w:sz="0" w:space="0" w:color="auto"/>
        <w:right w:val="none" w:sz="0" w:space="0" w:color="auto"/>
      </w:divBdr>
    </w:div>
    <w:div w:id="214476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microsoft.com/office/2007/relationships/diagramDrawing" Target="diagrams/drawing1.xml"/><Relationship Id="rId42" Type="http://schemas.microsoft.com/office/2007/relationships/diagramDrawing" Target="diagrams/drawing2.xml"/><Relationship Id="rId47" Type="http://schemas.microsoft.com/office/2007/relationships/diagramDrawing" Target="diagrams/drawing3.xml"/><Relationship Id="rId63" Type="http://schemas.openxmlformats.org/officeDocument/2006/relationships/footer" Target="footer14.xml"/><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www.hposthumus.nl/upcoming-trainings" TargetMode="External"/><Relationship Id="rId37" Type="http://schemas.openxmlformats.org/officeDocument/2006/relationships/footer" Target="footer8.xml"/><Relationship Id="rId40" Type="http://schemas.openxmlformats.org/officeDocument/2006/relationships/diagramQuickStyle" Target="diagrams/quickStyle2.xml"/><Relationship Id="rId45" Type="http://schemas.openxmlformats.org/officeDocument/2006/relationships/diagramQuickStyle" Target="diagrams/quickStyle3.xml"/><Relationship Id="rId53" Type="http://schemas.openxmlformats.org/officeDocument/2006/relationships/diagramData" Target="diagrams/data5.xml"/><Relationship Id="rId58" Type="http://schemas.openxmlformats.org/officeDocument/2006/relationships/footer" Target="footer9.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2.xml"/><Relationship Id="rId19" Type="http://schemas.openxmlformats.org/officeDocument/2006/relationships/diagramQuickStyle" Target="diagrams/quickStyle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footer" Target="footer6.xml"/><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diagramData" Target="diagrams/data3.xml"/><Relationship Id="rId48" Type="http://schemas.openxmlformats.org/officeDocument/2006/relationships/diagramData" Target="diagrams/data4.xml"/><Relationship Id="rId56" Type="http://schemas.openxmlformats.org/officeDocument/2006/relationships/diagramColors" Target="diagrams/colors5.xml"/><Relationship Id="rId64" Type="http://schemas.openxmlformats.org/officeDocument/2006/relationships/footer" Target="footer15.xml"/><Relationship Id="rId69" Type="http://schemas.openxmlformats.org/officeDocument/2006/relationships/customXml" Target="../customXml/item4.xml"/><Relationship Id="rId8" Type="http://schemas.openxmlformats.org/officeDocument/2006/relationships/image" Target="media/image1.jpg"/><Relationship Id="rId51" Type="http://schemas.openxmlformats.org/officeDocument/2006/relationships/diagramColors" Target="diagrams/colors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image" Target="media/image8.png"/><Relationship Id="rId33" Type="http://schemas.openxmlformats.org/officeDocument/2006/relationships/chart" Target="charts/chart1.xml"/><Relationship Id="rId38" Type="http://schemas.openxmlformats.org/officeDocument/2006/relationships/diagramData" Target="diagrams/data2.xml"/><Relationship Id="rId46" Type="http://schemas.openxmlformats.org/officeDocument/2006/relationships/diagramColors" Target="diagrams/colors3.xml"/><Relationship Id="rId59" Type="http://schemas.openxmlformats.org/officeDocument/2006/relationships/footer" Target="footer10.xml"/><Relationship Id="rId67" Type="http://schemas.openxmlformats.org/officeDocument/2006/relationships/customXml" Target="../customXml/item2.xml"/><Relationship Id="rId20" Type="http://schemas.openxmlformats.org/officeDocument/2006/relationships/diagramColors" Target="diagrams/colors1.xml"/><Relationship Id="rId41" Type="http://schemas.openxmlformats.org/officeDocument/2006/relationships/diagramColors" Target="diagrams/colors2.xml"/><Relationship Id="rId54" Type="http://schemas.openxmlformats.org/officeDocument/2006/relationships/diagramLayout" Target="diagrams/layout5.xml"/><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footer" Target="footer7.xml"/><Relationship Id="rId49" Type="http://schemas.openxmlformats.org/officeDocument/2006/relationships/diagramLayout" Target="diagrams/layout4.xml"/><Relationship Id="rId57" Type="http://schemas.microsoft.com/office/2007/relationships/diagramDrawing" Target="diagrams/drawing5.xml"/><Relationship Id="rId10"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diagramLayout" Target="diagrams/layout3.xml"/><Relationship Id="rId52" Type="http://schemas.microsoft.com/office/2007/relationships/diagramDrawing" Target="diagrams/drawing4.xml"/><Relationship Id="rId60" Type="http://schemas.openxmlformats.org/officeDocument/2006/relationships/footer" Target="footer1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diagramLayout" Target="diagrams/layout1.xml"/><Relationship Id="rId39" Type="http://schemas.openxmlformats.org/officeDocument/2006/relationships/diagramLayout" Target="diagrams/layout2.xml"/><Relationship Id="rId34" Type="http://schemas.openxmlformats.org/officeDocument/2006/relationships/image" Target="media/image13.JPG"/><Relationship Id="rId50" Type="http://schemas.openxmlformats.org/officeDocument/2006/relationships/diagramQuickStyle" Target="diagrams/quickStyle4.xml"/><Relationship Id="rId55" Type="http://schemas.openxmlformats.org/officeDocument/2006/relationships/diagramQuickStyle" Target="diagrams/quickStyle5.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Sheet1!$D$4</c:f>
              <c:strCache>
                <c:ptCount val="1"/>
                <c:pt idx="0">
                  <c:v>Targeted 2018</c:v>
                </c:pt>
              </c:strCache>
            </c:strRef>
          </c:tx>
          <c:spPr>
            <a:solidFill>
              <a:srgbClr val="5482AB"/>
            </a:solidFill>
            <a:ln>
              <a:noFill/>
            </a:ln>
            <a:effectLst/>
          </c:spPr>
          <c:invertIfNegative val="0"/>
          <c:cat>
            <c:strRef>
              <c:f>Sheet1!$C$5:$C$7</c:f>
              <c:strCache>
                <c:ptCount val="3"/>
                <c:pt idx="0">
                  <c:v>Increased income for farmers (total)</c:v>
                </c:pt>
                <c:pt idx="1">
                  <c:v>Increased income for women</c:v>
                </c:pt>
                <c:pt idx="2">
                  <c:v>Increased income for youth</c:v>
                </c:pt>
              </c:strCache>
            </c:strRef>
          </c:cat>
          <c:val>
            <c:numRef>
              <c:f>Sheet1!$D$5:$D$7</c:f>
              <c:numCache>
                <c:formatCode>General</c:formatCode>
                <c:ptCount val="3"/>
                <c:pt idx="0">
                  <c:v>13785</c:v>
                </c:pt>
                <c:pt idx="1">
                  <c:v>4000</c:v>
                </c:pt>
                <c:pt idx="2">
                  <c:v>2951</c:v>
                </c:pt>
              </c:numCache>
            </c:numRef>
          </c:val>
          <c:extLst>
            <c:ext xmlns:c16="http://schemas.microsoft.com/office/drawing/2014/chart" uri="{C3380CC4-5D6E-409C-BE32-E72D297353CC}">
              <c16:uniqueId val="{00000000-8564-434D-8EF2-47C4FAA511FD}"/>
            </c:ext>
          </c:extLst>
        </c:ser>
        <c:ser>
          <c:idx val="1"/>
          <c:order val="1"/>
          <c:tx>
            <c:strRef>
              <c:f>Sheet1!$E$4</c:f>
              <c:strCache>
                <c:ptCount val="1"/>
                <c:pt idx="0">
                  <c:v>Actual 2018</c:v>
                </c:pt>
              </c:strCache>
            </c:strRef>
          </c:tx>
          <c:spPr>
            <a:solidFill>
              <a:srgbClr val="003478"/>
            </a:solidFill>
            <a:ln>
              <a:noFill/>
            </a:ln>
            <a:effectLst/>
          </c:spPr>
          <c:invertIfNegative val="0"/>
          <c:cat>
            <c:strRef>
              <c:f>Sheet1!$C$5:$C$7</c:f>
              <c:strCache>
                <c:ptCount val="3"/>
                <c:pt idx="0">
                  <c:v>Increased income for farmers (total)</c:v>
                </c:pt>
                <c:pt idx="1">
                  <c:v>Increased income for women</c:v>
                </c:pt>
                <c:pt idx="2">
                  <c:v>Increased income for youth</c:v>
                </c:pt>
              </c:strCache>
            </c:strRef>
          </c:cat>
          <c:val>
            <c:numRef>
              <c:f>Sheet1!$E$5:$E$7</c:f>
              <c:numCache>
                <c:formatCode>General</c:formatCode>
                <c:ptCount val="3"/>
                <c:pt idx="0">
                  <c:v>20691</c:v>
                </c:pt>
                <c:pt idx="1">
                  <c:v>6461</c:v>
                </c:pt>
                <c:pt idx="2">
                  <c:v>6021</c:v>
                </c:pt>
              </c:numCache>
            </c:numRef>
          </c:val>
          <c:extLst>
            <c:ext xmlns:c16="http://schemas.microsoft.com/office/drawing/2014/chart" uri="{C3380CC4-5D6E-409C-BE32-E72D297353CC}">
              <c16:uniqueId val="{00000001-8564-434D-8EF2-47C4FAA511FD}"/>
            </c:ext>
          </c:extLst>
        </c:ser>
        <c:dLbls>
          <c:showLegendKey val="0"/>
          <c:showVal val="0"/>
          <c:showCatName val="0"/>
          <c:showSerName val="0"/>
          <c:showPercent val="0"/>
          <c:showBubbleSize val="0"/>
        </c:dLbls>
        <c:gapWidth val="219"/>
        <c:axId val="466806176"/>
        <c:axId val="466805848"/>
      </c:barChart>
      <c:catAx>
        <c:axId val="46680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6805848"/>
        <c:crosses val="autoZero"/>
        <c:auto val="1"/>
        <c:lblAlgn val="ctr"/>
        <c:lblOffset val="100"/>
        <c:noMultiLvlLbl val="0"/>
      </c:catAx>
      <c:valAx>
        <c:axId val="466805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680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s://twitter.com/apheda/" TargetMode="External"/><Relationship Id="rId1" Type="http://schemas.openxmlformats.org/officeDocument/2006/relationships/image" Target="../media/image2.jpeg"/><Relationship Id="rId6" Type="http://schemas.openxmlformats.org/officeDocument/2006/relationships/hyperlink" Target="http://graduatefog.co.uk/2011/1404/oxfam-defend-unpaid-interns/" TargetMode="External"/><Relationship Id="rId5" Type="http://schemas.openxmlformats.org/officeDocument/2006/relationships/image" Target="../media/image4.jpg"/><Relationship Id="rId4" Type="http://schemas.openxmlformats.org/officeDocument/2006/relationships/hyperlink" Target="http://lowongan-ngo.blogspot.com/2011/02/project-manager-care-international.html"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s://twitter.com/apheda/" TargetMode="External"/><Relationship Id="rId1" Type="http://schemas.openxmlformats.org/officeDocument/2006/relationships/image" Target="../media/image2.jpeg"/><Relationship Id="rId6" Type="http://schemas.openxmlformats.org/officeDocument/2006/relationships/hyperlink" Target="http://graduatefog.co.uk/2011/1404/oxfam-defend-unpaid-interns/" TargetMode="External"/><Relationship Id="rId5" Type="http://schemas.openxmlformats.org/officeDocument/2006/relationships/image" Target="../media/image4.jpg"/><Relationship Id="rId4" Type="http://schemas.openxmlformats.org/officeDocument/2006/relationships/hyperlink" Target="http://lowongan-ngo.blogspot.com/2011/02/project-manager-care-international.html" TargetMode="External"/></Relationships>
</file>

<file path=word/diagrams/colors1.xml><?xml version="1.0" encoding="utf-8"?>
<dgm:colorsDef xmlns:dgm="http://schemas.openxmlformats.org/drawingml/2006/diagram" xmlns:a="http://schemas.openxmlformats.org/drawingml/2006/main" uniqueId="urn:microsoft.com/office/officeart/2018/5/colors/Iconchunking_neutralbg_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a:alpha val="0"/>
      </a:schemeClr>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bg1">
        <a:lumMod val="9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1A5398-7FE0-428A-9828-6C59D535EFC5}" type="doc">
      <dgm:prSet loTypeId="urn:microsoft.com/office/officeart/2018/5/layout/CenteredIconLabelDescriptionList" loCatId="icon" qsTypeId="urn:microsoft.com/office/officeart/2005/8/quickstyle/simple1" qsCatId="simple" csTypeId="urn:microsoft.com/office/officeart/2018/5/colors/Iconchunking_neutralbg_colorful1" csCatId="colorful" phldr="1"/>
      <dgm:spPr/>
      <dgm:t>
        <a:bodyPr/>
        <a:lstStyle/>
        <a:p>
          <a:endParaRPr lang="en-US"/>
        </a:p>
      </dgm:t>
    </dgm:pt>
    <dgm:pt modelId="{194BDA0C-CE27-4A37-A5F7-325EF637AFE9}">
      <dgm:prSet custT="1"/>
      <dgm:spPr/>
      <dgm:t>
        <a:bodyPr/>
        <a:lstStyle/>
        <a:p>
          <a:pPr>
            <a:defRPr b="1"/>
          </a:pPr>
          <a:r>
            <a:rPr lang="en-NZ" sz="1100">
              <a:solidFill>
                <a:schemeClr val="bg1">
                  <a:lumMod val="50000"/>
                </a:schemeClr>
              </a:solidFill>
              <a:latin typeface="Arial" panose="020B0604020202020204" pitchFamily="34" charset="0"/>
              <a:cs typeface="Arial" panose="020B0604020202020204" pitchFamily="34" charset="0"/>
            </a:rPr>
            <a:t>APHEDA</a:t>
          </a:r>
          <a:endParaRPr lang="en-US" sz="1100">
            <a:solidFill>
              <a:schemeClr val="bg1">
                <a:lumMod val="50000"/>
              </a:schemeClr>
            </a:solidFill>
            <a:latin typeface="Arial" panose="020B0604020202020204" pitchFamily="34" charset="0"/>
            <a:cs typeface="Arial" panose="020B0604020202020204" pitchFamily="34" charset="0"/>
          </a:endParaRPr>
        </a:p>
      </dgm:t>
    </dgm:pt>
    <dgm:pt modelId="{43F2F218-227C-4A1A-A7FC-0A0FD0011301}" type="parTrans" cxnId="{DEC02C13-A1B7-4E68-A381-2287C4994791}">
      <dgm:prSet/>
      <dgm:spPr/>
      <dgm:t>
        <a:bodyPr/>
        <a:lstStyle/>
        <a:p>
          <a:endParaRPr lang="en-US" sz="1000"/>
        </a:p>
      </dgm:t>
    </dgm:pt>
    <dgm:pt modelId="{348AF6ED-FADF-460C-8033-6D214D382686}" type="sibTrans" cxnId="{DEC02C13-A1B7-4E68-A381-2287C4994791}">
      <dgm:prSet/>
      <dgm:spPr/>
      <dgm:t>
        <a:bodyPr/>
        <a:lstStyle/>
        <a:p>
          <a:endParaRPr lang="en-US" sz="1000"/>
        </a:p>
      </dgm:t>
    </dgm:pt>
    <dgm:pt modelId="{1287CB7D-0AB9-4185-A216-DC6704EA40A3}">
      <dgm:prSet custT="1"/>
      <dgm:spPr/>
      <dgm:t>
        <a:bodyPr/>
        <a:lstStyle/>
        <a:p>
          <a:r>
            <a:rPr lang="en-NZ" sz="1000" b="1">
              <a:solidFill>
                <a:schemeClr val="bg1">
                  <a:lumMod val="50000"/>
                </a:schemeClr>
              </a:solidFill>
              <a:latin typeface="Arial" panose="020B0604020202020204" pitchFamily="34" charset="0"/>
              <a:cs typeface="Arial" panose="020B0604020202020204" pitchFamily="34" charset="0"/>
            </a:rPr>
            <a:t>MA’AN Development Center </a:t>
          </a:r>
          <a:r>
            <a:rPr lang="en-NZ" sz="1000">
              <a:solidFill>
                <a:schemeClr val="bg1">
                  <a:lumMod val="50000"/>
                </a:schemeClr>
              </a:solidFill>
              <a:latin typeface="Arial" panose="020B0604020202020204" pitchFamily="34" charset="0"/>
              <a:cs typeface="Arial" panose="020B0604020202020204" pitchFamily="34" charset="0"/>
            </a:rPr>
            <a:t>(environment, agriculture, youth)</a:t>
          </a:r>
          <a:endParaRPr lang="en-US" sz="1000">
            <a:solidFill>
              <a:schemeClr val="bg1">
                <a:lumMod val="50000"/>
              </a:schemeClr>
            </a:solidFill>
            <a:latin typeface="Arial" panose="020B0604020202020204" pitchFamily="34" charset="0"/>
            <a:cs typeface="Arial" panose="020B0604020202020204" pitchFamily="34" charset="0"/>
          </a:endParaRPr>
        </a:p>
      </dgm:t>
    </dgm:pt>
    <dgm:pt modelId="{B5C4EAF1-3D92-4C1F-8D5F-FE3F454FBAEC}" type="parTrans" cxnId="{40CA5879-767B-4BD1-A280-7950086CD644}">
      <dgm:prSet/>
      <dgm:spPr/>
      <dgm:t>
        <a:bodyPr/>
        <a:lstStyle/>
        <a:p>
          <a:endParaRPr lang="en-US" sz="1000"/>
        </a:p>
      </dgm:t>
    </dgm:pt>
    <dgm:pt modelId="{EA3E0D34-6F82-4648-AB8D-BBF516115E93}" type="sibTrans" cxnId="{40CA5879-767B-4BD1-A280-7950086CD644}">
      <dgm:prSet/>
      <dgm:spPr/>
      <dgm:t>
        <a:bodyPr/>
        <a:lstStyle/>
        <a:p>
          <a:endParaRPr lang="en-US" sz="1000"/>
        </a:p>
      </dgm:t>
    </dgm:pt>
    <dgm:pt modelId="{43B22D4F-3456-4FA9-B1F5-63F05B1E364D}">
      <dgm:prSet custT="1"/>
      <dgm:spPr/>
      <dgm:t>
        <a:bodyPr/>
        <a:lstStyle/>
        <a:p>
          <a:r>
            <a:rPr lang="en-NZ" sz="1000" b="1">
              <a:solidFill>
                <a:schemeClr val="bg1">
                  <a:lumMod val="50000"/>
                </a:schemeClr>
              </a:solidFill>
              <a:latin typeface="Arial" panose="020B0604020202020204" pitchFamily="34" charset="0"/>
              <a:cs typeface="Arial" panose="020B0604020202020204" pitchFamily="34" charset="0"/>
            </a:rPr>
            <a:t>Institute for Community Partnership, Bethlehem University </a:t>
          </a:r>
          <a:r>
            <a:rPr lang="en-NZ" sz="1000">
              <a:solidFill>
                <a:schemeClr val="bg1">
                  <a:lumMod val="50000"/>
                </a:schemeClr>
              </a:solidFill>
              <a:latin typeface="Arial" panose="020B0604020202020204" pitchFamily="34" charset="0"/>
              <a:cs typeface="Arial" panose="020B0604020202020204" pitchFamily="34" charset="0"/>
            </a:rPr>
            <a:t>(youth, marketing, standards, business plans)</a:t>
          </a:r>
          <a:endParaRPr lang="en-US" sz="1000">
            <a:solidFill>
              <a:schemeClr val="bg1">
                <a:lumMod val="50000"/>
              </a:schemeClr>
            </a:solidFill>
            <a:latin typeface="Arial" panose="020B0604020202020204" pitchFamily="34" charset="0"/>
            <a:cs typeface="Arial" panose="020B0604020202020204" pitchFamily="34" charset="0"/>
          </a:endParaRPr>
        </a:p>
      </dgm:t>
    </dgm:pt>
    <dgm:pt modelId="{8E417816-D9AB-4B6F-9B05-625A7A3FD250}" type="parTrans" cxnId="{B970AF9A-FB9F-4C6A-9A0F-C6C053767ACE}">
      <dgm:prSet/>
      <dgm:spPr/>
      <dgm:t>
        <a:bodyPr/>
        <a:lstStyle/>
        <a:p>
          <a:endParaRPr lang="en-US" sz="1000"/>
        </a:p>
      </dgm:t>
    </dgm:pt>
    <dgm:pt modelId="{355BCAB2-50BA-488B-8B1C-F3B956872325}" type="sibTrans" cxnId="{B970AF9A-FB9F-4C6A-9A0F-C6C053767ACE}">
      <dgm:prSet/>
      <dgm:spPr/>
      <dgm:t>
        <a:bodyPr/>
        <a:lstStyle/>
        <a:p>
          <a:endParaRPr lang="en-US" sz="1000"/>
        </a:p>
      </dgm:t>
    </dgm:pt>
    <dgm:pt modelId="{1509BA0C-D74B-4C38-BD77-3DCBB989FD10}">
      <dgm:prSet custT="1"/>
      <dgm:spPr/>
      <dgm:t>
        <a:bodyPr/>
        <a:lstStyle/>
        <a:p>
          <a:r>
            <a:rPr lang="en-NZ" sz="1000" b="1">
              <a:solidFill>
                <a:schemeClr val="bg1">
                  <a:lumMod val="50000"/>
                </a:schemeClr>
              </a:solidFill>
              <a:latin typeface="Arial" panose="020B0604020202020204" pitchFamily="34" charset="0"/>
              <a:cs typeface="Arial" panose="020B0604020202020204" pitchFamily="34" charset="0"/>
            </a:rPr>
            <a:t>Palestinian Businesswomen’s Association </a:t>
          </a:r>
          <a:r>
            <a:rPr lang="en-NZ" sz="1000">
              <a:solidFill>
                <a:schemeClr val="bg1">
                  <a:lumMod val="50000"/>
                </a:schemeClr>
              </a:solidFill>
              <a:latin typeface="Arial" panose="020B0604020202020204" pitchFamily="34" charset="0"/>
              <a:cs typeface="Arial" panose="020B0604020202020204" pitchFamily="34" charset="0"/>
            </a:rPr>
            <a:t>(ASALA) (women’s empowerment, training, microfinance)</a:t>
          </a:r>
          <a:endParaRPr lang="en-US" sz="1000">
            <a:solidFill>
              <a:schemeClr val="bg1">
                <a:lumMod val="50000"/>
              </a:schemeClr>
            </a:solidFill>
            <a:latin typeface="Arial" panose="020B0604020202020204" pitchFamily="34" charset="0"/>
            <a:cs typeface="Arial" panose="020B0604020202020204" pitchFamily="34" charset="0"/>
          </a:endParaRPr>
        </a:p>
      </dgm:t>
    </dgm:pt>
    <dgm:pt modelId="{CFD68150-AD60-4781-8FFC-D4D5FA3CA305}" type="parTrans" cxnId="{12D2C89D-8705-44D0-ACAE-981D3F1F8833}">
      <dgm:prSet/>
      <dgm:spPr/>
      <dgm:t>
        <a:bodyPr/>
        <a:lstStyle/>
        <a:p>
          <a:endParaRPr lang="en-US" sz="1000"/>
        </a:p>
      </dgm:t>
    </dgm:pt>
    <dgm:pt modelId="{5F2FAE7A-E0C3-4B6B-916D-77984C1F5ED0}" type="sibTrans" cxnId="{12D2C89D-8705-44D0-ACAE-981D3F1F8833}">
      <dgm:prSet/>
      <dgm:spPr/>
      <dgm:t>
        <a:bodyPr/>
        <a:lstStyle/>
        <a:p>
          <a:endParaRPr lang="en-US" sz="1000"/>
        </a:p>
      </dgm:t>
    </dgm:pt>
    <dgm:pt modelId="{9EEB67BB-DD09-49F7-AAB9-ACE3E0424E11}">
      <dgm:prSet custT="1"/>
      <dgm:spPr/>
      <dgm:t>
        <a:bodyPr/>
        <a:lstStyle/>
        <a:p>
          <a:pPr>
            <a:defRPr b="1"/>
          </a:pPr>
          <a:r>
            <a:rPr lang="en-NZ" sz="1100">
              <a:solidFill>
                <a:schemeClr val="bg1">
                  <a:lumMod val="50000"/>
                </a:schemeClr>
              </a:solidFill>
              <a:latin typeface="Arial" panose="020B0604020202020204" pitchFamily="34" charset="0"/>
              <a:cs typeface="Arial" panose="020B0604020202020204" pitchFamily="34" charset="0"/>
            </a:rPr>
            <a:t>CARE</a:t>
          </a:r>
          <a:endParaRPr lang="en-US" sz="1100">
            <a:solidFill>
              <a:schemeClr val="bg1">
                <a:lumMod val="50000"/>
              </a:schemeClr>
            </a:solidFill>
            <a:latin typeface="Arial" panose="020B0604020202020204" pitchFamily="34" charset="0"/>
            <a:cs typeface="Arial" panose="020B0604020202020204" pitchFamily="34" charset="0"/>
          </a:endParaRPr>
        </a:p>
      </dgm:t>
    </dgm:pt>
    <dgm:pt modelId="{9FDD5B8F-CDB5-4E6E-BACF-1B4A3FF2701B}" type="parTrans" cxnId="{F10D5A96-4372-4A4E-9A5B-0288444B66CF}">
      <dgm:prSet/>
      <dgm:spPr/>
      <dgm:t>
        <a:bodyPr/>
        <a:lstStyle/>
        <a:p>
          <a:endParaRPr lang="en-US" sz="1000"/>
        </a:p>
      </dgm:t>
    </dgm:pt>
    <dgm:pt modelId="{2E4C75FE-EC44-4EE3-B5C5-063D7FA0AF17}" type="sibTrans" cxnId="{F10D5A96-4372-4A4E-9A5B-0288444B66CF}">
      <dgm:prSet/>
      <dgm:spPr/>
      <dgm:t>
        <a:bodyPr/>
        <a:lstStyle/>
        <a:p>
          <a:endParaRPr lang="en-US" sz="1000"/>
        </a:p>
      </dgm:t>
    </dgm:pt>
    <dgm:pt modelId="{B9D80EF7-0153-46FF-8506-A8983B810B3D}">
      <dgm:prSet custT="1"/>
      <dgm:spPr/>
      <dgm:t>
        <a:bodyPr/>
        <a:lstStyle/>
        <a:p>
          <a:r>
            <a:rPr lang="en-US" sz="1000" b="1">
              <a:solidFill>
                <a:schemeClr val="bg1">
                  <a:lumMod val="50000"/>
                </a:schemeClr>
              </a:solidFill>
              <a:latin typeface="Arial" panose="020B0604020202020204" pitchFamily="34" charset="0"/>
              <a:cs typeface="Arial" panose="020B0604020202020204" pitchFamily="34" charset="0"/>
            </a:rPr>
            <a:t>Applied Research Institute in Jerusalem </a:t>
          </a:r>
          <a:r>
            <a:rPr lang="en-US" sz="1000">
              <a:solidFill>
                <a:schemeClr val="bg1">
                  <a:lumMod val="50000"/>
                </a:schemeClr>
              </a:solidFill>
              <a:latin typeface="Arial" panose="020B0604020202020204" pitchFamily="34" charset="0"/>
              <a:cs typeface="Arial" panose="020B0604020202020204" pitchFamily="34" charset="0"/>
            </a:rPr>
            <a:t>(ARIJ) (Agriculture, communities, and value chains)</a:t>
          </a:r>
        </a:p>
      </dgm:t>
    </dgm:pt>
    <dgm:pt modelId="{D63EB2D5-18F4-4A51-B0E5-8B826FCB056D}" type="parTrans" cxnId="{4509451F-4066-4382-B3D2-941A1A589568}">
      <dgm:prSet/>
      <dgm:spPr/>
      <dgm:t>
        <a:bodyPr/>
        <a:lstStyle/>
        <a:p>
          <a:endParaRPr lang="en-US" sz="1000"/>
        </a:p>
      </dgm:t>
    </dgm:pt>
    <dgm:pt modelId="{2A788386-4BA3-4777-80A8-06BBD86E3B1E}" type="sibTrans" cxnId="{4509451F-4066-4382-B3D2-941A1A589568}">
      <dgm:prSet/>
      <dgm:spPr/>
      <dgm:t>
        <a:bodyPr/>
        <a:lstStyle/>
        <a:p>
          <a:endParaRPr lang="en-US" sz="1000"/>
        </a:p>
      </dgm:t>
    </dgm:pt>
    <dgm:pt modelId="{F97D2FB8-C821-4AE2-80DC-DB6BB96D5099}">
      <dgm:prSet custT="1"/>
      <dgm:spPr/>
      <dgm:t>
        <a:bodyPr/>
        <a:lstStyle/>
        <a:p>
          <a:r>
            <a:rPr lang="en-US" sz="1000" b="1">
              <a:solidFill>
                <a:schemeClr val="bg1">
                  <a:lumMod val="50000"/>
                </a:schemeClr>
              </a:solidFill>
              <a:latin typeface="Arial" panose="020B0604020202020204" pitchFamily="34" charset="0"/>
              <a:cs typeface="Arial" panose="020B0604020202020204" pitchFamily="34" charset="0"/>
            </a:rPr>
            <a:t>International Centre for Agricultural Research in Dry Areas</a:t>
          </a:r>
          <a:r>
            <a:rPr lang="en-US" sz="1000">
              <a:solidFill>
                <a:schemeClr val="bg1">
                  <a:lumMod val="50000"/>
                </a:schemeClr>
              </a:solidFill>
              <a:latin typeface="Arial" panose="020B0604020202020204" pitchFamily="34" charset="0"/>
              <a:cs typeface="Arial" panose="020B0604020202020204" pitchFamily="34" charset="0"/>
            </a:rPr>
            <a:t> (ICARDA) (innovation and agricultural solutions)</a:t>
          </a:r>
        </a:p>
      </dgm:t>
    </dgm:pt>
    <dgm:pt modelId="{9D4FC762-15C4-4764-9CC7-9BBD6416BE05}" type="parTrans" cxnId="{B0CDF83C-BC3A-4928-BC9A-5B549DEFCCCB}">
      <dgm:prSet/>
      <dgm:spPr/>
      <dgm:t>
        <a:bodyPr/>
        <a:lstStyle/>
        <a:p>
          <a:endParaRPr lang="en-US" sz="1000"/>
        </a:p>
      </dgm:t>
    </dgm:pt>
    <dgm:pt modelId="{EEB740AF-4D73-4C3A-8746-95E509995362}" type="sibTrans" cxnId="{B0CDF83C-BC3A-4928-BC9A-5B549DEFCCCB}">
      <dgm:prSet/>
      <dgm:spPr/>
      <dgm:t>
        <a:bodyPr/>
        <a:lstStyle/>
        <a:p>
          <a:endParaRPr lang="en-US" sz="1000"/>
        </a:p>
      </dgm:t>
    </dgm:pt>
    <dgm:pt modelId="{13306EAA-BA64-49C9-84C2-0045CE726633}">
      <dgm:prSet custT="1"/>
      <dgm:spPr/>
      <dgm:t>
        <a:bodyPr/>
        <a:lstStyle/>
        <a:p>
          <a:pPr>
            <a:defRPr b="1"/>
          </a:pPr>
          <a:r>
            <a:rPr lang="en-US" sz="1100">
              <a:solidFill>
                <a:schemeClr val="bg1">
                  <a:lumMod val="50000"/>
                </a:schemeClr>
              </a:solidFill>
              <a:latin typeface="Arial" panose="020B0604020202020204" pitchFamily="34" charset="0"/>
              <a:cs typeface="Arial" panose="020B0604020202020204" pitchFamily="34" charset="0"/>
            </a:rPr>
            <a:t>Oxfam</a:t>
          </a:r>
        </a:p>
      </dgm:t>
    </dgm:pt>
    <dgm:pt modelId="{3F52F00A-C85F-4243-BD4A-11CF6381F2FF}" type="parTrans" cxnId="{BAFAD3A2-E574-409A-8DDB-328BC01DB23B}">
      <dgm:prSet/>
      <dgm:spPr/>
      <dgm:t>
        <a:bodyPr/>
        <a:lstStyle/>
        <a:p>
          <a:endParaRPr lang="en-US" sz="1000"/>
        </a:p>
      </dgm:t>
    </dgm:pt>
    <dgm:pt modelId="{11DCD91D-6656-447F-85F1-CE3EB8CA62DC}" type="sibTrans" cxnId="{BAFAD3A2-E574-409A-8DDB-328BC01DB23B}">
      <dgm:prSet/>
      <dgm:spPr/>
      <dgm:t>
        <a:bodyPr/>
        <a:lstStyle/>
        <a:p>
          <a:endParaRPr lang="en-US" sz="1000"/>
        </a:p>
      </dgm:t>
    </dgm:pt>
    <dgm:pt modelId="{5AA24DAB-052B-4A43-A42F-2E374418E375}">
      <dgm:prSet custT="1"/>
      <dgm:spPr/>
      <dgm:t>
        <a:bodyPr/>
        <a:lstStyle/>
        <a:p>
          <a:r>
            <a:rPr lang="en-US" sz="1000" b="1" dirty="0">
              <a:solidFill>
                <a:schemeClr val="bg1">
                  <a:lumMod val="50000"/>
                </a:schemeClr>
              </a:solidFill>
              <a:latin typeface="Arial" panose="020B0604020202020204" pitchFamily="34" charset="0"/>
              <a:cs typeface="Arial" panose="020B0604020202020204" pitchFamily="34" charset="0"/>
            </a:rPr>
            <a:t>Agricultural Development Association </a:t>
          </a:r>
          <a:r>
            <a:rPr lang="en-US" sz="1000" dirty="0">
              <a:solidFill>
                <a:schemeClr val="bg1">
                  <a:lumMod val="50000"/>
                </a:schemeClr>
              </a:solidFill>
              <a:latin typeface="Arial" panose="020B0604020202020204" pitchFamily="34" charset="0"/>
              <a:cs typeface="Arial" panose="020B0604020202020204" pitchFamily="34" charset="0"/>
            </a:rPr>
            <a:t>(PARC) (agricultural development)</a:t>
          </a:r>
        </a:p>
      </dgm:t>
    </dgm:pt>
    <dgm:pt modelId="{EAF38554-4E18-4C88-A984-D9D39573FE36}" type="parTrans" cxnId="{71D3D68E-4DFE-4F1E-A29E-3A377A567C93}">
      <dgm:prSet/>
      <dgm:spPr/>
      <dgm:t>
        <a:bodyPr/>
        <a:lstStyle/>
        <a:p>
          <a:endParaRPr lang="en-US" sz="1000"/>
        </a:p>
      </dgm:t>
    </dgm:pt>
    <dgm:pt modelId="{493B21EE-D6CE-4EE8-A4F8-A78B1BAFB594}" type="sibTrans" cxnId="{71D3D68E-4DFE-4F1E-A29E-3A377A567C93}">
      <dgm:prSet/>
      <dgm:spPr/>
      <dgm:t>
        <a:bodyPr/>
        <a:lstStyle/>
        <a:p>
          <a:endParaRPr lang="en-US" sz="1000"/>
        </a:p>
      </dgm:t>
    </dgm:pt>
    <dgm:pt modelId="{A21B7DBB-E7AD-4E00-91EA-C145DB1FE72A}">
      <dgm:prSet custT="1"/>
      <dgm:spPr/>
      <dgm:t>
        <a:bodyPr/>
        <a:lstStyle/>
        <a:p>
          <a:r>
            <a:rPr lang="en-US" sz="1000" b="1" dirty="0">
              <a:solidFill>
                <a:schemeClr val="bg1">
                  <a:lumMod val="50000"/>
                </a:schemeClr>
              </a:solidFill>
              <a:latin typeface="Arial" panose="020B0604020202020204" pitchFamily="34" charset="0"/>
              <a:cs typeface="Arial" panose="020B0604020202020204" pitchFamily="34" charset="0"/>
            </a:rPr>
            <a:t>Rural Women’s Development Society </a:t>
          </a:r>
          <a:r>
            <a:rPr lang="en-US" sz="1000" dirty="0">
              <a:solidFill>
                <a:schemeClr val="bg1">
                  <a:lumMod val="50000"/>
                </a:schemeClr>
              </a:solidFill>
              <a:latin typeface="Arial" panose="020B0604020202020204" pitchFamily="34" charset="0"/>
              <a:cs typeface="Arial" panose="020B0604020202020204" pitchFamily="34" charset="0"/>
            </a:rPr>
            <a:t>(RWDS) (Women and youth’s economic empowerment)</a:t>
          </a:r>
        </a:p>
      </dgm:t>
    </dgm:pt>
    <dgm:pt modelId="{A0C43FF8-2037-479C-98B5-E3750BE2EBE4}" type="parTrans" cxnId="{1BDE73BC-5439-41A3-B2F6-2270DDDDA817}">
      <dgm:prSet/>
      <dgm:spPr/>
      <dgm:t>
        <a:bodyPr/>
        <a:lstStyle/>
        <a:p>
          <a:endParaRPr lang="en-US" sz="1000"/>
        </a:p>
      </dgm:t>
    </dgm:pt>
    <dgm:pt modelId="{8C864D34-A99C-489D-B708-9877EC4EA17F}" type="sibTrans" cxnId="{1BDE73BC-5439-41A3-B2F6-2270DDDDA817}">
      <dgm:prSet/>
      <dgm:spPr/>
      <dgm:t>
        <a:bodyPr/>
        <a:lstStyle/>
        <a:p>
          <a:endParaRPr lang="en-US" sz="1000"/>
        </a:p>
      </dgm:t>
    </dgm:pt>
    <dgm:pt modelId="{E1D84A09-09D2-4B98-AAC7-052AF9A21E2C}">
      <dgm:prSet custT="1"/>
      <dgm:spPr/>
      <dgm:t>
        <a:bodyPr/>
        <a:lstStyle/>
        <a:p>
          <a:r>
            <a:rPr lang="en-US" sz="1000" b="1">
              <a:solidFill>
                <a:schemeClr val="bg1">
                  <a:lumMod val="50000"/>
                </a:schemeClr>
              </a:solidFill>
              <a:latin typeface="Arial" panose="020B0604020202020204" pitchFamily="34" charset="0"/>
              <a:cs typeface="Arial" panose="020B0604020202020204" pitchFamily="34" charset="0"/>
            </a:rPr>
            <a:t>Palestinian Livestock Development Centre </a:t>
          </a:r>
          <a:r>
            <a:rPr lang="en-US" sz="1000">
              <a:solidFill>
                <a:schemeClr val="bg1">
                  <a:lumMod val="50000"/>
                </a:schemeClr>
              </a:solidFill>
              <a:latin typeface="Arial" panose="020B0604020202020204" pitchFamily="34" charset="0"/>
              <a:cs typeface="Arial" panose="020B0604020202020204" pitchFamily="34" charset="0"/>
            </a:rPr>
            <a:t>(PLDC) (Small ruminants and livestock development)</a:t>
          </a:r>
        </a:p>
      </dgm:t>
    </dgm:pt>
    <dgm:pt modelId="{24291ADC-8E60-49ED-8E92-D6FB04D296B6}" type="parTrans" cxnId="{37DFC74D-41F2-4260-89D9-7A203D9A7061}">
      <dgm:prSet/>
      <dgm:spPr/>
      <dgm:t>
        <a:bodyPr/>
        <a:lstStyle/>
        <a:p>
          <a:endParaRPr lang="en-US" sz="1000"/>
        </a:p>
      </dgm:t>
    </dgm:pt>
    <dgm:pt modelId="{52DD6A2C-2813-41C7-B124-8E103B81C04F}" type="sibTrans" cxnId="{37DFC74D-41F2-4260-89D9-7A203D9A7061}">
      <dgm:prSet/>
      <dgm:spPr/>
      <dgm:t>
        <a:bodyPr/>
        <a:lstStyle/>
        <a:p>
          <a:endParaRPr lang="en-US" sz="1000"/>
        </a:p>
      </dgm:t>
    </dgm:pt>
    <dgm:pt modelId="{47A15065-3DF2-4031-A91B-34C9FB83BF06}" type="pres">
      <dgm:prSet presAssocID="{4C1A5398-7FE0-428A-9828-6C59D535EFC5}" presName="root" presStyleCnt="0">
        <dgm:presLayoutVars>
          <dgm:dir/>
          <dgm:resizeHandles val="exact"/>
        </dgm:presLayoutVars>
      </dgm:prSet>
      <dgm:spPr/>
      <dgm:t>
        <a:bodyPr/>
        <a:lstStyle/>
        <a:p>
          <a:endParaRPr lang="en-US"/>
        </a:p>
      </dgm:t>
    </dgm:pt>
    <dgm:pt modelId="{7C847C45-ABFB-4DF6-ABEB-7BC8D55CD105}" type="pres">
      <dgm:prSet presAssocID="{194BDA0C-CE27-4A37-A5F7-325EF637AFE9}" presName="compNode" presStyleCnt="0"/>
      <dgm:spPr/>
    </dgm:pt>
    <dgm:pt modelId="{69690277-D756-47FB-A870-F5252809F499}" type="pres">
      <dgm:prSet presAssocID="{194BDA0C-CE27-4A37-A5F7-325EF637AFE9}" presName="iconRect" presStyleLbl="node1" presStyleIdx="0" presStyleCnt="3" custScaleX="75445" custScaleY="75445"/>
      <dgm:spPr>
        <a:blipFill>
          <a:blip xmlns:r="http://schemas.openxmlformats.org/officeDocument/2006/relationships" r:embed="rId1">
            <a:extLst>
              <a:ext uri="{28A0092B-C50C-407E-A947-70E740481C1C}">
                <a14:useLocalDpi xmlns:a14="http://schemas.microsoft.com/office/drawing/2010/main" val="0"/>
              </a:ext>
              <a:ext uri="{837473B0-CC2E-450A-ABE3-18F120FF3D39}">
                <a1611:picAttrSrcUrl xmlns="" xmlns:a1611="http://schemas.microsoft.com/office/drawing/2016/11/main" r:id="rId2"/>
              </a:ext>
            </a:extLst>
          </a:blip>
          <a:srcRect/>
          <a:stretch>
            <a:fillRect/>
          </a:stretch>
        </a:blipFill>
        <a:ln>
          <a:noFill/>
        </a:ln>
      </dgm:spPr>
      <dgm:t>
        <a:bodyPr/>
        <a:lstStyle/>
        <a:p>
          <a:endParaRPr lang="en-US"/>
        </a:p>
      </dgm:t>
    </dgm:pt>
    <dgm:pt modelId="{3BC99C09-12EB-40A7-A4B2-F9F673ABE562}" type="pres">
      <dgm:prSet presAssocID="{194BDA0C-CE27-4A37-A5F7-325EF637AFE9}" presName="iconSpace" presStyleCnt="0"/>
      <dgm:spPr/>
    </dgm:pt>
    <dgm:pt modelId="{953FB402-5707-4218-818E-F7320A264F85}" type="pres">
      <dgm:prSet presAssocID="{194BDA0C-CE27-4A37-A5F7-325EF637AFE9}" presName="parTx" presStyleLbl="revTx" presStyleIdx="0" presStyleCnt="6">
        <dgm:presLayoutVars>
          <dgm:chMax val="0"/>
          <dgm:chPref val="0"/>
        </dgm:presLayoutVars>
      </dgm:prSet>
      <dgm:spPr/>
      <dgm:t>
        <a:bodyPr/>
        <a:lstStyle/>
        <a:p>
          <a:endParaRPr lang="en-US"/>
        </a:p>
      </dgm:t>
    </dgm:pt>
    <dgm:pt modelId="{3148395D-05DF-48D3-A7A0-77DBECFE549C}" type="pres">
      <dgm:prSet presAssocID="{194BDA0C-CE27-4A37-A5F7-325EF637AFE9}" presName="txSpace" presStyleCnt="0"/>
      <dgm:spPr/>
    </dgm:pt>
    <dgm:pt modelId="{78F0F544-9473-42C3-A6DE-3D174BD654D5}" type="pres">
      <dgm:prSet presAssocID="{194BDA0C-CE27-4A37-A5F7-325EF637AFE9}" presName="desTx" presStyleLbl="revTx" presStyleIdx="1" presStyleCnt="6">
        <dgm:presLayoutVars/>
      </dgm:prSet>
      <dgm:spPr/>
      <dgm:t>
        <a:bodyPr/>
        <a:lstStyle/>
        <a:p>
          <a:endParaRPr lang="en-US"/>
        </a:p>
      </dgm:t>
    </dgm:pt>
    <dgm:pt modelId="{C72C3F26-7EF3-42B5-A906-0D97B68262BE}" type="pres">
      <dgm:prSet presAssocID="{348AF6ED-FADF-460C-8033-6D214D382686}" presName="sibTrans" presStyleCnt="0"/>
      <dgm:spPr/>
    </dgm:pt>
    <dgm:pt modelId="{C087061D-63C8-4DD1-8171-91946A6BD7F1}" type="pres">
      <dgm:prSet presAssocID="{9EEB67BB-DD09-49F7-AAB9-ACE3E0424E11}" presName="compNode" presStyleCnt="0"/>
      <dgm:spPr/>
    </dgm:pt>
    <dgm:pt modelId="{2AA27DE6-9A7A-4EEF-8365-6011E434A0C6}" type="pres">
      <dgm:prSet presAssocID="{9EEB67BB-DD09-49F7-AAB9-ACE3E0424E11}" presName="iconRect" presStyleLbl="node1" presStyleIdx="1" presStyleCnt="3"/>
      <dgm:spPr>
        <a:blipFill>
          <a:blip xmlns:r="http://schemas.openxmlformats.org/officeDocument/2006/relationships" r:embed="rId3">
            <a:extLst>
              <a:ext uri="{28A0092B-C50C-407E-A947-70E740481C1C}">
                <a14:useLocalDpi xmlns:a14="http://schemas.microsoft.com/office/drawing/2010/main" val="0"/>
              </a:ext>
              <a:ext uri="{837473B0-CC2E-450A-ABE3-18F120FF3D39}">
                <a1611:picAttrSrcUrl xmlns="" xmlns:a1611="http://schemas.microsoft.com/office/drawing/2016/11/main" r:id="rId4"/>
              </a:ext>
            </a:extLst>
          </a:blip>
          <a:srcRect/>
          <a:stretch>
            <a:fillRect/>
          </a:stretch>
        </a:blipFill>
        <a:ln>
          <a:noFill/>
        </a:ln>
      </dgm:spPr>
      <dgm:t>
        <a:bodyPr/>
        <a:lstStyle/>
        <a:p>
          <a:endParaRPr lang="en-US"/>
        </a:p>
      </dgm:t>
    </dgm:pt>
    <dgm:pt modelId="{FEE2952D-EF6D-454C-865B-43150A1F889D}" type="pres">
      <dgm:prSet presAssocID="{9EEB67BB-DD09-49F7-AAB9-ACE3E0424E11}" presName="iconSpace" presStyleCnt="0"/>
      <dgm:spPr/>
    </dgm:pt>
    <dgm:pt modelId="{3F4A1139-FF39-4D91-A7FD-9A3575495649}" type="pres">
      <dgm:prSet presAssocID="{9EEB67BB-DD09-49F7-AAB9-ACE3E0424E11}" presName="parTx" presStyleLbl="revTx" presStyleIdx="2" presStyleCnt="6">
        <dgm:presLayoutVars>
          <dgm:chMax val="0"/>
          <dgm:chPref val="0"/>
        </dgm:presLayoutVars>
      </dgm:prSet>
      <dgm:spPr/>
      <dgm:t>
        <a:bodyPr/>
        <a:lstStyle/>
        <a:p>
          <a:endParaRPr lang="en-US"/>
        </a:p>
      </dgm:t>
    </dgm:pt>
    <dgm:pt modelId="{D714D966-1D5A-47C4-A229-D057D988AFBA}" type="pres">
      <dgm:prSet presAssocID="{9EEB67BB-DD09-49F7-AAB9-ACE3E0424E11}" presName="txSpace" presStyleCnt="0"/>
      <dgm:spPr/>
    </dgm:pt>
    <dgm:pt modelId="{5578BEC8-AB4E-426B-8214-DED350975065}" type="pres">
      <dgm:prSet presAssocID="{9EEB67BB-DD09-49F7-AAB9-ACE3E0424E11}" presName="desTx" presStyleLbl="revTx" presStyleIdx="3" presStyleCnt="6">
        <dgm:presLayoutVars/>
      </dgm:prSet>
      <dgm:spPr/>
      <dgm:t>
        <a:bodyPr/>
        <a:lstStyle/>
        <a:p>
          <a:endParaRPr lang="en-US"/>
        </a:p>
      </dgm:t>
    </dgm:pt>
    <dgm:pt modelId="{F9AAF520-4C61-4E79-87E9-194BAEB828CC}" type="pres">
      <dgm:prSet presAssocID="{2E4C75FE-EC44-4EE3-B5C5-063D7FA0AF17}" presName="sibTrans" presStyleCnt="0"/>
      <dgm:spPr/>
    </dgm:pt>
    <dgm:pt modelId="{A52F46E6-F466-44BE-8852-61774226457A}" type="pres">
      <dgm:prSet presAssocID="{13306EAA-BA64-49C9-84C2-0045CE726633}" presName="compNode" presStyleCnt="0"/>
      <dgm:spPr/>
    </dgm:pt>
    <dgm:pt modelId="{98D68D6F-6DF3-459A-A905-68EAB95AC469}" type="pres">
      <dgm:prSet presAssocID="{13306EAA-BA64-49C9-84C2-0045CE726633}" presName="iconRect" presStyleLbl="node1" presStyleIdx="2" presStyleCnt="3"/>
      <dgm:spPr>
        <a:blipFill>
          <a:blip xmlns:r="http://schemas.openxmlformats.org/officeDocument/2006/relationships" r:embed="rId5">
            <a:extLst>
              <a:ext uri="{837473B0-CC2E-450A-ABE3-18F120FF3D39}">
                <a1611:picAttrSrcUrl xmlns="" xmlns:a1611="http://schemas.microsoft.com/office/drawing/2016/11/main" r:id="rId6"/>
              </a:ext>
            </a:extLst>
          </a:blip>
          <a:srcRect/>
          <a:stretch>
            <a:fillRect l="-3000" r="-3000"/>
          </a:stretch>
        </a:blipFill>
        <a:ln>
          <a:noFill/>
        </a:ln>
      </dgm:spPr>
    </dgm:pt>
    <dgm:pt modelId="{6C16E1EE-3E60-4CC9-B9CF-12C8AD3983FB}" type="pres">
      <dgm:prSet presAssocID="{13306EAA-BA64-49C9-84C2-0045CE726633}" presName="iconSpace" presStyleCnt="0"/>
      <dgm:spPr/>
    </dgm:pt>
    <dgm:pt modelId="{ACE37E9A-60B3-4CEC-A3F8-5A187B8CBF89}" type="pres">
      <dgm:prSet presAssocID="{13306EAA-BA64-49C9-84C2-0045CE726633}" presName="parTx" presStyleLbl="revTx" presStyleIdx="4" presStyleCnt="6">
        <dgm:presLayoutVars>
          <dgm:chMax val="0"/>
          <dgm:chPref val="0"/>
        </dgm:presLayoutVars>
      </dgm:prSet>
      <dgm:spPr/>
      <dgm:t>
        <a:bodyPr/>
        <a:lstStyle/>
        <a:p>
          <a:endParaRPr lang="en-US"/>
        </a:p>
      </dgm:t>
    </dgm:pt>
    <dgm:pt modelId="{106C2D36-BA5D-4A27-BD72-53B1ABD80D15}" type="pres">
      <dgm:prSet presAssocID="{13306EAA-BA64-49C9-84C2-0045CE726633}" presName="txSpace" presStyleCnt="0"/>
      <dgm:spPr/>
    </dgm:pt>
    <dgm:pt modelId="{399322BA-AC33-4409-A742-44EA7669497B}" type="pres">
      <dgm:prSet presAssocID="{13306EAA-BA64-49C9-84C2-0045CE726633}" presName="desTx" presStyleLbl="revTx" presStyleIdx="5" presStyleCnt="6">
        <dgm:presLayoutVars/>
      </dgm:prSet>
      <dgm:spPr/>
      <dgm:t>
        <a:bodyPr/>
        <a:lstStyle/>
        <a:p>
          <a:endParaRPr lang="en-US"/>
        </a:p>
      </dgm:t>
    </dgm:pt>
  </dgm:ptLst>
  <dgm:cxnLst>
    <dgm:cxn modelId="{B970AF9A-FB9F-4C6A-9A0F-C6C053767ACE}" srcId="{194BDA0C-CE27-4A37-A5F7-325EF637AFE9}" destId="{43B22D4F-3456-4FA9-B1F5-63F05B1E364D}" srcOrd="1" destOrd="0" parTransId="{8E417816-D9AB-4B6F-9B05-625A7A3FD250}" sibTransId="{355BCAB2-50BA-488B-8B1C-F3B956872325}"/>
    <dgm:cxn modelId="{9950E8E0-8B98-40F6-9E3B-6A64C5BF109D}" type="presOf" srcId="{4C1A5398-7FE0-428A-9828-6C59D535EFC5}" destId="{47A15065-3DF2-4031-A91B-34C9FB83BF06}" srcOrd="0" destOrd="0" presId="urn:microsoft.com/office/officeart/2018/5/layout/CenteredIconLabelDescriptionList"/>
    <dgm:cxn modelId="{F10D5A96-4372-4A4E-9A5B-0288444B66CF}" srcId="{4C1A5398-7FE0-428A-9828-6C59D535EFC5}" destId="{9EEB67BB-DD09-49F7-AAB9-ACE3E0424E11}" srcOrd="1" destOrd="0" parTransId="{9FDD5B8F-CDB5-4E6E-BACF-1B4A3FF2701B}" sibTransId="{2E4C75FE-EC44-4EE3-B5C5-063D7FA0AF17}"/>
    <dgm:cxn modelId="{AA3E81F9-B14C-445A-9EA6-2DD2614E0643}" type="presOf" srcId="{9EEB67BB-DD09-49F7-AAB9-ACE3E0424E11}" destId="{3F4A1139-FF39-4D91-A7FD-9A3575495649}" srcOrd="0" destOrd="0" presId="urn:microsoft.com/office/officeart/2018/5/layout/CenteredIconLabelDescriptionList"/>
    <dgm:cxn modelId="{D3FA8034-9E22-4489-B390-B579DCE90A73}" type="presOf" srcId="{F97D2FB8-C821-4AE2-80DC-DB6BB96D5099}" destId="{5578BEC8-AB4E-426B-8214-DED350975065}" srcOrd="0" destOrd="1" presId="urn:microsoft.com/office/officeart/2018/5/layout/CenteredIconLabelDescriptionList"/>
    <dgm:cxn modelId="{FFA0CC29-0F15-4904-94CE-74BC30BB7F08}" type="presOf" srcId="{A21B7DBB-E7AD-4E00-91EA-C145DB1FE72A}" destId="{399322BA-AC33-4409-A742-44EA7669497B}" srcOrd="0" destOrd="1" presId="urn:microsoft.com/office/officeart/2018/5/layout/CenteredIconLabelDescriptionList"/>
    <dgm:cxn modelId="{F260FA99-110B-4875-AA2C-1A0D92114F1C}" type="presOf" srcId="{E1D84A09-09D2-4B98-AAC7-052AF9A21E2C}" destId="{399322BA-AC33-4409-A742-44EA7669497B}" srcOrd="0" destOrd="2" presId="urn:microsoft.com/office/officeart/2018/5/layout/CenteredIconLabelDescriptionList"/>
    <dgm:cxn modelId="{DEC02C13-A1B7-4E68-A381-2287C4994791}" srcId="{4C1A5398-7FE0-428A-9828-6C59D535EFC5}" destId="{194BDA0C-CE27-4A37-A5F7-325EF637AFE9}" srcOrd="0" destOrd="0" parTransId="{43F2F218-227C-4A1A-A7FC-0A0FD0011301}" sibTransId="{348AF6ED-FADF-460C-8033-6D214D382686}"/>
    <dgm:cxn modelId="{B0CDF83C-BC3A-4928-BC9A-5B549DEFCCCB}" srcId="{9EEB67BB-DD09-49F7-AAB9-ACE3E0424E11}" destId="{F97D2FB8-C821-4AE2-80DC-DB6BB96D5099}" srcOrd="1" destOrd="0" parTransId="{9D4FC762-15C4-4764-9CC7-9BBD6416BE05}" sibTransId="{EEB740AF-4D73-4C3A-8746-95E509995362}"/>
    <dgm:cxn modelId="{C6085EFA-9EDF-45AC-9BCF-4F209D0158F2}" type="presOf" srcId="{194BDA0C-CE27-4A37-A5F7-325EF637AFE9}" destId="{953FB402-5707-4218-818E-F7320A264F85}" srcOrd="0" destOrd="0" presId="urn:microsoft.com/office/officeart/2018/5/layout/CenteredIconLabelDescriptionList"/>
    <dgm:cxn modelId="{BAFAD3A2-E574-409A-8DDB-328BC01DB23B}" srcId="{4C1A5398-7FE0-428A-9828-6C59D535EFC5}" destId="{13306EAA-BA64-49C9-84C2-0045CE726633}" srcOrd="2" destOrd="0" parTransId="{3F52F00A-C85F-4243-BD4A-11CF6381F2FF}" sibTransId="{11DCD91D-6656-447F-85F1-CE3EB8CA62DC}"/>
    <dgm:cxn modelId="{AA3200BA-93BB-49F4-A92D-B530E2026C49}" type="presOf" srcId="{1287CB7D-0AB9-4185-A216-DC6704EA40A3}" destId="{78F0F544-9473-42C3-A6DE-3D174BD654D5}" srcOrd="0" destOrd="0" presId="urn:microsoft.com/office/officeart/2018/5/layout/CenteredIconLabelDescriptionList"/>
    <dgm:cxn modelId="{B6483CB8-506D-4417-AB0C-0D77BEB60518}" type="presOf" srcId="{43B22D4F-3456-4FA9-B1F5-63F05B1E364D}" destId="{78F0F544-9473-42C3-A6DE-3D174BD654D5}" srcOrd="0" destOrd="1" presId="urn:microsoft.com/office/officeart/2018/5/layout/CenteredIconLabelDescriptionList"/>
    <dgm:cxn modelId="{1BDE73BC-5439-41A3-B2F6-2270DDDDA817}" srcId="{13306EAA-BA64-49C9-84C2-0045CE726633}" destId="{A21B7DBB-E7AD-4E00-91EA-C145DB1FE72A}" srcOrd="1" destOrd="0" parTransId="{A0C43FF8-2037-479C-98B5-E3750BE2EBE4}" sibTransId="{8C864D34-A99C-489D-B708-9877EC4EA17F}"/>
    <dgm:cxn modelId="{A8C60508-CAD5-45B3-A2DB-53A7E5CD0F5D}" type="presOf" srcId="{13306EAA-BA64-49C9-84C2-0045CE726633}" destId="{ACE37E9A-60B3-4CEC-A3F8-5A187B8CBF89}" srcOrd="0" destOrd="0" presId="urn:microsoft.com/office/officeart/2018/5/layout/CenteredIconLabelDescriptionList"/>
    <dgm:cxn modelId="{4019A409-1752-4070-8E54-7EAD9316AF9B}" type="presOf" srcId="{5AA24DAB-052B-4A43-A42F-2E374418E375}" destId="{399322BA-AC33-4409-A742-44EA7669497B}" srcOrd="0" destOrd="0" presId="urn:microsoft.com/office/officeart/2018/5/layout/CenteredIconLabelDescriptionList"/>
    <dgm:cxn modelId="{154BDAAE-47DA-4239-B703-B0F8C786D9E4}" type="presOf" srcId="{B9D80EF7-0153-46FF-8506-A8983B810B3D}" destId="{5578BEC8-AB4E-426B-8214-DED350975065}" srcOrd="0" destOrd="0" presId="urn:microsoft.com/office/officeart/2018/5/layout/CenteredIconLabelDescriptionList"/>
    <dgm:cxn modelId="{40CA5879-767B-4BD1-A280-7950086CD644}" srcId="{194BDA0C-CE27-4A37-A5F7-325EF637AFE9}" destId="{1287CB7D-0AB9-4185-A216-DC6704EA40A3}" srcOrd="0" destOrd="0" parTransId="{B5C4EAF1-3D92-4C1F-8D5F-FE3F454FBAEC}" sibTransId="{EA3E0D34-6F82-4648-AB8D-BBF516115E93}"/>
    <dgm:cxn modelId="{71D3D68E-4DFE-4F1E-A29E-3A377A567C93}" srcId="{13306EAA-BA64-49C9-84C2-0045CE726633}" destId="{5AA24DAB-052B-4A43-A42F-2E374418E375}" srcOrd="0" destOrd="0" parTransId="{EAF38554-4E18-4C88-A984-D9D39573FE36}" sibTransId="{493B21EE-D6CE-4EE8-A4F8-A78B1BAFB594}"/>
    <dgm:cxn modelId="{12D2C89D-8705-44D0-ACAE-981D3F1F8833}" srcId="{194BDA0C-CE27-4A37-A5F7-325EF637AFE9}" destId="{1509BA0C-D74B-4C38-BD77-3DCBB989FD10}" srcOrd="2" destOrd="0" parTransId="{CFD68150-AD60-4781-8FFC-D4D5FA3CA305}" sibTransId="{5F2FAE7A-E0C3-4B6B-916D-77984C1F5ED0}"/>
    <dgm:cxn modelId="{37DFC74D-41F2-4260-89D9-7A203D9A7061}" srcId="{13306EAA-BA64-49C9-84C2-0045CE726633}" destId="{E1D84A09-09D2-4B98-AAC7-052AF9A21E2C}" srcOrd="2" destOrd="0" parTransId="{24291ADC-8E60-49ED-8E92-D6FB04D296B6}" sibTransId="{52DD6A2C-2813-41C7-B124-8E103B81C04F}"/>
    <dgm:cxn modelId="{4509451F-4066-4382-B3D2-941A1A589568}" srcId="{9EEB67BB-DD09-49F7-AAB9-ACE3E0424E11}" destId="{B9D80EF7-0153-46FF-8506-A8983B810B3D}" srcOrd="0" destOrd="0" parTransId="{D63EB2D5-18F4-4A51-B0E5-8B826FCB056D}" sibTransId="{2A788386-4BA3-4777-80A8-06BBD86E3B1E}"/>
    <dgm:cxn modelId="{4C77A7C2-056C-4210-B2ED-9608406C971C}" type="presOf" srcId="{1509BA0C-D74B-4C38-BD77-3DCBB989FD10}" destId="{78F0F544-9473-42C3-A6DE-3D174BD654D5}" srcOrd="0" destOrd="2" presId="urn:microsoft.com/office/officeart/2018/5/layout/CenteredIconLabelDescriptionList"/>
    <dgm:cxn modelId="{E87B7FE7-B041-42F5-8688-4E9CF3E02ED7}" type="presParOf" srcId="{47A15065-3DF2-4031-A91B-34C9FB83BF06}" destId="{7C847C45-ABFB-4DF6-ABEB-7BC8D55CD105}" srcOrd="0" destOrd="0" presId="urn:microsoft.com/office/officeart/2018/5/layout/CenteredIconLabelDescriptionList"/>
    <dgm:cxn modelId="{8F393B9F-D2C7-4718-88B0-325D9C0561FF}" type="presParOf" srcId="{7C847C45-ABFB-4DF6-ABEB-7BC8D55CD105}" destId="{69690277-D756-47FB-A870-F5252809F499}" srcOrd="0" destOrd="0" presId="urn:microsoft.com/office/officeart/2018/5/layout/CenteredIconLabelDescriptionList"/>
    <dgm:cxn modelId="{CAFCFD80-DFD6-4ED3-A277-4D1A3CA56C87}" type="presParOf" srcId="{7C847C45-ABFB-4DF6-ABEB-7BC8D55CD105}" destId="{3BC99C09-12EB-40A7-A4B2-F9F673ABE562}" srcOrd="1" destOrd="0" presId="urn:microsoft.com/office/officeart/2018/5/layout/CenteredIconLabelDescriptionList"/>
    <dgm:cxn modelId="{FD3327D9-DC68-4FD1-B1F3-7F9E3A58BCED}" type="presParOf" srcId="{7C847C45-ABFB-4DF6-ABEB-7BC8D55CD105}" destId="{953FB402-5707-4218-818E-F7320A264F85}" srcOrd="2" destOrd="0" presId="urn:microsoft.com/office/officeart/2018/5/layout/CenteredIconLabelDescriptionList"/>
    <dgm:cxn modelId="{E08CE05C-A229-4D58-B72B-5312F47A5319}" type="presParOf" srcId="{7C847C45-ABFB-4DF6-ABEB-7BC8D55CD105}" destId="{3148395D-05DF-48D3-A7A0-77DBECFE549C}" srcOrd="3" destOrd="0" presId="urn:microsoft.com/office/officeart/2018/5/layout/CenteredIconLabelDescriptionList"/>
    <dgm:cxn modelId="{6AF11D84-8DF1-4142-B105-65849FB17963}" type="presParOf" srcId="{7C847C45-ABFB-4DF6-ABEB-7BC8D55CD105}" destId="{78F0F544-9473-42C3-A6DE-3D174BD654D5}" srcOrd="4" destOrd="0" presId="urn:microsoft.com/office/officeart/2018/5/layout/CenteredIconLabelDescriptionList"/>
    <dgm:cxn modelId="{0312F6ED-E10A-46A2-B977-6003B30A1B52}" type="presParOf" srcId="{47A15065-3DF2-4031-A91B-34C9FB83BF06}" destId="{C72C3F26-7EF3-42B5-A906-0D97B68262BE}" srcOrd="1" destOrd="0" presId="urn:microsoft.com/office/officeart/2018/5/layout/CenteredIconLabelDescriptionList"/>
    <dgm:cxn modelId="{B4C0878F-B40F-428E-954C-B3E03D0C67D1}" type="presParOf" srcId="{47A15065-3DF2-4031-A91B-34C9FB83BF06}" destId="{C087061D-63C8-4DD1-8171-91946A6BD7F1}" srcOrd="2" destOrd="0" presId="urn:microsoft.com/office/officeart/2018/5/layout/CenteredIconLabelDescriptionList"/>
    <dgm:cxn modelId="{EC26EC4B-9FCE-49B0-AAA4-1D8AE3FF8F96}" type="presParOf" srcId="{C087061D-63C8-4DD1-8171-91946A6BD7F1}" destId="{2AA27DE6-9A7A-4EEF-8365-6011E434A0C6}" srcOrd="0" destOrd="0" presId="urn:microsoft.com/office/officeart/2018/5/layout/CenteredIconLabelDescriptionList"/>
    <dgm:cxn modelId="{CA032D03-7627-48BD-868D-9B4D5AA4B82C}" type="presParOf" srcId="{C087061D-63C8-4DD1-8171-91946A6BD7F1}" destId="{FEE2952D-EF6D-454C-865B-43150A1F889D}" srcOrd="1" destOrd="0" presId="urn:microsoft.com/office/officeart/2018/5/layout/CenteredIconLabelDescriptionList"/>
    <dgm:cxn modelId="{494A68AF-5660-4550-9F0E-57112297A443}" type="presParOf" srcId="{C087061D-63C8-4DD1-8171-91946A6BD7F1}" destId="{3F4A1139-FF39-4D91-A7FD-9A3575495649}" srcOrd="2" destOrd="0" presId="urn:microsoft.com/office/officeart/2018/5/layout/CenteredIconLabelDescriptionList"/>
    <dgm:cxn modelId="{0D66F529-8271-4B6C-8291-826BD4E94F0C}" type="presParOf" srcId="{C087061D-63C8-4DD1-8171-91946A6BD7F1}" destId="{D714D966-1D5A-47C4-A229-D057D988AFBA}" srcOrd="3" destOrd="0" presId="urn:microsoft.com/office/officeart/2018/5/layout/CenteredIconLabelDescriptionList"/>
    <dgm:cxn modelId="{E51A7735-4606-4C84-955F-F5754A71BECA}" type="presParOf" srcId="{C087061D-63C8-4DD1-8171-91946A6BD7F1}" destId="{5578BEC8-AB4E-426B-8214-DED350975065}" srcOrd="4" destOrd="0" presId="urn:microsoft.com/office/officeart/2018/5/layout/CenteredIconLabelDescriptionList"/>
    <dgm:cxn modelId="{F5C73D84-5B61-4BCB-B24C-ACDC24C80A29}" type="presParOf" srcId="{47A15065-3DF2-4031-A91B-34C9FB83BF06}" destId="{F9AAF520-4C61-4E79-87E9-194BAEB828CC}" srcOrd="3" destOrd="0" presId="urn:microsoft.com/office/officeart/2018/5/layout/CenteredIconLabelDescriptionList"/>
    <dgm:cxn modelId="{1D57B8D3-6AF7-4820-A673-BE2C29E11487}" type="presParOf" srcId="{47A15065-3DF2-4031-A91B-34C9FB83BF06}" destId="{A52F46E6-F466-44BE-8852-61774226457A}" srcOrd="4" destOrd="0" presId="urn:microsoft.com/office/officeart/2018/5/layout/CenteredIconLabelDescriptionList"/>
    <dgm:cxn modelId="{0F08D202-0D68-4968-97A9-17627279E463}" type="presParOf" srcId="{A52F46E6-F466-44BE-8852-61774226457A}" destId="{98D68D6F-6DF3-459A-A905-68EAB95AC469}" srcOrd="0" destOrd="0" presId="urn:microsoft.com/office/officeart/2018/5/layout/CenteredIconLabelDescriptionList"/>
    <dgm:cxn modelId="{EA6DC737-4050-45A1-9D8A-AD3ADADFB99C}" type="presParOf" srcId="{A52F46E6-F466-44BE-8852-61774226457A}" destId="{6C16E1EE-3E60-4CC9-B9CF-12C8AD3983FB}" srcOrd="1" destOrd="0" presId="urn:microsoft.com/office/officeart/2018/5/layout/CenteredIconLabelDescriptionList"/>
    <dgm:cxn modelId="{DF484CB4-B604-4524-8B91-003FFF2189EE}" type="presParOf" srcId="{A52F46E6-F466-44BE-8852-61774226457A}" destId="{ACE37E9A-60B3-4CEC-A3F8-5A187B8CBF89}" srcOrd="2" destOrd="0" presId="urn:microsoft.com/office/officeart/2018/5/layout/CenteredIconLabelDescriptionList"/>
    <dgm:cxn modelId="{A37B6C0B-9973-4713-A371-2F15C506A2BE}" type="presParOf" srcId="{A52F46E6-F466-44BE-8852-61774226457A}" destId="{106C2D36-BA5D-4A27-BD72-53B1ABD80D15}" srcOrd="3" destOrd="0" presId="urn:microsoft.com/office/officeart/2018/5/layout/CenteredIconLabelDescriptionList"/>
    <dgm:cxn modelId="{906A3B9A-08F8-4518-A75A-3B6F7655E3A2}" type="presParOf" srcId="{A52F46E6-F466-44BE-8852-61774226457A}" destId="{399322BA-AC33-4409-A742-44EA7669497B}" srcOrd="4" destOrd="0" presId="urn:microsoft.com/office/officeart/2018/5/layout/CenteredIconLabelDescriptionList"/>
  </dgm:cxnLst>
  <dgm:bg/>
  <dgm:whole>
    <a:ln>
      <a:solidFill>
        <a:schemeClr val="bg1">
          <a:lumMod val="65000"/>
        </a:schemeClr>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5C8760-BCC2-0C47-AD64-5E8DACF2C31D}" type="doc">
      <dgm:prSet loTypeId="urn:microsoft.com/office/officeart/2005/8/layout/hProcess6" loCatId="" qsTypeId="urn:microsoft.com/office/officeart/2005/8/quickstyle/simple4" qsCatId="simple" csTypeId="urn:microsoft.com/office/officeart/2005/8/colors/colorful3" csCatId="colorful" phldr="1"/>
      <dgm:spPr/>
      <dgm:t>
        <a:bodyPr/>
        <a:lstStyle/>
        <a:p>
          <a:endParaRPr lang="en-US"/>
        </a:p>
      </dgm:t>
    </dgm:pt>
    <dgm:pt modelId="{77A3BA42-8426-3D4F-91B1-4EA245983B90}">
      <dgm:prSet phldrT="[Text]" custT="1"/>
      <dgm:spPr>
        <a:xfrm>
          <a:off x="2829" y="398362"/>
          <a:ext cx="494864" cy="494864"/>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gm:spPr>
      <dgm:t>
        <a:bodyPr/>
        <a:lstStyle/>
        <a:p>
          <a:pPr>
            <a:buNone/>
          </a:pPr>
          <a:r>
            <a:rPr lang="en-US" sz="500">
              <a:solidFill>
                <a:sysClr val="window" lastClr="FFFFFF"/>
              </a:solidFill>
              <a:latin typeface="Arial" panose="020B0604020202020204" pitchFamily="34" charset="0"/>
              <a:ea typeface="+mn-ea"/>
              <a:cs typeface="Arial" panose="020B0604020202020204" pitchFamily="34" charset="0"/>
            </a:rPr>
            <a:t>Improved Production</a:t>
          </a:r>
        </a:p>
      </dgm:t>
    </dgm:pt>
    <dgm:pt modelId="{4EAECBFB-B72E-9844-BC21-509C51EE15AE}" type="parTrans" cxnId="{F089019C-4DE4-6744-8425-B90E42F25598}">
      <dgm:prSet/>
      <dgm:spPr/>
      <dgm:t>
        <a:bodyPr/>
        <a:lstStyle/>
        <a:p>
          <a:endParaRPr lang="en-US" sz="1800">
            <a:latin typeface="Arial" panose="020B0604020202020204" pitchFamily="34" charset="0"/>
            <a:cs typeface="Arial" panose="020B0604020202020204" pitchFamily="34" charset="0"/>
          </a:endParaRPr>
        </a:p>
      </dgm:t>
    </dgm:pt>
    <dgm:pt modelId="{C3294454-1DD5-AB46-A8B7-35940E516D68}" type="sibTrans" cxnId="{F089019C-4DE4-6744-8425-B90E42F25598}">
      <dgm:prSet/>
      <dgm:spPr/>
      <dgm:t>
        <a:bodyPr/>
        <a:lstStyle/>
        <a:p>
          <a:endParaRPr lang="en-US" sz="1800">
            <a:latin typeface="Arial" panose="020B0604020202020204" pitchFamily="34" charset="0"/>
            <a:cs typeface="Arial" panose="020B0604020202020204" pitchFamily="34" charset="0"/>
          </a:endParaRPr>
        </a:p>
      </dgm:t>
    </dgm:pt>
    <dgm:pt modelId="{A06176FE-9BAA-8744-B42A-97933E9899B2}">
      <dgm:prSet phldrT="[Text]" custT="1"/>
      <dgm:spPr>
        <a:xfrm>
          <a:off x="250261" y="213220"/>
          <a:ext cx="989729" cy="865148"/>
        </a:xfrm>
        <a:prstGeom prst="rightArrow">
          <a:avLst>
            <a:gd name="adj1" fmla="val 70000"/>
            <a:gd name="adj2" fmla="val 50000"/>
          </a:avLst>
        </a:prstGeom>
        <a:solidFill>
          <a:srgbClr val="A5A5A5">
            <a:tint val="40000"/>
            <a:alpha val="90000"/>
            <a:hueOff val="0"/>
            <a:satOff val="0"/>
            <a:lumOff val="0"/>
            <a:alphaOff val="0"/>
          </a:srgbClr>
        </a:solidFill>
        <a:ln w="6350" cap="flat" cmpd="sng" algn="ctr">
          <a:noFill/>
          <a:prstDash val="solid"/>
          <a:miter lim="800000"/>
        </a:ln>
        <a:effectLst/>
      </dgm:spPr>
      <dgm:t>
        <a:bodyPr/>
        <a:lstStyle/>
        <a:p>
          <a:pPr>
            <a:buChar char="•"/>
          </a:pPr>
          <a:r>
            <a:rPr lang="en-US"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silage</a:t>
          </a:r>
        </a:p>
      </dgm:t>
    </dgm:pt>
    <dgm:pt modelId="{87676991-2DD5-C84F-A296-CE43357426EF}" type="parTrans" cxnId="{533BDB91-BA31-8C47-9111-38303A4F4C6F}">
      <dgm:prSet/>
      <dgm:spPr/>
      <dgm:t>
        <a:bodyPr/>
        <a:lstStyle/>
        <a:p>
          <a:endParaRPr lang="en-US" sz="1800">
            <a:latin typeface="Arial" panose="020B0604020202020204" pitchFamily="34" charset="0"/>
            <a:cs typeface="Arial" panose="020B0604020202020204" pitchFamily="34" charset="0"/>
          </a:endParaRPr>
        </a:p>
      </dgm:t>
    </dgm:pt>
    <dgm:pt modelId="{16A04C23-BD17-1649-A726-425B765FED5C}" type="sibTrans" cxnId="{533BDB91-BA31-8C47-9111-38303A4F4C6F}">
      <dgm:prSet/>
      <dgm:spPr/>
      <dgm:t>
        <a:bodyPr/>
        <a:lstStyle/>
        <a:p>
          <a:endParaRPr lang="en-US" sz="1800">
            <a:latin typeface="Arial" panose="020B0604020202020204" pitchFamily="34" charset="0"/>
            <a:cs typeface="Arial" panose="020B0604020202020204" pitchFamily="34" charset="0"/>
          </a:endParaRPr>
        </a:p>
      </dgm:t>
    </dgm:pt>
    <dgm:pt modelId="{FAD6B482-4998-A24C-A866-14E54956791A}">
      <dgm:prSet phldrT="[Text]" custT="1"/>
      <dgm:spPr>
        <a:xfrm>
          <a:off x="250261" y="213220"/>
          <a:ext cx="989729" cy="865148"/>
        </a:xfrm>
        <a:prstGeom prst="rightArrow">
          <a:avLst>
            <a:gd name="adj1" fmla="val 70000"/>
            <a:gd name="adj2" fmla="val 50000"/>
          </a:avLst>
        </a:prstGeom>
        <a:solidFill>
          <a:srgbClr val="A5A5A5">
            <a:tint val="40000"/>
            <a:alpha val="90000"/>
            <a:hueOff val="0"/>
            <a:satOff val="0"/>
            <a:lumOff val="0"/>
            <a:alphaOff val="0"/>
          </a:srgbClr>
        </a:solidFill>
        <a:ln w="6350" cap="flat" cmpd="sng" algn="ctr">
          <a:noFill/>
          <a:prstDash val="solid"/>
          <a:miter lim="800000"/>
        </a:ln>
        <a:effectLst/>
      </dgm:spPr>
      <dgm:t>
        <a:bodyPr/>
        <a:lstStyle/>
        <a:p>
          <a:pPr>
            <a:buChar char="•"/>
          </a:pPr>
          <a:r>
            <a:rPr lang="en-US"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Lamb feeding practices</a:t>
          </a:r>
        </a:p>
      </dgm:t>
    </dgm:pt>
    <dgm:pt modelId="{4970CAAA-03D0-D744-BA6A-0A9634EEB3DE}" type="parTrans" cxnId="{50189F0C-413B-0D42-A4F3-0F5BAD4B4E79}">
      <dgm:prSet/>
      <dgm:spPr/>
      <dgm:t>
        <a:bodyPr/>
        <a:lstStyle/>
        <a:p>
          <a:endParaRPr lang="en-US" sz="1800">
            <a:latin typeface="Arial" panose="020B0604020202020204" pitchFamily="34" charset="0"/>
            <a:cs typeface="Arial" panose="020B0604020202020204" pitchFamily="34" charset="0"/>
          </a:endParaRPr>
        </a:p>
      </dgm:t>
    </dgm:pt>
    <dgm:pt modelId="{DCA52212-3C57-5340-A5C1-1E84F8AC3480}" type="sibTrans" cxnId="{50189F0C-413B-0D42-A4F3-0F5BAD4B4E79}">
      <dgm:prSet/>
      <dgm:spPr/>
      <dgm:t>
        <a:bodyPr/>
        <a:lstStyle/>
        <a:p>
          <a:endParaRPr lang="en-US" sz="1800">
            <a:latin typeface="Arial" panose="020B0604020202020204" pitchFamily="34" charset="0"/>
            <a:cs typeface="Arial" panose="020B0604020202020204" pitchFamily="34" charset="0"/>
          </a:endParaRPr>
        </a:p>
      </dgm:t>
    </dgm:pt>
    <dgm:pt modelId="{457FF0F7-2993-E347-BB2E-3A98EFEBC48D}">
      <dgm:prSet phldrT="[Text]" custT="1"/>
      <dgm:spPr>
        <a:xfrm>
          <a:off x="1301849" y="398362"/>
          <a:ext cx="494864" cy="494864"/>
        </a:xfrm>
        <a:prstGeom prst="ellipse">
          <a:avLst/>
        </a:prstGeom>
        <a:solidFill>
          <a:srgbClr val="B9CCDD"/>
        </a:solidFill>
        <a:ln>
          <a:noFill/>
        </a:ln>
        <a:effectLst/>
      </dgm:spPr>
      <dgm:t>
        <a:bodyPr/>
        <a:lstStyle/>
        <a:p>
          <a:pPr>
            <a:buNone/>
          </a:pPr>
          <a:r>
            <a:rPr lang="en-US" sz="500">
              <a:solidFill>
                <a:sysClr val="window" lastClr="FFFFFF"/>
              </a:solidFill>
              <a:latin typeface="Arial" panose="020B0604020202020204" pitchFamily="34" charset="0"/>
              <a:ea typeface="+mn-ea"/>
              <a:cs typeface="Arial" panose="020B0604020202020204" pitchFamily="34" charset="0"/>
            </a:rPr>
            <a:t>Aggregation &amp; Empower-ment</a:t>
          </a:r>
        </a:p>
      </dgm:t>
    </dgm:pt>
    <dgm:pt modelId="{9164A99C-9ABA-AB48-9D80-51C9C577F533}" type="parTrans" cxnId="{AC3F6001-F0B3-A548-B10D-0B2763D910D8}">
      <dgm:prSet/>
      <dgm:spPr/>
      <dgm:t>
        <a:bodyPr/>
        <a:lstStyle/>
        <a:p>
          <a:endParaRPr lang="en-US" sz="1800">
            <a:latin typeface="Arial" panose="020B0604020202020204" pitchFamily="34" charset="0"/>
            <a:cs typeface="Arial" panose="020B0604020202020204" pitchFamily="34" charset="0"/>
          </a:endParaRPr>
        </a:p>
      </dgm:t>
    </dgm:pt>
    <dgm:pt modelId="{5E37131F-6174-EF45-BA9A-F5F55695915A}" type="sibTrans" cxnId="{AC3F6001-F0B3-A548-B10D-0B2763D910D8}">
      <dgm:prSet/>
      <dgm:spPr/>
      <dgm:t>
        <a:bodyPr/>
        <a:lstStyle/>
        <a:p>
          <a:endParaRPr lang="en-US" sz="1800">
            <a:latin typeface="Arial" panose="020B0604020202020204" pitchFamily="34" charset="0"/>
            <a:cs typeface="Arial" panose="020B0604020202020204" pitchFamily="34" charset="0"/>
          </a:endParaRPr>
        </a:p>
      </dgm:t>
    </dgm:pt>
    <dgm:pt modelId="{507470C8-2238-C544-9361-576B20FDB394}">
      <dgm:prSet phldrT="[Text]" custT="1"/>
      <dgm:spPr>
        <a:xfrm>
          <a:off x="1549281" y="213220"/>
          <a:ext cx="989729" cy="865148"/>
        </a:xfrm>
        <a:prstGeom prst="rightArrow">
          <a:avLst>
            <a:gd name="adj1" fmla="val 70000"/>
            <a:gd name="adj2" fmla="val 50000"/>
          </a:avLst>
        </a:prstGeom>
        <a:solidFill>
          <a:srgbClr val="E3EAF1">
            <a:alpha val="89804"/>
          </a:srgbClr>
        </a:solidFill>
        <a:ln w="6350" cap="flat" cmpd="sng" algn="ctr">
          <a:noFill/>
          <a:prstDash val="solid"/>
          <a:miter lim="800000"/>
        </a:ln>
        <a:effectLst/>
      </dgm:spPr>
      <dgm:t>
        <a:bodyPr/>
        <a:lstStyle/>
        <a:p>
          <a:pPr>
            <a:buChar char="•"/>
          </a:pPr>
          <a:r>
            <a:rPr lang="en-US"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Transformed CBO</a:t>
          </a:r>
        </a:p>
      </dgm:t>
    </dgm:pt>
    <dgm:pt modelId="{C2C596E3-5602-9649-8151-3137531366A4}" type="parTrans" cxnId="{878B2BEC-37D5-0E4C-BDAB-7CBABC72B359}">
      <dgm:prSet/>
      <dgm:spPr/>
      <dgm:t>
        <a:bodyPr/>
        <a:lstStyle/>
        <a:p>
          <a:endParaRPr lang="en-US" sz="1800">
            <a:latin typeface="Arial" panose="020B0604020202020204" pitchFamily="34" charset="0"/>
            <a:cs typeface="Arial" panose="020B0604020202020204" pitchFamily="34" charset="0"/>
          </a:endParaRPr>
        </a:p>
      </dgm:t>
    </dgm:pt>
    <dgm:pt modelId="{6CA4B8D8-C207-0D4F-BDD6-DBFB7CF3B3BF}" type="sibTrans" cxnId="{878B2BEC-37D5-0E4C-BDAB-7CBABC72B359}">
      <dgm:prSet/>
      <dgm:spPr/>
      <dgm:t>
        <a:bodyPr/>
        <a:lstStyle/>
        <a:p>
          <a:endParaRPr lang="en-US" sz="1800">
            <a:latin typeface="Arial" panose="020B0604020202020204" pitchFamily="34" charset="0"/>
            <a:cs typeface="Arial" panose="020B0604020202020204" pitchFamily="34" charset="0"/>
          </a:endParaRPr>
        </a:p>
      </dgm:t>
    </dgm:pt>
    <dgm:pt modelId="{FBAB299C-1252-8144-B6CD-B28C30425397}">
      <dgm:prSet phldrT="[Text]" custT="1"/>
      <dgm:spPr>
        <a:xfrm>
          <a:off x="2600869" y="398362"/>
          <a:ext cx="494864" cy="494864"/>
        </a:xfrm>
        <a:prstGeom prst="ellipse">
          <a:avLst/>
        </a:prstGeom>
        <a:solidFill>
          <a:srgbClr val="5482AB"/>
        </a:solidFill>
        <a:ln>
          <a:noFill/>
        </a:ln>
        <a:effectLst/>
      </dgm:spPr>
      <dgm:t>
        <a:bodyPr/>
        <a:lstStyle/>
        <a:p>
          <a:pPr>
            <a:buNone/>
          </a:pPr>
          <a:r>
            <a:rPr lang="en-US" sz="500">
              <a:solidFill>
                <a:sysClr val="window" lastClr="FFFFFF"/>
              </a:solidFill>
              <a:latin typeface="Arial" panose="020B0604020202020204" pitchFamily="34" charset="0"/>
              <a:ea typeface="+mn-ea"/>
              <a:cs typeface="Arial" panose="020B0604020202020204" pitchFamily="34" charset="0"/>
            </a:rPr>
            <a:t>Cold Storage &amp; Quality Assurance</a:t>
          </a:r>
        </a:p>
      </dgm:t>
    </dgm:pt>
    <dgm:pt modelId="{295C96BE-EC10-394F-855C-5469516CB34A}" type="parTrans" cxnId="{735884BC-E28E-4242-8F3B-8A01D5F7576C}">
      <dgm:prSet/>
      <dgm:spPr/>
      <dgm:t>
        <a:bodyPr/>
        <a:lstStyle/>
        <a:p>
          <a:endParaRPr lang="en-US" sz="1800">
            <a:latin typeface="Arial" panose="020B0604020202020204" pitchFamily="34" charset="0"/>
            <a:cs typeface="Arial" panose="020B0604020202020204" pitchFamily="34" charset="0"/>
          </a:endParaRPr>
        </a:p>
      </dgm:t>
    </dgm:pt>
    <dgm:pt modelId="{0C8BB0FA-E4D2-CB48-81AF-E9CA5FEF2661}" type="sibTrans" cxnId="{735884BC-E28E-4242-8F3B-8A01D5F7576C}">
      <dgm:prSet/>
      <dgm:spPr/>
      <dgm:t>
        <a:bodyPr/>
        <a:lstStyle/>
        <a:p>
          <a:endParaRPr lang="en-US" sz="1800">
            <a:latin typeface="Arial" panose="020B0604020202020204" pitchFamily="34" charset="0"/>
            <a:cs typeface="Arial" panose="020B0604020202020204" pitchFamily="34" charset="0"/>
          </a:endParaRPr>
        </a:p>
      </dgm:t>
    </dgm:pt>
    <dgm:pt modelId="{73C0A91D-3864-C342-989E-53A3598843B1}">
      <dgm:prSet phldrT="[Text]" custT="1"/>
      <dgm:spPr>
        <a:xfrm>
          <a:off x="2848301" y="213220"/>
          <a:ext cx="989729" cy="865148"/>
        </a:xfrm>
        <a:prstGeom prst="rightArrow">
          <a:avLst>
            <a:gd name="adj1" fmla="val 70000"/>
            <a:gd name="adj2" fmla="val 50000"/>
          </a:avLst>
        </a:prstGeom>
        <a:solidFill>
          <a:srgbClr val="B9CCDD">
            <a:alpha val="90000"/>
          </a:srgbClr>
        </a:solidFill>
        <a:ln w="6350" cap="flat" cmpd="sng" algn="ctr">
          <a:noFill/>
          <a:prstDash val="solid"/>
          <a:miter lim="800000"/>
        </a:ln>
        <a:effectLst/>
      </dgm:spPr>
      <dgm:t>
        <a:bodyPr/>
        <a:lstStyle/>
        <a:p>
          <a:pPr>
            <a:buChar char="•"/>
          </a:pPr>
          <a:r>
            <a:rPr lang="en-US"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Cost-share refrigerated collection hub</a:t>
          </a:r>
        </a:p>
      </dgm:t>
    </dgm:pt>
    <dgm:pt modelId="{D2F8D931-E10A-0C45-9CCF-34D0299A5511}" type="parTrans" cxnId="{EC35736F-C70A-9044-9872-EF5DA43ED84F}">
      <dgm:prSet/>
      <dgm:spPr/>
      <dgm:t>
        <a:bodyPr/>
        <a:lstStyle/>
        <a:p>
          <a:endParaRPr lang="en-US" sz="1800">
            <a:latin typeface="Arial" panose="020B0604020202020204" pitchFamily="34" charset="0"/>
            <a:cs typeface="Arial" panose="020B0604020202020204" pitchFamily="34" charset="0"/>
          </a:endParaRPr>
        </a:p>
      </dgm:t>
    </dgm:pt>
    <dgm:pt modelId="{ABC00E9F-5874-3742-9ACE-CC8EE08E59AB}" type="sibTrans" cxnId="{EC35736F-C70A-9044-9872-EF5DA43ED84F}">
      <dgm:prSet/>
      <dgm:spPr/>
      <dgm:t>
        <a:bodyPr/>
        <a:lstStyle/>
        <a:p>
          <a:endParaRPr lang="en-US" sz="1800">
            <a:latin typeface="Arial" panose="020B0604020202020204" pitchFamily="34" charset="0"/>
            <a:cs typeface="Arial" panose="020B0604020202020204" pitchFamily="34" charset="0"/>
          </a:endParaRPr>
        </a:p>
      </dgm:t>
    </dgm:pt>
    <dgm:pt modelId="{A9C69C5F-7704-5A4F-8EF5-88942250C5DA}">
      <dgm:prSet phldrT="[Text]" custT="1"/>
      <dgm:spPr>
        <a:xfrm>
          <a:off x="2848301" y="213220"/>
          <a:ext cx="989729" cy="865148"/>
        </a:xfrm>
        <a:prstGeom prst="rightArrow">
          <a:avLst>
            <a:gd name="adj1" fmla="val 70000"/>
            <a:gd name="adj2" fmla="val 50000"/>
          </a:avLst>
        </a:prstGeom>
        <a:solidFill>
          <a:srgbClr val="B9CCDD">
            <a:alpha val="90000"/>
          </a:srgbClr>
        </a:solidFill>
        <a:ln w="6350" cap="flat" cmpd="sng" algn="ctr">
          <a:noFill/>
          <a:prstDash val="solid"/>
          <a:miter lim="800000"/>
        </a:ln>
        <a:effectLst/>
      </dgm:spPr>
      <dgm:t>
        <a:bodyPr/>
        <a:lstStyle/>
        <a:p>
          <a:pPr>
            <a:buChar char="•"/>
          </a:pPr>
          <a:r>
            <a:rPr lang="en-US"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Testing facilities &amp; training</a:t>
          </a:r>
        </a:p>
      </dgm:t>
    </dgm:pt>
    <dgm:pt modelId="{8266E5BF-1A01-0F47-8478-1B41BBAFB49A}" type="parTrans" cxnId="{E8C9CB4B-5DF5-5242-9DCF-1CA67F276B72}">
      <dgm:prSet/>
      <dgm:spPr/>
      <dgm:t>
        <a:bodyPr/>
        <a:lstStyle/>
        <a:p>
          <a:endParaRPr lang="en-US" sz="1800">
            <a:latin typeface="Arial" panose="020B0604020202020204" pitchFamily="34" charset="0"/>
            <a:cs typeface="Arial" panose="020B0604020202020204" pitchFamily="34" charset="0"/>
          </a:endParaRPr>
        </a:p>
      </dgm:t>
    </dgm:pt>
    <dgm:pt modelId="{10031B97-16FA-EE42-8871-C5B991BB8890}" type="sibTrans" cxnId="{E8C9CB4B-5DF5-5242-9DCF-1CA67F276B72}">
      <dgm:prSet/>
      <dgm:spPr/>
      <dgm:t>
        <a:bodyPr/>
        <a:lstStyle/>
        <a:p>
          <a:endParaRPr lang="en-US" sz="1800">
            <a:latin typeface="Arial" panose="020B0604020202020204" pitchFamily="34" charset="0"/>
            <a:cs typeface="Arial" panose="020B0604020202020204" pitchFamily="34" charset="0"/>
          </a:endParaRPr>
        </a:p>
      </dgm:t>
    </dgm:pt>
    <dgm:pt modelId="{178FA717-268C-3143-BB9C-AD621246A554}">
      <dgm:prSet phldrT="[Text]" custT="1"/>
      <dgm:spPr>
        <a:xfrm>
          <a:off x="5198908" y="398362"/>
          <a:ext cx="494864" cy="494864"/>
        </a:xfrm>
        <a:prstGeom prst="ellipse">
          <a:avLst/>
        </a:prstGeom>
        <a:solidFill>
          <a:srgbClr val="001F48"/>
        </a:solidFill>
        <a:ln>
          <a:noFill/>
        </a:ln>
        <a:effectLst/>
      </dgm:spPr>
      <dgm:t>
        <a:bodyPr/>
        <a:lstStyle/>
        <a:p>
          <a:pPr>
            <a:buNone/>
          </a:pPr>
          <a:r>
            <a:rPr lang="en-US" sz="500">
              <a:solidFill>
                <a:sysClr val="window" lastClr="FFFFFF"/>
              </a:solidFill>
              <a:latin typeface="Arial" panose="020B0604020202020204" pitchFamily="34" charset="0"/>
              <a:ea typeface="+mn-ea"/>
              <a:cs typeface="Arial" panose="020B0604020202020204" pitchFamily="34" charset="0"/>
            </a:rPr>
            <a:t>New Market Segment</a:t>
          </a:r>
        </a:p>
      </dgm:t>
    </dgm:pt>
    <dgm:pt modelId="{DE8DEA3A-F1A6-E54D-8FAE-75B442860D4A}" type="parTrans" cxnId="{6D097E38-46DD-FC42-8C42-066915032826}">
      <dgm:prSet/>
      <dgm:spPr/>
      <dgm:t>
        <a:bodyPr/>
        <a:lstStyle/>
        <a:p>
          <a:endParaRPr lang="en-US" sz="1800">
            <a:latin typeface="Arial" panose="020B0604020202020204" pitchFamily="34" charset="0"/>
            <a:cs typeface="Arial" panose="020B0604020202020204" pitchFamily="34" charset="0"/>
          </a:endParaRPr>
        </a:p>
      </dgm:t>
    </dgm:pt>
    <dgm:pt modelId="{025AFDB1-3C77-3843-8259-2D2BFB88734F}" type="sibTrans" cxnId="{6D097E38-46DD-FC42-8C42-066915032826}">
      <dgm:prSet/>
      <dgm:spPr/>
      <dgm:t>
        <a:bodyPr/>
        <a:lstStyle/>
        <a:p>
          <a:endParaRPr lang="en-US" sz="1800">
            <a:latin typeface="Arial" panose="020B0604020202020204" pitchFamily="34" charset="0"/>
            <a:cs typeface="Arial" panose="020B0604020202020204" pitchFamily="34" charset="0"/>
          </a:endParaRPr>
        </a:p>
      </dgm:t>
    </dgm:pt>
    <dgm:pt modelId="{7DD8A6BD-B0CD-CD43-A6A7-4CA6C459EA32}">
      <dgm:prSet phldrT="[Text]" custT="1"/>
      <dgm:spPr>
        <a:xfrm>
          <a:off x="5446341" y="213220"/>
          <a:ext cx="989729" cy="865148"/>
        </a:xfrm>
        <a:prstGeom prst="rightArrow">
          <a:avLst>
            <a:gd name="adj1" fmla="val 70000"/>
            <a:gd name="adj2" fmla="val 50000"/>
          </a:avLst>
        </a:prstGeom>
        <a:solidFill>
          <a:srgbClr val="003478">
            <a:alpha val="90000"/>
          </a:srgbClr>
        </a:solidFill>
        <a:ln w="6350" cap="flat" cmpd="sng" algn="ctr">
          <a:noFill/>
          <a:prstDash val="solid"/>
          <a:miter lim="800000"/>
        </a:ln>
        <a:effectLst/>
      </dgm:spPr>
      <dgm:t>
        <a:bodyPr/>
        <a:lstStyle/>
        <a:p>
          <a:pPr>
            <a:buChar char="•"/>
          </a:pPr>
          <a:r>
            <a:rPr lang="en-US" sz="500">
              <a:solidFill>
                <a:schemeClr val="bg1"/>
              </a:solidFill>
              <a:latin typeface="Arial" panose="020B0604020202020204" pitchFamily="34" charset="0"/>
              <a:ea typeface="+mn-ea"/>
              <a:cs typeface="Arial" panose="020B0604020202020204" pitchFamily="34" charset="0"/>
            </a:rPr>
            <a:t>Milk pruchase by commercial dairies</a:t>
          </a:r>
        </a:p>
      </dgm:t>
    </dgm:pt>
    <dgm:pt modelId="{1AD7E7B4-F20F-144C-AD1A-2F736F276BCD}" type="parTrans" cxnId="{F8D46E68-6109-D646-A629-49975A64DB6E}">
      <dgm:prSet/>
      <dgm:spPr/>
      <dgm:t>
        <a:bodyPr/>
        <a:lstStyle/>
        <a:p>
          <a:endParaRPr lang="en-US" sz="1800">
            <a:latin typeface="Arial" panose="020B0604020202020204" pitchFamily="34" charset="0"/>
            <a:cs typeface="Arial" panose="020B0604020202020204" pitchFamily="34" charset="0"/>
          </a:endParaRPr>
        </a:p>
      </dgm:t>
    </dgm:pt>
    <dgm:pt modelId="{0F0A31E7-81F4-D849-B3B1-E888AF1C6513}" type="sibTrans" cxnId="{F8D46E68-6109-D646-A629-49975A64DB6E}">
      <dgm:prSet/>
      <dgm:spPr/>
      <dgm:t>
        <a:bodyPr/>
        <a:lstStyle/>
        <a:p>
          <a:endParaRPr lang="en-US" sz="1800">
            <a:latin typeface="Arial" panose="020B0604020202020204" pitchFamily="34" charset="0"/>
            <a:cs typeface="Arial" panose="020B0604020202020204" pitchFamily="34" charset="0"/>
          </a:endParaRPr>
        </a:p>
      </dgm:t>
    </dgm:pt>
    <dgm:pt modelId="{A6DC8331-824C-AC4C-88FF-513685C99A73}">
      <dgm:prSet phldrT="[Text]" custT="1"/>
      <dgm:spPr>
        <a:xfrm>
          <a:off x="5446341" y="213220"/>
          <a:ext cx="989729" cy="865148"/>
        </a:xfrm>
        <a:prstGeom prst="rightArrow">
          <a:avLst>
            <a:gd name="adj1" fmla="val 70000"/>
            <a:gd name="adj2" fmla="val 50000"/>
          </a:avLst>
        </a:prstGeom>
        <a:solidFill>
          <a:srgbClr val="003478">
            <a:alpha val="90000"/>
          </a:srgbClr>
        </a:solidFill>
        <a:ln w="6350" cap="flat" cmpd="sng" algn="ctr">
          <a:noFill/>
          <a:prstDash val="solid"/>
          <a:miter lim="800000"/>
        </a:ln>
        <a:effectLst/>
      </dgm:spPr>
      <dgm:t>
        <a:bodyPr/>
        <a:lstStyle/>
        <a:p>
          <a:pPr>
            <a:buChar char="•"/>
          </a:pPr>
          <a:r>
            <a:rPr lang="en-US" sz="500">
              <a:solidFill>
                <a:schemeClr val="bg1"/>
              </a:solidFill>
              <a:latin typeface="Arial" panose="020B0604020202020204" pitchFamily="34" charset="0"/>
              <a:ea typeface="+mn-ea"/>
              <a:cs typeface="Arial" panose="020B0604020202020204" pitchFamily="34" charset="0"/>
            </a:rPr>
            <a:t>Retail sales of milk, yoghurt, cheese</a:t>
          </a:r>
        </a:p>
      </dgm:t>
    </dgm:pt>
    <dgm:pt modelId="{2302DB77-8D50-9D4B-8A25-B41EB52B183B}" type="parTrans" cxnId="{1556BDB9-7A56-6249-866B-B2915FC73969}">
      <dgm:prSet/>
      <dgm:spPr/>
      <dgm:t>
        <a:bodyPr/>
        <a:lstStyle/>
        <a:p>
          <a:endParaRPr lang="en-US" sz="1800">
            <a:latin typeface="Arial" panose="020B0604020202020204" pitchFamily="34" charset="0"/>
            <a:cs typeface="Arial" panose="020B0604020202020204" pitchFamily="34" charset="0"/>
          </a:endParaRPr>
        </a:p>
      </dgm:t>
    </dgm:pt>
    <dgm:pt modelId="{0C00FFF4-006A-EB4B-9AA0-AC32DFFE7896}" type="sibTrans" cxnId="{1556BDB9-7A56-6249-866B-B2915FC73969}">
      <dgm:prSet/>
      <dgm:spPr/>
      <dgm:t>
        <a:bodyPr/>
        <a:lstStyle/>
        <a:p>
          <a:endParaRPr lang="en-US" sz="1800">
            <a:latin typeface="Arial" panose="020B0604020202020204" pitchFamily="34" charset="0"/>
            <a:cs typeface="Arial" panose="020B0604020202020204" pitchFamily="34" charset="0"/>
          </a:endParaRPr>
        </a:p>
      </dgm:t>
    </dgm:pt>
    <dgm:pt modelId="{9B87C215-D7B7-A04B-869D-08C1811F124C}">
      <dgm:prSet phldrT="[Text]" custT="1"/>
      <dgm:spPr>
        <a:xfrm>
          <a:off x="1549281" y="213220"/>
          <a:ext cx="989729" cy="865148"/>
        </a:xfrm>
        <a:prstGeom prst="rightArrow">
          <a:avLst>
            <a:gd name="adj1" fmla="val 70000"/>
            <a:gd name="adj2" fmla="val 50000"/>
          </a:avLst>
        </a:prstGeom>
        <a:solidFill>
          <a:srgbClr val="E3EAF1">
            <a:alpha val="89804"/>
          </a:srgbClr>
        </a:solidFill>
        <a:ln w="6350" cap="flat" cmpd="sng" algn="ctr">
          <a:noFill/>
          <a:prstDash val="solid"/>
          <a:miter lim="800000"/>
        </a:ln>
        <a:effectLst/>
      </dgm:spPr>
      <dgm:t>
        <a:bodyPr/>
        <a:lstStyle/>
        <a:p>
          <a:pPr>
            <a:buChar char="•"/>
          </a:pPr>
          <a:r>
            <a:rPr lang="en-US"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Women's agency training</a:t>
          </a:r>
        </a:p>
      </dgm:t>
    </dgm:pt>
    <dgm:pt modelId="{8914BEFE-AF53-DB48-B8BA-B2A7C179E72A}" type="parTrans" cxnId="{482D90A7-A976-2140-B415-5EDBBA7E21F5}">
      <dgm:prSet/>
      <dgm:spPr/>
      <dgm:t>
        <a:bodyPr/>
        <a:lstStyle/>
        <a:p>
          <a:endParaRPr lang="en-US" sz="1800">
            <a:latin typeface="Arial" panose="020B0604020202020204" pitchFamily="34" charset="0"/>
            <a:cs typeface="Arial" panose="020B0604020202020204" pitchFamily="34" charset="0"/>
          </a:endParaRPr>
        </a:p>
      </dgm:t>
    </dgm:pt>
    <dgm:pt modelId="{3C91384C-0B85-AE43-AD13-6C1B92826AE9}" type="sibTrans" cxnId="{482D90A7-A976-2140-B415-5EDBBA7E21F5}">
      <dgm:prSet/>
      <dgm:spPr/>
      <dgm:t>
        <a:bodyPr/>
        <a:lstStyle/>
        <a:p>
          <a:endParaRPr lang="en-US" sz="1800">
            <a:latin typeface="Arial" panose="020B0604020202020204" pitchFamily="34" charset="0"/>
            <a:cs typeface="Arial" panose="020B0604020202020204" pitchFamily="34" charset="0"/>
          </a:endParaRPr>
        </a:p>
      </dgm:t>
    </dgm:pt>
    <dgm:pt modelId="{154C5E62-BEB9-F545-B87F-79E52DE6889D}">
      <dgm:prSet phldrT="[Text]" custT="1"/>
      <dgm:spPr>
        <a:xfrm>
          <a:off x="3899888" y="398362"/>
          <a:ext cx="494864" cy="494864"/>
        </a:xfrm>
        <a:prstGeom prst="ellipse">
          <a:avLst/>
        </a:prstGeom>
        <a:solidFill>
          <a:srgbClr val="003478"/>
        </a:solidFill>
        <a:ln>
          <a:noFill/>
        </a:ln>
        <a:effectLst/>
      </dgm:spPr>
      <dgm:t>
        <a:bodyPr/>
        <a:lstStyle/>
        <a:p>
          <a:pPr>
            <a:buNone/>
          </a:pPr>
          <a:r>
            <a:rPr lang="en-US" sz="500">
              <a:solidFill>
                <a:sysClr val="window" lastClr="FFFFFF"/>
              </a:solidFill>
              <a:latin typeface="Arial" panose="020B0604020202020204" pitchFamily="34" charset="0"/>
              <a:ea typeface="+mn-ea"/>
              <a:cs typeface="Arial" panose="020B0604020202020204" pitchFamily="34" charset="0"/>
            </a:rPr>
            <a:t>Introduce Commercial dairies</a:t>
          </a:r>
        </a:p>
      </dgm:t>
    </dgm:pt>
    <dgm:pt modelId="{B85F99AB-1EC8-F94D-90D0-3754EAA763FE}" type="parTrans" cxnId="{B9AB6B1E-1A32-A848-9463-180B2B9BD95F}">
      <dgm:prSet/>
      <dgm:spPr/>
      <dgm:t>
        <a:bodyPr/>
        <a:lstStyle/>
        <a:p>
          <a:endParaRPr lang="en-US" sz="1800">
            <a:latin typeface="Arial" panose="020B0604020202020204" pitchFamily="34" charset="0"/>
            <a:cs typeface="Arial" panose="020B0604020202020204" pitchFamily="34" charset="0"/>
          </a:endParaRPr>
        </a:p>
      </dgm:t>
    </dgm:pt>
    <dgm:pt modelId="{4484A231-8A4C-BD46-8506-71A2AED15807}" type="sibTrans" cxnId="{B9AB6B1E-1A32-A848-9463-180B2B9BD95F}">
      <dgm:prSet/>
      <dgm:spPr/>
      <dgm:t>
        <a:bodyPr/>
        <a:lstStyle/>
        <a:p>
          <a:endParaRPr lang="en-US" sz="1800">
            <a:latin typeface="Arial" panose="020B0604020202020204" pitchFamily="34" charset="0"/>
            <a:cs typeface="Arial" panose="020B0604020202020204" pitchFamily="34" charset="0"/>
          </a:endParaRPr>
        </a:p>
      </dgm:t>
    </dgm:pt>
    <dgm:pt modelId="{62F14ADF-9FDD-394C-B6AF-52DB461BA2FA}">
      <dgm:prSet phldrT="[Text]" custT="1"/>
      <dgm:spPr>
        <a:xfrm>
          <a:off x="4147321" y="213220"/>
          <a:ext cx="989729" cy="865148"/>
        </a:xfrm>
        <a:prstGeom prst="rightArrow">
          <a:avLst>
            <a:gd name="adj1" fmla="val 70000"/>
            <a:gd name="adj2" fmla="val 50000"/>
          </a:avLst>
        </a:prstGeom>
        <a:solidFill>
          <a:srgbClr val="5482AB">
            <a:alpha val="90000"/>
          </a:srgbClr>
        </a:solidFill>
        <a:ln w="6350" cap="flat" cmpd="sng" algn="ctr">
          <a:noFill/>
          <a:prstDash val="solid"/>
          <a:miter lim="800000"/>
        </a:ln>
        <a:effectLst/>
      </dgm:spPr>
      <dgm:t>
        <a:bodyPr/>
        <a:lstStyle/>
        <a:p>
          <a:pPr>
            <a:buChar char="•"/>
          </a:pPr>
          <a:r>
            <a:rPr lang="en-US" sz="500">
              <a:solidFill>
                <a:schemeClr val="bg1"/>
              </a:solidFill>
              <a:latin typeface="Arial" panose="020B0604020202020204" pitchFamily="34" charset="0"/>
              <a:ea typeface="+mn-ea"/>
              <a:cs typeface="Arial" panose="020B0604020202020204" pitchFamily="34" charset="0"/>
            </a:rPr>
            <a:t>Risk-sharing for initial purchase</a:t>
          </a:r>
        </a:p>
      </dgm:t>
    </dgm:pt>
    <dgm:pt modelId="{8FEBECDE-4AF0-8943-ADD6-4CB4041A4AF3}" type="parTrans" cxnId="{5661BEC3-A53A-E845-80D2-6E59AF959C65}">
      <dgm:prSet/>
      <dgm:spPr/>
      <dgm:t>
        <a:bodyPr/>
        <a:lstStyle/>
        <a:p>
          <a:endParaRPr lang="en-US" sz="1800">
            <a:latin typeface="Arial" panose="020B0604020202020204" pitchFamily="34" charset="0"/>
            <a:cs typeface="Arial" panose="020B0604020202020204" pitchFamily="34" charset="0"/>
          </a:endParaRPr>
        </a:p>
      </dgm:t>
    </dgm:pt>
    <dgm:pt modelId="{4894DA0A-006F-B54C-A718-A4DB92F358D9}" type="sibTrans" cxnId="{5661BEC3-A53A-E845-80D2-6E59AF959C65}">
      <dgm:prSet/>
      <dgm:spPr/>
      <dgm:t>
        <a:bodyPr/>
        <a:lstStyle/>
        <a:p>
          <a:endParaRPr lang="en-US" sz="1800">
            <a:latin typeface="Arial" panose="020B0604020202020204" pitchFamily="34" charset="0"/>
            <a:cs typeface="Arial" panose="020B0604020202020204" pitchFamily="34" charset="0"/>
          </a:endParaRPr>
        </a:p>
      </dgm:t>
    </dgm:pt>
    <dgm:pt modelId="{8011CC7F-C7FC-AD4D-BDC4-A29355F33011}">
      <dgm:prSet phldrT="[Text]" custT="1"/>
      <dgm:spPr>
        <a:xfrm>
          <a:off x="4147321" y="213220"/>
          <a:ext cx="989729" cy="865148"/>
        </a:xfrm>
        <a:prstGeom prst="rightArrow">
          <a:avLst>
            <a:gd name="adj1" fmla="val 70000"/>
            <a:gd name="adj2" fmla="val 50000"/>
          </a:avLst>
        </a:prstGeom>
        <a:solidFill>
          <a:srgbClr val="5482AB">
            <a:alpha val="90000"/>
          </a:srgbClr>
        </a:solidFill>
        <a:ln w="6350" cap="flat" cmpd="sng" algn="ctr">
          <a:noFill/>
          <a:prstDash val="solid"/>
          <a:miter lim="800000"/>
        </a:ln>
        <a:effectLst/>
      </dgm:spPr>
      <dgm:t>
        <a:bodyPr/>
        <a:lstStyle/>
        <a:p>
          <a:pPr>
            <a:buChar char="•"/>
          </a:pPr>
          <a:r>
            <a:rPr lang="en-US" sz="500">
              <a:solidFill>
                <a:schemeClr val="bg1"/>
              </a:solidFill>
              <a:latin typeface="Arial" panose="020B0604020202020204" pitchFamily="34" charset="0"/>
              <a:ea typeface="+mn-ea"/>
              <a:cs typeface="Arial" panose="020B0604020202020204" pitchFamily="34" charset="0"/>
            </a:rPr>
            <a:t>Contract negotiation</a:t>
          </a:r>
        </a:p>
      </dgm:t>
    </dgm:pt>
    <dgm:pt modelId="{B8D638A0-B381-D243-8A70-9FA8241D1151}" type="parTrans" cxnId="{021B226F-4B30-844D-A061-2F7722F2E91C}">
      <dgm:prSet/>
      <dgm:spPr/>
      <dgm:t>
        <a:bodyPr/>
        <a:lstStyle/>
        <a:p>
          <a:endParaRPr lang="en-US" sz="1800">
            <a:latin typeface="Arial" panose="020B0604020202020204" pitchFamily="34" charset="0"/>
            <a:cs typeface="Arial" panose="020B0604020202020204" pitchFamily="34" charset="0"/>
          </a:endParaRPr>
        </a:p>
      </dgm:t>
    </dgm:pt>
    <dgm:pt modelId="{90B5C892-A7CB-DA40-9450-825338D3C51D}" type="sibTrans" cxnId="{021B226F-4B30-844D-A061-2F7722F2E91C}">
      <dgm:prSet/>
      <dgm:spPr/>
      <dgm:t>
        <a:bodyPr/>
        <a:lstStyle/>
        <a:p>
          <a:endParaRPr lang="en-US" sz="1800">
            <a:latin typeface="Arial" panose="020B0604020202020204" pitchFamily="34" charset="0"/>
            <a:cs typeface="Arial" panose="020B0604020202020204" pitchFamily="34" charset="0"/>
          </a:endParaRPr>
        </a:p>
      </dgm:t>
    </dgm:pt>
    <dgm:pt modelId="{9F2F80F6-BB05-C047-8CBE-A6D15235CF46}" type="pres">
      <dgm:prSet presAssocID="{295C8760-BCC2-0C47-AD64-5E8DACF2C31D}" presName="theList" presStyleCnt="0">
        <dgm:presLayoutVars>
          <dgm:dir/>
          <dgm:animLvl val="lvl"/>
          <dgm:resizeHandles val="exact"/>
        </dgm:presLayoutVars>
      </dgm:prSet>
      <dgm:spPr/>
      <dgm:t>
        <a:bodyPr/>
        <a:lstStyle/>
        <a:p>
          <a:endParaRPr lang="en-US"/>
        </a:p>
      </dgm:t>
    </dgm:pt>
    <dgm:pt modelId="{C7D623E0-AEE5-FD45-BCCF-A90293FF871C}" type="pres">
      <dgm:prSet presAssocID="{77A3BA42-8426-3D4F-91B1-4EA245983B90}" presName="compNode" presStyleCnt="0"/>
      <dgm:spPr/>
    </dgm:pt>
    <dgm:pt modelId="{7CCDA0C1-DE6C-B545-9F96-EB84C4BE8964}" type="pres">
      <dgm:prSet presAssocID="{77A3BA42-8426-3D4F-91B1-4EA245983B90}" presName="noGeometry" presStyleCnt="0"/>
      <dgm:spPr/>
    </dgm:pt>
    <dgm:pt modelId="{E5E712CD-292F-CC40-9911-0ECBE7F0F1D1}" type="pres">
      <dgm:prSet presAssocID="{77A3BA42-8426-3D4F-91B1-4EA245983B90}" presName="childTextVisible" presStyleLbl="bgAccFollowNode1" presStyleIdx="0" presStyleCnt="5">
        <dgm:presLayoutVars>
          <dgm:bulletEnabled val="1"/>
        </dgm:presLayoutVars>
      </dgm:prSet>
      <dgm:spPr/>
      <dgm:t>
        <a:bodyPr/>
        <a:lstStyle/>
        <a:p>
          <a:endParaRPr lang="en-US"/>
        </a:p>
      </dgm:t>
    </dgm:pt>
    <dgm:pt modelId="{5970A39B-FC6F-3A45-8232-569B3965F598}" type="pres">
      <dgm:prSet presAssocID="{77A3BA42-8426-3D4F-91B1-4EA245983B90}" presName="childTextHidden" presStyleLbl="bgAccFollowNode1" presStyleIdx="0" presStyleCnt="5"/>
      <dgm:spPr/>
      <dgm:t>
        <a:bodyPr/>
        <a:lstStyle/>
        <a:p>
          <a:endParaRPr lang="en-US"/>
        </a:p>
      </dgm:t>
    </dgm:pt>
    <dgm:pt modelId="{9966CB5F-AC70-274B-8767-01BD11DF8D97}" type="pres">
      <dgm:prSet presAssocID="{77A3BA42-8426-3D4F-91B1-4EA245983B90}" presName="parentText" presStyleLbl="node1" presStyleIdx="0" presStyleCnt="5">
        <dgm:presLayoutVars>
          <dgm:chMax val="1"/>
          <dgm:bulletEnabled val="1"/>
        </dgm:presLayoutVars>
      </dgm:prSet>
      <dgm:spPr/>
      <dgm:t>
        <a:bodyPr/>
        <a:lstStyle/>
        <a:p>
          <a:endParaRPr lang="en-US"/>
        </a:p>
      </dgm:t>
    </dgm:pt>
    <dgm:pt modelId="{820FC838-EF6B-C54D-BBB7-04F3155E2C75}" type="pres">
      <dgm:prSet presAssocID="{77A3BA42-8426-3D4F-91B1-4EA245983B90}" presName="aSpace" presStyleCnt="0"/>
      <dgm:spPr/>
    </dgm:pt>
    <dgm:pt modelId="{5286F589-EEF6-E543-8C5A-FEFA99AE1368}" type="pres">
      <dgm:prSet presAssocID="{457FF0F7-2993-E347-BB2E-3A98EFEBC48D}" presName="compNode" presStyleCnt="0"/>
      <dgm:spPr/>
    </dgm:pt>
    <dgm:pt modelId="{8DB1A19A-2B76-6F4B-8B94-9DB565C85A4D}" type="pres">
      <dgm:prSet presAssocID="{457FF0F7-2993-E347-BB2E-3A98EFEBC48D}" presName="noGeometry" presStyleCnt="0"/>
      <dgm:spPr/>
    </dgm:pt>
    <dgm:pt modelId="{4CF26383-567F-C841-B789-36B965288F7F}" type="pres">
      <dgm:prSet presAssocID="{457FF0F7-2993-E347-BB2E-3A98EFEBC48D}" presName="childTextVisible" presStyleLbl="bgAccFollowNode1" presStyleIdx="1" presStyleCnt="5">
        <dgm:presLayoutVars>
          <dgm:bulletEnabled val="1"/>
        </dgm:presLayoutVars>
      </dgm:prSet>
      <dgm:spPr/>
      <dgm:t>
        <a:bodyPr/>
        <a:lstStyle/>
        <a:p>
          <a:endParaRPr lang="en-US"/>
        </a:p>
      </dgm:t>
    </dgm:pt>
    <dgm:pt modelId="{BEF58EC3-F649-9648-8817-EA6BD6578020}" type="pres">
      <dgm:prSet presAssocID="{457FF0F7-2993-E347-BB2E-3A98EFEBC48D}" presName="childTextHidden" presStyleLbl="bgAccFollowNode1" presStyleIdx="1" presStyleCnt="5"/>
      <dgm:spPr/>
      <dgm:t>
        <a:bodyPr/>
        <a:lstStyle/>
        <a:p>
          <a:endParaRPr lang="en-US"/>
        </a:p>
      </dgm:t>
    </dgm:pt>
    <dgm:pt modelId="{1AC0EF48-AE78-C442-9B92-371C16786ABA}" type="pres">
      <dgm:prSet presAssocID="{457FF0F7-2993-E347-BB2E-3A98EFEBC48D}" presName="parentText" presStyleLbl="node1" presStyleIdx="1" presStyleCnt="5">
        <dgm:presLayoutVars>
          <dgm:chMax val="1"/>
          <dgm:bulletEnabled val="1"/>
        </dgm:presLayoutVars>
      </dgm:prSet>
      <dgm:spPr/>
      <dgm:t>
        <a:bodyPr/>
        <a:lstStyle/>
        <a:p>
          <a:endParaRPr lang="en-US"/>
        </a:p>
      </dgm:t>
    </dgm:pt>
    <dgm:pt modelId="{40E01352-D432-B349-86C4-2194E1E50E85}" type="pres">
      <dgm:prSet presAssocID="{457FF0F7-2993-E347-BB2E-3A98EFEBC48D}" presName="aSpace" presStyleCnt="0"/>
      <dgm:spPr/>
    </dgm:pt>
    <dgm:pt modelId="{12E3C3DB-E9B9-6849-9304-582CA43136AE}" type="pres">
      <dgm:prSet presAssocID="{FBAB299C-1252-8144-B6CD-B28C30425397}" presName="compNode" presStyleCnt="0"/>
      <dgm:spPr/>
    </dgm:pt>
    <dgm:pt modelId="{5E7984FF-94BC-7F46-B010-2DFD4B233A89}" type="pres">
      <dgm:prSet presAssocID="{FBAB299C-1252-8144-B6CD-B28C30425397}" presName="noGeometry" presStyleCnt="0"/>
      <dgm:spPr/>
    </dgm:pt>
    <dgm:pt modelId="{15A98001-2976-1F46-AAFC-4E7D52125816}" type="pres">
      <dgm:prSet presAssocID="{FBAB299C-1252-8144-B6CD-B28C30425397}" presName="childTextVisible" presStyleLbl="bgAccFollowNode1" presStyleIdx="2" presStyleCnt="5">
        <dgm:presLayoutVars>
          <dgm:bulletEnabled val="1"/>
        </dgm:presLayoutVars>
      </dgm:prSet>
      <dgm:spPr/>
      <dgm:t>
        <a:bodyPr/>
        <a:lstStyle/>
        <a:p>
          <a:endParaRPr lang="en-US"/>
        </a:p>
      </dgm:t>
    </dgm:pt>
    <dgm:pt modelId="{7436B9E2-7B01-D944-BD2C-45C6D21A204A}" type="pres">
      <dgm:prSet presAssocID="{FBAB299C-1252-8144-B6CD-B28C30425397}" presName="childTextHidden" presStyleLbl="bgAccFollowNode1" presStyleIdx="2" presStyleCnt="5"/>
      <dgm:spPr/>
      <dgm:t>
        <a:bodyPr/>
        <a:lstStyle/>
        <a:p>
          <a:endParaRPr lang="en-US"/>
        </a:p>
      </dgm:t>
    </dgm:pt>
    <dgm:pt modelId="{F2FE9673-D2DE-434D-90BF-A651EFCF0180}" type="pres">
      <dgm:prSet presAssocID="{FBAB299C-1252-8144-B6CD-B28C30425397}" presName="parentText" presStyleLbl="node1" presStyleIdx="2" presStyleCnt="5">
        <dgm:presLayoutVars>
          <dgm:chMax val="1"/>
          <dgm:bulletEnabled val="1"/>
        </dgm:presLayoutVars>
      </dgm:prSet>
      <dgm:spPr/>
      <dgm:t>
        <a:bodyPr/>
        <a:lstStyle/>
        <a:p>
          <a:endParaRPr lang="en-US"/>
        </a:p>
      </dgm:t>
    </dgm:pt>
    <dgm:pt modelId="{059E48FA-7647-4846-B803-E768B91D696E}" type="pres">
      <dgm:prSet presAssocID="{FBAB299C-1252-8144-B6CD-B28C30425397}" presName="aSpace" presStyleCnt="0"/>
      <dgm:spPr/>
    </dgm:pt>
    <dgm:pt modelId="{754601E3-6A86-D246-A946-BC43E951EF5C}" type="pres">
      <dgm:prSet presAssocID="{154C5E62-BEB9-F545-B87F-79E52DE6889D}" presName="compNode" presStyleCnt="0"/>
      <dgm:spPr/>
    </dgm:pt>
    <dgm:pt modelId="{07BAC0F0-C60C-304B-8FA9-45BB595C8619}" type="pres">
      <dgm:prSet presAssocID="{154C5E62-BEB9-F545-B87F-79E52DE6889D}" presName="noGeometry" presStyleCnt="0"/>
      <dgm:spPr/>
    </dgm:pt>
    <dgm:pt modelId="{6F4E936E-C9F8-694A-AFA3-507E89748A3E}" type="pres">
      <dgm:prSet presAssocID="{154C5E62-BEB9-F545-B87F-79E52DE6889D}" presName="childTextVisible" presStyleLbl="bgAccFollowNode1" presStyleIdx="3" presStyleCnt="5">
        <dgm:presLayoutVars>
          <dgm:bulletEnabled val="1"/>
        </dgm:presLayoutVars>
      </dgm:prSet>
      <dgm:spPr/>
      <dgm:t>
        <a:bodyPr/>
        <a:lstStyle/>
        <a:p>
          <a:endParaRPr lang="en-US"/>
        </a:p>
      </dgm:t>
    </dgm:pt>
    <dgm:pt modelId="{3AA4B5C0-57A6-C643-9B58-7476E4417F76}" type="pres">
      <dgm:prSet presAssocID="{154C5E62-BEB9-F545-B87F-79E52DE6889D}" presName="childTextHidden" presStyleLbl="bgAccFollowNode1" presStyleIdx="3" presStyleCnt="5"/>
      <dgm:spPr/>
      <dgm:t>
        <a:bodyPr/>
        <a:lstStyle/>
        <a:p>
          <a:endParaRPr lang="en-US"/>
        </a:p>
      </dgm:t>
    </dgm:pt>
    <dgm:pt modelId="{A4BBA848-A566-9D4B-80A9-B0E081471A05}" type="pres">
      <dgm:prSet presAssocID="{154C5E62-BEB9-F545-B87F-79E52DE6889D}" presName="parentText" presStyleLbl="node1" presStyleIdx="3" presStyleCnt="5">
        <dgm:presLayoutVars>
          <dgm:chMax val="1"/>
          <dgm:bulletEnabled val="1"/>
        </dgm:presLayoutVars>
      </dgm:prSet>
      <dgm:spPr/>
      <dgm:t>
        <a:bodyPr/>
        <a:lstStyle/>
        <a:p>
          <a:endParaRPr lang="en-US"/>
        </a:p>
      </dgm:t>
    </dgm:pt>
    <dgm:pt modelId="{F230A7AF-C7B4-A44B-91BA-40F29E67DCC4}" type="pres">
      <dgm:prSet presAssocID="{154C5E62-BEB9-F545-B87F-79E52DE6889D}" presName="aSpace" presStyleCnt="0"/>
      <dgm:spPr/>
    </dgm:pt>
    <dgm:pt modelId="{D6C4C133-655C-694D-88ED-5D4BBC5FA436}" type="pres">
      <dgm:prSet presAssocID="{178FA717-268C-3143-BB9C-AD621246A554}" presName="compNode" presStyleCnt="0"/>
      <dgm:spPr/>
    </dgm:pt>
    <dgm:pt modelId="{611450E2-495B-D449-A362-401D1B8DB7CB}" type="pres">
      <dgm:prSet presAssocID="{178FA717-268C-3143-BB9C-AD621246A554}" presName="noGeometry" presStyleCnt="0"/>
      <dgm:spPr/>
    </dgm:pt>
    <dgm:pt modelId="{27EF33B7-348E-E546-BA5E-E256610010E3}" type="pres">
      <dgm:prSet presAssocID="{178FA717-268C-3143-BB9C-AD621246A554}" presName="childTextVisible" presStyleLbl="bgAccFollowNode1" presStyleIdx="4" presStyleCnt="5">
        <dgm:presLayoutVars>
          <dgm:bulletEnabled val="1"/>
        </dgm:presLayoutVars>
      </dgm:prSet>
      <dgm:spPr/>
      <dgm:t>
        <a:bodyPr/>
        <a:lstStyle/>
        <a:p>
          <a:endParaRPr lang="en-US"/>
        </a:p>
      </dgm:t>
    </dgm:pt>
    <dgm:pt modelId="{393DE5D6-830A-DC4C-A0CF-C06C10224A8E}" type="pres">
      <dgm:prSet presAssocID="{178FA717-268C-3143-BB9C-AD621246A554}" presName="childTextHidden" presStyleLbl="bgAccFollowNode1" presStyleIdx="4" presStyleCnt="5"/>
      <dgm:spPr/>
      <dgm:t>
        <a:bodyPr/>
        <a:lstStyle/>
        <a:p>
          <a:endParaRPr lang="en-US"/>
        </a:p>
      </dgm:t>
    </dgm:pt>
    <dgm:pt modelId="{47C99714-E8C4-4A45-A9FF-1E3E6A63829B}" type="pres">
      <dgm:prSet presAssocID="{178FA717-268C-3143-BB9C-AD621246A554}" presName="parentText" presStyleLbl="node1" presStyleIdx="4" presStyleCnt="5">
        <dgm:presLayoutVars>
          <dgm:chMax val="1"/>
          <dgm:bulletEnabled val="1"/>
        </dgm:presLayoutVars>
      </dgm:prSet>
      <dgm:spPr/>
      <dgm:t>
        <a:bodyPr/>
        <a:lstStyle/>
        <a:p>
          <a:endParaRPr lang="en-US"/>
        </a:p>
      </dgm:t>
    </dgm:pt>
  </dgm:ptLst>
  <dgm:cxnLst>
    <dgm:cxn modelId="{9567A1A1-A8B4-DF42-8AEB-4A9618E855AD}" type="presOf" srcId="{295C8760-BCC2-0C47-AD64-5E8DACF2C31D}" destId="{9F2F80F6-BB05-C047-8CBE-A6D15235CF46}" srcOrd="0" destOrd="0" presId="urn:microsoft.com/office/officeart/2005/8/layout/hProcess6"/>
    <dgm:cxn modelId="{AC3F6001-F0B3-A548-B10D-0B2763D910D8}" srcId="{295C8760-BCC2-0C47-AD64-5E8DACF2C31D}" destId="{457FF0F7-2993-E347-BB2E-3A98EFEBC48D}" srcOrd="1" destOrd="0" parTransId="{9164A99C-9ABA-AB48-9D80-51C9C577F533}" sibTransId="{5E37131F-6174-EF45-BA9A-F5F55695915A}"/>
    <dgm:cxn modelId="{A241FAB9-B7DE-174A-A5EE-CE5996F8555A}" type="presOf" srcId="{FAD6B482-4998-A24C-A866-14E54956791A}" destId="{E5E712CD-292F-CC40-9911-0ECBE7F0F1D1}" srcOrd="0" destOrd="1" presId="urn:microsoft.com/office/officeart/2005/8/layout/hProcess6"/>
    <dgm:cxn modelId="{2EC63F81-A4C0-384A-A331-3B3344478009}" type="presOf" srcId="{A06176FE-9BAA-8744-B42A-97933E9899B2}" destId="{5970A39B-FC6F-3A45-8232-569B3965F598}" srcOrd="1" destOrd="0" presId="urn:microsoft.com/office/officeart/2005/8/layout/hProcess6"/>
    <dgm:cxn modelId="{9A9DF308-36EC-0042-ACC8-2BFB9F3B6964}" type="presOf" srcId="{A9C69C5F-7704-5A4F-8EF5-88942250C5DA}" destId="{15A98001-2976-1F46-AAFC-4E7D52125816}" srcOrd="0" destOrd="1" presId="urn:microsoft.com/office/officeart/2005/8/layout/hProcess6"/>
    <dgm:cxn modelId="{50189F0C-413B-0D42-A4F3-0F5BAD4B4E79}" srcId="{77A3BA42-8426-3D4F-91B1-4EA245983B90}" destId="{FAD6B482-4998-A24C-A866-14E54956791A}" srcOrd="1" destOrd="0" parTransId="{4970CAAA-03D0-D744-BA6A-0A9634EEB3DE}" sibTransId="{DCA52212-3C57-5340-A5C1-1E84F8AC3480}"/>
    <dgm:cxn modelId="{E67E94EA-2866-294F-A03F-5205D8CE035C}" type="presOf" srcId="{62F14ADF-9FDD-394C-B6AF-52DB461BA2FA}" destId="{6F4E936E-C9F8-694A-AFA3-507E89748A3E}" srcOrd="0" destOrd="0" presId="urn:microsoft.com/office/officeart/2005/8/layout/hProcess6"/>
    <dgm:cxn modelId="{533BDB91-BA31-8C47-9111-38303A4F4C6F}" srcId="{77A3BA42-8426-3D4F-91B1-4EA245983B90}" destId="{A06176FE-9BAA-8744-B42A-97933E9899B2}" srcOrd="0" destOrd="0" parTransId="{87676991-2DD5-C84F-A296-CE43357426EF}" sibTransId="{16A04C23-BD17-1649-A726-425B765FED5C}"/>
    <dgm:cxn modelId="{F089019C-4DE4-6744-8425-B90E42F25598}" srcId="{295C8760-BCC2-0C47-AD64-5E8DACF2C31D}" destId="{77A3BA42-8426-3D4F-91B1-4EA245983B90}" srcOrd="0" destOrd="0" parTransId="{4EAECBFB-B72E-9844-BC21-509C51EE15AE}" sibTransId="{C3294454-1DD5-AB46-A8B7-35940E516D68}"/>
    <dgm:cxn modelId="{863B5DC7-48B3-0F4C-9ACE-4B20648D41E1}" type="presOf" srcId="{457FF0F7-2993-E347-BB2E-3A98EFEBC48D}" destId="{1AC0EF48-AE78-C442-9B92-371C16786ABA}" srcOrd="0" destOrd="0" presId="urn:microsoft.com/office/officeart/2005/8/layout/hProcess6"/>
    <dgm:cxn modelId="{5CC9EE81-446C-E040-8D46-9EEB1B29F4FB}" type="presOf" srcId="{A06176FE-9BAA-8744-B42A-97933E9899B2}" destId="{E5E712CD-292F-CC40-9911-0ECBE7F0F1D1}" srcOrd="0" destOrd="0" presId="urn:microsoft.com/office/officeart/2005/8/layout/hProcess6"/>
    <dgm:cxn modelId="{878B2BEC-37D5-0E4C-BDAB-7CBABC72B359}" srcId="{457FF0F7-2993-E347-BB2E-3A98EFEBC48D}" destId="{507470C8-2238-C544-9361-576B20FDB394}" srcOrd="0" destOrd="0" parTransId="{C2C596E3-5602-9649-8151-3137531366A4}" sibTransId="{6CA4B8D8-C207-0D4F-BDD6-DBFB7CF3B3BF}"/>
    <dgm:cxn modelId="{F8D46E68-6109-D646-A629-49975A64DB6E}" srcId="{178FA717-268C-3143-BB9C-AD621246A554}" destId="{7DD8A6BD-B0CD-CD43-A6A7-4CA6C459EA32}" srcOrd="0" destOrd="0" parTransId="{1AD7E7B4-F20F-144C-AD1A-2F736F276BCD}" sibTransId="{0F0A31E7-81F4-D849-B3B1-E888AF1C6513}"/>
    <dgm:cxn modelId="{9B7E97CF-FD4B-DF41-96B8-9144CC1F910B}" type="presOf" srcId="{178FA717-268C-3143-BB9C-AD621246A554}" destId="{47C99714-E8C4-4A45-A9FF-1E3E6A63829B}" srcOrd="0" destOrd="0" presId="urn:microsoft.com/office/officeart/2005/8/layout/hProcess6"/>
    <dgm:cxn modelId="{6D097E38-46DD-FC42-8C42-066915032826}" srcId="{295C8760-BCC2-0C47-AD64-5E8DACF2C31D}" destId="{178FA717-268C-3143-BB9C-AD621246A554}" srcOrd="4" destOrd="0" parTransId="{DE8DEA3A-F1A6-E54D-8FAE-75B442860D4A}" sibTransId="{025AFDB1-3C77-3843-8259-2D2BFB88734F}"/>
    <dgm:cxn modelId="{2575184E-9280-B241-AC6E-B4752D7C7996}" type="presOf" srcId="{77A3BA42-8426-3D4F-91B1-4EA245983B90}" destId="{9966CB5F-AC70-274B-8767-01BD11DF8D97}" srcOrd="0" destOrd="0" presId="urn:microsoft.com/office/officeart/2005/8/layout/hProcess6"/>
    <dgm:cxn modelId="{222F5CF5-9301-494D-9825-2CB1B036155C}" type="presOf" srcId="{A6DC8331-824C-AC4C-88FF-513685C99A73}" destId="{393DE5D6-830A-DC4C-A0CF-C06C10224A8E}" srcOrd="1" destOrd="1" presId="urn:microsoft.com/office/officeart/2005/8/layout/hProcess6"/>
    <dgm:cxn modelId="{C0F05B65-6FCF-4848-9F9F-338ACC6352A0}" type="presOf" srcId="{FAD6B482-4998-A24C-A866-14E54956791A}" destId="{5970A39B-FC6F-3A45-8232-569B3965F598}" srcOrd="1" destOrd="1" presId="urn:microsoft.com/office/officeart/2005/8/layout/hProcess6"/>
    <dgm:cxn modelId="{076371D0-20FA-1641-A302-A9B180BDCE07}" type="presOf" srcId="{73C0A91D-3864-C342-989E-53A3598843B1}" destId="{15A98001-2976-1F46-AAFC-4E7D52125816}" srcOrd="0" destOrd="0" presId="urn:microsoft.com/office/officeart/2005/8/layout/hProcess6"/>
    <dgm:cxn modelId="{8A5257A7-B9E3-E54B-9924-60D9B4E9752A}" type="presOf" srcId="{A9C69C5F-7704-5A4F-8EF5-88942250C5DA}" destId="{7436B9E2-7B01-D944-BD2C-45C6D21A204A}" srcOrd="1" destOrd="1" presId="urn:microsoft.com/office/officeart/2005/8/layout/hProcess6"/>
    <dgm:cxn modelId="{021B226F-4B30-844D-A061-2F7722F2E91C}" srcId="{154C5E62-BEB9-F545-B87F-79E52DE6889D}" destId="{8011CC7F-C7FC-AD4D-BDC4-A29355F33011}" srcOrd="1" destOrd="0" parTransId="{B8D638A0-B381-D243-8A70-9FA8241D1151}" sibTransId="{90B5C892-A7CB-DA40-9450-825338D3C51D}"/>
    <dgm:cxn modelId="{1556BDB9-7A56-6249-866B-B2915FC73969}" srcId="{178FA717-268C-3143-BB9C-AD621246A554}" destId="{A6DC8331-824C-AC4C-88FF-513685C99A73}" srcOrd="1" destOrd="0" parTransId="{2302DB77-8D50-9D4B-8A25-B41EB52B183B}" sibTransId="{0C00FFF4-006A-EB4B-9AA0-AC32DFFE7896}"/>
    <dgm:cxn modelId="{148ADBE5-BFFC-A141-8B61-862BCF9D8D50}" type="presOf" srcId="{507470C8-2238-C544-9361-576B20FDB394}" destId="{4CF26383-567F-C841-B789-36B965288F7F}" srcOrd="0" destOrd="0" presId="urn:microsoft.com/office/officeart/2005/8/layout/hProcess6"/>
    <dgm:cxn modelId="{B9AB6B1E-1A32-A848-9463-180B2B9BD95F}" srcId="{295C8760-BCC2-0C47-AD64-5E8DACF2C31D}" destId="{154C5E62-BEB9-F545-B87F-79E52DE6889D}" srcOrd="3" destOrd="0" parTransId="{B85F99AB-1EC8-F94D-90D0-3754EAA763FE}" sibTransId="{4484A231-8A4C-BD46-8506-71A2AED15807}"/>
    <dgm:cxn modelId="{E8C9CB4B-5DF5-5242-9DCF-1CA67F276B72}" srcId="{FBAB299C-1252-8144-B6CD-B28C30425397}" destId="{A9C69C5F-7704-5A4F-8EF5-88942250C5DA}" srcOrd="1" destOrd="0" parTransId="{8266E5BF-1A01-0F47-8478-1B41BBAFB49A}" sibTransId="{10031B97-16FA-EE42-8871-C5B991BB8890}"/>
    <dgm:cxn modelId="{FACC4BE2-59EC-7749-887F-747116BE73CD}" type="presOf" srcId="{9B87C215-D7B7-A04B-869D-08C1811F124C}" destId="{BEF58EC3-F649-9648-8817-EA6BD6578020}" srcOrd="1" destOrd="1" presId="urn:microsoft.com/office/officeart/2005/8/layout/hProcess6"/>
    <dgm:cxn modelId="{25C18B63-44F5-AB43-98FC-CFC4E09035AE}" type="presOf" srcId="{A6DC8331-824C-AC4C-88FF-513685C99A73}" destId="{27EF33B7-348E-E546-BA5E-E256610010E3}" srcOrd="0" destOrd="1" presId="urn:microsoft.com/office/officeart/2005/8/layout/hProcess6"/>
    <dgm:cxn modelId="{482D90A7-A976-2140-B415-5EDBBA7E21F5}" srcId="{457FF0F7-2993-E347-BB2E-3A98EFEBC48D}" destId="{9B87C215-D7B7-A04B-869D-08C1811F124C}" srcOrd="1" destOrd="0" parTransId="{8914BEFE-AF53-DB48-B8BA-B2A7C179E72A}" sibTransId="{3C91384C-0B85-AE43-AD13-6C1B92826AE9}"/>
    <dgm:cxn modelId="{735884BC-E28E-4242-8F3B-8A01D5F7576C}" srcId="{295C8760-BCC2-0C47-AD64-5E8DACF2C31D}" destId="{FBAB299C-1252-8144-B6CD-B28C30425397}" srcOrd="2" destOrd="0" parTransId="{295C96BE-EC10-394F-855C-5469516CB34A}" sibTransId="{0C8BB0FA-E4D2-CB48-81AF-E9CA5FEF2661}"/>
    <dgm:cxn modelId="{65907FF3-110C-4C49-AAB5-9B5619FE02AF}" type="presOf" srcId="{9B87C215-D7B7-A04B-869D-08C1811F124C}" destId="{4CF26383-567F-C841-B789-36B965288F7F}" srcOrd="0" destOrd="1" presId="urn:microsoft.com/office/officeart/2005/8/layout/hProcess6"/>
    <dgm:cxn modelId="{E723A9FA-5396-0941-B931-99FB2E9FDA99}" type="presOf" srcId="{154C5E62-BEB9-F545-B87F-79E52DE6889D}" destId="{A4BBA848-A566-9D4B-80A9-B0E081471A05}" srcOrd="0" destOrd="0" presId="urn:microsoft.com/office/officeart/2005/8/layout/hProcess6"/>
    <dgm:cxn modelId="{F95D47FC-5677-434C-9BD1-0F41CC2DE8EE}" type="presOf" srcId="{507470C8-2238-C544-9361-576B20FDB394}" destId="{BEF58EC3-F649-9648-8817-EA6BD6578020}" srcOrd="1" destOrd="0" presId="urn:microsoft.com/office/officeart/2005/8/layout/hProcess6"/>
    <dgm:cxn modelId="{BD9BAB46-4621-1745-85DA-30526AC7E0D1}" type="presOf" srcId="{62F14ADF-9FDD-394C-B6AF-52DB461BA2FA}" destId="{3AA4B5C0-57A6-C643-9B58-7476E4417F76}" srcOrd="1" destOrd="0" presId="urn:microsoft.com/office/officeart/2005/8/layout/hProcess6"/>
    <dgm:cxn modelId="{D59912C5-6B0D-9844-8364-9FD1EC03CEDB}" type="presOf" srcId="{7DD8A6BD-B0CD-CD43-A6A7-4CA6C459EA32}" destId="{27EF33B7-348E-E546-BA5E-E256610010E3}" srcOrd="0" destOrd="0" presId="urn:microsoft.com/office/officeart/2005/8/layout/hProcess6"/>
    <dgm:cxn modelId="{F8532498-5AB6-2B46-959A-9BC0524ADD8A}" type="presOf" srcId="{7DD8A6BD-B0CD-CD43-A6A7-4CA6C459EA32}" destId="{393DE5D6-830A-DC4C-A0CF-C06C10224A8E}" srcOrd="1" destOrd="0" presId="urn:microsoft.com/office/officeart/2005/8/layout/hProcess6"/>
    <dgm:cxn modelId="{D1B2CF7D-865D-D04B-9478-E3C46821316D}" type="presOf" srcId="{8011CC7F-C7FC-AD4D-BDC4-A29355F33011}" destId="{3AA4B5C0-57A6-C643-9B58-7476E4417F76}" srcOrd="1" destOrd="1" presId="urn:microsoft.com/office/officeart/2005/8/layout/hProcess6"/>
    <dgm:cxn modelId="{311AE518-0286-AA44-938E-E9F6E041527C}" type="presOf" srcId="{8011CC7F-C7FC-AD4D-BDC4-A29355F33011}" destId="{6F4E936E-C9F8-694A-AFA3-507E89748A3E}" srcOrd="0" destOrd="1" presId="urn:microsoft.com/office/officeart/2005/8/layout/hProcess6"/>
    <dgm:cxn modelId="{D5627AC0-8CA5-8B49-AE18-B8002ECA12B4}" type="presOf" srcId="{FBAB299C-1252-8144-B6CD-B28C30425397}" destId="{F2FE9673-D2DE-434D-90BF-A651EFCF0180}" srcOrd="0" destOrd="0" presId="urn:microsoft.com/office/officeart/2005/8/layout/hProcess6"/>
    <dgm:cxn modelId="{5661BEC3-A53A-E845-80D2-6E59AF959C65}" srcId="{154C5E62-BEB9-F545-B87F-79E52DE6889D}" destId="{62F14ADF-9FDD-394C-B6AF-52DB461BA2FA}" srcOrd="0" destOrd="0" parTransId="{8FEBECDE-4AF0-8943-ADD6-4CB4041A4AF3}" sibTransId="{4894DA0A-006F-B54C-A718-A4DB92F358D9}"/>
    <dgm:cxn modelId="{D4715034-475A-C847-BCF7-6D7D21822C11}" type="presOf" srcId="{73C0A91D-3864-C342-989E-53A3598843B1}" destId="{7436B9E2-7B01-D944-BD2C-45C6D21A204A}" srcOrd="1" destOrd="0" presId="urn:microsoft.com/office/officeart/2005/8/layout/hProcess6"/>
    <dgm:cxn modelId="{EC35736F-C70A-9044-9872-EF5DA43ED84F}" srcId="{FBAB299C-1252-8144-B6CD-B28C30425397}" destId="{73C0A91D-3864-C342-989E-53A3598843B1}" srcOrd="0" destOrd="0" parTransId="{D2F8D931-E10A-0C45-9CCF-34D0299A5511}" sibTransId="{ABC00E9F-5874-3742-9ACE-CC8EE08E59AB}"/>
    <dgm:cxn modelId="{DC6EE365-3317-C246-9934-177294981E34}" type="presParOf" srcId="{9F2F80F6-BB05-C047-8CBE-A6D15235CF46}" destId="{C7D623E0-AEE5-FD45-BCCF-A90293FF871C}" srcOrd="0" destOrd="0" presId="urn:microsoft.com/office/officeart/2005/8/layout/hProcess6"/>
    <dgm:cxn modelId="{215F6DBA-7892-5147-A144-FAC1BC1F0FC3}" type="presParOf" srcId="{C7D623E0-AEE5-FD45-BCCF-A90293FF871C}" destId="{7CCDA0C1-DE6C-B545-9F96-EB84C4BE8964}" srcOrd="0" destOrd="0" presId="urn:microsoft.com/office/officeart/2005/8/layout/hProcess6"/>
    <dgm:cxn modelId="{33134451-9ABA-1444-8E0B-CADBA0C3AF39}" type="presParOf" srcId="{C7D623E0-AEE5-FD45-BCCF-A90293FF871C}" destId="{E5E712CD-292F-CC40-9911-0ECBE7F0F1D1}" srcOrd="1" destOrd="0" presId="urn:microsoft.com/office/officeart/2005/8/layout/hProcess6"/>
    <dgm:cxn modelId="{24F5EBF8-D63D-6047-A2F3-D171D2B285E6}" type="presParOf" srcId="{C7D623E0-AEE5-FD45-BCCF-A90293FF871C}" destId="{5970A39B-FC6F-3A45-8232-569B3965F598}" srcOrd="2" destOrd="0" presId="urn:microsoft.com/office/officeart/2005/8/layout/hProcess6"/>
    <dgm:cxn modelId="{9369D754-AC16-BE41-9DC3-A0FFD7EA40BB}" type="presParOf" srcId="{C7D623E0-AEE5-FD45-BCCF-A90293FF871C}" destId="{9966CB5F-AC70-274B-8767-01BD11DF8D97}" srcOrd="3" destOrd="0" presId="urn:microsoft.com/office/officeart/2005/8/layout/hProcess6"/>
    <dgm:cxn modelId="{B981E993-1291-3F44-A809-5329B5692846}" type="presParOf" srcId="{9F2F80F6-BB05-C047-8CBE-A6D15235CF46}" destId="{820FC838-EF6B-C54D-BBB7-04F3155E2C75}" srcOrd="1" destOrd="0" presId="urn:microsoft.com/office/officeart/2005/8/layout/hProcess6"/>
    <dgm:cxn modelId="{8F161FB3-F631-C349-B2E3-80E661B18795}" type="presParOf" srcId="{9F2F80F6-BB05-C047-8CBE-A6D15235CF46}" destId="{5286F589-EEF6-E543-8C5A-FEFA99AE1368}" srcOrd="2" destOrd="0" presId="urn:microsoft.com/office/officeart/2005/8/layout/hProcess6"/>
    <dgm:cxn modelId="{5FE76A15-CAD7-5543-8D3F-66D9880E43B3}" type="presParOf" srcId="{5286F589-EEF6-E543-8C5A-FEFA99AE1368}" destId="{8DB1A19A-2B76-6F4B-8B94-9DB565C85A4D}" srcOrd="0" destOrd="0" presId="urn:microsoft.com/office/officeart/2005/8/layout/hProcess6"/>
    <dgm:cxn modelId="{159E3D49-2033-8448-A563-9A76B7F4129C}" type="presParOf" srcId="{5286F589-EEF6-E543-8C5A-FEFA99AE1368}" destId="{4CF26383-567F-C841-B789-36B965288F7F}" srcOrd="1" destOrd="0" presId="urn:microsoft.com/office/officeart/2005/8/layout/hProcess6"/>
    <dgm:cxn modelId="{9EFCEC90-778E-7649-8CB3-52E37FDDEAF5}" type="presParOf" srcId="{5286F589-EEF6-E543-8C5A-FEFA99AE1368}" destId="{BEF58EC3-F649-9648-8817-EA6BD6578020}" srcOrd="2" destOrd="0" presId="urn:microsoft.com/office/officeart/2005/8/layout/hProcess6"/>
    <dgm:cxn modelId="{4E216607-A8EE-B046-ADEB-F0231430E51E}" type="presParOf" srcId="{5286F589-EEF6-E543-8C5A-FEFA99AE1368}" destId="{1AC0EF48-AE78-C442-9B92-371C16786ABA}" srcOrd="3" destOrd="0" presId="urn:microsoft.com/office/officeart/2005/8/layout/hProcess6"/>
    <dgm:cxn modelId="{37896AD2-3D53-A045-A9FA-18E75F21FC43}" type="presParOf" srcId="{9F2F80F6-BB05-C047-8CBE-A6D15235CF46}" destId="{40E01352-D432-B349-86C4-2194E1E50E85}" srcOrd="3" destOrd="0" presId="urn:microsoft.com/office/officeart/2005/8/layout/hProcess6"/>
    <dgm:cxn modelId="{A2AD94F3-B9AF-EB4C-8A40-1E3A44129727}" type="presParOf" srcId="{9F2F80F6-BB05-C047-8CBE-A6D15235CF46}" destId="{12E3C3DB-E9B9-6849-9304-582CA43136AE}" srcOrd="4" destOrd="0" presId="urn:microsoft.com/office/officeart/2005/8/layout/hProcess6"/>
    <dgm:cxn modelId="{E3044C4C-4C97-FD4B-A010-CBC09C684B6D}" type="presParOf" srcId="{12E3C3DB-E9B9-6849-9304-582CA43136AE}" destId="{5E7984FF-94BC-7F46-B010-2DFD4B233A89}" srcOrd="0" destOrd="0" presId="urn:microsoft.com/office/officeart/2005/8/layout/hProcess6"/>
    <dgm:cxn modelId="{490C3C6C-AD90-5949-9665-0CDEAAA71F70}" type="presParOf" srcId="{12E3C3DB-E9B9-6849-9304-582CA43136AE}" destId="{15A98001-2976-1F46-AAFC-4E7D52125816}" srcOrd="1" destOrd="0" presId="urn:microsoft.com/office/officeart/2005/8/layout/hProcess6"/>
    <dgm:cxn modelId="{230E0303-1281-CB41-BB1D-C0D7CA6DB86C}" type="presParOf" srcId="{12E3C3DB-E9B9-6849-9304-582CA43136AE}" destId="{7436B9E2-7B01-D944-BD2C-45C6D21A204A}" srcOrd="2" destOrd="0" presId="urn:microsoft.com/office/officeart/2005/8/layout/hProcess6"/>
    <dgm:cxn modelId="{66B0D731-D67E-054B-9AF8-57F81B0C1169}" type="presParOf" srcId="{12E3C3DB-E9B9-6849-9304-582CA43136AE}" destId="{F2FE9673-D2DE-434D-90BF-A651EFCF0180}" srcOrd="3" destOrd="0" presId="urn:microsoft.com/office/officeart/2005/8/layout/hProcess6"/>
    <dgm:cxn modelId="{BA0560A3-2F00-234B-A2B6-84CD2D432834}" type="presParOf" srcId="{9F2F80F6-BB05-C047-8CBE-A6D15235CF46}" destId="{059E48FA-7647-4846-B803-E768B91D696E}" srcOrd="5" destOrd="0" presId="urn:microsoft.com/office/officeart/2005/8/layout/hProcess6"/>
    <dgm:cxn modelId="{5B30D997-D265-1F4B-91F0-D8ED72F12E43}" type="presParOf" srcId="{9F2F80F6-BB05-C047-8CBE-A6D15235CF46}" destId="{754601E3-6A86-D246-A946-BC43E951EF5C}" srcOrd="6" destOrd="0" presId="urn:microsoft.com/office/officeart/2005/8/layout/hProcess6"/>
    <dgm:cxn modelId="{DDC547F4-65ED-574C-BACC-CDD67D63DC08}" type="presParOf" srcId="{754601E3-6A86-D246-A946-BC43E951EF5C}" destId="{07BAC0F0-C60C-304B-8FA9-45BB595C8619}" srcOrd="0" destOrd="0" presId="urn:microsoft.com/office/officeart/2005/8/layout/hProcess6"/>
    <dgm:cxn modelId="{86A60750-FD01-7C4A-9D77-101A3C3CE0B9}" type="presParOf" srcId="{754601E3-6A86-D246-A946-BC43E951EF5C}" destId="{6F4E936E-C9F8-694A-AFA3-507E89748A3E}" srcOrd="1" destOrd="0" presId="urn:microsoft.com/office/officeart/2005/8/layout/hProcess6"/>
    <dgm:cxn modelId="{7EB488F0-8C35-2E4D-8372-D96080AC80BF}" type="presParOf" srcId="{754601E3-6A86-D246-A946-BC43E951EF5C}" destId="{3AA4B5C0-57A6-C643-9B58-7476E4417F76}" srcOrd="2" destOrd="0" presId="urn:microsoft.com/office/officeart/2005/8/layout/hProcess6"/>
    <dgm:cxn modelId="{0548C698-4877-D245-9109-CDE11B5E9E63}" type="presParOf" srcId="{754601E3-6A86-D246-A946-BC43E951EF5C}" destId="{A4BBA848-A566-9D4B-80A9-B0E081471A05}" srcOrd="3" destOrd="0" presId="urn:microsoft.com/office/officeart/2005/8/layout/hProcess6"/>
    <dgm:cxn modelId="{D2240D02-43EA-B34D-BD9C-434DBF9B2143}" type="presParOf" srcId="{9F2F80F6-BB05-C047-8CBE-A6D15235CF46}" destId="{F230A7AF-C7B4-A44B-91BA-40F29E67DCC4}" srcOrd="7" destOrd="0" presId="urn:microsoft.com/office/officeart/2005/8/layout/hProcess6"/>
    <dgm:cxn modelId="{962BBD58-42B2-2746-B82C-CA552A54B20C}" type="presParOf" srcId="{9F2F80F6-BB05-C047-8CBE-A6D15235CF46}" destId="{D6C4C133-655C-694D-88ED-5D4BBC5FA436}" srcOrd="8" destOrd="0" presId="urn:microsoft.com/office/officeart/2005/8/layout/hProcess6"/>
    <dgm:cxn modelId="{BEEC2858-C5C5-A243-9073-9BB29FF1E2A5}" type="presParOf" srcId="{D6C4C133-655C-694D-88ED-5D4BBC5FA436}" destId="{611450E2-495B-D449-A362-401D1B8DB7CB}" srcOrd="0" destOrd="0" presId="urn:microsoft.com/office/officeart/2005/8/layout/hProcess6"/>
    <dgm:cxn modelId="{DC5AC014-DEA5-3740-B638-6E3E17D81181}" type="presParOf" srcId="{D6C4C133-655C-694D-88ED-5D4BBC5FA436}" destId="{27EF33B7-348E-E546-BA5E-E256610010E3}" srcOrd="1" destOrd="0" presId="urn:microsoft.com/office/officeart/2005/8/layout/hProcess6"/>
    <dgm:cxn modelId="{484C037D-C7E3-D844-9489-07A1D2377B93}" type="presParOf" srcId="{D6C4C133-655C-694D-88ED-5D4BBC5FA436}" destId="{393DE5D6-830A-DC4C-A0CF-C06C10224A8E}" srcOrd="2" destOrd="0" presId="urn:microsoft.com/office/officeart/2005/8/layout/hProcess6"/>
    <dgm:cxn modelId="{EE0174AC-2D3B-3A42-96C4-2B2A458EF012}" type="presParOf" srcId="{D6C4C133-655C-694D-88ED-5D4BBC5FA436}" destId="{47C99714-E8C4-4A45-A9FF-1E3E6A63829B}" srcOrd="3" destOrd="0" presId="urn:microsoft.com/office/officeart/2005/8/layout/hProcess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B921CF-976B-1248-A10F-D009CDFB38F5}" type="doc">
      <dgm:prSet loTypeId="urn:microsoft.com/office/officeart/2005/8/layout/hChevron3" loCatId="" qsTypeId="urn:microsoft.com/office/officeart/2005/8/quickstyle/simple4" qsCatId="simple" csTypeId="urn:microsoft.com/office/officeart/2005/8/colors/colorful3" csCatId="colorful" phldr="1"/>
      <dgm:spPr/>
    </dgm:pt>
    <dgm:pt modelId="{E93F834E-9B01-834E-BA5A-9AC0A73E2AD1}">
      <dgm:prSet phldrT="[Text]"/>
      <dgm:spPr>
        <a:xfrm>
          <a:off x="427" y="0"/>
          <a:ext cx="2284835" cy="198755"/>
        </a:xfrm>
        <a:prstGeom prst="homePlat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LIFT</a:t>
          </a:r>
        </a:p>
      </dgm:t>
    </dgm:pt>
    <dgm:pt modelId="{8F37C151-E27F-F843-9D14-926C0FAC375C}" type="parTrans" cxnId="{BD655F00-A1C8-3646-80F0-E42D4B80B006}">
      <dgm:prSet/>
      <dgm:spPr/>
      <dgm:t>
        <a:bodyPr/>
        <a:lstStyle/>
        <a:p>
          <a:endParaRPr lang="en-US">
            <a:latin typeface="Arial" panose="020B0604020202020204" pitchFamily="34" charset="0"/>
            <a:cs typeface="Arial" panose="020B0604020202020204" pitchFamily="34" charset="0"/>
          </a:endParaRPr>
        </a:p>
      </dgm:t>
    </dgm:pt>
    <dgm:pt modelId="{118D90B3-B1FD-654A-8082-6B7B21A021E6}" type="sibTrans" cxnId="{BD655F00-A1C8-3646-80F0-E42D4B80B006}">
      <dgm:prSet/>
      <dgm:spPr/>
      <dgm:t>
        <a:bodyPr/>
        <a:lstStyle/>
        <a:p>
          <a:endParaRPr lang="en-US">
            <a:latin typeface="Arial" panose="020B0604020202020204" pitchFamily="34" charset="0"/>
            <a:cs typeface="Arial" panose="020B0604020202020204" pitchFamily="34" charset="0"/>
          </a:endParaRPr>
        </a:p>
      </dgm:t>
    </dgm:pt>
    <dgm:pt modelId="{2C6100B2-8A80-0B43-9DFF-57236E8768B4}">
      <dgm:prSet phldrT="[Text]"/>
      <dgm:spPr>
        <a:xfrm>
          <a:off x="1828295" y="0"/>
          <a:ext cx="2735953" cy="198755"/>
        </a:xfrm>
        <a:prstGeom prst="chevron">
          <a:avLst/>
        </a:prstGeom>
        <a:solidFill>
          <a:srgbClr val="5482AB"/>
        </a:solidFill>
        <a:ln>
          <a:noFill/>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LIFT/REACH</a:t>
          </a:r>
        </a:p>
      </dgm:t>
    </dgm:pt>
    <dgm:pt modelId="{7EFA995F-BF74-FE4E-9CC6-6F2D53934A9B}" type="parTrans" cxnId="{C49B28CB-4473-7547-849C-383FFCB4EECF}">
      <dgm:prSet/>
      <dgm:spPr/>
      <dgm:t>
        <a:bodyPr/>
        <a:lstStyle/>
        <a:p>
          <a:endParaRPr lang="en-US">
            <a:latin typeface="Arial" panose="020B0604020202020204" pitchFamily="34" charset="0"/>
            <a:cs typeface="Arial" panose="020B0604020202020204" pitchFamily="34" charset="0"/>
          </a:endParaRPr>
        </a:p>
      </dgm:t>
    </dgm:pt>
    <dgm:pt modelId="{D66ADE4D-E302-1847-94D8-E7F5A7F92190}" type="sibTrans" cxnId="{C49B28CB-4473-7547-849C-383FFCB4EECF}">
      <dgm:prSet/>
      <dgm:spPr/>
      <dgm:t>
        <a:bodyPr/>
        <a:lstStyle/>
        <a:p>
          <a:endParaRPr lang="en-US">
            <a:latin typeface="Arial" panose="020B0604020202020204" pitchFamily="34" charset="0"/>
            <a:cs typeface="Arial" panose="020B0604020202020204" pitchFamily="34" charset="0"/>
          </a:endParaRPr>
        </a:p>
      </dgm:t>
    </dgm:pt>
    <dgm:pt modelId="{F287FB64-BB73-3B4C-81BF-C2E908EF8988}">
      <dgm:prSet phldrT="[Text]"/>
      <dgm:spPr>
        <a:xfrm>
          <a:off x="4107282" y="0"/>
          <a:ext cx="2284835" cy="198755"/>
        </a:xfrm>
        <a:prstGeom prst="chevron">
          <a:avLst/>
        </a:prstGeom>
        <a:solidFill>
          <a:srgbClr val="003478"/>
        </a:solidFill>
        <a:ln>
          <a:noFill/>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REACH</a:t>
          </a:r>
        </a:p>
      </dgm:t>
    </dgm:pt>
    <dgm:pt modelId="{5444FA35-B6A0-E54C-B68B-B6D33FEE5A0B}" type="parTrans" cxnId="{AC943E46-9C22-7049-BE85-615AF89ED8C2}">
      <dgm:prSet/>
      <dgm:spPr/>
      <dgm:t>
        <a:bodyPr/>
        <a:lstStyle/>
        <a:p>
          <a:endParaRPr lang="en-US">
            <a:latin typeface="Arial" panose="020B0604020202020204" pitchFamily="34" charset="0"/>
            <a:cs typeface="Arial" panose="020B0604020202020204" pitchFamily="34" charset="0"/>
          </a:endParaRPr>
        </a:p>
      </dgm:t>
    </dgm:pt>
    <dgm:pt modelId="{72A79AE3-EFA0-A943-8263-DAB9FBF1F2B3}" type="sibTrans" cxnId="{AC943E46-9C22-7049-BE85-615AF89ED8C2}">
      <dgm:prSet/>
      <dgm:spPr/>
      <dgm:t>
        <a:bodyPr/>
        <a:lstStyle/>
        <a:p>
          <a:endParaRPr lang="en-US">
            <a:latin typeface="Arial" panose="020B0604020202020204" pitchFamily="34" charset="0"/>
            <a:cs typeface="Arial" panose="020B0604020202020204" pitchFamily="34" charset="0"/>
          </a:endParaRPr>
        </a:p>
      </dgm:t>
    </dgm:pt>
    <dgm:pt modelId="{CC81BF0E-0272-F34A-BC1B-D37B71012C4C}" type="pres">
      <dgm:prSet presAssocID="{7EB921CF-976B-1248-A10F-D009CDFB38F5}" presName="Name0" presStyleCnt="0">
        <dgm:presLayoutVars>
          <dgm:dir/>
          <dgm:resizeHandles val="exact"/>
        </dgm:presLayoutVars>
      </dgm:prSet>
      <dgm:spPr/>
    </dgm:pt>
    <dgm:pt modelId="{4340F2AA-C34B-604E-8381-4682852CF19F}" type="pres">
      <dgm:prSet presAssocID="{E93F834E-9B01-834E-BA5A-9AC0A73E2AD1}" presName="parTxOnly" presStyleLbl="node1" presStyleIdx="0" presStyleCnt="3">
        <dgm:presLayoutVars>
          <dgm:bulletEnabled val="1"/>
        </dgm:presLayoutVars>
      </dgm:prSet>
      <dgm:spPr/>
      <dgm:t>
        <a:bodyPr/>
        <a:lstStyle/>
        <a:p>
          <a:endParaRPr lang="en-US"/>
        </a:p>
      </dgm:t>
    </dgm:pt>
    <dgm:pt modelId="{E22FA9A4-3ED5-8841-B378-AB8B893FA7C4}" type="pres">
      <dgm:prSet presAssocID="{118D90B3-B1FD-654A-8082-6B7B21A021E6}" presName="parSpace" presStyleCnt="0"/>
      <dgm:spPr/>
    </dgm:pt>
    <dgm:pt modelId="{447A9489-4826-2C49-904B-74A568BC8F8B}" type="pres">
      <dgm:prSet presAssocID="{2C6100B2-8A80-0B43-9DFF-57236E8768B4}" presName="parTxOnly" presStyleLbl="node1" presStyleIdx="1" presStyleCnt="3" custScaleX="119744">
        <dgm:presLayoutVars>
          <dgm:bulletEnabled val="1"/>
        </dgm:presLayoutVars>
      </dgm:prSet>
      <dgm:spPr/>
      <dgm:t>
        <a:bodyPr/>
        <a:lstStyle/>
        <a:p>
          <a:endParaRPr lang="en-US"/>
        </a:p>
      </dgm:t>
    </dgm:pt>
    <dgm:pt modelId="{DC1F3CD1-F0ED-3A44-8910-BDF7AA016895}" type="pres">
      <dgm:prSet presAssocID="{D66ADE4D-E302-1847-94D8-E7F5A7F92190}" presName="parSpace" presStyleCnt="0"/>
      <dgm:spPr/>
    </dgm:pt>
    <dgm:pt modelId="{F400C3E9-5883-3442-AC49-67B6577E82D6}" type="pres">
      <dgm:prSet presAssocID="{F287FB64-BB73-3B4C-81BF-C2E908EF8988}" presName="parTxOnly" presStyleLbl="node1" presStyleIdx="2" presStyleCnt="3">
        <dgm:presLayoutVars>
          <dgm:bulletEnabled val="1"/>
        </dgm:presLayoutVars>
      </dgm:prSet>
      <dgm:spPr/>
      <dgm:t>
        <a:bodyPr/>
        <a:lstStyle/>
        <a:p>
          <a:endParaRPr lang="en-US"/>
        </a:p>
      </dgm:t>
    </dgm:pt>
  </dgm:ptLst>
  <dgm:cxnLst>
    <dgm:cxn modelId="{BD655F00-A1C8-3646-80F0-E42D4B80B006}" srcId="{7EB921CF-976B-1248-A10F-D009CDFB38F5}" destId="{E93F834E-9B01-834E-BA5A-9AC0A73E2AD1}" srcOrd="0" destOrd="0" parTransId="{8F37C151-E27F-F843-9D14-926C0FAC375C}" sibTransId="{118D90B3-B1FD-654A-8082-6B7B21A021E6}"/>
    <dgm:cxn modelId="{64D3E66F-5D79-D04F-9E34-7E17A3F83D87}" type="presOf" srcId="{7EB921CF-976B-1248-A10F-D009CDFB38F5}" destId="{CC81BF0E-0272-F34A-BC1B-D37B71012C4C}" srcOrd="0" destOrd="0" presId="urn:microsoft.com/office/officeart/2005/8/layout/hChevron3"/>
    <dgm:cxn modelId="{F2C64D71-3400-3A48-BD1E-3A264057A5D5}" type="presOf" srcId="{2C6100B2-8A80-0B43-9DFF-57236E8768B4}" destId="{447A9489-4826-2C49-904B-74A568BC8F8B}" srcOrd="0" destOrd="0" presId="urn:microsoft.com/office/officeart/2005/8/layout/hChevron3"/>
    <dgm:cxn modelId="{04E761B3-2763-0E4A-B104-99A5B1170A53}" type="presOf" srcId="{F287FB64-BB73-3B4C-81BF-C2E908EF8988}" destId="{F400C3E9-5883-3442-AC49-67B6577E82D6}" srcOrd="0" destOrd="0" presId="urn:microsoft.com/office/officeart/2005/8/layout/hChevron3"/>
    <dgm:cxn modelId="{A0041E07-C4B6-744E-815D-7D108079F94B}" type="presOf" srcId="{E93F834E-9B01-834E-BA5A-9AC0A73E2AD1}" destId="{4340F2AA-C34B-604E-8381-4682852CF19F}" srcOrd="0" destOrd="0" presId="urn:microsoft.com/office/officeart/2005/8/layout/hChevron3"/>
    <dgm:cxn modelId="{C49B28CB-4473-7547-849C-383FFCB4EECF}" srcId="{7EB921CF-976B-1248-A10F-D009CDFB38F5}" destId="{2C6100B2-8A80-0B43-9DFF-57236E8768B4}" srcOrd="1" destOrd="0" parTransId="{7EFA995F-BF74-FE4E-9CC6-6F2D53934A9B}" sibTransId="{D66ADE4D-E302-1847-94D8-E7F5A7F92190}"/>
    <dgm:cxn modelId="{AC943E46-9C22-7049-BE85-615AF89ED8C2}" srcId="{7EB921CF-976B-1248-A10F-D009CDFB38F5}" destId="{F287FB64-BB73-3B4C-81BF-C2E908EF8988}" srcOrd="2" destOrd="0" parTransId="{5444FA35-B6A0-E54C-B68B-B6D33FEE5A0B}" sibTransId="{72A79AE3-EFA0-A943-8263-DAB9FBF1F2B3}"/>
    <dgm:cxn modelId="{0048B95B-D975-8C44-8ADB-50C1E0FD469C}" type="presParOf" srcId="{CC81BF0E-0272-F34A-BC1B-D37B71012C4C}" destId="{4340F2AA-C34B-604E-8381-4682852CF19F}" srcOrd="0" destOrd="0" presId="urn:microsoft.com/office/officeart/2005/8/layout/hChevron3"/>
    <dgm:cxn modelId="{EB9C69A1-DE7E-A742-88F8-EC757605A101}" type="presParOf" srcId="{CC81BF0E-0272-F34A-BC1B-D37B71012C4C}" destId="{E22FA9A4-3ED5-8841-B378-AB8B893FA7C4}" srcOrd="1" destOrd="0" presId="urn:microsoft.com/office/officeart/2005/8/layout/hChevron3"/>
    <dgm:cxn modelId="{1827196E-9E22-EE4B-8D5F-6B3DBF041BB0}" type="presParOf" srcId="{CC81BF0E-0272-F34A-BC1B-D37B71012C4C}" destId="{447A9489-4826-2C49-904B-74A568BC8F8B}" srcOrd="2" destOrd="0" presId="urn:microsoft.com/office/officeart/2005/8/layout/hChevron3"/>
    <dgm:cxn modelId="{C744CD83-B2A7-7E49-94F7-520F9E15F479}" type="presParOf" srcId="{CC81BF0E-0272-F34A-BC1B-D37B71012C4C}" destId="{DC1F3CD1-F0ED-3A44-8910-BDF7AA016895}" srcOrd="3" destOrd="0" presId="urn:microsoft.com/office/officeart/2005/8/layout/hChevron3"/>
    <dgm:cxn modelId="{BBA0F438-5089-C144-B079-A82FB6C745BC}" type="presParOf" srcId="{CC81BF0E-0272-F34A-BC1B-D37B71012C4C}" destId="{F400C3E9-5883-3442-AC49-67B6577E82D6}" srcOrd="4" destOrd="0" presId="urn:microsoft.com/office/officeart/2005/8/layout/hChevron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95C8760-BCC2-0C47-AD64-5E8DACF2C31D}" type="doc">
      <dgm:prSet loTypeId="urn:microsoft.com/office/officeart/2005/8/layout/hProcess6" loCatId="" qsTypeId="urn:microsoft.com/office/officeart/2005/8/quickstyle/simple4" qsCatId="simple" csTypeId="urn:microsoft.com/office/officeart/2005/8/colors/colorful3" csCatId="colorful" phldr="1"/>
      <dgm:spPr/>
      <dgm:t>
        <a:bodyPr/>
        <a:lstStyle/>
        <a:p>
          <a:endParaRPr lang="en-US"/>
        </a:p>
      </dgm:t>
    </dgm:pt>
    <dgm:pt modelId="{77A3BA42-8426-3D4F-91B1-4EA245983B90}">
      <dgm:prSet phldrT="[Text]"/>
      <dgm:spPr>
        <a:xfrm>
          <a:off x="1583" y="432023"/>
          <a:ext cx="427542" cy="427542"/>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Improved Production</a:t>
          </a:r>
        </a:p>
      </dgm:t>
    </dgm:pt>
    <dgm:pt modelId="{4EAECBFB-B72E-9844-BC21-509C51EE15AE}" type="parTrans" cxnId="{F089019C-4DE4-6744-8425-B90E42F25598}">
      <dgm:prSet/>
      <dgm:spPr/>
      <dgm:t>
        <a:bodyPr/>
        <a:lstStyle/>
        <a:p>
          <a:endParaRPr lang="en-US">
            <a:latin typeface="Arial" panose="020B0604020202020204" pitchFamily="34" charset="0"/>
            <a:cs typeface="Arial" panose="020B0604020202020204" pitchFamily="34" charset="0"/>
          </a:endParaRPr>
        </a:p>
      </dgm:t>
    </dgm:pt>
    <dgm:pt modelId="{C3294454-1DD5-AB46-A8B7-35940E516D68}" type="sibTrans" cxnId="{F089019C-4DE4-6744-8425-B90E42F25598}">
      <dgm:prSet/>
      <dgm:spPr/>
      <dgm:t>
        <a:bodyPr/>
        <a:lstStyle/>
        <a:p>
          <a:endParaRPr lang="en-US">
            <a:latin typeface="Arial" panose="020B0604020202020204" pitchFamily="34" charset="0"/>
            <a:cs typeface="Arial" panose="020B0604020202020204" pitchFamily="34" charset="0"/>
          </a:endParaRPr>
        </a:p>
      </dgm:t>
    </dgm:pt>
    <dgm:pt modelId="{A06176FE-9BAA-8744-B42A-97933E9899B2}">
      <dgm:prSet phldrT="[Text]"/>
      <dgm:spPr>
        <a:xfrm>
          <a:off x="215354" y="272068"/>
          <a:ext cx="855085" cy="747452"/>
        </a:xfrm>
        <a:prstGeom prst="rightArrow">
          <a:avLst>
            <a:gd name="adj1" fmla="val 70000"/>
            <a:gd name="adj2" fmla="val 50000"/>
          </a:avLst>
        </a:prstGeom>
        <a:solidFill>
          <a:srgbClr val="A5A5A5">
            <a:tint val="40000"/>
            <a:alpha val="90000"/>
            <a:hueOff val="0"/>
            <a:satOff val="0"/>
            <a:lumOff val="0"/>
            <a:alphaOff val="0"/>
          </a:srgbClr>
        </a:solidFill>
        <a:ln w="6350" cap="flat" cmpd="sng" algn="ctr">
          <a:noFill/>
          <a:prstDash val="solid"/>
          <a:miter lim="800000"/>
        </a:ln>
        <a:effectLst/>
      </dgm:spPr>
      <dgm:t>
        <a:bodyPr/>
        <a:lstStyle/>
        <a:p>
          <a:pPr>
            <a:buChar char="•"/>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GAP training</a:t>
          </a:r>
        </a:p>
      </dgm:t>
    </dgm:pt>
    <dgm:pt modelId="{87676991-2DD5-C84F-A296-CE43357426EF}" type="parTrans" cxnId="{533BDB91-BA31-8C47-9111-38303A4F4C6F}">
      <dgm:prSet/>
      <dgm:spPr/>
      <dgm:t>
        <a:bodyPr/>
        <a:lstStyle/>
        <a:p>
          <a:endParaRPr lang="en-US">
            <a:latin typeface="Arial" panose="020B0604020202020204" pitchFamily="34" charset="0"/>
            <a:cs typeface="Arial" panose="020B0604020202020204" pitchFamily="34" charset="0"/>
          </a:endParaRPr>
        </a:p>
      </dgm:t>
    </dgm:pt>
    <dgm:pt modelId="{16A04C23-BD17-1649-A726-425B765FED5C}" type="sibTrans" cxnId="{533BDB91-BA31-8C47-9111-38303A4F4C6F}">
      <dgm:prSet/>
      <dgm:spPr/>
      <dgm:t>
        <a:bodyPr/>
        <a:lstStyle/>
        <a:p>
          <a:endParaRPr lang="en-US">
            <a:latin typeface="Arial" panose="020B0604020202020204" pitchFamily="34" charset="0"/>
            <a:cs typeface="Arial" panose="020B0604020202020204" pitchFamily="34" charset="0"/>
          </a:endParaRPr>
        </a:p>
      </dgm:t>
    </dgm:pt>
    <dgm:pt modelId="{FAD6B482-4998-A24C-A866-14E54956791A}">
      <dgm:prSet phldrT="[Text]"/>
      <dgm:spPr>
        <a:xfrm>
          <a:off x="215354" y="272068"/>
          <a:ext cx="855085" cy="747452"/>
        </a:xfrm>
        <a:prstGeom prst="rightArrow">
          <a:avLst>
            <a:gd name="adj1" fmla="val 70000"/>
            <a:gd name="adj2" fmla="val 50000"/>
          </a:avLst>
        </a:prstGeom>
        <a:solidFill>
          <a:srgbClr val="A5A5A5">
            <a:tint val="40000"/>
            <a:alpha val="90000"/>
            <a:hueOff val="0"/>
            <a:satOff val="0"/>
            <a:lumOff val="0"/>
            <a:alphaOff val="0"/>
          </a:srgbClr>
        </a:solidFill>
        <a:ln w="6350" cap="flat" cmpd="sng" algn="ctr">
          <a:noFill/>
          <a:prstDash val="solid"/>
          <a:miter lim="800000"/>
        </a:ln>
        <a:effectLst/>
      </dgm:spPr>
      <dgm:t>
        <a:bodyPr/>
        <a:lstStyle/>
        <a:p>
          <a:pPr>
            <a:buChar char="•"/>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 sites</a:t>
          </a:r>
        </a:p>
      </dgm:t>
    </dgm:pt>
    <dgm:pt modelId="{4970CAAA-03D0-D744-BA6A-0A9634EEB3DE}" type="parTrans" cxnId="{50189F0C-413B-0D42-A4F3-0F5BAD4B4E79}">
      <dgm:prSet/>
      <dgm:spPr/>
      <dgm:t>
        <a:bodyPr/>
        <a:lstStyle/>
        <a:p>
          <a:endParaRPr lang="en-US">
            <a:latin typeface="Arial" panose="020B0604020202020204" pitchFamily="34" charset="0"/>
            <a:cs typeface="Arial" panose="020B0604020202020204" pitchFamily="34" charset="0"/>
          </a:endParaRPr>
        </a:p>
      </dgm:t>
    </dgm:pt>
    <dgm:pt modelId="{DCA52212-3C57-5340-A5C1-1E84F8AC3480}" type="sibTrans" cxnId="{50189F0C-413B-0D42-A4F3-0F5BAD4B4E79}">
      <dgm:prSet/>
      <dgm:spPr/>
      <dgm:t>
        <a:bodyPr/>
        <a:lstStyle/>
        <a:p>
          <a:endParaRPr lang="en-US">
            <a:latin typeface="Arial" panose="020B0604020202020204" pitchFamily="34" charset="0"/>
            <a:cs typeface="Arial" panose="020B0604020202020204" pitchFamily="34" charset="0"/>
          </a:endParaRPr>
        </a:p>
      </dgm:t>
    </dgm:pt>
    <dgm:pt modelId="{457FF0F7-2993-E347-BB2E-3A98EFEBC48D}">
      <dgm:prSet phldrT="[Text]"/>
      <dgm:spPr>
        <a:xfrm>
          <a:off x="2246183" y="432023"/>
          <a:ext cx="427542" cy="427542"/>
        </a:xfrm>
        <a:prstGeom prst="ellipse">
          <a:avLst/>
        </a:prstGeom>
        <a:solidFill>
          <a:srgbClr val="B9CCDD"/>
        </a:solidFill>
        <a:ln>
          <a:noFill/>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VC coord &amp; marketing</a:t>
          </a:r>
        </a:p>
      </dgm:t>
    </dgm:pt>
    <dgm:pt modelId="{9164A99C-9ABA-AB48-9D80-51C9C577F533}" type="parTrans" cxnId="{AC3F6001-F0B3-A548-B10D-0B2763D910D8}">
      <dgm:prSet/>
      <dgm:spPr/>
      <dgm:t>
        <a:bodyPr/>
        <a:lstStyle/>
        <a:p>
          <a:endParaRPr lang="en-US">
            <a:latin typeface="Arial" panose="020B0604020202020204" pitchFamily="34" charset="0"/>
            <a:cs typeface="Arial" panose="020B0604020202020204" pitchFamily="34" charset="0"/>
          </a:endParaRPr>
        </a:p>
      </dgm:t>
    </dgm:pt>
    <dgm:pt modelId="{5E37131F-6174-EF45-BA9A-F5F55695915A}" type="sibTrans" cxnId="{AC3F6001-F0B3-A548-B10D-0B2763D910D8}">
      <dgm:prSet/>
      <dgm:spPr/>
      <dgm:t>
        <a:bodyPr/>
        <a:lstStyle/>
        <a:p>
          <a:endParaRPr lang="en-US">
            <a:latin typeface="Arial" panose="020B0604020202020204" pitchFamily="34" charset="0"/>
            <a:cs typeface="Arial" panose="020B0604020202020204" pitchFamily="34" charset="0"/>
          </a:endParaRPr>
        </a:p>
      </dgm:t>
    </dgm:pt>
    <dgm:pt modelId="{507470C8-2238-C544-9361-576B20FDB394}">
      <dgm:prSet phldrT="[Text]"/>
      <dgm:spPr>
        <a:xfrm>
          <a:off x="2459954" y="272068"/>
          <a:ext cx="855085" cy="747452"/>
        </a:xfrm>
        <a:prstGeom prst="rightArrow">
          <a:avLst>
            <a:gd name="adj1" fmla="val 70000"/>
            <a:gd name="adj2" fmla="val 50000"/>
          </a:avLst>
        </a:prstGeom>
        <a:solidFill>
          <a:srgbClr val="E3EAF1">
            <a:alpha val="90000"/>
          </a:srgbClr>
        </a:solidFill>
        <a:ln w="6350" cap="flat" cmpd="sng" algn="ctr">
          <a:noFill/>
          <a:prstDash val="solid"/>
          <a:miter lim="800000"/>
        </a:ln>
        <a:effectLst/>
      </dgm:spPr>
      <dgm:t>
        <a:bodyPr/>
        <a:lstStyle/>
        <a:p>
          <a:pPr>
            <a:buChar char="•"/>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Form marketing consortium</a:t>
          </a:r>
        </a:p>
      </dgm:t>
    </dgm:pt>
    <dgm:pt modelId="{C2C596E3-5602-9649-8151-3137531366A4}" type="parTrans" cxnId="{878B2BEC-37D5-0E4C-BDAB-7CBABC72B359}">
      <dgm:prSet/>
      <dgm:spPr/>
      <dgm:t>
        <a:bodyPr/>
        <a:lstStyle/>
        <a:p>
          <a:endParaRPr lang="en-US">
            <a:latin typeface="Arial" panose="020B0604020202020204" pitchFamily="34" charset="0"/>
            <a:cs typeface="Arial" panose="020B0604020202020204" pitchFamily="34" charset="0"/>
          </a:endParaRPr>
        </a:p>
      </dgm:t>
    </dgm:pt>
    <dgm:pt modelId="{6CA4B8D8-C207-0D4F-BDD6-DBFB7CF3B3BF}" type="sibTrans" cxnId="{878B2BEC-37D5-0E4C-BDAB-7CBABC72B359}">
      <dgm:prSet/>
      <dgm:spPr/>
      <dgm:t>
        <a:bodyPr/>
        <a:lstStyle/>
        <a:p>
          <a:endParaRPr lang="en-US">
            <a:latin typeface="Arial" panose="020B0604020202020204" pitchFamily="34" charset="0"/>
            <a:cs typeface="Arial" panose="020B0604020202020204" pitchFamily="34" charset="0"/>
          </a:endParaRPr>
        </a:p>
      </dgm:t>
    </dgm:pt>
    <dgm:pt modelId="{FBAB299C-1252-8144-B6CD-B28C30425397}">
      <dgm:prSet phldrT="[Text]"/>
      <dgm:spPr>
        <a:xfrm>
          <a:off x="3368483" y="432023"/>
          <a:ext cx="427542" cy="427542"/>
        </a:xfrm>
        <a:prstGeom prst="ellipse">
          <a:avLst/>
        </a:prstGeom>
        <a:solidFill>
          <a:srgbClr val="5482AB"/>
        </a:solidFill>
        <a:ln>
          <a:noFill/>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Cold Storage &amp; Quality Assurance</a:t>
          </a:r>
        </a:p>
      </dgm:t>
    </dgm:pt>
    <dgm:pt modelId="{295C96BE-EC10-394F-855C-5469516CB34A}" type="parTrans" cxnId="{735884BC-E28E-4242-8F3B-8A01D5F7576C}">
      <dgm:prSet/>
      <dgm:spPr/>
      <dgm:t>
        <a:bodyPr/>
        <a:lstStyle/>
        <a:p>
          <a:endParaRPr lang="en-US">
            <a:latin typeface="Arial" panose="020B0604020202020204" pitchFamily="34" charset="0"/>
            <a:cs typeface="Arial" panose="020B0604020202020204" pitchFamily="34" charset="0"/>
          </a:endParaRPr>
        </a:p>
      </dgm:t>
    </dgm:pt>
    <dgm:pt modelId="{0C8BB0FA-E4D2-CB48-81AF-E9CA5FEF2661}" type="sibTrans" cxnId="{735884BC-E28E-4242-8F3B-8A01D5F7576C}">
      <dgm:prSet/>
      <dgm:spPr/>
      <dgm:t>
        <a:bodyPr/>
        <a:lstStyle/>
        <a:p>
          <a:endParaRPr lang="en-US">
            <a:latin typeface="Arial" panose="020B0604020202020204" pitchFamily="34" charset="0"/>
            <a:cs typeface="Arial" panose="020B0604020202020204" pitchFamily="34" charset="0"/>
          </a:endParaRPr>
        </a:p>
      </dgm:t>
    </dgm:pt>
    <dgm:pt modelId="{73C0A91D-3864-C342-989E-53A3598843B1}">
      <dgm:prSet phldrT="[Text]"/>
      <dgm:spPr>
        <a:xfrm>
          <a:off x="3582254" y="272068"/>
          <a:ext cx="855085" cy="747452"/>
        </a:xfrm>
        <a:prstGeom prst="rightArrow">
          <a:avLst>
            <a:gd name="adj1" fmla="val 70000"/>
            <a:gd name="adj2" fmla="val 50000"/>
          </a:avLst>
        </a:prstGeom>
        <a:solidFill>
          <a:srgbClr val="B9CCDD">
            <a:alpha val="90000"/>
          </a:srgbClr>
        </a:solidFill>
        <a:ln w="6350" cap="flat" cmpd="sng" algn="ctr">
          <a:noFill/>
          <a:prstDash val="solid"/>
          <a:miter lim="800000"/>
        </a:ln>
        <a:effectLst/>
      </dgm:spPr>
      <dgm:t>
        <a:bodyPr/>
        <a:lstStyle/>
        <a:p>
          <a:pPr>
            <a:buChar char="•"/>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Rent grading &amp; cold store facility</a:t>
          </a:r>
        </a:p>
      </dgm:t>
    </dgm:pt>
    <dgm:pt modelId="{D2F8D931-E10A-0C45-9CCF-34D0299A5511}" type="parTrans" cxnId="{EC35736F-C70A-9044-9872-EF5DA43ED84F}">
      <dgm:prSet/>
      <dgm:spPr/>
      <dgm:t>
        <a:bodyPr/>
        <a:lstStyle/>
        <a:p>
          <a:endParaRPr lang="en-US">
            <a:latin typeface="Arial" panose="020B0604020202020204" pitchFamily="34" charset="0"/>
            <a:cs typeface="Arial" panose="020B0604020202020204" pitchFamily="34" charset="0"/>
          </a:endParaRPr>
        </a:p>
      </dgm:t>
    </dgm:pt>
    <dgm:pt modelId="{ABC00E9F-5874-3742-9ACE-CC8EE08E59AB}" type="sibTrans" cxnId="{EC35736F-C70A-9044-9872-EF5DA43ED84F}">
      <dgm:prSet/>
      <dgm:spPr/>
      <dgm:t>
        <a:bodyPr/>
        <a:lstStyle/>
        <a:p>
          <a:endParaRPr lang="en-US">
            <a:latin typeface="Arial" panose="020B0604020202020204" pitchFamily="34" charset="0"/>
            <a:cs typeface="Arial" panose="020B0604020202020204" pitchFamily="34" charset="0"/>
          </a:endParaRPr>
        </a:p>
      </dgm:t>
    </dgm:pt>
    <dgm:pt modelId="{178FA717-268C-3143-BB9C-AD621246A554}">
      <dgm:prSet phldrT="[Text]"/>
      <dgm:spPr>
        <a:xfrm>
          <a:off x="5613083" y="432023"/>
          <a:ext cx="427542" cy="427542"/>
        </a:xfrm>
        <a:prstGeom prst="ellipse">
          <a:avLst/>
        </a:prstGeom>
        <a:solidFill>
          <a:srgbClr val="001F48"/>
        </a:solidFill>
        <a:ln>
          <a:noFill/>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Higher Value Market Segment</a:t>
          </a:r>
        </a:p>
      </dgm:t>
    </dgm:pt>
    <dgm:pt modelId="{DE8DEA3A-F1A6-E54D-8FAE-75B442860D4A}" type="parTrans" cxnId="{6D097E38-46DD-FC42-8C42-066915032826}">
      <dgm:prSet/>
      <dgm:spPr/>
      <dgm:t>
        <a:bodyPr/>
        <a:lstStyle/>
        <a:p>
          <a:endParaRPr lang="en-US">
            <a:latin typeface="Arial" panose="020B0604020202020204" pitchFamily="34" charset="0"/>
            <a:cs typeface="Arial" panose="020B0604020202020204" pitchFamily="34" charset="0"/>
          </a:endParaRPr>
        </a:p>
      </dgm:t>
    </dgm:pt>
    <dgm:pt modelId="{025AFDB1-3C77-3843-8259-2D2BFB88734F}" type="sibTrans" cxnId="{6D097E38-46DD-FC42-8C42-066915032826}">
      <dgm:prSet/>
      <dgm:spPr/>
      <dgm:t>
        <a:bodyPr/>
        <a:lstStyle/>
        <a:p>
          <a:endParaRPr lang="en-US">
            <a:latin typeface="Arial" panose="020B0604020202020204" pitchFamily="34" charset="0"/>
            <a:cs typeface="Arial" panose="020B0604020202020204" pitchFamily="34" charset="0"/>
          </a:endParaRPr>
        </a:p>
      </dgm:t>
    </dgm:pt>
    <dgm:pt modelId="{7DD8A6BD-B0CD-CD43-A6A7-4CA6C459EA32}">
      <dgm:prSet phldrT="[Text]"/>
      <dgm:spPr>
        <a:xfrm>
          <a:off x="5774934" y="272068"/>
          <a:ext cx="958927" cy="747452"/>
        </a:xfrm>
        <a:prstGeom prst="rightArrow">
          <a:avLst>
            <a:gd name="adj1" fmla="val 70000"/>
            <a:gd name="adj2" fmla="val 50000"/>
          </a:avLst>
        </a:prstGeom>
        <a:solidFill>
          <a:srgbClr val="003478">
            <a:alpha val="90000"/>
          </a:srgbClr>
        </a:solidFill>
        <a:ln w="6350" cap="flat" cmpd="sng" algn="ctr">
          <a:noFill/>
          <a:prstDash val="solid"/>
          <a:miter lim="800000"/>
        </a:ln>
        <a:effectLst/>
      </dgm:spPr>
      <dgm:t>
        <a:bodyPr/>
        <a:lstStyle/>
        <a:p>
          <a:pPr>
            <a:buChar char="•"/>
          </a:pPr>
          <a:r>
            <a:rPr lang="en-US">
              <a:solidFill>
                <a:schemeClr val="bg1"/>
              </a:solidFill>
              <a:latin typeface="Arial" panose="020B0604020202020204" pitchFamily="34" charset="0"/>
              <a:ea typeface="+mn-ea"/>
              <a:cs typeface="Arial" panose="020B0604020202020204" pitchFamily="34" charset="0"/>
            </a:rPr>
            <a:t>Premium purchase price</a:t>
          </a:r>
        </a:p>
      </dgm:t>
    </dgm:pt>
    <dgm:pt modelId="{1AD7E7B4-F20F-144C-AD1A-2F736F276BCD}" type="parTrans" cxnId="{F8D46E68-6109-D646-A629-49975A64DB6E}">
      <dgm:prSet/>
      <dgm:spPr/>
      <dgm:t>
        <a:bodyPr/>
        <a:lstStyle/>
        <a:p>
          <a:endParaRPr lang="en-US">
            <a:latin typeface="Arial" panose="020B0604020202020204" pitchFamily="34" charset="0"/>
            <a:cs typeface="Arial" panose="020B0604020202020204" pitchFamily="34" charset="0"/>
          </a:endParaRPr>
        </a:p>
      </dgm:t>
    </dgm:pt>
    <dgm:pt modelId="{0F0A31E7-81F4-D849-B3B1-E888AF1C6513}" type="sibTrans" cxnId="{F8D46E68-6109-D646-A629-49975A64DB6E}">
      <dgm:prSet/>
      <dgm:spPr/>
      <dgm:t>
        <a:bodyPr/>
        <a:lstStyle/>
        <a:p>
          <a:endParaRPr lang="en-US">
            <a:latin typeface="Arial" panose="020B0604020202020204" pitchFamily="34" charset="0"/>
            <a:cs typeface="Arial" panose="020B0604020202020204" pitchFamily="34" charset="0"/>
          </a:endParaRPr>
        </a:p>
      </dgm:t>
    </dgm:pt>
    <dgm:pt modelId="{DFA4022F-91D9-1A47-BD5A-31CAC8D7E8C5}">
      <dgm:prSet phldrT="[Text]"/>
      <dgm:spPr>
        <a:xfrm>
          <a:off x="4490783" y="432023"/>
          <a:ext cx="427542" cy="427542"/>
        </a:xfrm>
        <a:prstGeom prst="ellipse">
          <a:avLst/>
        </a:prstGeom>
        <a:solidFill>
          <a:srgbClr val="003478"/>
        </a:solidFill>
        <a:ln>
          <a:noFill/>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New Market Segment</a:t>
          </a:r>
        </a:p>
      </dgm:t>
    </dgm:pt>
    <dgm:pt modelId="{EA69B9C7-8562-034E-AC1B-66D170494686}" type="parTrans" cxnId="{58D78813-9E07-4149-9836-A29A7616197D}">
      <dgm:prSet/>
      <dgm:spPr/>
      <dgm:t>
        <a:bodyPr/>
        <a:lstStyle/>
        <a:p>
          <a:endParaRPr lang="en-US">
            <a:latin typeface="Arial" panose="020B0604020202020204" pitchFamily="34" charset="0"/>
            <a:cs typeface="Arial" panose="020B0604020202020204" pitchFamily="34" charset="0"/>
          </a:endParaRPr>
        </a:p>
      </dgm:t>
    </dgm:pt>
    <dgm:pt modelId="{B378374F-5B18-1A49-B7B8-B230AD975481}" type="sibTrans" cxnId="{58D78813-9E07-4149-9836-A29A7616197D}">
      <dgm:prSet/>
      <dgm:spPr/>
      <dgm:t>
        <a:bodyPr/>
        <a:lstStyle/>
        <a:p>
          <a:endParaRPr lang="en-US">
            <a:latin typeface="Arial" panose="020B0604020202020204" pitchFamily="34" charset="0"/>
            <a:cs typeface="Arial" panose="020B0604020202020204" pitchFamily="34" charset="0"/>
          </a:endParaRPr>
        </a:p>
      </dgm:t>
    </dgm:pt>
    <dgm:pt modelId="{241771F6-5074-9043-9E2F-056715F91E65}">
      <dgm:prSet phldrT="[Text]"/>
      <dgm:spPr>
        <a:xfrm>
          <a:off x="4704555" y="272068"/>
          <a:ext cx="855085" cy="747452"/>
        </a:xfrm>
        <a:prstGeom prst="rightArrow">
          <a:avLst>
            <a:gd name="adj1" fmla="val 70000"/>
            <a:gd name="adj2" fmla="val 50000"/>
          </a:avLst>
        </a:prstGeom>
        <a:solidFill>
          <a:srgbClr val="5482AB">
            <a:alpha val="90000"/>
          </a:srgbClr>
        </a:solidFill>
        <a:ln w="6350" cap="flat" cmpd="sng" algn="ctr">
          <a:noFill/>
          <a:prstDash val="solid"/>
          <a:miter lim="800000"/>
        </a:ln>
        <a:effectLst/>
      </dgm:spPr>
      <dgm:t>
        <a:bodyPr/>
        <a:lstStyle/>
        <a:p>
          <a:pPr>
            <a:buChar char="•"/>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Processing low-grade grapes &amp; marketing for new products (e,g, sumac)</a:t>
          </a:r>
        </a:p>
      </dgm:t>
    </dgm:pt>
    <dgm:pt modelId="{6F2FCE94-E295-2C4E-B228-50BDC61088F0}" type="parTrans" cxnId="{F8F3A517-38D3-CA4B-841D-8F083D810B5C}">
      <dgm:prSet/>
      <dgm:spPr/>
      <dgm:t>
        <a:bodyPr/>
        <a:lstStyle/>
        <a:p>
          <a:endParaRPr lang="en-US">
            <a:latin typeface="Arial" panose="020B0604020202020204" pitchFamily="34" charset="0"/>
            <a:cs typeface="Arial" panose="020B0604020202020204" pitchFamily="34" charset="0"/>
          </a:endParaRPr>
        </a:p>
      </dgm:t>
    </dgm:pt>
    <dgm:pt modelId="{6F83F4B5-D179-9441-95E6-E5602532157C}" type="sibTrans" cxnId="{F8F3A517-38D3-CA4B-841D-8F083D810B5C}">
      <dgm:prSet/>
      <dgm:spPr/>
      <dgm:t>
        <a:bodyPr/>
        <a:lstStyle/>
        <a:p>
          <a:endParaRPr lang="en-US">
            <a:latin typeface="Arial" panose="020B0604020202020204" pitchFamily="34" charset="0"/>
            <a:cs typeface="Arial" panose="020B0604020202020204" pitchFamily="34" charset="0"/>
          </a:endParaRPr>
        </a:p>
      </dgm:t>
    </dgm:pt>
    <dgm:pt modelId="{B4EA7474-FDBE-A14A-9529-0F80606A99C1}">
      <dgm:prSet phldrT="[Text]"/>
      <dgm:spPr>
        <a:xfrm>
          <a:off x="2459954" y="272068"/>
          <a:ext cx="855085" cy="747452"/>
        </a:xfrm>
        <a:prstGeom prst="rightArrow">
          <a:avLst>
            <a:gd name="adj1" fmla="val 70000"/>
            <a:gd name="adj2" fmla="val 50000"/>
          </a:avLst>
        </a:prstGeom>
        <a:solidFill>
          <a:srgbClr val="E3EAF1">
            <a:alpha val="90000"/>
          </a:srgbClr>
        </a:solidFill>
        <a:ln w="6350" cap="flat" cmpd="sng" algn="ctr">
          <a:noFill/>
          <a:prstDash val="solid"/>
          <a:miter lim="800000"/>
        </a:ln>
        <a:effectLst/>
      </dgm:spPr>
      <dgm:t>
        <a:bodyPr/>
        <a:lstStyle/>
        <a:p>
          <a:pPr>
            <a:buChar char="•"/>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Branded packaging for local grapes</a:t>
          </a:r>
        </a:p>
      </dgm:t>
    </dgm:pt>
    <dgm:pt modelId="{5C648146-B6B3-0D45-B1B5-DA007B64FA80}" type="parTrans" cxnId="{D39331CB-0932-7546-9656-D4E2F0119ACB}">
      <dgm:prSet/>
      <dgm:spPr/>
      <dgm:t>
        <a:bodyPr/>
        <a:lstStyle/>
        <a:p>
          <a:endParaRPr lang="en-US">
            <a:latin typeface="Arial" panose="020B0604020202020204" pitchFamily="34" charset="0"/>
            <a:cs typeface="Arial" panose="020B0604020202020204" pitchFamily="34" charset="0"/>
          </a:endParaRPr>
        </a:p>
      </dgm:t>
    </dgm:pt>
    <dgm:pt modelId="{41FF6849-D53F-3845-A61F-755A713E6A85}" type="sibTrans" cxnId="{D39331CB-0932-7546-9656-D4E2F0119ACB}">
      <dgm:prSet/>
      <dgm:spPr/>
      <dgm:t>
        <a:bodyPr/>
        <a:lstStyle/>
        <a:p>
          <a:endParaRPr lang="en-US">
            <a:latin typeface="Arial" panose="020B0604020202020204" pitchFamily="34" charset="0"/>
            <a:cs typeface="Arial" panose="020B0604020202020204" pitchFamily="34" charset="0"/>
          </a:endParaRPr>
        </a:p>
      </dgm:t>
    </dgm:pt>
    <dgm:pt modelId="{6E359FA0-4563-2549-A77C-F78D9284E9EE}">
      <dgm:prSet phldrT="[Text]"/>
      <dgm:spPr>
        <a:xfrm>
          <a:off x="5774934" y="272068"/>
          <a:ext cx="958927" cy="747452"/>
        </a:xfrm>
        <a:prstGeom prst="rightArrow">
          <a:avLst>
            <a:gd name="adj1" fmla="val 70000"/>
            <a:gd name="adj2" fmla="val 50000"/>
          </a:avLst>
        </a:prstGeom>
        <a:solidFill>
          <a:srgbClr val="003478">
            <a:alpha val="90000"/>
          </a:srgbClr>
        </a:solidFill>
        <a:ln w="6350" cap="flat" cmpd="sng" algn="ctr">
          <a:noFill/>
          <a:prstDash val="solid"/>
          <a:miter lim="800000"/>
        </a:ln>
        <a:effectLst/>
      </dgm:spPr>
      <dgm:t>
        <a:bodyPr/>
        <a:lstStyle/>
        <a:p>
          <a:pPr>
            <a:buChar char="•"/>
          </a:pPr>
          <a:r>
            <a:rPr lang="en-US">
              <a:solidFill>
                <a:schemeClr val="bg1"/>
              </a:solidFill>
              <a:latin typeface="Arial" panose="020B0604020202020204" pitchFamily="34" charset="0"/>
              <a:ea typeface="+mn-ea"/>
              <a:cs typeface="Arial" panose="020B0604020202020204" pitchFamily="34" charset="0"/>
            </a:rPr>
            <a:t>Strong potential returns for stored grapes/sumac</a:t>
          </a:r>
        </a:p>
      </dgm:t>
    </dgm:pt>
    <dgm:pt modelId="{96F2025B-C9C2-BF43-868F-78856898E673}" type="parTrans" cxnId="{1DC8271B-3457-974F-B69D-5803C2D7B68F}">
      <dgm:prSet/>
      <dgm:spPr/>
      <dgm:t>
        <a:bodyPr/>
        <a:lstStyle/>
        <a:p>
          <a:endParaRPr lang="en-US">
            <a:latin typeface="Arial" panose="020B0604020202020204" pitchFamily="34" charset="0"/>
            <a:cs typeface="Arial" panose="020B0604020202020204" pitchFamily="34" charset="0"/>
          </a:endParaRPr>
        </a:p>
      </dgm:t>
    </dgm:pt>
    <dgm:pt modelId="{D779E92A-A3CE-C34A-BD3F-EBE02F0217C0}" type="sibTrans" cxnId="{1DC8271B-3457-974F-B69D-5803C2D7B68F}">
      <dgm:prSet/>
      <dgm:spPr/>
      <dgm:t>
        <a:bodyPr/>
        <a:lstStyle/>
        <a:p>
          <a:endParaRPr lang="en-US">
            <a:latin typeface="Arial" panose="020B0604020202020204" pitchFamily="34" charset="0"/>
            <a:cs typeface="Arial" panose="020B0604020202020204" pitchFamily="34" charset="0"/>
          </a:endParaRPr>
        </a:p>
      </dgm:t>
    </dgm:pt>
    <dgm:pt modelId="{654B84BE-2FA0-554F-B69F-38D6D9648EDE}">
      <dgm:prSet phldrT="[Text]"/>
      <dgm:spPr>
        <a:xfrm>
          <a:off x="3582254" y="272068"/>
          <a:ext cx="855085" cy="747452"/>
        </a:xfrm>
        <a:prstGeom prst="rightArrow">
          <a:avLst>
            <a:gd name="adj1" fmla="val 70000"/>
            <a:gd name="adj2" fmla="val 50000"/>
          </a:avLst>
        </a:prstGeom>
        <a:solidFill>
          <a:srgbClr val="B9CCDD">
            <a:alpha val="90000"/>
          </a:srgbClr>
        </a:solidFill>
        <a:ln w="6350" cap="flat" cmpd="sng" algn="ctr">
          <a:noFill/>
          <a:prstDash val="solid"/>
          <a:miter lim="800000"/>
        </a:ln>
        <a:effectLst/>
      </dgm:spPr>
      <dgm:t>
        <a:bodyPr/>
        <a:lstStyle/>
        <a:p>
          <a:pPr>
            <a:buChar char="•"/>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 bespoke packing house</a:t>
          </a:r>
        </a:p>
      </dgm:t>
    </dgm:pt>
    <dgm:pt modelId="{5C6021DB-8C17-374B-9BD3-FDD94F1D8B3C}" type="parTrans" cxnId="{4DD16EBF-A753-D84A-90D7-5D5698F5013D}">
      <dgm:prSet/>
      <dgm:spPr/>
      <dgm:t>
        <a:bodyPr/>
        <a:lstStyle/>
        <a:p>
          <a:endParaRPr lang="en-US">
            <a:latin typeface="Arial" panose="020B0604020202020204" pitchFamily="34" charset="0"/>
            <a:cs typeface="Arial" panose="020B0604020202020204" pitchFamily="34" charset="0"/>
          </a:endParaRPr>
        </a:p>
      </dgm:t>
    </dgm:pt>
    <dgm:pt modelId="{090E0F15-3D1B-4C49-BDAC-6F160181E6ED}" type="sibTrans" cxnId="{4DD16EBF-A753-D84A-90D7-5D5698F5013D}">
      <dgm:prSet/>
      <dgm:spPr/>
      <dgm:t>
        <a:bodyPr/>
        <a:lstStyle/>
        <a:p>
          <a:endParaRPr lang="en-US">
            <a:latin typeface="Arial" panose="020B0604020202020204" pitchFamily="34" charset="0"/>
            <a:cs typeface="Arial" panose="020B0604020202020204" pitchFamily="34" charset="0"/>
          </a:endParaRPr>
        </a:p>
      </dgm:t>
    </dgm:pt>
    <dgm:pt modelId="{44311DA4-6BE7-8543-893B-D5534755E093}">
      <dgm:prSet phldrT="[Text]"/>
      <dgm:spPr>
        <a:xfrm>
          <a:off x="215354" y="272068"/>
          <a:ext cx="855085" cy="747452"/>
        </a:xfrm>
        <a:prstGeom prst="rightArrow">
          <a:avLst>
            <a:gd name="adj1" fmla="val 70000"/>
            <a:gd name="adj2" fmla="val 50000"/>
          </a:avLst>
        </a:prstGeom>
        <a:solidFill>
          <a:srgbClr val="A5A5A5">
            <a:tint val="40000"/>
            <a:alpha val="90000"/>
            <a:hueOff val="0"/>
            <a:satOff val="0"/>
            <a:lumOff val="0"/>
            <a:alphaOff val="0"/>
          </a:srgbClr>
        </a:solidFill>
        <a:ln w="6350" cap="flat" cmpd="sng" algn="ctr">
          <a:noFill/>
          <a:prstDash val="solid"/>
          <a:miter lim="800000"/>
        </a:ln>
        <a:effectLst/>
      </dgm:spPr>
      <dgm:t>
        <a:bodyPr/>
        <a:lstStyle/>
        <a:p>
          <a:pPr>
            <a:buChar char="•"/>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feeder roads and irrigation</a:t>
          </a:r>
        </a:p>
      </dgm:t>
    </dgm:pt>
    <dgm:pt modelId="{514213F0-9102-834D-A287-78A76B1E2F55}" type="parTrans" cxnId="{341331B5-D6EF-D348-854B-73F6AD2ED68C}">
      <dgm:prSet/>
      <dgm:spPr/>
      <dgm:t>
        <a:bodyPr/>
        <a:lstStyle/>
        <a:p>
          <a:endParaRPr lang="en-US">
            <a:latin typeface="Arial" panose="020B0604020202020204" pitchFamily="34" charset="0"/>
            <a:cs typeface="Arial" panose="020B0604020202020204" pitchFamily="34" charset="0"/>
          </a:endParaRPr>
        </a:p>
      </dgm:t>
    </dgm:pt>
    <dgm:pt modelId="{156C1DE1-77F8-384F-B3A1-746EAE624DF0}" type="sibTrans" cxnId="{341331B5-D6EF-D348-854B-73F6AD2ED68C}">
      <dgm:prSet/>
      <dgm:spPr/>
      <dgm:t>
        <a:bodyPr/>
        <a:lstStyle/>
        <a:p>
          <a:endParaRPr lang="en-US">
            <a:latin typeface="Arial" panose="020B0604020202020204" pitchFamily="34" charset="0"/>
            <a:cs typeface="Arial" panose="020B0604020202020204" pitchFamily="34" charset="0"/>
          </a:endParaRPr>
        </a:p>
      </dgm:t>
    </dgm:pt>
    <dgm:pt modelId="{D97B4EB1-3F62-8E43-8DCD-1818E5F3214A}">
      <dgm:prSet phldrT="[Text]"/>
      <dgm:spPr>
        <a:xfrm>
          <a:off x="1123883" y="432023"/>
          <a:ext cx="427542" cy="427542"/>
        </a:xfrm>
        <a:prstGeom prst="ellipse">
          <a:avLst/>
        </a:prstGeom>
        <a:solidFill>
          <a:srgbClr val="E3EAF1"/>
        </a:solidFill>
        <a:ln>
          <a:noFill/>
        </a:ln>
        <a:effectLst/>
      </dgm:spPr>
      <dgm:t>
        <a:bodyPr/>
        <a:lstStyle/>
        <a:p>
          <a:pPr>
            <a:buNone/>
          </a:pPr>
          <a:r>
            <a:rPr lang="en-US">
              <a:solidFill>
                <a:sysClr val="windowText" lastClr="000000"/>
              </a:solidFill>
              <a:latin typeface="Arial" panose="020B0604020202020204" pitchFamily="34" charset="0"/>
              <a:ea typeface="+mn-ea"/>
              <a:cs typeface="Arial" panose="020B0604020202020204" pitchFamily="34" charset="0"/>
            </a:rPr>
            <a:t>Capacity for value adding</a:t>
          </a:r>
        </a:p>
      </dgm:t>
    </dgm:pt>
    <dgm:pt modelId="{B575AB79-9BC1-AF41-A76B-910CD9D5CFD4}" type="parTrans" cxnId="{BE7CF8E0-A720-0C40-8B8D-044974738B04}">
      <dgm:prSet/>
      <dgm:spPr/>
      <dgm:t>
        <a:bodyPr/>
        <a:lstStyle/>
        <a:p>
          <a:endParaRPr lang="en-US">
            <a:latin typeface="Arial" panose="020B0604020202020204" pitchFamily="34" charset="0"/>
            <a:cs typeface="Arial" panose="020B0604020202020204" pitchFamily="34" charset="0"/>
          </a:endParaRPr>
        </a:p>
      </dgm:t>
    </dgm:pt>
    <dgm:pt modelId="{AE8B0DE7-6081-1D41-9DAB-75E5602C05B7}" type="sibTrans" cxnId="{BE7CF8E0-A720-0C40-8B8D-044974738B04}">
      <dgm:prSet/>
      <dgm:spPr/>
      <dgm:t>
        <a:bodyPr/>
        <a:lstStyle/>
        <a:p>
          <a:endParaRPr lang="en-US">
            <a:latin typeface="Arial" panose="020B0604020202020204" pitchFamily="34" charset="0"/>
            <a:cs typeface="Arial" panose="020B0604020202020204" pitchFamily="34" charset="0"/>
          </a:endParaRPr>
        </a:p>
      </dgm:t>
    </dgm:pt>
    <dgm:pt modelId="{5F8908B3-FFF8-674B-9525-7DC2BE43B72D}">
      <dgm:prSet phldrT="[Text]"/>
      <dgm:spPr>
        <a:xfrm>
          <a:off x="1337654" y="272068"/>
          <a:ext cx="855085" cy="747452"/>
        </a:xfrm>
        <a:prstGeom prst="rightArrow">
          <a:avLst>
            <a:gd name="adj1" fmla="val 70000"/>
            <a:gd name="adj2" fmla="val 50000"/>
          </a:avLst>
        </a:prstGeom>
        <a:solidFill>
          <a:srgbClr val="EFF3F7">
            <a:alpha val="89804"/>
          </a:srgbClr>
        </a:solidFill>
        <a:ln w="6350" cap="flat" cmpd="sng" algn="ctr">
          <a:noFill/>
          <a:prstDash val="solid"/>
          <a:miter lim="800000"/>
        </a:ln>
        <a:effectLst/>
      </dgm:spPr>
      <dgm:t>
        <a:bodyPr/>
        <a:lstStyle/>
        <a:p>
          <a:pPr>
            <a:buChar char="•"/>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Train graders and packers</a:t>
          </a:r>
        </a:p>
      </dgm:t>
    </dgm:pt>
    <dgm:pt modelId="{ADE5506E-B8FD-2E4A-8813-3821E5BA7C19}" type="parTrans" cxnId="{164B0116-6374-BA46-8D0D-03784DCB8090}">
      <dgm:prSet/>
      <dgm:spPr/>
      <dgm:t>
        <a:bodyPr/>
        <a:lstStyle/>
        <a:p>
          <a:endParaRPr lang="en-US">
            <a:latin typeface="Arial" panose="020B0604020202020204" pitchFamily="34" charset="0"/>
            <a:cs typeface="Arial" panose="020B0604020202020204" pitchFamily="34" charset="0"/>
          </a:endParaRPr>
        </a:p>
      </dgm:t>
    </dgm:pt>
    <dgm:pt modelId="{4CF7F008-0E8E-CC48-A4B9-360B80E75C08}" type="sibTrans" cxnId="{164B0116-6374-BA46-8D0D-03784DCB8090}">
      <dgm:prSet/>
      <dgm:spPr/>
      <dgm:t>
        <a:bodyPr/>
        <a:lstStyle/>
        <a:p>
          <a:endParaRPr lang="en-US">
            <a:latin typeface="Arial" panose="020B0604020202020204" pitchFamily="34" charset="0"/>
            <a:cs typeface="Arial" panose="020B0604020202020204" pitchFamily="34" charset="0"/>
          </a:endParaRPr>
        </a:p>
      </dgm:t>
    </dgm:pt>
    <dgm:pt modelId="{2183A81C-2E51-A046-B96F-A4843DE6B77B}">
      <dgm:prSet phldrT="[Text]"/>
      <dgm:spPr>
        <a:xfrm>
          <a:off x="1337654" y="272068"/>
          <a:ext cx="855085" cy="747452"/>
        </a:xfrm>
        <a:prstGeom prst="rightArrow">
          <a:avLst>
            <a:gd name="adj1" fmla="val 70000"/>
            <a:gd name="adj2" fmla="val 50000"/>
          </a:avLst>
        </a:prstGeom>
        <a:solidFill>
          <a:srgbClr val="EFF3F7">
            <a:alpha val="89804"/>
          </a:srgbClr>
        </a:solidFill>
        <a:ln w="6350" cap="flat" cmpd="sng" algn="ctr">
          <a:noFill/>
          <a:prstDash val="solid"/>
          <a:miter lim="800000"/>
        </a:ln>
        <a:effectLst/>
      </dgm:spPr>
      <dgm:t>
        <a:bodyPr/>
        <a:lstStyle/>
        <a:p>
          <a:pPr>
            <a:buChar char="•"/>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Train women's coop for processing</a:t>
          </a:r>
        </a:p>
      </dgm:t>
    </dgm:pt>
    <dgm:pt modelId="{149F96F6-A97F-FD45-8974-8142EF095C10}" type="parTrans" cxnId="{36451A0B-2A87-4F43-A742-48C5DA9F358B}">
      <dgm:prSet/>
      <dgm:spPr/>
      <dgm:t>
        <a:bodyPr/>
        <a:lstStyle/>
        <a:p>
          <a:endParaRPr lang="en-US">
            <a:latin typeface="Arial" panose="020B0604020202020204" pitchFamily="34" charset="0"/>
            <a:cs typeface="Arial" panose="020B0604020202020204" pitchFamily="34" charset="0"/>
          </a:endParaRPr>
        </a:p>
      </dgm:t>
    </dgm:pt>
    <dgm:pt modelId="{C078B3FD-5BE0-6F48-8B6A-AD26973876A2}" type="sibTrans" cxnId="{36451A0B-2A87-4F43-A742-48C5DA9F358B}">
      <dgm:prSet/>
      <dgm:spPr/>
      <dgm:t>
        <a:bodyPr/>
        <a:lstStyle/>
        <a:p>
          <a:endParaRPr lang="en-US">
            <a:latin typeface="Arial" panose="020B0604020202020204" pitchFamily="34" charset="0"/>
            <a:cs typeface="Arial" panose="020B0604020202020204" pitchFamily="34" charset="0"/>
          </a:endParaRPr>
        </a:p>
      </dgm:t>
    </dgm:pt>
    <dgm:pt modelId="{9F2F80F6-BB05-C047-8CBE-A6D15235CF46}" type="pres">
      <dgm:prSet presAssocID="{295C8760-BCC2-0C47-AD64-5E8DACF2C31D}" presName="theList" presStyleCnt="0">
        <dgm:presLayoutVars>
          <dgm:dir/>
          <dgm:animLvl val="lvl"/>
          <dgm:resizeHandles val="exact"/>
        </dgm:presLayoutVars>
      </dgm:prSet>
      <dgm:spPr/>
      <dgm:t>
        <a:bodyPr/>
        <a:lstStyle/>
        <a:p>
          <a:endParaRPr lang="en-US"/>
        </a:p>
      </dgm:t>
    </dgm:pt>
    <dgm:pt modelId="{C7D623E0-AEE5-FD45-BCCF-A90293FF871C}" type="pres">
      <dgm:prSet presAssocID="{77A3BA42-8426-3D4F-91B1-4EA245983B90}" presName="compNode" presStyleCnt="0"/>
      <dgm:spPr/>
    </dgm:pt>
    <dgm:pt modelId="{7CCDA0C1-DE6C-B545-9F96-EB84C4BE8964}" type="pres">
      <dgm:prSet presAssocID="{77A3BA42-8426-3D4F-91B1-4EA245983B90}" presName="noGeometry" presStyleCnt="0"/>
      <dgm:spPr/>
    </dgm:pt>
    <dgm:pt modelId="{E5E712CD-292F-CC40-9911-0ECBE7F0F1D1}" type="pres">
      <dgm:prSet presAssocID="{77A3BA42-8426-3D4F-91B1-4EA245983B90}" presName="childTextVisible" presStyleLbl="bgAccFollowNode1" presStyleIdx="0" presStyleCnt="6" custScaleY="123516">
        <dgm:presLayoutVars>
          <dgm:bulletEnabled val="1"/>
        </dgm:presLayoutVars>
      </dgm:prSet>
      <dgm:spPr/>
      <dgm:t>
        <a:bodyPr/>
        <a:lstStyle/>
        <a:p>
          <a:endParaRPr lang="en-US"/>
        </a:p>
      </dgm:t>
    </dgm:pt>
    <dgm:pt modelId="{5970A39B-FC6F-3A45-8232-569B3965F598}" type="pres">
      <dgm:prSet presAssocID="{77A3BA42-8426-3D4F-91B1-4EA245983B90}" presName="childTextHidden" presStyleLbl="bgAccFollowNode1" presStyleIdx="0" presStyleCnt="6"/>
      <dgm:spPr/>
      <dgm:t>
        <a:bodyPr/>
        <a:lstStyle/>
        <a:p>
          <a:endParaRPr lang="en-US"/>
        </a:p>
      </dgm:t>
    </dgm:pt>
    <dgm:pt modelId="{9966CB5F-AC70-274B-8767-01BD11DF8D97}" type="pres">
      <dgm:prSet presAssocID="{77A3BA42-8426-3D4F-91B1-4EA245983B90}" presName="parentText" presStyleLbl="node1" presStyleIdx="0" presStyleCnt="6">
        <dgm:presLayoutVars>
          <dgm:chMax val="1"/>
          <dgm:bulletEnabled val="1"/>
        </dgm:presLayoutVars>
      </dgm:prSet>
      <dgm:spPr/>
      <dgm:t>
        <a:bodyPr/>
        <a:lstStyle/>
        <a:p>
          <a:endParaRPr lang="en-US"/>
        </a:p>
      </dgm:t>
    </dgm:pt>
    <dgm:pt modelId="{820FC838-EF6B-C54D-BBB7-04F3155E2C75}" type="pres">
      <dgm:prSet presAssocID="{77A3BA42-8426-3D4F-91B1-4EA245983B90}" presName="aSpace" presStyleCnt="0"/>
      <dgm:spPr/>
    </dgm:pt>
    <dgm:pt modelId="{9857EDC3-01A0-724F-8137-07CEEC25448E}" type="pres">
      <dgm:prSet presAssocID="{D97B4EB1-3F62-8E43-8DCD-1818E5F3214A}" presName="compNode" presStyleCnt="0"/>
      <dgm:spPr/>
    </dgm:pt>
    <dgm:pt modelId="{D2FCD1B5-91FF-5B41-9983-C2B52BCA1A48}" type="pres">
      <dgm:prSet presAssocID="{D97B4EB1-3F62-8E43-8DCD-1818E5F3214A}" presName="noGeometry" presStyleCnt="0"/>
      <dgm:spPr/>
    </dgm:pt>
    <dgm:pt modelId="{8A73B589-1D19-7648-B027-F0DBFC1EFBF0}" type="pres">
      <dgm:prSet presAssocID="{D97B4EB1-3F62-8E43-8DCD-1818E5F3214A}" presName="childTextVisible" presStyleLbl="bgAccFollowNode1" presStyleIdx="1" presStyleCnt="6" custScaleY="123516">
        <dgm:presLayoutVars>
          <dgm:bulletEnabled val="1"/>
        </dgm:presLayoutVars>
      </dgm:prSet>
      <dgm:spPr/>
      <dgm:t>
        <a:bodyPr/>
        <a:lstStyle/>
        <a:p>
          <a:endParaRPr lang="en-US"/>
        </a:p>
      </dgm:t>
    </dgm:pt>
    <dgm:pt modelId="{67848BA8-2D99-4145-B37D-D86C7E80524F}" type="pres">
      <dgm:prSet presAssocID="{D97B4EB1-3F62-8E43-8DCD-1818E5F3214A}" presName="childTextHidden" presStyleLbl="bgAccFollowNode1" presStyleIdx="1" presStyleCnt="6"/>
      <dgm:spPr/>
      <dgm:t>
        <a:bodyPr/>
        <a:lstStyle/>
        <a:p>
          <a:endParaRPr lang="en-US"/>
        </a:p>
      </dgm:t>
    </dgm:pt>
    <dgm:pt modelId="{513893B5-FEAA-5748-AD56-1114BE96D04B}" type="pres">
      <dgm:prSet presAssocID="{D97B4EB1-3F62-8E43-8DCD-1818E5F3214A}" presName="parentText" presStyleLbl="node1" presStyleIdx="1" presStyleCnt="6">
        <dgm:presLayoutVars>
          <dgm:chMax val="1"/>
          <dgm:bulletEnabled val="1"/>
        </dgm:presLayoutVars>
      </dgm:prSet>
      <dgm:spPr/>
      <dgm:t>
        <a:bodyPr/>
        <a:lstStyle/>
        <a:p>
          <a:endParaRPr lang="en-US"/>
        </a:p>
      </dgm:t>
    </dgm:pt>
    <dgm:pt modelId="{CD394DF0-75F2-4E4B-B613-D3061068E31E}" type="pres">
      <dgm:prSet presAssocID="{D97B4EB1-3F62-8E43-8DCD-1818E5F3214A}" presName="aSpace" presStyleCnt="0"/>
      <dgm:spPr/>
    </dgm:pt>
    <dgm:pt modelId="{5286F589-EEF6-E543-8C5A-FEFA99AE1368}" type="pres">
      <dgm:prSet presAssocID="{457FF0F7-2993-E347-BB2E-3A98EFEBC48D}" presName="compNode" presStyleCnt="0"/>
      <dgm:spPr/>
    </dgm:pt>
    <dgm:pt modelId="{8DB1A19A-2B76-6F4B-8B94-9DB565C85A4D}" type="pres">
      <dgm:prSet presAssocID="{457FF0F7-2993-E347-BB2E-3A98EFEBC48D}" presName="noGeometry" presStyleCnt="0"/>
      <dgm:spPr/>
    </dgm:pt>
    <dgm:pt modelId="{4CF26383-567F-C841-B789-36B965288F7F}" type="pres">
      <dgm:prSet presAssocID="{457FF0F7-2993-E347-BB2E-3A98EFEBC48D}" presName="childTextVisible" presStyleLbl="bgAccFollowNode1" presStyleIdx="2" presStyleCnt="6" custScaleY="123516">
        <dgm:presLayoutVars>
          <dgm:bulletEnabled val="1"/>
        </dgm:presLayoutVars>
      </dgm:prSet>
      <dgm:spPr/>
      <dgm:t>
        <a:bodyPr/>
        <a:lstStyle/>
        <a:p>
          <a:endParaRPr lang="en-US"/>
        </a:p>
      </dgm:t>
    </dgm:pt>
    <dgm:pt modelId="{BEF58EC3-F649-9648-8817-EA6BD6578020}" type="pres">
      <dgm:prSet presAssocID="{457FF0F7-2993-E347-BB2E-3A98EFEBC48D}" presName="childTextHidden" presStyleLbl="bgAccFollowNode1" presStyleIdx="2" presStyleCnt="6"/>
      <dgm:spPr/>
      <dgm:t>
        <a:bodyPr/>
        <a:lstStyle/>
        <a:p>
          <a:endParaRPr lang="en-US"/>
        </a:p>
      </dgm:t>
    </dgm:pt>
    <dgm:pt modelId="{1AC0EF48-AE78-C442-9B92-371C16786ABA}" type="pres">
      <dgm:prSet presAssocID="{457FF0F7-2993-E347-BB2E-3A98EFEBC48D}" presName="parentText" presStyleLbl="node1" presStyleIdx="2" presStyleCnt="6">
        <dgm:presLayoutVars>
          <dgm:chMax val="1"/>
          <dgm:bulletEnabled val="1"/>
        </dgm:presLayoutVars>
      </dgm:prSet>
      <dgm:spPr/>
      <dgm:t>
        <a:bodyPr/>
        <a:lstStyle/>
        <a:p>
          <a:endParaRPr lang="en-US"/>
        </a:p>
      </dgm:t>
    </dgm:pt>
    <dgm:pt modelId="{40E01352-D432-B349-86C4-2194E1E50E85}" type="pres">
      <dgm:prSet presAssocID="{457FF0F7-2993-E347-BB2E-3A98EFEBC48D}" presName="aSpace" presStyleCnt="0"/>
      <dgm:spPr/>
    </dgm:pt>
    <dgm:pt modelId="{12E3C3DB-E9B9-6849-9304-582CA43136AE}" type="pres">
      <dgm:prSet presAssocID="{FBAB299C-1252-8144-B6CD-B28C30425397}" presName="compNode" presStyleCnt="0"/>
      <dgm:spPr/>
    </dgm:pt>
    <dgm:pt modelId="{5E7984FF-94BC-7F46-B010-2DFD4B233A89}" type="pres">
      <dgm:prSet presAssocID="{FBAB299C-1252-8144-B6CD-B28C30425397}" presName="noGeometry" presStyleCnt="0"/>
      <dgm:spPr/>
    </dgm:pt>
    <dgm:pt modelId="{15A98001-2976-1F46-AAFC-4E7D52125816}" type="pres">
      <dgm:prSet presAssocID="{FBAB299C-1252-8144-B6CD-B28C30425397}" presName="childTextVisible" presStyleLbl="bgAccFollowNode1" presStyleIdx="3" presStyleCnt="6" custScaleY="123516">
        <dgm:presLayoutVars>
          <dgm:bulletEnabled val="1"/>
        </dgm:presLayoutVars>
      </dgm:prSet>
      <dgm:spPr/>
      <dgm:t>
        <a:bodyPr/>
        <a:lstStyle/>
        <a:p>
          <a:endParaRPr lang="en-US"/>
        </a:p>
      </dgm:t>
    </dgm:pt>
    <dgm:pt modelId="{7436B9E2-7B01-D944-BD2C-45C6D21A204A}" type="pres">
      <dgm:prSet presAssocID="{FBAB299C-1252-8144-B6CD-B28C30425397}" presName="childTextHidden" presStyleLbl="bgAccFollowNode1" presStyleIdx="3" presStyleCnt="6"/>
      <dgm:spPr/>
      <dgm:t>
        <a:bodyPr/>
        <a:lstStyle/>
        <a:p>
          <a:endParaRPr lang="en-US"/>
        </a:p>
      </dgm:t>
    </dgm:pt>
    <dgm:pt modelId="{F2FE9673-D2DE-434D-90BF-A651EFCF0180}" type="pres">
      <dgm:prSet presAssocID="{FBAB299C-1252-8144-B6CD-B28C30425397}" presName="parentText" presStyleLbl="node1" presStyleIdx="3" presStyleCnt="6">
        <dgm:presLayoutVars>
          <dgm:chMax val="1"/>
          <dgm:bulletEnabled val="1"/>
        </dgm:presLayoutVars>
      </dgm:prSet>
      <dgm:spPr/>
      <dgm:t>
        <a:bodyPr/>
        <a:lstStyle/>
        <a:p>
          <a:endParaRPr lang="en-US"/>
        </a:p>
      </dgm:t>
    </dgm:pt>
    <dgm:pt modelId="{059E48FA-7647-4846-B803-E768B91D696E}" type="pres">
      <dgm:prSet presAssocID="{FBAB299C-1252-8144-B6CD-B28C30425397}" presName="aSpace" presStyleCnt="0"/>
      <dgm:spPr/>
    </dgm:pt>
    <dgm:pt modelId="{B981414A-28A0-8049-BD40-DF94CF5273F9}" type="pres">
      <dgm:prSet presAssocID="{DFA4022F-91D9-1A47-BD5A-31CAC8D7E8C5}" presName="compNode" presStyleCnt="0"/>
      <dgm:spPr/>
    </dgm:pt>
    <dgm:pt modelId="{90C425DB-794F-FB4C-BFBF-E1453483411A}" type="pres">
      <dgm:prSet presAssocID="{DFA4022F-91D9-1A47-BD5A-31CAC8D7E8C5}" presName="noGeometry" presStyleCnt="0"/>
      <dgm:spPr/>
    </dgm:pt>
    <dgm:pt modelId="{FC886F65-1D19-494B-A525-3289A6249670}" type="pres">
      <dgm:prSet presAssocID="{DFA4022F-91D9-1A47-BD5A-31CAC8D7E8C5}" presName="childTextVisible" presStyleLbl="bgAccFollowNode1" presStyleIdx="4" presStyleCnt="6" custScaleY="123516">
        <dgm:presLayoutVars>
          <dgm:bulletEnabled val="1"/>
        </dgm:presLayoutVars>
      </dgm:prSet>
      <dgm:spPr/>
      <dgm:t>
        <a:bodyPr/>
        <a:lstStyle/>
        <a:p>
          <a:endParaRPr lang="en-US"/>
        </a:p>
      </dgm:t>
    </dgm:pt>
    <dgm:pt modelId="{7D787E3D-60AC-9240-9F21-EE56265AB8EB}" type="pres">
      <dgm:prSet presAssocID="{DFA4022F-91D9-1A47-BD5A-31CAC8D7E8C5}" presName="childTextHidden" presStyleLbl="bgAccFollowNode1" presStyleIdx="4" presStyleCnt="6"/>
      <dgm:spPr/>
      <dgm:t>
        <a:bodyPr/>
        <a:lstStyle/>
        <a:p>
          <a:endParaRPr lang="en-US"/>
        </a:p>
      </dgm:t>
    </dgm:pt>
    <dgm:pt modelId="{3EA56F2B-8A19-4E42-B5C3-1BB92D3DEA41}" type="pres">
      <dgm:prSet presAssocID="{DFA4022F-91D9-1A47-BD5A-31CAC8D7E8C5}" presName="parentText" presStyleLbl="node1" presStyleIdx="4" presStyleCnt="6">
        <dgm:presLayoutVars>
          <dgm:chMax val="1"/>
          <dgm:bulletEnabled val="1"/>
        </dgm:presLayoutVars>
      </dgm:prSet>
      <dgm:spPr/>
      <dgm:t>
        <a:bodyPr/>
        <a:lstStyle/>
        <a:p>
          <a:endParaRPr lang="en-US"/>
        </a:p>
      </dgm:t>
    </dgm:pt>
    <dgm:pt modelId="{3E17D250-1BEA-CE45-B07C-CC5EA48A761F}" type="pres">
      <dgm:prSet presAssocID="{DFA4022F-91D9-1A47-BD5A-31CAC8D7E8C5}" presName="aSpace" presStyleCnt="0"/>
      <dgm:spPr/>
    </dgm:pt>
    <dgm:pt modelId="{D6C4C133-655C-694D-88ED-5D4BBC5FA436}" type="pres">
      <dgm:prSet presAssocID="{178FA717-268C-3143-BB9C-AD621246A554}" presName="compNode" presStyleCnt="0"/>
      <dgm:spPr/>
    </dgm:pt>
    <dgm:pt modelId="{611450E2-495B-D449-A362-401D1B8DB7CB}" type="pres">
      <dgm:prSet presAssocID="{178FA717-268C-3143-BB9C-AD621246A554}" presName="noGeometry" presStyleCnt="0"/>
      <dgm:spPr/>
    </dgm:pt>
    <dgm:pt modelId="{27EF33B7-348E-E546-BA5E-E256610010E3}" type="pres">
      <dgm:prSet presAssocID="{178FA717-268C-3143-BB9C-AD621246A554}" presName="childTextVisible" presStyleLbl="bgAccFollowNode1" presStyleIdx="5" presStyleCnt="6" custScaleX="121759" custScaleY="123516">
        <dgm:presLayoutVars>
          <dgm:bulletEnabled val="1"/>
        </dgm:presLayoutVars>
      </dgm:prSet>
      <dgm:spPr/>
      <dgm:t>
        <a:bodyPr/>
        <a:lstStyle/>
        <a:p>
          <a:endParaRPr lang="en-US"/>
        </a:p>
      </dgm:t>
    </dgm:pt>
    <dgm:pt modelId="{393DE5D6-830A-DC4C-A0CF-C06C10224A8E}" type="pres">
      <dgm:prSet presAssocID="{178FA717-268C-3143-BB9C-AD621246A554}" presName="childTextHidden" presStyleLbl="bgAccFollowNode1" presStyleIdx="5" presStyleCnt="6"/>
      <dgm:spPr/>
      <dgm:t>
        <a:bodyPr/>
        <a:lstStyle/>
        <a:p>
          <a:endParaRPr lang="en-US"/>
        </a:p>
      </dgm:t>
    </dgm:pt>
    <dgm:pt modelId="{47C99714-E8C4-4A45-A9FF-1E3E6A63829B}" type="pres">
      <dgm:prSet presAssocID="{178FA717-268C-3143-BB9C-AD621246A554}" presName="parentText" presStyleLbl="node1" presStyleIdx="5" presStyleCnt="6" custLinFactNeighborX="-6091">
        <dgm:presLayoutVars>
          <dgm:chMax val="1"/>
          <dgm:bulletEnabled val="1"/>
        </dgm:presLayoutVars>
      </dgm:prSet>
      <dgm:spPr/>
      <dgm:t>
        <a:bodyPr/>
        <a:lstStyle/>
        <a:p>
          <a:endParaRPr lang="en-US"/>
        </a:p>
      </dgm:t>
    </dgm:pt>
  </dgm:ptLst>
  <dgm:cxnLst>
    <dgm:cxn modelId="{BB4DAD2B-80F0-5D4F-ACDC-9D1DE3C6C2DF}" type="presOf" srcId="{6E359FA0-4563-2549-A77C-F78D9284E9EE}" destId="{27EF33B7-348E-E546-BA5E-E256610010E3}" srcOrd="0" destOrd="1" presId="urn:microsoft.com/office/officeart/2005/8/layout/hProcess6"/>
    <dgm:cxn modelId="{EC35736F-C70A-9044-9872-EF5DA43ED84F}" srcId="{FBAB299C-1252-8144-B6CD-B28C30425397}" destId="{73C0A91D-3864-C342-989E-53A3598843B1}" srcOrd="0" destOrd="0" parTransId="{D2F8D931-E10A-0C45-9CCF-34D0299A5511}" sibTransId="{ABC00E9F-5874-3742-9ACE-CC8EE08E59AB}"/>
    <dgm:cxn modelId="{F8F3A517-38D3-CA4B-841D-8F083D810B5C}" srcId="{DFA4022F-91D9-1A47-BD5A-31CAC8D7E8C5}" destId="{241771F6-5074-9043-9E2F-056715F91E65}" srcOrd="0" destOrd="0" parTransId="{6F2FCE94-E295-2C4E-B228-50BDC61088F0}" sibTransId="{6F83F4B5-D179-9441-95E6-E5602532157C}"/>
    <dgm:cxn modelId="{B10736E1-2C46-8443-870C-A14A3EB65B79}" type="presOf" srcId="{D97B4EB1-3F62-8E43-8DCD-1818E5F3214A}" destId="{513893B5-FEAA-5748-AD56-1114BE96D04B}" srcOrd="0" destOrd="0" presId="urn:microsoft.com/office/officeart/2005/8/layout/hProcess6"/>
    <dgm:cxn modelId="{C2CE7841-84D2-1141-B425-F77B354F0D5F}" type="presOf" srcId="{77A3BA42-8426-3D4F-91B1-4EA245983B90}" destId="{9966CB5F-AC70-274B-8767-01BD11DF8D97}" srcOrd="0" destOrd="0" presId="urn:microsoft.com/office/officeart/2005/8/layout/hProcess6"/>
    <dgm:cxn modelId="{4DD63B5B-C7FF-7C45-887E-2AC158A48979}" type="presOf" srcId="{654B84BE-2FA0-554F-B69F-38D6D9648EDE}" destId="{15A98001-2976-1F46-AAFC-4E7D52125816}" srcOrd="0" destOrd="1" presId="urn:microsoft.com/office/officeart/2005/8/layout/hProcess6"/>
    <dgm:cxn modelId="{7C8CA966-4699-CF4D-A7B0-B939D8A0341B}" type="presOf" srcId="{7DD8A6BD-B0CD-CD43-A6A7-4CA6C459EA32}" destId="{393DE5D6-830A-DC4C-A0CF-C06C10224A8E}" srcOrd="1" destOrd="0" presId="urn:microsoft.com/office/officeart/2005/8/layout/hProcess6"/>
    <dgm:cxn modelId="{BEB15698-B0BD-F94F-A106-017CC3968F80}" type="presOf" srcId="{5F8908B3-FFF8-674B-9525-7DC2BE43B72D}" destId="{8A73B589-1D19-7648-B027-F0DBFC1EFBF0}" srcOrd="0" destOrd="0" presId="urn:microsoft.com/office/officeart/2005/8/layout/hProcess6"/>
    <dgm:cxn modelId="{B673FF5C-C0AA-804B-9F17-D5D75227646B}" type="presOf" srcId="{178FA717-268C-3143-BB9C-AD621246A554}" destId="{47C99714-E8C4-4A45-A9FF-1E3E6A63829B}" srcOrd="0" destOrd="0" presId="urn:microsoft.com/office/officeart/2005/8/layout/hProcess6"/>
    <dgm:cxn modelId="{4C65B8B7-C565-4C4A-8EA7-C296C6B6C046}" type="presOf" srcId="{2183A81C-2E51-A046-B96F-A4843DE6B77B}" destId="{8A73B589-1D19-7648-B027-F0DBFC1EFBF0}" srcOrd="0" destOrd="1" presId="urn:microsoft.com/office/officeart/2005/8/layout/hProcess6"/>
    <dgm:cxn modelId="{533BDB91-BA31-8C47-9111-38303A4F4C6F}" srcId="{77A3BA42-8426-3D4F-91B1-4EA245983B90}" destId="{A06176FE-9BAA-8744-B42A-97933E9899B2}" srcOrd="0" destOrd="0" parTransId="{87676991-2DD5-C84F-A296-CE43357426EF}" sibTransId="{16A04C23-BD17-1649-A726-425B765FED5C}"/>
    <dgm:cxn modelId="{36451A0B-2A87-4F43-A742-48C5DA9F358B}" srcId="{D97B4EB1-3F62-8E43-8DCD-1818E5F3214A}" destId="{2183A81C-2E51-A046-B96F-A4843DE6B77B}" srcOrd="1" destOrd="0" parTransId="{149F96F6-A97F-FD45-8974-8142EF095C10}" sibTransId="{C078B3FD-5BE0-6F48-8B6A-AD26973876A2}"/>
    <dgm:cxn modelId="{58D78813-9E07-4149-9836-A29A7616197D}" srcId="{295C8760-BCC2-0C47-AD64-5E8DACF2C31D}" destId="{DFA4022F-91D9-1A47-BD5A-31CAC8D7E8C5}" srcOrd="4" destOrd="0" parTransId="{EA69B9C7-8562-034E-AC1B-66D170494686}" sibTransId="{B378374F-5B18-1A49-B7B8-B230AD975481}"/>
    <dgm:cxn modelId="{878B2BEC-37D5-0E4C-BDAB-7CBABC72B359}" srcId="{457FF0F7-2993-E347-BB2E-3A98EFEBC48D}" destId="{507470C8-2238-C544-9361-576B20FDB394}" srcOrd="0" destOrd="0" parTransId="{C2C596E3-5602-9649-8151-3137531366A4}" sibTransId="{6CA4B8D8-C207-0D4F-BDD6-DBFB7CF3B3BF}"/>
    <dgm:cxn modelId="{63292C82-2E4E-8342-9474-EFD92CC2DCAB}" type="presOf" srcId="{FAD6B482-4998-A24C-A866-14E54956791A}" destId="{E5E712CD-292F-CC40-9911-0ECBE7F0F1D1}" srcOrd="0" destOrd="1" presId="urn:microsoft.com/office/officeart/2005/8/layout/hProcess6"/>
    <dgm:cxn modelId="{F8D46E68-6109-D646-A629-49975A64DB6E}" srcId="{178FA717-268C-3143-BB9C-AD621246A554}" destId="{7DD8A6BD-B0CD-CD43-A6A7-4CA6C459EA32}" srcOrd="0" destOrd="0" parTransId="{1AD7E7B4-F20F-144C-AD1A-2F736F276BCD}" sibTransId="{0F0A31E7-81F4-D849-B3B1-E888AF1C6513}"/>
    <dgm:cxn modelId="{4DF953D2-E011-E14B-B298-C3CEE17592C1}" type="presOf" srcId="{B4EA7474-FDBE-A14A-9529-0F80606A99C1}" destId="{BEF58EC3-F649-9648-8817-EA6BD6578020}" srcOrd="1" destOrd="1" presId="urn:microsoft.com/office/officeart/2005/8/layout/hProcess6"/>
    <dgm:cxn modelId="{3B247588-A378-2845-97B8-58B844ECA182}" type="presOf" srcId="{457FF0F7-2993-E347-BB2E-3A98EFEBC48D}" destId="{1AC0EF48-AE78-C442-9B92-371C16786ABA}" srcOrd="0" destOrd="0" presId="urn:microsoft.com/office/officeart/2005/8/layout/hProcess6"/>
    <dgm:cxn modelId="{A8831CDD-48CD-5B4A-B90F-0E646ED44960}" type="presOf" srcId="{654B84BE-2FA0-554F-B69F-38D6D9648EDE}" destId="{7436B9E2-7B01-D944-BD2C-45C6D21A204A}" srcOrd="1" destOrd="1" presId="urn:microsoft.com/office/officeart/2005/8/layout/hProcess6"/>
    <dgm:cxn modelId="{9B51D677-BF28-4048-B0E5-8AAE7CDB42B4}" type="presOf" srcId="{241771F6-5074-9043-9E2F-056715F91E65}" destId="{7D787E3D-60AC-9240-9F21-EE56265AB8EB}" srcOrd="1" destOrd="0" presId="urn:microsoft.com/office/officeart/2005/8/layout/hProcess6"/>
    <dgm:cxn modelId="{AE46FDA9-F25F-094F-895B-0C780E4BE47C}" type="presOf" srcId="{B4EA7474-FDBE-A14A-9529-0F80606A99C1}" destId="{4CF26383-567F-C841-B789-36B965288F7F}" srcOrd="0" destOrd="1" presId="urn:microsoft.com/office/officeart/2005/8/layout/hProcess6"/>
    <dgm:cxn modelId="{B546AD14-62EF-EE42-8682-813DB171E2CE}" type="presOf" srcId="{DFA4022F-91D9-1A47-BD5A-31CAC8D7E8C5}" destId="{3EA56F2B-8A19-4E42-B5C3-1BB92D3DEA41}" srcOrd="0" destOrd="0" presId="urn:microsoft.com/office/officeart/2005/8/layout/hProcess6"/>
    <dgm:cxn modelId="{D3D2AB3C-C2B2-0C48-99A4-390357977900}" type="presOf" srcId="{73C0A91D-3864-C342-989E-53A3598843B1}" destId="{7436B9E2-7B01-D944-BD2C-45C6D21A204A}" srcOrd="1" destOrd="0" presId="urn:microsoft.com/office/officeart/2005/8/layout/hProcess6"/>
    <dgm:cxn modelId="{33CF6BAB-6B7E-744B-A874-44ACC79C4EFA}" type="presOf" srcId="{241771F6-5074-9043-9E2F-056715F91E65}" destId="{FC886F65-1D19-494B-A525-3289A6249670}" srcOrd="0" destOrd="0" presId="urn:microsoft.com/office/officeart/2005/8/layout/hProcess6"/>
    <dgm:cxn modelId="{164B0116-6374-BA46-8D0D-03784DCB8090}" srcId="{D97B4EB1-3F62-8E43-8DCD-1818E5F3214A}" destId="{5F8908B3-FFF8-674B-9525-7DC2BE43B72D}" srcOrd="0" destOrd="0" parTransId="{ADE5506E-B8FD-2E4A-8813-3821E5BA7C19}" sibTransId="{4CF7F008-0E8E-CC48-A4B9-360B80E75C08}"/>
    <dgm:cxn modelId="{81B11663-A896-CC47-B383-48C987F046A2}" type="presOf" srcId="{295C8760-BCC2-0C47-AD64-5E8DACF2C31D}" destId="{9F2F80F6-BB05-C047-8CBE-A6D15235CF46}" srcOrd="0" destOrd="0" presId="urn:microsoft.com/office/officeart/2005/8/layout/hProcess6"/>
    <dgm:cxn modelId="{735884BC-E28E-4242-8F3B-8A01D5F7576C}" srcId="{295C8760-BCC2-0C47-AD64-5E8DACF2C31D}" destId="{FBAB299C-1252-8144-B6CD-B28C30425397}" srcOrd="3" destOrd="0" parTransId="{295C96BE-EC10-394F-855C-5469516CB34A}" sibTransId="{0C8BB0FA-E4D2-CB48-81AF-E9CA5FEF2661}"/>
    <dgm:cxn modelId="{201BC582-3619-F649-AFD4-35CE253F0359}" type="presOf" srcId="{7DD8A6BD-B0CD-CD43-A6A7-4CA6C459EA32}" destId="{27EF33B7-348E-E546-BA5E-E256610010E3}" srcOrd="0" destOrd="0" presId="urn:microsoft.com/office/officeart/2005/8/layout/hProcess6"/>
    <dgm:cxn modelId="{50189F0C-413B-0D42-A4F3-0F5BAD4B4E79}" srcId="{77A3BA42-8426-3D4F-91B1-4EA245983B90}" destId="{FAD6B482-4998-A24C-A866-14E54956791A}" srcOrd="1" destOrd="0" parTransId="{4970CAAA-03D0-D744-BA6A-0A9634EEB3DE}" sibTransId="{DCA52212-3C57-5340-A5C1-1E84F8AC3480}"/>
    <dgm:cxn modelId="{D39331CB-0932-7546-9656-D4E2F0119ACB}" srcId="{457FF0F7-2993-E347-BB2E-3A98EFEBC48D}" destId="{B4EA7474-FDBE-A14A-9529-0F80606A99C1}" srcOrd="1" destOrd="0" parTransId="{5C648146-B6B3-0D45-B1B5-DA007B64FA80}" sibTransId="{41FF6849-D53F-3845-A61F-755A713E6A85}"/>
    <dgm:cxn modelId="{8145B253-F22B-4548-B0FA-3A434DD023F7}" type="presOf" srcId="{A06176FE-9BAA-8744-B42A-97933E9899B2}" destId="{E5E712CD-292F-CC40-9911-0ECBE7F0F1D1}" srcOrd="0" destOrd="0" presId="urn:microsoft.com/office/officeart/2005/8/layout/hProcess6"/>
    <dgm:cxn modelId="{C76CBBEB-3624-4049-AE4A-1F6AA8F1F852}" type="presOf" srcId="{507470C8-2238-C544-9361-576B20FDB394}" destId="{4CF26383-567F-C841-B789-36B965288F7F}" srcOrd="0" destOrd="0" presId="urn:microsoft.com/office/officeart/2005/8/layout/hProcess6"/>
    <dgm:cxn modelId="{64D3EE7B-3B27-EF4E-9857-B591B51C0590}" type="presOf" srcId="{A06176FE-9BAA-8744-B42A-97933E9899B2}" destId="{5970A39B-FC6F-3A45-8232-569B3965F598}" srcOrd="1" destOrd="0" presId="urn:microsoft.com/office/officeart/2005/8/layout/hProcess6"/>
    <dgm:cxn modelId="{AC3F6001-F0B3-A548-B10D-0B2763D910D8}" srcId="{295C8760-BCC2-0C47-AD64-5E8DACF2C31D}" destId="{457FF0F7-2993-E347-BB2E-3A98EFEBC48D}" srcOrd="2" destOrd="0" parTransId="{9164A99C-9ABA-AB48-9D80-51C9C577F533}" sibTransId="{5E37131F-6174-EF45-BA9A-F5F55695915A}"/>
    <dgm:cxn modelId="{828D730F-2310-844A-B18E-CAFA286D9E48}" type="presOf" srcId="{FAD6B482-4998-A24C-A866-14E54956791A}" destId="{5970A39B-FC6F-3A45-8232-569B3965F598}" srcOrd="1" destOrd="1" presId="urn:microsoft.com/office/officeart/2005/8/layout/hProcess6"/>
    <dgm:cxn modelId="{BE7CF8E0-A720-0C40-8B8D-044974738B04}" srcId="{295C8760-BCC2-0C47-AD64-5E8DACF2C31D}" destId="{D97B4EB1-3F62-8E43-8DCD-1818E5F3214A}" srcOrd="1" destOrd="0" parTransId="{B575AB79-9BC1-AF41-A76B-910CD9D5CFD4}" sibTransId="{AE8B0DE7-6081-1D41-9DAB-75E5602C05B7}"/>
    <dgm:cxn modelId="{A6F447C8-A0EF-7F40-8C0C-052BE5921890}" type="presOf" srcId="{2183A81C-2E51-A046-B96F-A4843DE6B77B}" destId="{67848BA8-2D99-4145-B37D-D86C7E80524F}" srcOrd="1" destOrd="1" presId="urn:microsoft.com/office/officeart/2005/8/layout/hProcess6"/>
    <dgm:cxn modelId="{1DC8271B-3457-974F-B69D-5803C2D7B68F}" srcId="{178FA717-268C-3143-BB9C-AD621246A554}" destId="{6E359FA0-4563-2549-A77C-F78D9284E9EE}" srcOrd="1" destOrd="0" parTransId="{96F2025B-C9C2-BF43-868F-78856898E673}" sibTransId="{D779E92A-A3CE-C34A-BD3F-EBE02F0217C0}"/>
    <dgm:cxn modelId="{3E7508B2-C0E8-C648-B746-21FA60699845}" type="presOf" srcId="{73C0A91D-3864-C342-989E-53A3598843B1}" destId="{15A98001-2976-1F46-AAFC-4E7D52125816}" srcOrd="0" destOrd="0" presId="urn:microsoft.com/office/officeart/2005/8/layout/hProcess6"/>
    <dgm:cxn modelId="{341331B5-D6EF-D348-854B-73F6AD2ED68C}" srcId="{77A3BA42-8426-3D4F-91B1-4EA245983B90}" destId="{44311DA4-6BE7-8543-893B-D5534755E093}" srcOrd="2" destOrd="0" parTransId="{514213F0-9102-834D-A287-78A76B1E2F55}" sibTransId="{156C1DE1-77F8-384F-B3A1-746EAE624DF0}"/>
    <dgm:cxn modelId="{4DD16EBF-A753-D84A-90D7-5D5698F5013D}" srcId="{FBAB299C-1252-8144-B6CD-B28C30425397}" destId="{654B84BE-2FA0-554F-B69F-38D6D9648EDE}" srcOrd="1" destOrd="0" parTransId="{5C6021DB-8C17-374B-9BD3-FDD94F1D8B3C}" sibTransId="{090E0F15-3D1B-4C49-BDAC-6F160181E6ED}"/>
    <dgm:cxn modelId="{1E193E0D-F3A4-174C-AA17-D788DC291D6A}" type="presOf" srcId="{5F8908B3-FFF8-674B-9525-7DC2BE43B72D}" destId="{67848BA8-2D99-4145-B37D-D86C7E80524F}" srcOrd="1" destOrd="0" presId="urn:microsoft.com/office/officeart/2005/8/layout/hProcess6"/>
    <dgm:cxn modelId="{69A5EA7B-FA10-594F-A814-07F0A55C0DB6}" type="presOf" srcId="{507470C8-2238-C544-9361-576B20FDB394}" destId="{BEF58EC3-F649-9648-8817-EA6BD6578020}" srcOrd="1" destOrd="0" presId="urn:microsoft.com/office/officeart/2005/8/layout/hProcess6"/>
    <dgm:cxn modelId="{D9132119-5D42-6546-82DB-54A275ABAFC0}" type="presOf" srcId="{FBAB299C-1252-8144-B6CD-B28C30425397}" destId="{F2FE9673-D2DE-434D-90BF-A651EFCF0180}" srcOrd="0" destOrd="0" presId="urn:microsoft.com/office/officeart/2005/8/layout/hProcess6"/>
    <dgm:cxn modelId="{6D097E38-46DD-FC42-8C42-066915032826}" srcId="{295C8760-BCC2-0C47-AD64-5E8DACF2C31D}" destId="{178FA717-268C-3143-BB9C-AD621246A554}" srcOrd="5" destOrd="0" parTransId="{DE8DEA3A-F1A6-E54D-8FAE-75B442860D4A}" sibTransId="{025AFDB1-3C77-3843-8259-2D2BFB88734F}"/>
    <dgm:cxn modelId="{479AE9D4-9AEF-4E45-B74C-4FDEE315C195}" type="presOf" srcId="{44311DA4-6BE7-8543-893B-D5534755E093}" destId="{E5E712CD-292F-CC40-9911-0ECBE7F0F1D1}" srcOrd="0" destOrd="2" presId="urn:microsoft.com/office/officeart/2005/8/layout/hProcess6"/>
    <dgm:cxn modelId="{F089019C-4DE4-6744-8425-B90E42F25598}" srcId="{295C8760-BCC2-0C47-AD64-5E8DACF2C31D}" destId="{77A3BA42-8426-3D4F-91B1-4EA245983B90}" srcOrd="0" destOrd="0" parTransId="{4EAECBFB-B72E-9844-BC21-509C51EE15AE}" sibTransId="{C3294454-1DD5-AB46-A8B7-35940E516D68}"/>
    <dgm:cxn modelId="{22E56992-5DAF-A141-853B-947507CF56AA}" type="presOf" srcId="{6E359FA0-4563-2549-A77C-F78D9284E9EE}" destId="{393DE5D6-830A-DC4C-A0CF-C06C10224A8E}" srcOrd="1" destOrd="1" presId="urn:microsoft.com/office/officeart/2005/8/layout/hProcess6"/>
    <dgm:cxn modelId="{C1ACE518-4B62-5F42-98FA-174B0B57BE60}" type="presOf" srcId="{44311DA4-6BE7-8543-893B-D5534755E093}" destId="{5970A39B-FC6F-3A45-8232-569B3965F598}" srcOrd="1" destOrd="2" presId="urn:microsoft.com/office/officeart/2005/8/layout/hProcess6"/>
    <dgm:cxn modelId="{8D7E51EB-0D6A-3740-BBEA-8AFB5BE78507}" type="presParOf" srcId="{9F2F80F6-BB05-C047-8CBE-A6D15235CF46}" destId="{C7D623E0-AEE5-FD45-BCCF-A90293FF871C}" srcOrd="0" destOrd="0" presId="urn:microsoft.com/office/officeart/2005/8/layout/hProcess6"/>
    <dgm:cxn modelId="{F8943562-8B21-BA4D-804A-696A504B7EDE}" type="presParOf" srcId="{C7D623E0-AEE5-FD45-BCCF-A90293FF871C}" destId="{7CCDA0C1-DE6C-B545-9F96-EB84C4BE8964}" srcOrd="0" destOrd="0" presId="urn:microsoft.com/office/officeart/2005/8/layout/hProcess6"/>
    <dgm:cxn modelId="{CDE7463F-F71F-8649-AF84-B5C49C379CF6}" type="presParOf" srcId="{C7D623E0-AEE5-FD45-BCCF-A90293FF871C}" destId="{E5E712CD-292F-CC40-9911-0ECBE7F0F1D1}" srcOrd="1" destOrd="0" presId="urn:microsoft.com/office/officeart/2005/8/layout/hProcess6"/>
    <dgm:cxn modelId="{827B1986-A954-EA4C-9F8B-E67A83E11195}" type="presParOf" srcId="{C7D623E0-AEE5-FD45-BCCF-A90293FF871C}" destId="{5970A39B-FC6F-3A45-8232-569B3965F598}" srcOrd="2" destOrd="0" presId="urn:microsoft.com/office/officeart/2005/8/layout/hProcess6"/>
    <dgm:cxn modelId="{D710BAF6-09B5-9F45-84EC-6AE358748F4A}" type="presParOf" srcId="{C7D623E0-AEE5-FD45-BCCF-A90293FF871C}" destId="{9966CB5F-AC70-274B-8767-01BD11DF8D97}" srcOrd="3" destOrd="0" presId="urn:microsoft.com/office/officeart/2005/8/layout/hProcess6"/>
    <dgm:cxn modelId="{6F86656D-D6CE-8A42-ADCF-2CE3390DB982}" type="presParOf" srcId="{9F2F80F6-BB05-C047-8CBE-A6D15235CF46}" destId="{820FC838-EF6B-C54D-BBB7-04F3155E2C75}" srcOrd="1" destOrd="0" presId="urn:microsoft.com/office/officeart/2005/8/layout/hProcess6"/>
    <dgm:cxn modelId="{6A5D6481-DEE6-9040-A448-FA27BE015D23}" type="presParOf" srcId="{9F2F80F6-BB05-C047-8CBE-A6D15235CF46}" destId="{9857EDC3-01A0-724F-8137-07CEEC25448E}" srcOrd="2" destOrd="0" presId="urn:microsoft.com/office/officeart/2005/8/layout/hProcess6"/>
    <dgm:cxn modelId="{7924E3E5-5FAB-2E45-956B-F5AAF9F9442B}" type="presParOf" srcId="{9857EDC3-01A0-724F-8137-07CEEC25448E}" destId="{D2FCD1B5-91FF-5B41-9983-C2B52BCA1A48}" srcOrd="0" destOrd="0" presId="urn:microsoft.com/office/officeart/2005/8/layout/hProcess6"/>
    <dgm:cxn modelId="{3FD4A267-57A2-AD44-B9EE-78E1A12FE680}" type="presParOf" srcId="{9857EDC3-01A0-724F-8137-07CEEC25448E}" destId="{8A73B589-1D19-7648-B027-F0DBFC1EFBF0}" srcOrd="1" destOrd="0" presId="urn:microsoft.com/office/officeart/2005/8/layout/hProcess6"/>
    <dgm:cxn modelId="{9E04DA6C-89CB-C841-A6C3-119B6067746C}" type="presParOf" srcId="{9857EDC3-01A0-724F-8137-07CEEC25448E}" destId="{67848BA8-2D99-4145-B37D-D86C7E80524F}" srcOrd="2" destOrd="0" presId="urn:microsoft.com/office/officeart/2005/8/layout/hProcess6"/>
    <dgm:cxn modelId="{9A31F263-F272-1545-9226-DE2529BA6893}" type="presParOf" srcId="{9857EDC3-01A0-724F-8137-07CEEC25448E}" destId="{513893B5-FEAA-5748-AD56-1114BE96D04B}" srcOrd="3" destOrd="0" presId="urn:microsoft.com/office/officeart/2005/8/layout/hProcess6"/>
    <dgm:cxn modelId="{DC9C9FD9-63D9-0345-A396-C2DA7A4A52ED}" type="presParOf" srcId="{9F2F80F6-BB05-C047-8CBE-A6D15235CF46}" destId="{CD394DF0-75F2-4E4B-B613-D3061068E31E}" srcOrd="3" destOrd="0" presId="urn:microsoft.com/office/officeart/2005/8/layout/hProcess6"/>
    <dgm:cxn modelId="{05ED2756-A1D3-E249-BDC2-FF450007F758}" type="presParOf" srcId="{9F2F80F6-BB05-C047-8CBE-A6D15235CF46}" destId="{5286F589-EEF6-E543-8C5A-FEFA99AE1368}" srcOrd="4" destOrd="0" presId="urn:microsoft.com/office/officeart/2005/8/layout/hProcess6"/>
    <dgm:cxn modelId="{65FA2388-BDEC-0249-AA13-3951AEE996D9}" type="presParOf" srcId="{5286F589-EEF6-E543-8C5A-FEFA99AE1368}" destId="{8DB1A19A-2B76-6F4B-8B94-9DB565C85A4D}" srcOrd="0" destOrd="0" presId="urn:microsoft.com/office/officeart/2005/8/layout/hProcess6"/>
    <dgm:cxn modelId="{B8B1C712-682F-D44F-A175-31FEE9240540}" type="presParOf" srcId="{5286F589-EEF6-E543-8C5A-FEFA99AE1368}" destId="{4CF26383-567F-C841-B789-36B965288F7F}" srcOrd="1" destOrd="0" presId="urn:microsoft.com/office/officeart/2005/8/layout/hProcess6"/>
    <dgm:cxn modelId="{CBBB5120-D05E-2143-A2FB-FF7B5FD52274}" type="presParOf" srcId="{5286F589-EEF6-E543-8C5A-FEFA99AE1368}" destId="{BEF58EC3-F649-9648-8817-EA6BD6578020}" srcOrd="2" destOrd="0" presId="urn:microsoft.com/office/officeart/2005/8/layout/hProcess6"/>
    <dgm:cxn modelId="{C1038C16-0EE9-004D-8797-0E9A15E14A42}" type="presParOf" srcId="{5286F589-EEF6-E543-8C5A-FEFA99AE1368}" destId="{1AC0EF48-AE78-C442-9B92-371C16786ABA}" srcOrd="3" destOrd="0" presId="urn:microsoft.com/office/officeart/2005/8/layout/hProcess6"/>
    <dgm:cxn modelId="{F98A66C7-56D7-CC47-9C3A-8F99553AD8CC}" type="presParOf" srcId="{9F2F80F6-BB05-C047-8CBE-A6D15235CF46}" destId="{40E01352-D432-B349-86C4-2194E1E50E85}" srcOrd="5" destOrd="0" presId="urn:microsoft.com/office/officeart/2005/8/layout/hProcess6"/>
    <dgm:cxn modelId="{71E1B493-17AA-B549-9221-C1AFB54BA82F}" type="presParOf" srcId="{9F2F80F6-BB05-C047-8CBE-A6D15235CF46}" destId="{12E3C3DB-E9B9-6849-9304-582CA43136AE}" srcOrd="6" destOrd="0" presId="urn:microsoft.com/office/officeart/2005/8/layout/hProcess6"/>
    <dgm:cxn modelId="{6A7590C1-2D67-EB49-B284-1FD12A98ECB8}" type="presParOf" srcId="{12E3C3DB-E9B9-6849-9304-582CA43136AE}" destId="{5E7984FF-94BC-7F46-B010-2DFD4B233A89}" srcOrd="0" destOrd="0" presId="urn:microsoft.com/office/officeart/2005/8/layout/hProcess6"/>
    <dgm:cxn modelId="{DF01D7D1-12C5-AF48-9B80-5A6AC3C1FEDD}" type="presParOf" srcId="{12E3C3DB-E9B9-6849-9304-582CA43136AE}" destId="{15A98001-2976-1F46-AAFC-4E7D52125816}" srcOrd="1" destOrd="0" presId="urn:microsoft.com/office/officeart/2005/8/layout/hProcess6"/>
    <dgm:cxn modelId="{730DFCF0-3F4F-D443-802B-AC82CB1813E7}" type="presParOf" srcId="{12E3C3DB-E9B9-6849-9304-582CA43136AE}" destId="{7436B9E2-7B01-D944-BD2C-45C6D21A204A}" srcOrd="2" destOrd="0" presId="urn:microsoft.com/office/officeart/2005/8/layout/hProcess6"/>
    <dgm:cxn modelId="{2B91EE1D-5988-CE49-8C41-788DDB5953DF}" type="presParOf" srcId="{12E3C3DB-E9B9-6849-9304-582CA43136AE}" destId="{F2FE9673-D2DE-434D-90BF-A651EFCF0180}" srcOrd="3" destOrd="0" presId="urn:microsoft.com/office/officeart/2005/8/layout/hProcess6"/>
    <dgm:cxn modelId="{BBDA128A-3B06-AC47-8ABC-68D2A92A9BE4}" type="presParOf" srcId="{9F2F80F6-BB05-C047-8CBE-A6D15235CF46}" destId="{059E48FA-7647-4846-B803-E768B91D696E}" srcOrd="7" destOrd="0" presId="urn:microsoft.com/office/officeart/2005/8/layout/hProcess6"/>
    <dgm:cxn modelId="{4FFC7EB7-0ADF-3F4B-89ED-5C617F817825}" type="presParOf" srcId="{9F2F80F6-BB05-C047-8CBE-A6D15235CF46}" destId="{B981414A-28A0-8049-BD40-DF94CF5273F9}" srcOrd="8" destOrd="0" presId="urn:microsoft.com/office/officeart/2005/8/layout/hProcess6"/>
    <dgm:cxn modelId="{957CC51B-53F8-8543-A23F-E54D77175F3C}" type="presParOf" srcId="{B981414A-28A0-8049-BD40-DF94CF5273F9}" destId="{90C425DB-794F-FB4C-BFBF-E1453483411A}" srcOrd="0" destOrd="0" presId="urn:microsoft.com/office/officeart/2005/8/layout/hProcess6"/>
    <dgm:cxn modelId="{FA40D32F-8F9A-E54C-B7A0-E6051BBC65BB}" type="presParOf" srcId="{B981414A-28A0-8049-BD40-DF94CF5273F9}" destId="{FC886F65-1D19-494B-A525-3289A6249670}" srcOrd="1" destOrd="0" presId="urn:microsoft.com/office/officeart/2005/8/layout/hProcess6"/>
    <dgm:cxn modelId="{5E4FA2C8-635E-0541-8DD9-5C212137A911}" type="presParOf" srcId="{B981414A-28A0-8049-BD40-DF94CF5273F9}" destId="{7D787E3D-60AC-9240-9F21-EE56265AB8EB}" srcOrd="2" destOrd="0" presId="urn:microsoft.com/office/officeart/2005/8/layout/hProcess6"/>
    <dgm:cxn modelId="{54D7B937-754D-B640-949A-CC179F96201F}" type="presParOf" srcId="{B981414A-28A0-8049-BD40-DF94CF5273F9}" destId="{3EA56F2B-8A19-4E42-B5C3-1BB92D3DEA41}" srcOrd="3" destOrd="0" presId="urn:microsoft.com/office/officeart/2005/8/layout/hProcess6"/>
    <dgm:cxn modelId="{560CF271-05F5-8A4B-901F-03D894C74A05}" type="presParOf" srcId="{9F2F80F6-BB05-C047-8CBE-A6D15235CF46}" destId="{3E17D250-1BEA-CE45-B07C-CC5EA48A761F}" srcOrd="9" destOrd="0" presId="urn:microsoft.com/office/officeart/2005/8/layout/hProcess6"/>
    <dgm:cxn modelId="{109D6467-1701-FF49-957A-C0B892DD52B3}" type="presParOf" srcId="{9F2F80F6-BB05-C047-8CBE-A6D15235CF46}" destId="{D6C4C133-655C-694D-88ED-5D4BBC5FA436}" srcOrd="10" destOrd="0" presId="urn:microsoft.com/office/officeart/2005/8/layout/hProcess6"/>
    <dgm:cxn modelId="{CF817743-0022-0B48-B3A9-46F3BA3DD9B6}" type="presParOf" srcId="{D6C4C133-655C-694D-88ED-5D4BBC5FA436}" destId="{611450E2-495B-D449-A362-401D1B8DB7CB}" srcOrd="0" destOrd="0" presId="urn:microsoft.com/office/officeart/2005/8/layout/hProcess6"/>
    <dgm:cxn modelId="{B7EC6E0C-AECA-AA48-8927-C26A62750313}" type="presParOf" srcId="{D6C4C133-655C-694D-88ED-5D4BBC5FA436}" destId="{27EF33B7-348E-E546-BA5E-E256610010E3}" srcOrd="1" destOrd="0" presId="urn:microsoft.com/office/officeart/2005/8/layout/hProcess6"/>
    <dgm:cxn modelId="{3334AFE0-E815-C441-9147-BE9855874E61}" type="presParOf" srcId="{D6C4C133-655C-694D-88ED-5D4BBC5FA436}" destId="{393DE5D6-830A-DC4C-A0CF-C06C10224A8E}" srcOrd="2" destOrd="0" presId="urn:microsoft.com/office/officeart/2005/8/layout/hProcess6"/>
    <dgm:cxn modelId="{5671DCAE-C173-1549-82F7-62F111237CBF}" type="presParOf" srcId="{D6C4C133-655C-694D-88ED-5D4BBC5FA436}" destId="{47C99714-E8C4-4A45-A9FF-1E3E6A63829B}" srcOrd="3" destOrd="0" presId="urn:microsoft.com/office/officeart/2005/8/layout/hProcess6"/>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EB921CF-976B-1248-A10F-D009CDFB38F5}" type="doc">
      <dgm:prSet loTypeId="urn:microsoft.com/office/officeart/2005/8/layout/hChevron3" loCatId="" qsTypeId="urn:microsoft.com/office/officeart/2005/8/quickstyle/simple4" qsCatId="simple" csTypeId="urn:microsoft.com/office/officeart/2005/8/colors/colorful3" csCatId="colorful" phldr="1"/>
      <dgm:spPr/>
    </dgm:pt>
    <dgm:pt modelId="{E93F834E-9B01-834E-BA5A-9AC0A73E2AD1}">
      <dgm:prSet phldrT="[Text]"/>
      <dgm:spPr>
        <a:xfrm>
          <a:off x="2916" y="0"/>
          <a:ext cx="2550212" cy="230505"/>
        </a:xfrm>
        <a:prstGeom prst="homePlat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LIFT</a:t>
          </a:r>
        </a:p>
      </dgm:t>
    </dgm:pt>
    <dgm:pt modelId="{8F37C151-E27F-F843-9D14-926C0FAC375C}" type="parTrans" cxnId="{BD655F00-A1C8-3646-80F0-E42D4B80B006}">
      <dgm:prSet/>
      <dgm:spPr/>
      <dgm:t>
        <a:bodyPr/>
        <a:lstStyle/>
        <a:p>
          <a:endParaRPr lang="en-US">
            <a:latin typeface="Arial" panose="020B0604020202020204" pitchFamily="34" charset="0"/>
            <a:cs typeface="Arial" panose="020B0604020202020204" pitchFamily="34" charset="0"/>
          </a:endParaRPr>
        </a:p>
      </dgm:t>
    </dgm:pt>
    <dgm:pt modelId="{118D90B3-B1FD-654A-8082-6B7B21A021E6}" type="sibTrans" cxnId="{BD655F00-A1C8-3646-80F0-E42D4B80B006}">
      <dgm:prSet/>
      <dgm:spPr/>
      <dgm:t>
        <a:bodyPr/>
        <a:lstStyle/>
        <a:p>
          <a:endParaRPr lang="en-US">
            <a:latin typeface="Arial" panose="020B0604020202020204" pitchFamily="34" charset="0"/>
            <a:cs typeface="Arial" panose="020B0604020202020204" pitchFamily="34" charset="0"/>
          </a:endParaRPr>
        </a:p>
      </dgm:t>
    </dgm:pt>
    <dgm:pt modelId="{2C6100B2-8A80-0B43-9DFF-57236E8768B4}">
      <dgm:prSet phldrT="[Text]"/>
      <dgm:spPr>
        <a:xfrm>
          <a:off x="2043086" y="0"/>
          <a:ext cx="2550212" cy="230505"/>
        </a:xfrm>
        <a:prstGeom prst="chevron">
          <a:avLst/>
        </a:prstGeom>
        <a:solidFill>
          <a:srgbClr val="5482AB"/>
        </a:solidFill>
        <a:ln>
          <a:noFill/>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LIFT/REACH</a:t>
          </a:r>
        </a:p>
      </dgm:t>
    </dgm:pt>
    <dgm:pt modelId="{7EFA995F-BF74-FE4E-9CC6-6F2D53934A9B}" type="parTrans" cxnId="{C49B28CB-4473-7547-849C-383FFCB4EECF}">
      <dgm:prSet/>
      <dgm:spPr/>
      <dgm:t>
        <a:bodyPr/>
        <a:lstStyle/>
        <a:p>
          <a:endParaRPr lang="en-US">
            <a:latin typeface="Arial" panose="020B0604020202020204" pitchFamily="34" charset="0"/>
            <a:cs typeface="Arial" panose="020B0604020202020204" pitchFamily="34" charset="0"/>
          </a:endParaRPr>
        </a:p>
      </dgm:t>
    </dgm:pt>
    <dgm:pt modelId="{D66ADE4D-E302-1847-94D8-E7F5A7F92190}" type="sibTrans" cxnId="{C49B28CB-4473-7547-849C-383FFCB4EECF}">
      <dgm:prSet/>
      <dgm:spPr/>
      <dgm:t>
        <a:bodyPr/>
        <a:lstStyle/>
        <a:p>
          <a:endParaRPr lang="en-US">
            <a:latin typeface="Arial" panose="020B0604020202020204" pitchFamily="34" charset="0"/>
            <a:cs typeface="Arial" panose="020B0604020202020204" pitchFamily="34" charset="0"/>
          </a:endParaRPr>
        </a:p>
      </dgm:t>
    </dgm:pt>
    <dgm:pt modelId="{F287FB64-BB73-3B4C-81BF-C2E908EF8988}">
      <dgm:prSet phldrT="[Text]"/>
      <dgm:spPr>
        <a:xfrm>
          <a:off x="4083256" y="0"/>
          <a:ext cx="2550212" cy="230505"/>
        </a:xfrm>
        <a:prstGeom prst="chevron">
          <a:avLst/>
        </a:prstGeom>
        <a:solidFill>
          <a:srgbClr val="003478"/>
        </a:solidFill>
        <a:ln>
          <a:noFill/>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REACH</a:t>
          </a:r>
        </a:p>
      </dgm:t>
    </dgm:pt>
    <dgm:pt modelId="{5444FA35-B6A0-E54C-B68B-B6D33FEE5A0B}" type="parTrans" cxnId="{AC943E46-9C22-7049-BE85-615AF89ED8C2}">
      <dgm:prSet/>
      <dgm:spPr/>
      <dgm:t>
        <a:bodyPr/>
        <a:lstStyle/>
        <a:p>
          <a:endParaRPr lang="en-US">
            <a:latin typeface="Arial" panose="020B0604020202020204" pitchFamily="34" charset="0"/>
            <a:cs typeface="Arial" panose="020B0604020202020204" pitchFamily="34" charset="0"/>
          </a:endParaRPr>
        </a:p>
      </dgm:t>
    </dgm:pt>
    <dgm:pt modelId="{72A79AE3-EFA0-A943-8263-DAB9FBF1F2B3}" type="sibTrans" cxnId="{AC943E46-9C22-7049-BE85-615AF89ED8C2}">
      <dgm:prSet/>
      <dgm:spPr/>
      <dgm:t>
        <a:bodyPr/>
        <a:lstStyle/>
        <a:p>
          <a:endParaRPr lang="en-US">
            <a:latin typeface="Arial" panose="020B0604020202020204" pitchFamily="34" charset="0"/>
            <a:cs typeface="Arial" panose="020B0604020202020204" pitchFamily="34" charset="0"/>
          </a:endParaRPr>
        </a:p>
      </dgm:t>
    </dgm:pt>
    <dgm:pt modelId="{CC81BF0E-0272-F34A-BC1B-D37B71012C4C}" type="pres">
      <dgm:prSet presAssocID="{7EB921CF-976B-1248-A10F-D009CDFB38F5}" presName="Name0" presStyleCnt="0">
        <dgm:presLayoutVars>
          <dgm:dir/>
          <dgm:resizeHandles val="exact"/>
        </dgm:presLayoutVars>
      </dgm:prSet>
      <dgm:spPr/>
    </dgm:pt>
    <dgm:pt modelId="{4340F2AA-C34B-604E-8381-4682852CF19F}" type="pres">
      <dgm:prSet presAssocID="{E93F834E-9B01-834E-BA5A-9AC0A73E2AD1}" presName="parTxOnly" presStyleLbl="node1" presStyleIdx="0" presStyleCnt="3">
        <dgm:presLayoutVars>
          <dgm:bulletEnabled val="1"/>
        </dgm:presLayoutVars>
      </dgm:prSet>
      <dgm:spPr/>
      <dgm:t>
        <a:bodyPr/>
        <a:lstStyle/>
        <a:p>
          <a:endParaRPr lang="en-US"/>
        </a:p>
      </dgm:t>
    </dgm:pt>
    <dgm:pt modelId="{E22FA9A4-3ED5-8841-B378-AB8B893FA7C4}" type="pres">
      <dgm:prSet presAssocID="{118D90B3-B1FD-654A-8082-6B7B21A021E6}" presName="parSpace" presStyleCnt="0"/>
      <dgm:spPr/>
    </dgm:pt>
    <dgm:pt modelId="{447A9489-4826-2C49-904B-74A568BC8F8B}" type="pres">
      <dgm:prSet presAssocID="{2C6100B2-8A80-0B43-9DFF-57236E8768B4}" presName="parTxOnly" presStyleLbl="node1" presStyleIdx="1" presStyleCnt="3">
        <dgm:presLayoutVars>
          <dgm:bulletEnabled val="1"/>
        </dgm:presLayoutVars>
      </dgm:prSet>
      <dgm:spPr/>
      <dgm:t>
        <a:bodyPr/>
        <a:lstStyle/>
        <a:p>
          <a:endParaRPr lang="en-US"/>
        </a:p>
      </dgm:t>
    </dgm:pt>
    <dgm:pt modelId="{DC1F3CD1-F0ED-3A44-8910-BDF7AA016895}" type="pres">
      <dgm:prSet presAssocID="{D66ADE4D-E302-1847-94D8-E7F5A7F92190}" presName="parSpace" presStyleCnt="0"/>
      <dgm:spPr/>
    </dgm:pt>
    <dgm:pt modelId="{F400C3E9-5883-3442-AC49-67B6577E82D6}" type="pres">
      <dgm:prSet presAssocID="{F287FB64-BB73-3B4C-81BF-C2E908EF8988}" presName="parTxOnly" presStyleLbl="node1" presStyleIdx="2" presStyleCnt="3">
        <dgm:presLayoutVars>
          <dgm:bulletEnabled val="1"/>
        </dgm:presLayoutVars>
      </dgm:prSet>
      <dgm:spPr/>
      <dgm:t>
        <a:bodyPr/>
        <a:lstStyle/>
        <a:p>
          <a:endParaRPr lang="en-US"/>
        </a:p>
      </dgm:t>
    </dgm:pt>
  </dgm:ptLst>
  <dgm:cxnLst>
    <dgm:cxn modelId="{BD655F00-A1C8-3646-80F0-E42D4B80B006}" srcId="{7EB921CF-976B-1248-A10F-D009CDFB38F5}" destId="{E93F834E-9B01-834E-BA5A-9AC0A73E2AD1}" srcOrd="0" destOrd="0" parTransId="{8F37C151-E27F-F843-9D14-926C0FAC375C}" sibTransId="{118D90B3-B1FD-654A-8082-6B7B21A021E6}"/>
    <dgm:cxn modelId="{3B63B955-20A9-9F4C-BC53-F5C512748D82}" type="presOf" srcId="{E93F834E-9B01-834E-BA5A-9AC0A73E2AD1}" destId="{4340F2AA-C34B-604E-8381-4682852CF19F}" srcOrd="0" destOrd="0" presId="urn:microsoft.com/office/officeart/2005/8/layout/hChevron3"/>
    <dgm:cxn modelId="{5F29146C-2D99-D548-94A2-C69765C57054}" type="presOf" srcId="{F287FB64-BB73-3B4C-81BF-C2E908EF8988}" destId="{F400C3E9-5883-3442-AC49-67B6577E82D6}" srcOrd="0" destOrd="0" presId="urn:microsoft.com/office/officeart/2005/8/layout/hChevron3"/>
    <dgm:cxn modelId="{232CB306-2A87-4948-94DE-71771BAEC9A1}" type="presOf" srcId="{7EB921CF-976B-1248-A10F-D009CDFB38F5}" destId="{CC81BF0E-0272-F34A-BC1B-D37B71012C4C}" srcOrd="0" destOrd="0" presId="urn:microsoft.com/office/officeart/2005/8/layout/hChevron3"/>
    <dgm:cxn modelId="{09D50D5F-15D8-2B4E-B4F2-5F7EB1F77E51}" type="presOf" srcId="{2C6100B2-8A80-0B43-9DFF-57236E8768B4}" destId="{447A9489-4826-2C49-904B-74A568BC8F8B}" srcOrd="0" destOrd="0" presId="urn:microsoft.com/office/officeart/2005/8/layout/hChevron3"/>
    <dgm:cxn modelId="{C49B28CB-4473-7547-849C-383FFCB4EECF}" srcId="{7EB921CF-976B-1248-A10F-D009CDFB38F5}" destId="{2C6100B2-8A80-0B43-9DFF-57236E8768B4}" srcOrd="1" destOrd="0" parTransId="{7EFA995F-BF74-FE4E-9CC6-6F2D53934A9B}" sibTransId="{D66ADE4D-E302-1847-94D8-E7F5A7F92190}"/>
    <dgm:cxn modelId="{AC943E46-9C22-7049-BE85-615AF89ED8C2}" srcId="{7EB921CF-976B-1248-A10F-D009CDFB38F5}" destId="{F287FB64-BB73-3B4C-81BF-C2E908EF8988}" srcOrd="2" destOrd="0" parTransId="{5444FA35-B6A0-E54C-B68B-B6D33FEE5A0B}" sibTransId="{72A79AE3-EFA0-A943-8263-DAB9FBF1F2B3}"/>
    <dgm:cxn modelId="{907034C4-2ABA-1345-AF01-1E81643A24BB}" type="presParOf" srcId="{CC81BF0E-0272-F34A-BC1B-D37B71012C4C}" destId="{4340F2AA-C34B-604E-8381-4682852CF19F}" srcOrd="0" destOrd="0" presId="urn:microsoft.com/office/officeart/2005/8/layout/hChevron3"/>
    <dgm:cxn modelId="{687B8BD5-7B73-EA4C-9AE0-61ABA140BA86}" type="presParOf" srcId="{CC81BF0E-0272-F34A-BC1B-D37B71012C4C}" destId="{E22FA9A4-3ED5-8841-B378-AB8B893FA7C4}" srcOrd="1" destOrd="0" presId="urn:microsoft.com/office/officeart/2005/8/layout/hChevron3"/>
    <dgm:cxn modelId="{0CAD5355-2701-6941-9570-5C75EE8DE4CE}" type="presParOf" srcId="{CC81BF0E-0272-F34A-BC1B-D37B71012C4C}" destId="{447A9489-4826-2C49-904B-74A568BC8F8B}" srcOrd="2" destOrd="0" presId="urn:microsoft.com/office/officeart/2005/8/layout/hChevron3"/>
    <dgm:cxn modelId="{6FA9CEC0-013B-3842-956E-0DD6493FBFB2}" type="presParOf" srcId="{CC81BF0E-0272-F34A-BC1B-D37B71012C4C}" destId="{DC1F3CD1-F0ED-3A44-8910-BDF7AA016895}" srcOrd="3" destOrd="0" presId="urn:microsoft.com/office/officeart/2005/8/layout/hChevron3"/>
    <dgm:cxn modelId="{CD9C6EBE-D204-624E-88E9-BA761C08AB16}" type="presParOf" srcId="{CC81BF0E-0272-F34A-BC1B-D37B71012C4C}" destId="{F400C3E9-5883-3442-AC49-67B6577E82D6}" srcOrd="4" destOrd="0" presId="urn:microsoft.com/office/officeart/2005/8/layout/hChevron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690277-D756-47FB-A870-F5252809F499}">
      <dsp:nvSpPr>
        <dsp:cNvPr id="0" name=""/>
        <dsp:cNvSpPr/>
      </dsp:nvSpPr>
      <dsp:spPr>
        <a:xfrm>
          <a:off x="687406" y="134713"/>
          <a:ext cx="340470" cy="340470"/>
        </a:xfrm>
        <a:prstGeom prst="rect">
          <a:avLst/>
        </a:prstGeom>
        <a:blipFill>
          <a:blip xmlns:r="http://schemas.openxmlformats.org/officeDocument/2006/relationships" r:embed="rId1">
            <a:extLst>
              <a:ext uri="{28A0092B-C50C-407E-A947-70E740481C1C}">
                <a14:useLocalDpi xmlns:a14="http://schemas.microsoft.com/office/drawing/2010/main" val="0"/>
              </a:ext>
              <a:ext uri="{837473B0-CC2E-450A-ABE3-18F120FF3D39}">
                <a1611:picAttrSrcUrl xmlns="" xmlns:a1611="http://schemas.microsoft.com/office/drawing/2016/11/main" r:id="rId2"/>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953FB402-5707-4218-818E-F7320A264F85}">
      <dsp:nvSpPr>
        <dsp:cNvPr id="0" name=""/>
        <dsp:cNvSpPr/>
      </dsp:nvSpPr>
      <dsp:spPr>
        <a:xfrm>
          <a:off x="3125" y="641393"/>
          <a:ext cx="1709032" cy="2563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488950">
            <a:lnSpc>
              <a:spcPct val="90000"/>
            </a:lnSpc>
            <a:spcBef>
              <a:spcPct val="0"/>
            </a:spcBef>
            <a:spcAft>
              <a:spcPct val="35000"/>
            </a:spcAft>
            <a:defRPr b="1"/>
          </a:pPr>
          <a:r>
            <a:rPr lang="en-NZ" sz="1100" kern="1200">
              <a:solidFill>
                <a:schemeClr val="bg1">
                  <a:lumMod val="50000"/>
                </a:schemeClr>
              </a:solidFill>
              <a:latin typeface="Arial" panose="020B0604020202020204" pitchFamily="34" charset="0"/>
              <a:cs typeface="Arial" panose="020B0604020202020204" pitchFamily="34" charset="0"/>
            </a:rPr>
            <a:t>APHEDA</a:t>
          </a:r>
          <a:endParaRPr lang="en-US" sz="1100" kern="1200">
            <a:solidFill>
              <a:schemeClr val="bg1">
                <a:lumMod val="50000"/>
              </a:schemeClr>
            </a:solidFill>
            <a:latin typeface="Arial" panose="020B0604020202020204" pitchFamily="34" charset="0"/>
            <a:cs typeface="Arial" panose="020B0604020202020204" pitchFamily="34" charset="0"/>
          </a:endParaRPr>
        </a:p>
      </dsp:txBody>
      <dsp:txXfrm>
        <a:off x="3125" y="641393"/>
        <a:ext cx="1709032" cy="256354"/>
      </dsp:txXfrm>
    </dsp:sp>
    <dsp:sp modelId="{78F0F544-9473-42C3-A6DE-3D174BD654D5}">
      <dsp:nvSpPr>
        <dsp:cNvPr id="0" name=""/>
        <dsp:cNvSpPr/>
      </dsp:nvSpPr>
      <dsp:spPr>
        <a:xfrm>
          <a:off x="3125" y="949284"/>
          <a:ext cx="1709032" cy="1706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444500">
            <a:lnSpc>
              <a:spcPct val="90000"/>
            </a:lnSpc>
            <a:spcBef>
              <a:spcPct val="0"/>
            </a:spcBef>
            <a:spcAft>
              <a:spcPct val="35000"/>
            </a:spcAft>
          </a:pPr>
          <a:r>
            <a:rPr lang="en-NZ" sz="1000" b="1" kern="1200">
              <a:solidFill>
                <a:schemeClr val="bg1">
                  <a:lumMod val="50000"/>
                </a:schemeClr>
              </a:solidFill>
              <a:latin typeface="Arial" panose="020B0604020202020204" pitchFamily="34" charset="0"/>
              <a:cs typeface="Arial" panose="020B0604020202020204" pitchFamily="34" charset="0"/>
            </a:rPr>
            <a:t>MA’AN Development Center </a:t>
          </a:r>
          <a:r>
            <a:rPr lang="en-NZ" sz="1000" kern="1200">
              <a:solidFill>
                <a:schemeClr val="bg1">
                  <a:lumMod val="50000"/>
                </a:schemeClr>
              </a:solidFill>
              <a:latin typeface="Arial" panose="020B0604020202020204" pitchFamily="34" charset="0"/>
              <a:cs typeface="Arial" panose="020B0604020202020204" pitchFamily="34" charset="0"/>
            </a:rPr>
            <a:t>(environment, agriculture, youth)</a:t>
          </a:r>
          <a:endParaRPr lang="en-US" sz="1000" kern="1200">
            <a:solidFill>
              <a:schemeClr val="bg1">
                <a:lumMod val="50000"/>
              </a:schemeClr>
            </a:solidFill>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r>
            <a:rPr lang="en-NZ" sz="1000" b="1" kern="1200">
              <a:solidFill>
                <a:schemeClr val="bg1">
                  <a:lumMod val="50000"/>
                </a:schemeClr>
              </a:solidFill>
              <a:latin typeface="Arial" panose="020B0604020202020204" pitchFamily="34" charset="0"/>
              <a:cs typeface="Arial" panose="020B0604020202020204" pitchFamily="34" charset="0"/>
            </a:rPr>
            <a:t>Institute for Community Partnership, Bethlehem University </a:t>
          </a:r>
          <a:r>
            <a:rPr lang="en-NZ" sz="1000" kern="1200">
              <a:solidFill>
                <a:schemeClr val="bg1">
                  <a:lumMod val="50000"/>
                </a:schemeClr>
              </a:solidFill>
              <a:latin typeface="Arial" panose="020B0604020202020204" pitchFamily="34" charset="0"/>
              <a:cs typeface="Arial" panose="020B0604020202020204" pitchFamily="34" charset="0"/>
            </a:rPr>
            <a:t>(youth, marketing, standards, business plans)</a:t>
          </a:r>
          <a:endParaRPr lang="en-US" sz="1000" kern="1200">
            <a:solidFill>
              <a:schemeClr val="bg1">
                <a:lumMod val="50000"/>
              </a:schemeClr>
            </a:solidFill>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r>
            <a:rPr lang="en-NZ" sz="1000" b="1" kern="1200">
              <a:solidFill>
                <a:schemeClr val="bg1">
                  <a:lumMod val="50000"/>
                </a:schemeClr>
              </a:solidFill>
              <a:latin typeface="Arial" panose="020B0604020202020204" pitchFamily="34" charset="0"/>
              <a:cs typeface="Arial" panose="020B0604020202020204" pitchFamily="34" charset="0"/>
            </a:rPr>
            <a:t>Palestinian Businesswomen’s Association </a:t>
          </a:r>
          <a:r>
            <a:rPr lang="en-NZ" sz="1000" kern="1200">
              <a:solidFill>
                <a:schemeClr val="bg1">
                  <a:lumMod val="50000"/>
                </a:schemeClr>
              </a:solidFill>
              <a:latin typeface="Arial" panose="020B0604020202020204" pitchFamily="34" charset="0"/>
              <a:cs typeface="Arial" panose="020B0604020202020204" pitchFamily="34" charset="0"/>
            </a:rPr>
            <a:t>(ASALA) (women’s empowerment, training, microfinance)</a:t>
          </a:r>
          <a:endParaRPr lang="en-US" sz="1000" kern="1200">
            <a:solidFill>
              <a:schemeClr val="bg1">
                <a:lumMod val="50000"/>
              </a:schemeClr>
            </a:solidFill>
            <a:latin typeface="Arial" panose="020B0604020202020204" pitchFamily="34" charset="0"/>
            <a:cs typeface="Arial" panose="020B0604020202020204" pitchFamily="34" charset="0"/>
          </a:endParaRPr>
        </a:p>
      </dsp:txBody>
      <dsp:txXfrm>
        <a:off x="3125" y="949284"/>
        <a:ext cx="1709032" cy="1706826"/>
      </dsp:txXfrm>
    </dsp:sp>
    <dsp:sp modelId="{2AA27DE6-9A7A-4EEF-8365-6011E434A0C6}">
      <dsp:nvSpPr>
        <dsp:cNvPr id="0" name=""/>
        <dsp:cNvSpPr/>
      </dsp:nvSpPr>
      <dsp:spPr>
        <a:xfrm>
          <a:off x="2640113" y="107010"/>
          <a:ext cx="451282" cy="451282"/>
        </a:xfrm>
        <a:prstGeom prst="rect">
          <a:avLst/>
        </a:prstGeom>
        <a:blipFill>
          <a:blip xmlns:r="http://schemas.openxmlformats.org/officeDocument/2006/relationships" r:embed="rId3">
            <a:extLst>
              <a:ext uri="{28A0092B-C50C-407E-A947-70E740481C1C}">
                <a14:useLocalDpi xmlns:a14="http://schemas.microsoft.com/office/drawing/2010/main" val="0"/>
              </a:ext>
              <a:ext uri="{837473B0-CC2E-450A-ABE3-18F120FF3D39}">
                <a1611:picAttrSrcUrl xmlns="" xmlns:a1611="http://schemas.microsoft.com/office/drawing/2016/11/main" r:id="rId4"/>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3F4A1139-FF39-4D91-A7FD-9A3575495649}">
      <dsp:nvSpPr>
        <dsp:cNvPr id="0" name=""/>
        <dsp:cNvSpPr/>
      </dsp:nvSpPr>
      <dsp:spPr>
        <a:xfrm>
          <a:off x="2011238" y="669096"/>
          <a:ext cx="1709032" cy="2563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488950">
            <a:lnSpc>
              <a:spcPct val="90000"/>
            </a:lnSpc>
            <a:spcBef>
              <a:spcPct val="0"/>
            </a:spcBef>
            <a:spcAft>
              <a:spcPct val="35000"/>
            </a:spcAft>
            <a:defRPr b="1"/>
          </a:pPr>
          <a:r>
            <a:rPr lang="en-NZ" sz="1100" kern="1200">
              <a:solidFill>
                <a:schemeClr val="bg1">
                  <a:lumMod val="50000"/>
                </a:schemeClr>
              </a:solidFill>
              <a:latin typeface="Arial" panose="020B0604020202020204" pitchFamily="34" charset="0"/>
              <a:cs typeface="Arial" panose="020B0604020202020204" pitchFamily="34" charset="0"/>
            </a:rPr>
            <a:t>CARE</a:t>
          </a:r>
          <a:endParaRPr lang="en-US" sz="1100" kern="1200">
            <a:solidFill>
              <a:schemeClr val="bg1">
                <a:lumMod val="50000"/>
              </a:schemeClr>
            </a:solidFill>
            <a:latin typeface="Arial" panose="020B0604020202020204" pitchFamily="34" charset="0"/>
            <a:cs typeface="Arial" panose="020B0604020202020204" pitchFamily="34" charset="0"/>
          </a:endParaRPr>
        </a:p>
      </dsp:txBody>
      <dsp:txXfrm>
        <a:off x="2011238" y="669096"/>
        <a:ext cx="1709032" cy="256354"/>
      </dsp:txXfrm>
    </dsp:sp>
    <dsp:sp modelId="{5578BEC8-AB4E-426B-8214-DED350975065}">
      <dsp:nvSpPr>
        <dsp:cNvPr id="0" name=""/>
        <dsp:cNvSpPr/>
      </dsp:nvSpPr>
      <dsp:spPr>
        <a:xfrm>
          <a:off x="2011238" y="976987"/>
          <a:ext cx="1709032" cy="1706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444500">
            <a:lnSpc>
              <a:spcPct val="90000"/>
            </a:lnSpc>
            <a:spcBef>
              <a:spcPct val="0"/>
            </a:spcBef>
            <a:spcAft>
              <a:spcPct val="35000"/>
            </a:spcAft>
          </a:pPr>
          <a:r>
            <a:rPr lang="en-US" sz="1000" b="1" kern="1200">
              <a:solidFill>
                <a:schemeClr val="bg1">
                  <a:lumMod val="50000"/>
                </a:schemeClr>
              </a:solidFill>
              <a:latin typeface="Arial" panose="020B0604020202020204" pitchFamily="34" charset="0"/>
              <a:cs typeface="Arial" panose="020B0604020202020204" pitchFamily="34" charset="0"/>
            </a:rPr>
            <a:t>Applied Research Institute in Jerusalem </a:t>
          </a:r>
          <a:r>
            <a:rPr lang="en-US" sz="1000" kern="1200">
              <a:solidFill>
                <a:schemeClr val="bg1">
                  <a:lumMod val="50000"/>
                </a:schemeClr>
              </a:solidFill>
              <a:latin typeface="Arial" panose="020B0604020202020204" pitchFamily="34" charset="0"/>
              <a:cs typeface="Arial" panose="020B0604020202020204" pitchFamily="34" charset="0"/>
            </a:rPr>
            <a:t>(ARIJ) (Agriculture, communities, and value chains)</a:t>
          </a:r>
        </a:p>
        <a:p>
          <a:pPr lvl="0" algn="ctr" defTabSz="444500">
            <a:lnSpc>
              <a:spcPct val="90000"/>
            </a:lnSpc>
            <a:spcBef>
              <a:spcPct val="0"/>
            </a:spcBef>
            <a:spcAft>
              <a:spcPct val="35000"/>
            </a:spcAft>
          </a:pPr>
          <a:r>
            <a:rPr lang="en-US" sz="1000" b="1" kern="1200">
              <a:solidFill>
                <a:schemeClr val="bg1">
                  <a:lumMod val="50000"/>
                </a:schemeClr>
              </a:solidFill>
              <a:latin typeface="Arial" panose="020B0604020202020204" pitchFamily="34" charset="0"/>
              <a:cs typeface="Arial" panose="020B0604020202020204" pitchFamily="34" charset="0"/>
            </a:rPr>
            <a:t>International Centre for Agricultural Research in Dry Areas</a:t>
          </a:r>
          <a:r>
            <a:rPr lang="en-US" sz="1000" kern="1200">
              <a:solidFill>
                <a:schemeClr val="bg1">
                  <a:lumMod val="50000"/>
                </a:schemeClr>
              </a:solidFill>
              <a:latin typeface="Arial" panose="020B0604020202020204" pitchFamily="34" charset="0"/>
              <a:cs typeface="Arial" panose="020B0604020202020204" pitchFamily="34" charset="0"/>
            </a:rPr>
            <a:t> (ICARDA) (innovation and agricultural solutions)</a:t>
          </a:r>
        </a:p>
      </dsp:txBody>
      <dsp:txXfrm>
        <a:off x="2011238" y="976987"/>
        <a:ext cx="1709032" cy="1706826"/>
      </dsp:txXfrm>
    </dsp:sp>
    <dsp:sp modelId="{98D68D6F-6DF3-459A-A905-68EAB95AC469}">
      <dsp:nvSpPr>
        <dsp:cNvPr id="0" name=""/>
        <dsp:cNvSpPr/>
      </dsp:nvSpPr>
      <dsp:spPr>
        <a:xfrm>
          <a:off x="4648226" y="107010"/>
          <a:ext cx="451282" cy="451282"/>
        </a:xfrm>
        <a:prstGeom prst="rect">
          <a:avLst/>
        </a:prstGeom>
        <a:blipFill>
          <a:blip xmlns:r="http://schemas.openxmlformats.org/officeDocument/2006/relationships" r:embed="rId5">
            <a:extLst>
              <a:ext uri="{837473B0-CC2E-450A-ABE3-18F120FF3D39}">
                <a1611:picAttrSrcUrl xmlns="" xmlns:a1611="http://schemas.microsoft.com/office/drawing/2016/11/main" r:id="rId6"/>
              </a:ext>
            </a:extLst>
          </a:blip>
          <a:srcRect/>
          <a:stretch>
            <a:fillRect l="-3000" r="-3000"/>
          </a:stretch>
        </a:blip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ACE37E9A-60B3-4CEC-A3F8-5A187B8CBF89}">
      <dsp:nvSpPr>
        <dsp:cNvPr id="0" name=""/>
        <dsp:cNvSpPr/>
      </dsp:nvSpPr>
      <dsp:spPr>
        <a:xfrm>
          <a:off x="4019351" y="669096"/>
          <a:ext cx="1709032" cy="2563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488950">
            <a:lnSpc>
              <a:spcPct val="90000"/>
            </a:lnSpc>
            <a:spcBef>
              <a:spcPct val="0"/>
            </a:spcBef>
            <a:spcAft>
              <a:spcPct val="35000"/>
            </a:spcAft>
            <a:defRPr b="1"/>
          </a:pPr>
          <a:r>
            <a:rPr lang="en-US" sz="1100" kern="1200">
              <a:solidFill>
                <a:schemeClr val="bg1">
                  <a:lumMod val="50000"/>
                </a:schemeClr>
              </a:solidFill>
              <a:latin typeface="Arial" panose="020B0604020202020204" pitchFamily="34" charset="0"/>
              <a:cs typeface="Arial" panose="020B0604020202020204" pitchFamily="34" charset="0"/>
            </a:rPr>
            <a:t>Oxfam</a:t>
          </a:r>
        </a:p>
      </dsp:txBody>
      <dsp:txXfrm>
        <a:off x="4019351" y="669096"/>
        <a:ext cx="1709032" cy="256354"/>
      </dsp:txXfrm>
    </dsp:sp>
    <dsp:sp modelId="{399322BA-AC33-4409-A742-44EA7669497B}">
      <dsp:nvSpPr>
        <dsp:cNvPr id="0" name=""/>
        <dsp:cNvSpPr/>
      </dsp:nvSpPr>
      <dsp:spPr>
        <a:xfrm>
          <a:off x="4019351" y="976987"/>
          <a:ext cx="1709032" cy="1706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444500">
            <a:lnSpc>
              <a:spcPct val="90000"/>
            </a:lnSpc>
            <a:spcBef>
              <a:spcPct val="0"/>
            </a:spcBef>
            <a:spcAft>
              <a:spcPct val="35000"/>
            </a:spcAft>
          </a:pPr>
          <a:r>
            <a:rPr lang="en-US" sz="1000" b="1" kern="1200" dirty="0">
              <a:solidFill>
                <a:schemeClr val="bg1">
                  <a:lumMod val="50000"/>
                </a:schemeClr>
              </a:solidFill>
              <a:latin typeface="Arial" panose="020B0604020202020204" pitchFamily="34" charset="0"/>
              <a:cs typeface="Arial" panose="020B0604020202020204" pitchFamily="34" charset="0"/>
            </a:rPr>
            <a:t>Agricultural Development Association </a:t>
          </a:r>
          <a:r>
            <a:rPr lang="en-US" sz="1000" kern="1200" dirty="0">
              <a:solidFill>
                <a:schemeClr val="bg1">
                  <a:lumMod val="50000"/>
                </a:schemeClr>
              </a:solidFill>
              <a:latin typeface="Arial" panose="020B0604020202020204" pitchFamily="34" charset="0"/>
              <a:cs typeface="Arial" panose="020B0604020202020204" pitchFamily="34" charset="0"/>
            </a:rPr>
            <a:t>(PARC) (agricultural development)</a:t>
          </a:r>
        </a:p>
        <a:p>
          <a:pPr lvl="0" algn="ctr" defTabSz="444500">
            <a:lnSpc>
              <a:spcPct val="90000"/>
            </a:lnSpc>
            <a:spcBef>
              <a:spcPct val="0"/>
            </a:spcBef>
            <a:spcAft>
              <a:spcPct val="35000"/>
            </a:spcAft>
          </a:pPr>
          <a:r>
            <a:rPr lang="en-US" sz="1000" b="1" kern="1200" dirty="0">
              <a:solidFill>
                <a:schemeClr val="bg1">
                  <a:lumMod val="50000"/>
                </a:schemeClr>
              </a:solidFill>
              <a:latin typeface="Arial" panose="020B0604020202020204" pitchFamily="34" charset="0"/>
              <a:cs typeface="Arial" panose="020B0604020202020204" pitchFamily="34" charset="0"/>
            </a:rPr>
            <a:t>Rural Women’s Development Society </a:t>
          </a:r>
          <a:r>
            <a:rPr lang="en-US" sz="1000" kern="1200" dirty="0">
              <a:solidFill>
                <a:schemeClr val="bg1">
                  <a:lumMod val="50000"/>
                </a:schemeClr>
              </a:solidFill>
              <a:latin typeface="Arial" panose="020B0604020202020204" pitchFamily="34" charset="0"/>
              <a:cs typeface="Arial" panose="020B0604020202020204" pitchFamily="34" charset="0"/>
            </a:rPr>
            <a:t>(RWDS) (Women and youth’s economic empowerment)</a:t>
          </a:r>
        </a:p>
        <a:p>
          <a:pPr lvl="0" algn="ctr" defTabSz="444500">
            <a:lnSpc>
              <a:spcPct val="90000"/>
            </a:lnSpc>
            <a:spcBef>
              <a:spcPct val="0"/>
            </a:spcBef>
            <a:spcAft>
              <a:spcPct val="35000"/>
            </a:spcAft>
          </a:pPr>
          <a:r>
            <a:rPr lang="en-US" sz="1000" b="1" kern="1200">
              <a:solidFill>
                <a:schemeClr val="bg1">
                  <a:lumMod val="50000"/>
                </a:schemeClr>
              </a:solidFill>
              <a:latin typeface="Arial" panose="020B0604020202020204" pitchFamily="34" charset="0"/>
              <a:cs typeface="Arial" panose="020B0604020202020204" pitchFamily="34" charset="0"/>
            </a:rPr>
            <a:t>Palestinian Livestock Development Centre </a:t>
          </a:r>
          <a:r>
            <a:rPr lang="en-US" sz="1000" kern="1200">
              <a:solidFill>
                <a:schemeClr val="bg1">
                  <a:lumMod val="50000"/>
                </a:schemeClr>
              </a:solidFill>
              <a:latin typeface="Arial" panose="020B0604020202020204" pitchFamily="34" charset="0"/>
              <a:cs typeface="Arial" panose="020B0604020202020204" pitchFamily="34" charset="0"/>
            </a:rPr>
            <a:t>(PLDC) (Small ruminants and livestock development)</a:t>
          </a:r>
        </a:p>
      </dsp:txBody>
      <dsp:txXfrm>
        <a:off x="4019351" y="976987"/>
        <a:ext cx="1709032" cy="17068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E712CD-292F-CC40-9911-0ECBE7F0F1D1}">
      <dsp:nvSpPr>
        <dsp:cNvPr id="0" name=""/>
        <dsp:cNvSpPr/>
      </dsp:nvSpPr>
      <dsp:spPr>
        <a:xfrm>
          <a:off x="250261" y="213511"/>
          <a:ext cx="989729" cy="865148"/>
        </a:xfrm>
        <a:prstGeom prst="rightArrow">
          <a:avLst>
            <a:gd name="adj1" fmla="val 70000"/>
            <a:gd name="adj2" fmla="val 50000"/>
          </a:avLst>
        </a:prstGeom>
        <a:solidFill>
          <a:srgbClr val="A5A5A5">
            <a:tint val="40000"/>
            <a:alpha val="90000"/>
            <a:hueOff val="0"/>
            <a:satOff val="0"/>
            <a:lumOff val="0"/>
            <a:alphaOff val="0"/>
          </a:srgb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6350" bIns="3175" numCol="1" spcCol="1270" anchor="ctr" anchorCtr="0">
          <a:noAutofit/>
        </a:bodyPr>
        <a:lstStyle/>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silage</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Lamb feeding practices</a:t>
          </a:r>
        </a:p>
      </dsp:txBody>
      <dsp:txXfrm>
        <a:off x="497694" y="343283"/>
        <a:ext cx="482493" cy="605604"/>
      </dsp:txXfrm>
    </dsp:sp>
    <dsp:sp modelId="{9966CB5F-AC70-274B-8767-01BD11DF8D97}">
      <dsp:nvSpPr>
        <dsp:cNvPr id="0" name=""/>
        <dsp:cNvSpPr/>
      </dsp:nvSpPr>
      <dsp:spPr>
        <a:xfrm>
          <a:off x="2829" y="398653"/>
          <a:ext cx="494864" cy="494864"/>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n-US" sz="500" kern="1200">
              <a:solidFill>
                <a:sysClr val="window" lastClr="FFFFFF"/>
              </a:solidFill>
              <a:latin typeface="Arial" panose="020B0604020202020204" pitchFamily="34" charset="0"/>
              <a:ea typeface="+mn-ea"/>
              <a:cs typeface="Arial" panose="020B0604020202020204" pitchFamily="34" charset="0"/>
            </a:rPr>
            <a:t>Improved Production</a:t>
          </a:r>
        </a:p>
      </dsp:txBody>
      <dsp:txXfrm>
        <a:off x="75300" y="471124"/>
        <a:ext cx="349922" cy="349922"/>
      </dsp:txXfrm>
    </dsp:sp>
    <dsp:sp modelId="{4CF26383-567F-C841-B789-36B965288F7F}">
      <dsp:nvSpPr>
        <dsp:cNvPr id="0" name=""/>
        <dsp:cNvSpPr/>
      </dsp:nvSpPr>
      <dsp:spPr>
        <a:xfrm>
          <a:off x="1549281" y="213511"/>
          <a:ext cx="989729" cy="865148"/>
        </a:xfrm>
        <a:prstGeom prst="rightArrow">
          <a:avLst>
            <a:gd name="adj1" fmla="val 70000"/>
            <a:gd name="adj2" fmla="val 50000"/>
          </a:avLst>
        </a:prstGeom>
        <a:solidFill>
          <a:srgbClr val="E3EAF1">
            <a:alpha val="89804"/>
          </a:srgb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6350" bIns="3175" numCol="1" spcCol="1270" anchor="ctr" anchorCtr="0">
          <a:noAutofit/>
        </a:bodyPr>
        <a:lstStyle/>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Transformed CBO</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Women's agency training</a:t>
          </a:r>
        </a:p>
      </dsp:txBody>
      <dsp:txXfrm>
        <a:off x="1796714" y="343283"/>
        <a:ext cx="482493" cy="605604"/>
      </dsp:txXfrm>
    </dsp:sp>
    <dsp:sp modelId="{1AC0EF48-AE78-C442-9B92-371C16786ABA}">
      <dsp:nvSpPr>
        <dsp:cNvPr id="0" name=""/>
        <dsp:cNvSpPr/>
      </dsp:nvSpPr>
      <dsp:spPr>
        <a:xfrm>
          <a:off x="1301849" y="398653"/>
          <a:ext cx="494864" cy="494864"/>
        </a:xfrm>
        <a:prstGeom prst="ellipse">
          <a:avLst/>
        </a:prstGeom>
        <a:solidFill>
          <a:srgbClr val="B9CCDD"/>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n-US" sz="500" kern="1200">
              <a:solidFill>
                <a:sysClr val="window" lastClr="FFFFFF"/>
              </a:solidFill>
              <a:latin typeface="Arial" panose="020B0604020202020204" pitchFamily="34" charset="0"/>
              <a:ea typeface="+mn-ea"/>
              <a:cs typeface="Arial" panose="020B0604020202020204" pitchFamily="34" charset="0"/>
            </a:rPr>
            <a:t>Aggregation &amp; Empower-ment</a:t>
          </a:r>
        </a:p>
      </dsp:txBody>
      <dsp:txXfrm>
        <a:off x="1374320" y="471124"/>
        <a:ext cx="349922" cy="349922"/>
      </dsp:txXfrm>
    </dsp:sp>
    <dsp:sp modelId="{15A98001-2976-1F46-AAFC-4E7D52125816}">
      <dsp:nvSpPr>
        <dsp:cNvPr id="0" name=""/>
        <dsp:cNvSpPr/>
      </dsp:nvSpPr>
      <dsp:spPr>
        <a:xfrm>
          <a:off x="2848301" y="213511"/>
          <a:ext cx="989729" cy="865148"/>
        </a:xfrm>
        <a:prstGeom prst="rightArrow">
          <a:avLst>
            <a:gd name="adj1" fmla="val 70000"/>
            <a:gd name="adj2" fmla="val 50000"/>
          </a:avLst>
        </a:prstGeom>
        <a:solidFill>
          <a:srgbClr val="B9CCDD">
            <a:alpha val="90000"/>
          </a:srgb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6350" bIns="3175" numCol="1" spcCol="1270" anchor="ctr" anchorCtr="0">
          <a:noAutofit/>
        </a:bodyPr>
        <a:lstStyle/>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Cost-share refrigerated collection hub</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Testing facilities &amp; training</a:t>
          </a:r>
        </a:p>
      </dsp:txBody>
      <dsp:txXfrm>
        <a:off x="3095733" y="343283"/>
        <a:ext cx="482493" cy="605604"/>
      </dsp:txXfrm>
    </dsp:sp>
    <dsp:sp modelId="{F2FE9673-D2DE-434D-90BF-A651EFCF0180}">
      <dsp:nvSpPr>
        <dsp:cNvPr id="0" name=""/>
        <dsp:cNvSpPr/>
      </dsp:nvSpPr>
      <dsp:spPr>
        <a:xfrm>
          <a:off x="2600869" y="398653"/>
          <a:ext cx="494864" cy="494864"/>
        </a:xfrm>
        <a:prstGeom prst="ellipse">
          <a:avLst/>
        </a:prstGeom>
        <a:solidFill>
          <a:srgbClr val="5482A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n-US" sz="500" kern="1200">
              <a:solidFill>
                <a:sysClr val="window" lastClr="FFFFFF"/>
              </a:solidFill>
              <a:latin typeface="Arial" panose="020B0604020202020204" pitchFamily="34" charset="0"/>
              <a:ea typeface="+mn-ea"/>
              <a:cs typeface="Arial" panose="020B0604020202020204" pitchFamily="34" charset="0"/>
            </a:rPr>
            <a:t>Cold Storage &amp; Quality Assurance</a:t>
          </a:r>
        </a:p>
      </dsp:txBody>
      <dsp:txXfrm>
        <a:off x="2673340" y="471124"/>
        <a:ext cx="349922" cy="349922"/>
      </dsp:txXfrm>
    </dsp:sp>
    <dsp:sp modelId="{6F4E936E-C9F8-694A-AFA3-507E89748A3E}">
      <dsp:nvSpPr>
        <dsp:cNvPr id="0" name=""/>
        <dsp:cNvSpPr/>
      </dsp:nvSpPr>
      <dsp:spPr>
        <a:xfrm>
          <a:off x="4147321" y="213511"/>
          <a:ext cx="989729" cy="865148"/>
        </a:xfrm>
        <a:prstGeom prst="rightArrow">
          <a:avLst>
            <a:gd name="adj1" fmla="val 70000"/>
            <a:gd name="adj2" fmla="val 50000"/>
          </a:avLst>
        </a:prstGeom>
        <a:solidFill>
          <a:srgbClr val="5482AB">
            <a:alpha val="90000"/>
          </a:srgb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6350" bIns="3175" numCol="1" spcCol="1270" anchor="ctr" anchorCtr="0">
          <a:noAutofit/>
        </a:bodyPr>
        <a:lstStyle/>
        <a:p>
          <a:pPr marL="57150" lvl="1" indent="-57150" algn="l" defTabSz="222250">
            <a:lnSpc>
              <a:spcPct val="90000"/>
            </a:lnSpc>
            <a:spcBef>
              <a:spcPct val="0"/>
            </a:spcBef>
            <a:spcAft>
              <a:spcPct val="15000"/>
            </a:spcAft>
            <a:buChar char="••"/>
          </a:pPr>
          <a:r>
            <a:rPr lang="en-US" sz="500" kern="1200">
              <a:solidFill>
                <a:schemeClr val="bg1"/>
              </a:solidFill>
              <a:latin typeface="Arial" panose="020B0604020202020204" pitchFamily="34" charset="0"/>
              <a:ea typeface="+mn-ea"/>
              <a:cs typeface="Arial" panose="020B0604020202020204" pitchFamily="34" charset="0"/>
            </a:rPr>
            <a:t>Risk-sharing for initial purchase</a:t>
          </a:r>
        </a:p>
        <a:p>
          <a:pPr marL="57150" lvl="1" indent="-57150" algn="l" defTabSz="222250">
            <a:lnSpc>
              <a:spcPct val="90000"/>
            </a:lnSpc>
            <a:spcBef>
              <a:spcPct val="0"/>
            </a:spcBef>
            <a:spcAft>
              <a:spcPct val="15000"/>
            </a:spcAft>
            <a:buChar char="••"/>
          </a:pPr>
          <a:r>
            <a:rPr lang="en-US" sz="500" kern="1200">
              <a:solidFill>
                <a:schemeClr val="bg1"/>
              </a:solidFill>
              <a:latin typeface="Arial" panose="020B0604020202020204" pitchFamily="34" charset="0"/>
              <a:ea typeface="+mn-ea"/>
              <a:cs typeface="Arial" panose="020B0604020202020204" pitchFamily="34" charset="0"/>
            </a:rPr>
            <a:t>Contract negotiation</a:t>
          </a:r>
        </a:p>
      </dsp:txBody>
      <dsp:txXfrm>
        <a:off x="4394753" y="343283"/>
        <a:ext cx="482493" cy="605604"/>
      </dsp:txXfrm>
    </dsp:sp>
    <dsp:sp modelId="{A4BBA848-A566-9D4B-80A9-B0E081471A05}">
      <dsp:nvSpPr>
        <dsp:cNvPr id="0" name=""/>
        <dsp:cNvSpPr/>
      </dsp:nvSpPr>
      <dsp:spPr>
        <a:xfrm>
          <a:off x="3899888" y="398653"/>
          <a:ext cx="494864" cy="494864"/>
        </a:xfrm>
        <a:prstGeom prst="ellipse">
          <a:avLst/>
        </a:prstGeom>
        <a:solidFill>
          <a:srgbClr val="003478"/>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n-US" sz="500" kern="1200">
              <a:solidFill>
                <a:sysClr val="window" lastClr="FFFFFF"/>
              </a:solidFill>
              <a:latin typeface="Arial" panose="020B0604020202020204" pitchFamily="34" charset="0"/>
              <a:ea typeface="+mn-ea"/>
              <a:cs typeface="Arial" panose="020B0604020202020204" pitchFamily="34" charset="0"/>
            </a:rPr>
            <a:t>Introduce Commercial dairies</a:t>
          </a:r>
        </a:p>
      </dsp:txBody>
      <dsp:txXfrm>
        <a:off x="3972359" y="471124"/>
        <a:ext cx="349922" cy="349922"/>
      </dsp:txXfrm>
    </dsp:sp>
    <dsp:sp modelId="{27EF33B7-348E-E546-BA5E-E256610010E3}">
      <dsp:nvSpPr>
        <dsp:cNvPr id="0" name=""/>
        <dsp:cNvSpPr/>
      </dsp:nvSpPr>
      <dsp:spPr>
        <a:xfrm>
          <a:off x="5446341" y="213511"/>
          <a:ext cx="989729" cy="865148"/>
        </a:xfrm>
        <a:prstGeom prst="rightArrow">
          <a:avLst>
            <a:gd name="adj1" fmla="val 70000"/>
            <a:gd name="adj2" fmla="val 50000"/>
          </a:avLst>
        </a:prstGeom>
        <a:solidFill>
          <a:srgbClr val="003478">
            <a:alpha val="90000"/>
          </a:srgb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6350" bIns="3175" numCol="1" spcCol="1270" anchor="ctr" anchorCtr="0">
          <a:noAutofit/>
        </a:bodyPr>
        <a:lstStyle/>
        <a:p>
          <a:pPr marL="57150" lvl="1" indent="-57150" algn="l" defTabSz="222250">
            <a:lnSpc>
              <a:spcPct val="90000"/>
            </a:lnSpc>
            <a:spcBef>
              <a:spcPct val="0"/>
            </a:spcBef>
            <a:spcAft>
              <a:spcPct val="15000"/>
            </a:spcAft>
            <a:buChar char="••"/>
          </a:pPr>
          <a:r>
            <a:rPr lang="en-US" sz="500" kern="1200">
              <a:solidFill>
                <a:schemeClr val="bg1"/>
              </a:solidFill>
              <a:latin typeface="Arial" panose="020B0604020202020204" pitchFamily="34" charset="0"/>
              <a:ea typeface="+mn-ea"/>
              <a:cs typeface="Arial" panose="020B0604020202020204" pitchFamily="34" charset="0"/>
            </a:rPr>
            <a:t>Milk pruchase by commercial dairies</a:t>
          </a:r>
        </a:p>
        <a:p>
          <a:pPr marL="57150" lvl="1" indent="-57150" algn="l" defTabSz="222250">
            <a:lnSpc>
              <a:spcPct val="90000"/>
            </a:lnSpc>
            <a:spcBef>
              <a:spcPct val="0"/>
            </a:spcBef>
            <a:spcAft>
              <a:spcPct val="15000"/>
            </a:spcAft>
            <a:buChar char="••"/>
          </a:pPr>
          <a:r>
            <a:rPr lang="en-US" sz="500" kern="1200">
              <a:solidFill>
                <a:schemeClr val="bg1"/>
              </a:solidFill>
              <a:latin typeface="Arial" panose="020B0604020202020204" pitchFamily="34" charset="0"/>
              <a:ea typeface="+mn-ea"/>
              <a:cs typeface="Arial" panose="020B0604020202020204" pitchFamily="34" charset="0"/>
            </a:rPr>
            <a:t>Retail sales of milk, yoghurt, cheese</a:t>
          </a:r>
        </a:p>
      </dsp:txBody>
      <dsp:txXfrm>
        <a:off x="5693773" y="343283"/>
        <a:ext cx="482493" cy="605604"/>
      </dsp:txXfrm>
    </dsp:sp>
    <dsp:sp modelId="{47C99714-E8C4-4A45-A9FF-1E3E6A63829B}">
      <dsp:nvSpPr>
        <dsp:cNvPr id="0" name=""/>
        <dsp:cNvSpPr/>
      </dsp:nvSpPr>
      <dsp:spPr>
        <a:xfrm>
          <a:off x="5198908" y="398653"/>
          <a:ext cx="494864" cy="494864"/>
        </a:xfrm>
        <a:prstGeom prst="ellipse">
          <a:avLst/>
        </a:prstGeom>
        <a:solidFill>
          <a:srgbClr val="001F48"/>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n-US" sz="500" kern="1200">
              <a:solidFill>
                <a:sysClr val="window" lastClr="FFFFFF"/>
              </a:solidFill>
              <a:latin typeface="Arial" panose="020B0604020202020204" pitchFamily="34" charset="0"/>
              <a:ea typeface="+mn-ea"/>
              <a:cs typeface="Arial" panose="020B0604020202020204" pitchFamily="34" charset="0"/>
            </a:rPr>
            <a:t>New Market Segment</a:t>
          </a:r>
        </a:p>
      </dsp:txBody>
      <dsp:txXfrm>
        <a:off x="5271379" y="471124"/>
        <a:ext cx="349922" cy="3499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0F2AA-C34B-604E-8381-4682852CF19F}">
      <dsp:nvSpPr>
        <dsp:cNvPr id="0" name=""/>
        <dsp:cNvSpPr/>
      </dsp:nvSpPr>
      <dsp:spPr>
        <a:xfrm>
          <a:off x="427" y="0"/>
          <a:ext cx="2285016" cy="198755"/>
        </a:xfrm>
        <a:prstGeom prst="homePlat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Arial" panose="020B0604020202020204" pitchFamily="34" charset="0"/>
              <a:ea typeface="+mn-ea"/>
              <a:cs typeface="Arial" panose="020B0604020202020204" pitchFamily="34" charset="0"/>
            </a:rPr>
            <a:t>LIFT</a:t>
          </a:r>
        </a:p>
      </dsp:txBody>
      <dsp:txXfrm>
        <a:off x="427" y="0"/>
        <a:ext cx="2235327" cy="198755"/>
      </dsp:txXfrm>
    </dsp:sp>
    <dsp:sp modelId="{447A9489-4826-2C49-904B-74A568BC8F8B}">
      <dsp:nvSpPr>
        <dsp:cNvPr id="0" name=""/>
        <dsp:cNvSpPr/>
      </dsp:nvSpPr>
      <dsp:spPr>
        <a:xfrm>
          <a:off x="1828440" y="0"/>
          <a:ext cx="2736169" cy="198755"/>
        </a:xfrm>
        <a:prstGeom prst="chevron">
          <a:avLst/>
        </a:prstGeom>
        <a:solidFill>
          <a:srgbClr val="5482A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Arial" panose="020B0604020202020204" pitchFamily="34" charset="0"/>
              <a:ea typeface="+mn-ea"/>
              <a:cs typeface="Arial" panose="020B0604020202020204" pitchFamily="34" charset="0"/>
            </a:rPr>
            <a:t>LIFT/REACH</a:t>
          </a:r>
        </a:p>
      </dsp:txBody>
      <dsp:txXfrm>
        <a:off x="1927818" y="0"/>
        <a:ext cx="2537414" cy="198755"/>
      </dsp:txXfrm>
    </dsp:sp>
    <dsp:sp modelId="{F400C3E9-5883-3442-AC49-67B6577E82D6}">
      <dsp:nvSpPr>
        <dsp:cNvPr id="0" name=""/>
        <dsp:cNvSpPr/>
      </dsp:nvSpPr>
      <dsp:spPr>
        <a:xfrm>
          <a:off x="4107607" y="0"/>
          <a:ext cx="2285016" cy="198755"/>
        </a:xfrm>
        <a:prstGeom prst="chevron">
          <a:avLst/>
        </a:prstGeom>
        <a:solidFill>
          <a:srgbClr val="003478"/>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Arial" panose="020B0604020202020204" pitchFamily="34" charset="0"/>
              <a:ea typeface="+mn-ea"/>
              <a:cs typeface="Arial" panose="020B0604020202020204" pitchFamily="34" charset="0"/>
            </a:rPr>
            <a:t>REACH</a:t>
          </a:r>
        </a:p>
      </dsp:txBody>
      <dsp:txXfrm>
        <a:off x="4206985" y="0"/>
        <a:ext cx="2086261" cy="19875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E712CD-292F-CC40-9911-0ECBE7F0F1D1}">
      <dsp:nvSpPr>
        <dsp:cNvPr id="0" name=""/>
        <dsp:cNvSpPr/>
      </dsp:nvSpPr>
      <dsp:spPr>
        <a:xfrm>
          <a:off x="214326" y="287413"/>
          <a:ext cx="849823" cy="917542"/>
        </a:xfrm>
        <a:prstGeom prst="rightArrow">
          <a:avLst>
            <a:gd name="adj1" fmla="val 70000"/>
            <a:gd name="adj2" fmla="val 50000"/>
          </a:avLst>
        </a:prstGeom>
        <a:solidFill>
          <a:srgbClr val="A5A5A5">
            <a:tint val="40000"/>
            <a:alpha val="90000"/>
            <a:hueOff val="0"/>
            <a:satOff val="0"/>
            <a:lumOff val="0"/>
            <a:alphaOff val="0"/>
          </a:srgb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6350" bIns="3175" numCol="1" spcCol="1270" anchor="ctr" anchorCtr="0">
          <a:noAutofit/>
        </a:bodyPr>
        <a:lstStyle/>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GAP training</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 sites</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feeder roads and irrigation</a:t>
          </a:r>
        </a:p>
      </dsp:txBody>
      <dsp:txXfrm>
        <a:off x="426782" y="425044"/>
        <a:ext cx="414289" cy="642280"/>
      </dsp:txXfrm>
    </dsp:sp>
    <dsp:sp modelId="{9966CB5F-AC70-274B-8767-01BD11DF8D97}">
      <dsp:nvSpPr>
        <dsp:cNvPr id="0" name=""/>
        <dsp:cNvSpPr/>
      </dsp:nvSpPr>
      <dsp:spPr>
        <a:xfrm>
          <a:off x="1870" y="533729"/>
          <a:ext cx="424911" cy="424911"/>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n-US" sz="500" kern="1200">
              <a:solidFill>
                <a:sysClr val="window" lastClr="FFFFFF"/>
              </a:solidFill>
              <a:latin typeface="Arial" panose="020B0604020202020204" pitchFamily="34" charset="0"/>
              <a:ea typeface="+mn-ea"/>
              <a:cs typeface="Arial" panose="020B0604020202020204" pitchFamily="34" charset="0"/>
            </a:rPr>
            <a:t>Improved Production</a:t>
          </a:r>
        </a:p>
      </dsp:txBody>
      <dsp:txXfrm>
        <a:off x="64097" y="595956"/>
        <a:ext cx="300457" cy="300457"/>
      </dsp:txXfrm>
    </dsp:sp>
    <dsp:sp modelId="{8A73B589-1D19-7648-B027-F0DBFC1EFBF0}">
      <dsp:nvSpPr>
        <dsp:cNvPr id="0" name=""/>
        <dsp:cNvSpPr/>
      </dsp:nvSpPr>
      <dsp:spPr>
        <a:xfrm>
          <a:off x="1329719" y="287413"/>
          <a:ext cx="849823" cy="917542"/>
        </a:xfrm>
        <a:prstGeom prst="rightArrow">
          <a:avLst>
            <a:gd name="adj1" fmla="val 70000"/>
            <a:gd name="adj2" fmla="val 50000"/>
          </a:avLst>
        </a:prstGeom>
        <a:solidFill>
          <a:srgbClr val="EFF3F7">
            <a:alpha val="89804"/>
          </a:srgb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6350" bIns="3175" numCol="1" spcCol="1270" anchor="ctr" anchorCtr="0">
          <a:noAutofit/>
        </a:bodyPr>
        <a:lstStyle/>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Train graders and packers</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Train women's coop for processing</a:t>
          </a:r>
        </a:p>
      </dsp:txBody>
      <dsp:txXfrm>
        <a:off x="1542175" y="425044"/>
        <a:ext cx="414289" cy="642280"/>
      </dsp:txXfrm>
    </dsp:sp>
    <dsp:sp modelId="{513893B5-FEAA-5748-AD56-1114BE96D04B}">
      <dsp:nvSpPr>
        <dsp:cNvPr id="0" name=""/>
        <dsp:cNvSpPr/>
      </dsp:nvSpPr>
      <dsp:spPr>
        <a:xfrm>
          <a:off x="1117263" y="533729"/>
          <a:ext cx="424911" cy="424911"/>
        </a:xfrm>
        <a:prstGeom prst="ellipse">
          <a:avLst/>
        </a:prstGeom>
        <a:solidFill>
          <a:srgbClr val="E3EAF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n-US" sz="500" kern="1200">
              <a:solidFill>
                <a:sysClr val="windowText" lastClr="000000"/>
              </a:solidFill>
              <a:latin typeface="Arial" panose="020B0604020202020204" pitchFamily="34" charset="0"/>
              <a:ea typeface="+mn-ea"/>
              <a:cs typeface="Arial" panose="020B0604020202020204" pitchFamily="34" charset="0"/>
            </a:rPr>
            <a:t>Capacity for value adding</a:t>
          </a:r>
        </a:p>
      </dsp:txBody>
      <dsp:txXfrm>
        <a:off x="1179490" y="595956"/>
        <a:ext cx="300457" cy="300457"/>
      </dsp:txXfrm>
    </dsp:sp>
    <dsp:sp modelId="{4CF26383-567F-C841-B789-36B965288F7F}">
      <dsp:nvSpPr>
        <dsp:cNvPr id="0" name=""/>
        <dsp:cNvSpPr/>
      </dsp:nvSpPr>
      <dsp:spPr>
        <a:xfrm>
          <a:off x="2445113" y="287413"/>
          <a:ext cx="849823" cy="917542"/>
        </a:xfrm>
        <a:prstGeom prst="rightArrow">
          <a:avLst>
            <a:gd name="adj1" fmla="val 70000"/>
            <a:gd name="adj2" fmla="val 50000"/>
          </a:avLst>
        </a:prstGeom>
        <a:solidFill>
          <a:srgbClr val="E3EAF1">
            <a:alpha val="90000"/>
          </a:srgb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6350" bIns="3175" numCol="1" spcCol="1270" anchor="ctr" anchorCtr="0">
          <a:noAutofit/>
        </a:bodyPr>
        <a:lstStyle/>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Form marketing consortium</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Branded packaging for local grapes</a:t>
          </a:r>
        </a:p>
      </dsp:txBody>
      <dsp:txXfrm>
        <a:off x="2657569" y="425044"/>
        <a:ext cx="414289" cy="642280"/>
      </dsp:txXfrm>
    </dsp:sp>
    <dsp:sp modelId="{1AC0EF48-AE78-C442-9B92-371C16786ABA}">
      <dsp:nvSpPr>
        <dsp:cNvPr id="0" name=""/>
        <dsp:cNvSpPr/>
      </dsp:nvSpPr>
      <dsp:spPr>
        <a:xfrm>
          <a:off x="2232657" y="533729"/>
          <a:ext cx="424911" cy="424911"/>
        </a:xfrm>
        <a:prstGeom prst="ellipse">
          <a:avLst/>
        </a:prstGeom>
        <a:solidFill>
          <a:srgbClr val="B9CCDD"/>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n-US" sz="500" kern="1200">
              <a:solidFill>
                <a:sysClr val="window" lastClr="FFFFFF"/>
              </a:solidFill>
              <a:latin typeface="Arial" panose="020B0604020202020204" pitchFamily="34" charset="0"/>
              <a:ea typeface="+mn-ea"/>
              <a:cs typeface="Arial" panose="020B0604020202020204" pitchFamily="34" charset="0"/>
            </a:rPr>
            <a:t>VC coord &amp; marketing</a:t>
          </a:r>
        </a:p>
      </dsp:txBody>
      <dsp:txXfrm>
        <a:off x="2294884" y="595956"/>
        <a:ext cx="300457" cy="300457"/>
      </dsp:txXfrm>
    </dsp:sp>
    <dsp:sp modelId="{15A98001-2976-1F46-AAFC-4E7D52125816}">
      <dsp:nvSpPr>
        <dsp:cNvPr id="0" name=""/>
        <dsp:cNvSpPr/>
      </dsp:nvSpPr>
      <dsp:spPr>
        <a:xfrm>
          <a:off x="3560507" y="287413"/>
          <a:ext cx="849823" cy="917542"/>
        </a:xfrm>
        <a:prstGeom prst="rightArrow">
          <a:avLst>
            <a:gd name="adj1" fmla="val 70000"/>
            <a:gd name="adj2" fmla="val 50000"/>
          </a:avLst>
        </a:prstGeom>
        <a:solidFill>
          <a:srgbClr val="B9CCDD">
            <a:alpha val="90000"/>
          </a:srgb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6350" bIns="3175" numCol="1" spcCol="1270" anchor="ctr" anchorCtr="0">
          <a:noAutofit/>
        </a:bodyPr>
        <a:lstStyle/>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Rent grading &amp; cold store facility</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 bespoke packing house</a:t>
          </a:r>
        </a:p>
      </dsp:txBody>
      <dsp:txXfrm>
        <a:off x="3772963" y="425044"/>
        <a:ext cx="414289" cy="642280"/>
      </dsp:txXfrm>
    </dsp:sp>
    <dsp:sp modelId="{F2FE9673-D2DE-434D-90BF-A651EFCF0180}">
      <dsp:nvSpPr>
        <dsp:cNvPr id="0" name=""/>
        <dsp:cNvSpPr/>
      </dsp:nvSpPr>
      <dsp:spPr>
        <a:xfrm>
          <a:off x="3348051" y="533729"/>
          <a:ext cx="424911" cy="424911"/>
        </a:xfrm>
        <a:prstGeom prst="ellipse">
          <a:avLst/>
        </a:prstGeom>
        <a:solidFill>
          <a:srgbClr val="5482A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n-US" sz="500" kern="1200">
              <a:solidFill>
                <a:sysClr val="window" lastClr="FFFFFF"/>
              </a:solidFill>
              <a:latin typeface="Arial" panose="020B0604020202020204" pitchFamily="34" charset="0"/>
              <a:ea typeface="+mn-ea"/>
              <a:cs typeface="Arial" panose="020B0604020202020204" pitchFamily="34" charset="0"/>
            </a:rPr>
            <a:t>Cold Storage &amp; Quality Assurance</a:t>
          </a:r>
        </a:p>
      </dsp:txBody>
      <dsp:txXfrm>
        <a:off x="3410278" y="595956"/>
        <a:ext cx="300457" cy="300457"/>
      </dsp:txXfrm>
    </dsp:sp>
    <dsp:sp modelId="{FC886F65-1D19-494B-A525-3289A6249670}">
      <dsp:nvSpPr>
        <dsp:cNvPr id="0" name=""/>
        <dsp:cNvSpPr/>
      </dsp:nvSpPr>
      <dsp:spPr>
        <a:xfrm>
          <a:off x="4675900" y="287413"/>
          <a:ext cx="849823" cy="917542"/>
        </a:xfrm>
        <a:prstGeom prst="rightArrow">
          <a:avLst>
            <a:gd name="adj1" fmla="val 70000"/>
            <a:gd name="adj2" fmla="val 50000"/>
          </a:avLst>
        </a:prstGeom>
        <a:solidFill>
          <a:srgbClr val="5482AB">
            <a:alpha val="90000"/>
          </a:srgb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6350" bIns="3175" numCol="1" spcCol="1270" anchor="ctr" anchorCtr="0">
          <a:noAutofit/>
        </a:bodyPr>
        <a:lstStyle/>
        <a:p>
          <a:pPr lvl="0" algn="ctr" defTabSz="222250">
            <a:lnSpc>
              <a:spcPct val="90000"/>
            </a:lnSpc>
            <a:spcBef>
              <a:spcPct val="0"/>
            </a:spcBef>
            <a:spcAft>
              <a:spcPct val="35000"/>
            </a:spcAft>
            <a:buChar char="•"/>
          </a:pPr>
          <a:r>
            <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Processing low-grade grapes &amp; marketing for new products (e,g, sumac)</a:t>
          </a:r>
        </a:p>
      </dsp:txBody>
      <dsp:txXfrm>
        <a:off x="4888356" y="425044"/>
        <a:ext cx="414289" cy="642280"/>
      </dsp:txXfrm>
    </dsp:sp>
    <dsp:sp modelId="{3EA56F2B-8A19-4E42-B5C3-1BB92D3DEA41}">
      <dsp:nvSpPr>
        <dsp:cNvPr id="0" name=""/>
        <dsp:cNvSpPr/>
      </dsp:nvSpPr>
      <dsp:spPr>
        <a:xfrm>
          <a:off x="4463444" y="533729"/>
          <a:ext cx="424911" cy="424911"/>
        </a:xfrm>
        <a:prstGeom prst="ellipse">
          <a:avLst/>
        </a:prstGeom>
        <a:solidFill>
          <a:srgbClr val="003478"/>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n-US" sz="500" kern="1200">
              <a:solidFill>
                <a:sysClr val="window" lastClr="FFFFFF"/>
              </a:solidFill>
              <a:latin typeface="Arial" panose="020B0604020202020204" pitchFamily="34" charset="0"/>
              <a:ea typeface="+mn-ea"/>
              <a:cs typeface="Arial" panose="020B0604020202020204" pitchFamily="34" charset="0"/>
            </a:rPr>
            <a:t>New Market Segment</a:t>
          </a:r>
        </a:p>
      </dsp:txBody>
      <dsp:txXfrm>
        <a:off x="4525671" y="595956"/>
        <a:ext cx="300457" cy="300457"/>
      </dsp:txXfrm>
    </dsp:sp>
    <dsp:sp modelId="{27EF33B7-348E-E546-BA5E-E256610010E3}">
      <dsp:nvSpPr>
        <dsp:cNvPr id="0" name=""/>
        <dsp:cNvSpPr/>
      </dsp:nvSpPr>
      <dsp:spPr>
        <a:xfrm>
          <a:off x="5698837" y="287413"/>
          <a:ext cx="1034736" cy="917542"/>
        </a:xfrm>
        <a:prstGeom prst="rightArrow">
          <a:avLst>
            <a:gd name="adj1" fmla="val 70000"/>
            <a:gd name="adj2" fmla="val 50000"/>
          </a:avLst>
        </a:prstGeom>
        <a:solidFill>
          <a:srgbClr val="003478">
            <a:alpha val="90000"/>
          </a:srgb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6350" bIns="3175" numCol="1" spcCol="1270" anchor="ctr" anchorCtr="0">
          <a:noAutofit/>
        </a:bodyPr>
        <a:lstStyle/>
        <a:p>
          <a:pPr marL="57150" lvl="1" indent="-57150" algn="l" defTabSz="222250">
            <a:lnSpc>
              <a:spcPct val="90000"/>
            </a:lnSpc>
            <a:spcBef>
              <a:spcPct val="0"/>
            </a:spcBef>
            <a:spcAft>
              <a:spcPct val="15000"/>
            </a:spcAft>
            <a:buChar char="••"/>
          </a:pPr>
          <a:r>
            <a:rPr lang="en-US" sz="500" kern="1200">
              <a:solidFill>
                <a:schemeClr val="bg1"/>
              </a:solidFill>
              <a:latin typeface="Arial" panose="020B0604020202020204" pitchFamily="34" charset="0"/>
              <a:ea typeface="+mn-ea"/>
              <a:cs typeface="Arial" panose="020B0604020202020204" pitchFamily="34" charset="0"/>
            </a:rPr>
            <a:t>Premium purchase price</a:t>
          </a:r>
        </a:p>
        <a:p>
          <a:pPr marL="57150" lvl="1" indent="-57150" algn="l" defTabSz="222250">
            <a:lnSpc>
              <a:spcPct val="90000"/>
            </a:lnSpc>
            <a:spcBef>
              <a:spcPct val="0"/>
            </a:spcBef>
            <a:spcAft>
              <a:spcPct val="15000"/>
            </a:spcAft>
            <a:buChar char="••"/>
          </a:pPr>
          <a:r>
            <a:rPr lang="en-US" sz="500" kern="1200">
              <a:solidFill>
                <a:schemeClr val="bg1"/>
              </a:solidFill>
              <a:latin typeface="Arial" panose="020B0604020202020204" pitchFamily="34" charset="0"/>
              <a:ea typeface="+mn-ea"/>
              <a:cs typeface="Arial" panose="020B0604020202020204" pitchFamily="34" charset="0"/>
            </a:rPr>
            <a:t>Strong potential returns for stored grapes/sumac</a:t>
          </a:r>
        </a:p>
      </dsp:txBody>
      <dsp:txXfrm>
        <a:off x="5957522" y="425044"/>
        <a:ext cx="504434" cy="642280"/>
      </dsp:txXfrm>
    </dsp:sp>
    <dsp:sp modelId="{47C99714-E8C4-4A45-A9FF-1E3E6A63829B}">
      <dsp:nvSpPr>
        <dsp:cNvPr id="0" name=""/>
        <dsp:cNvSpPr/>
      </dsp:nvSpPr>
      <dsp:spPr>
        <a:xfrm>
          <a:off x="5552957" y="533729"/>
          <a:ext cx="424911" cy="424911"/>
        </a:xfrm>
        <a:prstGeom prst="ellipse">
          <a:avLst/>
        </a:prstGeom>
        <a:solidFill>
          <a:srgbClr val="001F48"/>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n-US" sz="500" kern="1200">
              <a:solidFill>
                <a:sysClr val="window" lastClr="FFFFFF"/>
              </a:solidFill>
              <a:latin typeface="Arial" panose="020B0604020202020204" pitchFamily="34" charset="0"/>
              <a:ea typeface="+mn-ea"/>
              <a:cs typeface="Arial" panose="020B0604020202020204" pitchFamily="34" charset="0"/>
            </a:rPr>
            <a:t>Higher Value Market Segment</a:t>
          </a:r>
        </a:p>
      </dsp:txBody>
      <dsp:txXfrm>
        <a:off x="5615184" y="595956"/>
        <a:ext cx="300457" cy="3004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0F2AA-C34B-604E-8381-4682852CF19F}">
      <dsp:nvSpPr>
        <dsp:cNvPr id="0" name=""/>
        <dsp:cNvSpPr/>
      </dsp:nvSpPr>
      <dsp:spPr>
        <a:xfrm>
          <a:off x="2916" y="0"/>
          <a:ext cx="2550261" cy="230537"/>
        </a:xfrm>
        <a:prstGeom prst="homePlat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LIFT</a:t>
          </a:r>
        </a:p>
      </dsp:txBody>
      <dsp:txXfrm>
        <a:off x="2916" y="0"/>
        <a:ext cx="2492627" cy="230537"/>
      </dsp:txXfrm>
    </dsp:sp>
    <dsp:sp modelId="{447A9489-4826-2C49-904B-74A568BC8F8B}">
      <dsp:nvSpPr>
        <dsp:cNvPr id="0" name=""/>
        <dsp:cNvSpPr/>
      </dsp:nvSpPr>
      <dsp:spPr>
        <a:xfrm>
          <a:off x="2043126" y="0"/>
          <a:ext cx="2550261" cy="230537"/>
        </a:xfrm>
        <a:prstGeom prst="chevron">
          <a:avLst/>
        </a:prstGeom>
        <a:solidFill>
          <a:srgbClr val="5482A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LIFT/REACH</a:t>
          </a:r>
        </a:p>
      </dsp:txBody>
      <dsp:txXfrm>
        <a:off x="2158395" y="0"/>
        <a:ext cx="2319724" cy="230537"/>
      </dsp:txXfrm>
    </dsp:sp>
    <dsp:sp modelId="{F400C3E9-5883-3442-AC49-67B6577E82D6}">
      <dsp:nvSpPr>
        <dsp:cNvPr id="0" name=""/>
        <dsp:cNvSpPr/>
      </dsp:nvSpPr>
      <dsp:spPr>
        <a:xfrm>
          <a:off x="4083335" y="0"/>
          <a:ext cx="2550261" cy="230537"/>
        </a:xfrm>
        <a:prstGeom prst="chevron">
          <a:avLst/>
        </a:prstGeom>
        <a:solidFill>
          <a:srgbClr val="003478"/>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REACH</a:t>
          </a:r>
        </a:p>
      </dsp:txBody>
      <dsp:txXfrm>
        <a:off x="4198604" y="0"/>
        <a:ext cx="2319724" cy="230537"/>
      </dsp:txXfrm>
    </dsp:sp>
  </dsp:spTree>
</dsp:drawing>
</file>

<file path=word/diagrams/layout1.xml><?xml version="1.0" encoding="utf-8"?>
<dgm:layoutDef xmlns:dgm="http://schemas.openxmlformats.org/drawingml/2006/diagram" xmlns:a="http://schemas.openxmlformats.org/drawingml/2006/main" uniqueId="urn:microsoft.com/office/officeart/2018/5/layout/CenteredIconLabelDescriptionList">
  <dgm:title val="Centered Icon Label Description List"/>
  <dgm:desc val="Use to show non-sequential or grouped chunks of information. The placeholder holds an icon or small picture, and corresponding text boxes show Level 1 and Level 2 text respectively. Works well for minimal Level 1 text accompanied by lengthier Level two text."/>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lin"/>
      </dgm:if>
      <dgm:else name="Name2">
        <dgm:alg type="lin">
          <dgm:param type="linDir" val="fromR"/>
        </dgm:alg>
      </dgm:else>
    </dgm:choose>
    <dgm:shape xmlns:r="http://schemas.openxmlformats.org/officeDocument/2006/relationships" r:blip="">
      <dgm:adjLst/>
    </dgm:shape>
    <dgm:presOf/>
    <dgm:constrLst>
      <dgm:constr type="h" for="ch" forName="compNode" refType="h" fact="0.45"/>
      <dgm:constr type="w" for="ch" forName="compNode" val="120"/>
      <dgm:constr type="w" for="ch" forName="sibTrans" refType="w" refFor="ch" refForName="compNode" fact="0.175"/>
      <dgm:constr type="primFontSz" for="des" forName="parTx" val="36"/>
      <dgm:constr type="primFontSz" for="des" forName="desTx" refType="primFontSz" refFor="des" refForName="parTx" op="lte" fact="0.75"/>
      <dgm:constr type="h" for="des" forName="compNode" op="equ"/>
      <dgm:constr type="h" for="des" forName="iconRect" op="equ"/>
      <dgm:constr type="w" for="des" forName="iconRect" op="equ"/>
      <dgm:constr type="h" for="des" forName="iconSpace" op="equ"/>
      <dgm:constr type="h" for="des" forName="parTx" op="equ"/>
      <dgm:constr type="h" for="des" forName="txSpace" op="equ"/>
      <dgm:constr type="h" for="des" forName="desTx" op="equ"/>
    </dgm:constrLst>
    <dgm:ruleLst>
      <dgm:rule type="w" for="ch" forName="compNode" val="0" fact="NaN" max="NaN"/>
    </dgm:ruleLst>
    <dgm:forEach name="Name3" axis="ch" ptType="node">
      <dgm:layoutNode name="compNode">
        <dgm:alg type="composite"/>
        <dgm:shape xmlns:r="http://schemas.openxmlformats.org/officeDocument/2006/relationships" r:blip="">
          <dgm:adjLst/>
        </dgm:shape>
        <dgm:presOf axis="self"/>
        <dgm:constrLst>
          <dgm:constr type="w" for="ch" forName="iconRect" refType="w" fact="0.35"/>
          <dgm:constr type="h" for="ch" forName="iconRect" refType="w" refFor="ch" refForName="iconRect"/>
          <dgm:constr type="ctrX" for="ch" forName="iconRect" refType="w" fact="0.5"/>
          <dgm:constr type="t" for="ch" forName="iconRect"/>
          <dgm:constr type="w" for="ch" forName="iconSpace" refType="w"/>
          <dgm:constr type="h" for="ch" forName="iconSpace" refType="h" fact="0.043"/>
          <dgm:constr type="l" for="ch" forName="iconSpace"/>
          <dgm:constr type="t" for="ch" forName="iconSpace" refType="b" refFor="ch" refForName="iconRect"/>
          <dgm:constr type="w" for="ch" forName="parTx" refType="w"/>
          <dgm:constr type="h" for="ch" forName="parTx" refType="w" fact="0.15"/>
          <dgm:constr type="l" for="ch" forName="parTx"/>
          <dgm:constr type="t" for="ch" forName="parTx" refType="b" refFor="ch" refForName="iconSpace"/>
          <dgm:constr type="h" for="ch" forName="txSpace" refType="h" fact="0.02"/>
          <dgm:constr type="w" for="ch" forName="txSpace" refType="w"/>
          <dgm:constr type="l" for="ch" forName="txSpace"/>
          <dgm:constr type="t" for="ch" forName="txSpace" refType="b" refFor="ch" refForName="parTx"/>
          <dgm:constr type="w" for="ch" forName="desTx" refType="w"/>
          <dgm:constr type="l" for="ch" forName="desTx"/>
          <dgm:constr type="t" for="ch" forName="desTx" refType="b" refFor="ch" refForName="txSpace"/>
        </dgm:constrLst>
        <dgm:ruleLst>
          <dgm:rule type="h" val="INF" fact="NaN" max="NaN"/>
        </dgm:ruleLst>
        <dgm:layoutNode name="iconRect" styleLbl="node1">
          <dgm:alg type="sp"/>
          <dgm:shape xmlns:r="http://schemas.openxmlformats.org/officeDocument/2006/relationships" type="rect" r:blip="" blipPhldr="1">
            <dgm:adjLst/>
          </dgm:shape>
          <dgm:presOf/>
          <dgm:constrLst/>
          <dgm:ruleLst/>
        </dgm:layoutNode>
        <dgm:layoutNode name="iconSpace">
          <dgm:alg type="sp"/>
          <dgm:shape xmlns:r="http://schemas.openxmlformats.org/officeDocument/2006/relationships" r:blip="">
            <dgm:adjLst/>
          </dgm:shape>
          <dgm:presOf/>
          <dgm:constrLst/>
          <dgm:ruleLst/>
        </dgm:layoutNode>
        <dgm:layoutNode name="parTx" styleLbl="revTx">
          <dgm:varLst>
            <dgm:chMax val="0"/>
            <dgm:chPref val="0"/>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4" fact="NaN" max="NaN"/>
            <dgm:rule type="h" val="INF" fact="NaN" max="NaN"/>
          </dgm:ruleLst>
        </dgm:layoutNode>
        <dgm:layoutNode name="txSpace">
          <dgm:alg type="sp"/>
          <dgm:shape xmlns:r="http://schemas.openxmlformats.org/officeDocument/2006/relationships" r:blip="">
            <dgm:adjLst/>
          </dgm:shape>
          <dgm:presOf/>
          <dgm:constrLst/>
          <dgm:ruleLst/>
        </dgm:layoutNode>
        <dgm:layoutNode name="desTx" styleLbl="revTx">
          <dgm:varLst/>
          <dgm:alg type="tx">
            <dgm:param type="stBulletLvl" val="0"/>
            <dgm:param type="txAnchorVert" val="t"/>
          </dgm:alg>
          <dgm:shape xmlns:r="http://schemas.openxmlformats.org/officeDocument/2006/relationships" type="rect" r:blip="">
            <dgm:adjLst/>
          </dgm:shape>
          <dgm:presOf axis="des" ptType="node"/>
          <dgm:constrLst>
            <dgm:constr type="secFontSz" refType="primFontSz"/>
            <dgm:constr type="lMarg"/>
            <dgm:constr type="rMarg"/>
            <dgm:constr type="tMarg"/>
            <dgm:constr type="bMarg"/>
          </dgm:constrLst>
          <dgm:ruleLst>
            <dgm:rule type="primFontSz" val="NaN" fact="NaN" max="17"/>
            <dgm:rule type="h" val="INF" fact="NaN" max="NaN"/>
          </dgm:ruleLst>
        </dgm:layoutNode>
      </dgm:layoutNode>
      <dgm:forEach name="Name4"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 xmlns:dgm1612="http://schemas.microsoft.com/office/drawing/2016/12/diagram">
        <a:lvl1pPr>
          <a:lnSpc>
            <a:spcPct val="100000"/>
          </a:lnSpc>
          <a:defRPr b="1"/>
        </a:lvl1pPr>
        <a:lvl2pPr>
          <a:lnSpc>
            <a:spcPct val="100000"/>
          </a:lnSpc>
        </a:lvl2pPr>
      </dgm1612:lstStyle>
    </a:ext>
  </dgm:extLst>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Wil19</b:Tag>
    <b:SourceType>Interview</b:SourceType>
    <b:Guid>{25EDA6A6-BDB5-48C7-A021-74DF9EBE5D0E}</b:Guid>
    <b:Title>AMENCA 3 MTR Briefing</b:Title>
    <b:Year>2019</b:Year>
    <b:Author>
      <b:Interviewee>
        <b:NameList>
          <b:Person>
            <b:Last>Wild</b:Last>
            <b:First>Luke</b:First>
          </b:Person>
        </b:NameList>
      </b:Interviewee>
      <b:Interviewer>
        <b:NameList>
          <b:Person>
            <b:Last>Swete Kelly</b:Last>
            <b:First>David</b:First>
          </b:Person>
          <b:Person>
            <b:Last>Gidea</b:Last>
            <b:First>Amy</b:First>
          </b:Person>
        </b:NameList>
      </b:Interviewer>
    </b:Author>
    <b:Month>April</b:Month>
    <b:Day>5</b:Day>
    <b:RefOrder>1</b:RefOrder>
  </b:Source>
  <b:Source>
    <b:Tag>Cof19</b:Tag>
    <b:SourceType>Report</b:SourceType>
    <b:Guid>{9C1CD8AD-ABD0-461D-ACEB-67C2938031E9}</b:Guid>
    <b:Author>
      <b:Author>
        <b:Corporate>Coffey</b:Corporate>
      </b:Author>
    </b:Author>
    <b:Title>AMENCA 3 Mid Term Evaluation Plan</b:Title>
    <b:Year>2019</b:Year>
    <b:Publisher>Coffey</b:Publisher>
    <b:City>Adelaide</b:City>
    <b:RefOrder>2</b:RefOrder>
  </b:Source>
  <b:Source>
    <b:Tag>Wor19</b:Tag>
    <b:SourceType>Report</b:SourceType>
    <b:Guid>{1034C5CE-EE09-4CDD-97C1-5111AED936EB}</b:Guid>
    <b:Author>
      <b:Author>
        <b:Corporate>World Bank</b:Corporate>
      </b:Author>
    </b:Author>
    <b:Title>Economic Monitoring Report to the Ad Hoc Liaison Committee</b:Title>
    <b:Year>April 2019</b:Year>
    <b:Publisher>World Bank Group</b:Publisher>
    <b:City>Washington DC</b:City>
    <b:RefOrder>3</b:RefOrder>
  </b:Source>
  <b:Source>
    <b:Tag>UNC15</b:Tag>
    <b:SourceType>Report</b:SourceType>
    <b:Guid>{58524F7E-E0D7-471D-8C7A-7A29ADFFB563}</b:Guid>
    <b:Author>
      <b:Author>
        <b:Corporate>UNCTAD</b:Corporate>
      </b:Author>
    </b:Author>
    <b:Title>The Besieged Palestinian Agricultural Sector</b:Title>
    <b:Year>2015</b:Year>
    <b:Publisher>United Nations Conference on Trade and Development</b:Publisher>
    <b:City>New York and Geneva</b:City>
    <b:RefOrder>4</b:RefOrder>
  </b:Source>
  <b:Source>
    <b:Tag>OCH19</b:Tag>
    <b:SourceType>InternetSite</b:SourceType>
    <b:Guid>{ECFBAA95-54AE-42AD-B769-8EA94BE3A288}</b:Guid>
    <b:Author>
      <b:Author>
        <b:Corporate>OCHA</b:Corporate>
      </b:Author>
    </b:Author>
    <b:Title>Occupied Palestinian Territories: The Monthly Humanitarian Bulletin</b:Title>
    <b:Year>2019</b:Year>
    <b:InternetSiteTitle>Demolitions in West Bank undermine access to water: Rate increases in first quarter of 2019</b:InternetSiteTitle>
    <b:Month>April</b:Month>
    <b:Day>25</b:Day>
    <b:URL>https://www.ochaopt.org/content/demolitions-west-bank-undermine-access-water</b:URL>
    <b:RefOrder>5</b:RefOrder>
  </b:Source>
  <b:Source>
    <b:Tag>DFA151</b:Tag>
    <b:SourceType>Report</b:SourceType>
    <b:Guid>{AEA2E487-3D1E-4012-BF71-04C4285B5D44}</b:Guid>
    <b:Author>
      <b:Author>
        <b:Corporate>DFAT</b:Corporate>
      </b:Author>
    </b:Author>
    <b:Title>Aid Investment Plan: Palestinian Territories 2015-2019</b:Title>
    <b:Year>2015</b:Year>
    <b:Publisher>Department of Foreign Affairs and Trade</b:Publisher>
    <b:City>Canberra</b:City>
    <b:RefOrder>6</b:RefOrder>
  </b:Source>
  <b:Source>
    <b:Tag>MOA16</b:Tag>
    <b:SourceType>Report</b:SourceType>
    <b:Guid>{C2B0B33C-9D39-4150-B033-9867D2766B53}</b:Guid>
    <b:Author>
      <b:Author>
        <b:Corporate>MoA</b:Corporate>
      </b:Author>
    </b:Author>
    <b:Title>National Agricultural Strategy (2017-2022)</b:Title>
    <b:Year>November 2016</b:Year>
    <b:Publisher>The State of Palestine, Ministry Of Agriculture</b:Publisher>
    <b:City>Ramullah</b:City>
    <b:RefOrder>8</b:RefOrder>
  </b:Source>
  <b:Source>
    <b:Tag>Sha181</b:Tag>
    <b:SourceType>Report</b:SourceType>
    <b:Guid>{F72A06F3-0475-4724-901F-4BA292E530EF}</b:Guid>
    <b:Author>
      <b:Author>
        <b:NameList>
          <b:Person>
            <b:Last>Shamieh</b:Last>
            <b:First>Tariq</b:First>
          </b:Person>
        </b:NameList>
      </b:Author>
    </b:Author>
    <b:Title>Analysis of Donor Investments in Palestine - Agriculture Sector</b:Title>
    <b:Year>February 2018</b:Year>
    <b:Publisher>Department of Foreign Affairs and Trade</b:Publisher>
    <b:City>Canberra</b:City>
    <b:RefOrder>9</b:RefOrder>
  </b:Source>
  <b:Source>
    <b:Tag>Pei17</b:Tag>
    <b:SourceType>Report</b:SourceType>
    <b:Guid>{8F352E52-B092-4826-941F-6BC9E9A30EC2}</b:Guid>
    <b:Author>
      <b:Author>
        <b:NameList>
          <b:Person>
            <b:Last>Peishi</b:Last>
            <b:First>Zalyn</b:First>
          </b:Person>
        </b:NameList>
      </b:Author>
    </b:Author>
    <b:Title>AMENCA 3 - A hybrid market systems approach: A Guidance Note</b:Title>
    <b:Year>2017</b:Year>
    <b:Publisher>DFAT</b:Publisher>
    <b:City>Canberra</b:City>
    <b:RefOrder>10</b:RefOrder>
  </b:Source>
  <b:Source>
    <b:Tag>AME19</b:Tag>
    <b:SourceType>Report</b:SourceType>
    <b:Guid>{4A8B85DD-C645-4F06-9C20-A29F2433DB1D}</b:Guid>
    <b:Author>
      <b:Author>
        <b:Corporate>AMENCA 3</b:Corporate>
      </b:Author>
    </b:Author>
    <b:Title>AMENCA 3 Program Level Annual Report 2018</b:Title>
    <b:Year>March 2019</b:Year>
    <b:Publisher>CARDNO Emerging Markets</b:Publisher>
    <b:City>Melbourne</b:City>
    <b:RefOrder>11</b:RefOrder>
  </b:Source>
  <b:Source>
    <b:Tag>Mie18</b:Tag>
    <b:SourceType>Report</b:SourceType>
    <b:Guid>{4894A6A9-CC3E-4AFD-9369-E4AE199803D8}</b:Guid>
    <b:Author>
      <b:Author>
        <b:NameList>
          <b:Person>
            <b:Last>Miehlbradt</b:Last>
            <b:First>A.</b:First>
          </b:Person>
          <b:Person>
            <b:Last>Warner</b:Last>
            <b:First>B.</b:First>
          </b:Person>
          <b:Person>
            <b:Last>Swete Kelly</b:Last>
            <b:First>D.E.</b:First>
          </b:Person>
        </b:NameList>
      </b:Author>
    </b:Author>
    <b:Title>Promoting Systemic Change in Shallow Markets</b:Title>
    <b:Year>2018</b:Year>
    <b:Publisher>DFAT Market Development Facility</b:Publisher>
    <b:City>Canberra</b:City>
    <b:RefOrder>12</b:RefOrder>
  </b:Source>
  <b:Source>
    <b:Tag>ElA192</b:Tag>
    <b:SourceType>Report</b:SourceType>
    <b:Guid>{1E5AC7F7-8EDF-4FAB-955A-5D06BDEA156A}</b:Guid>
    <b:Author>
      <b:Author>
        <b:NameList>
          <b:Person>
            <b:Last>El-Ahmed</b:Last>
            <b:First>Nablia</b:First>
          </b:Person>
          <b:Person>
            <b:Last>Nabris</b:Last>
            <b:First>Nada</b:First>
          </b:Person>
        </b:NameList>
      </b:Author>
    </b:Author>
    <b:Title>From Service Delivery to Social Investment: The shifting role of civil society</b:Title>
    <b:Year>January 2019</b:Year>
    <b:Publisher>Oxfam International</b:Publisher>
    <b:City>Oxford, UK</b:City>
    <b:RefOrder>13</b:RefOrder>
  </b:Source>
  <b:Source>
    <b:Tag>Pil17</b:Tag>
    <b:SourceType>Report</b:SourceType>
    <b:Guid>{366DC885-9D53-4A3B-9CE3-9F444F698014}</b:Guid>
    <b:Author>
      <b:Author>
        <b:NameList>
          <b:Person>
            <b:Last>Pilbrow</b:Last>
            <b:First>Michael</b:First>
          </b:Person>
          <b:Person>
            <b:Last>Forde</b:Last>
            <b:First>Brendan</b:First>
          </b:Person>
        </b:NameList>
      </b:Author>
    </b:Author>
    <b:Title>AMENCA 3: Rapid Management and Operations Review</b:Title>
    <b:Year>May 2017</b:Year>
    <b:Publisher>Strategic Development Group</b:Publisher>
    <b:City>Yass, Australia</b:City>
    <b:RefOrder>14</b:RefOrder>
  </b:Source>
  <b:Source>
    <b:Tag>DFA191</b:Tag>
    <b:SourceType>Report</b:SourceType>
    <b:Guid>{5E277084-18BB-4EF9-9CAD-33F5FD8906C7}</b:Guid>
    <b:Author>
      <b:Author>
        <b:Corporate>DFAT</b:Corporate>
      </b:Author>
    </b:Author>
    <b:Title>Australian NGO Cooperation Program (ANCP) Manual</b:Title>
    <b:Year>March 2019</b:Year>
    <b:Publisher>Department of Foreign Affairs and Trade</b:Publisher>
    <b:City>Canberra, Australia</b:City>
    <b:RefOrder>15</b:RefOrder>
  </b:Source>
  <b:Source>
    <b:Tag>DFA17</b:Tag>
    <b:SourceType>Report</b:SourceType>
    <b:Guid>{769E24BB-1445-4B86-B46C-F53C18836CE6}</b:Guid>
    <b:Author>
      <b:Author>
        <b:Corporate>DFAT</b:Corporate>
      </b:Author>
    </b:Author>
    <b:Title>Aid program Performance review</b:Title>
    <b:Year>2017</b:Year>
    <b:Publisher>Department of Foreign Affairs and Trade</b:Publisher>
    <b:City>Canberra, Australia</b:City>
    <b:RefOrder>16</b:RefOrder>
  </b:Source>
  <b:Source>
    <b:Tag>AME16</b:Tag>
    <b:SourceType>Report</b:SourceType>
    <b:Guid>{A0347122-5A95-40CB-B43D-6FE195239A91}</b:Guid>
    <b:Author>
      <b:Author>
        <b:Corporate>AMENCA 3</b:Corporate>
      </b:Author>
    </b:Author>
    <b:Title>AMENCA 3: Monitoring and Evaluation Framework</b:Title>
    <b:Year>Dec 2016</b:Year>
    <b:Publisher>Cardno</b:Publisher>
    <b:City>Melbourne, Australia</b:City>
    <b:RefOrder>17</b:RefOrder>
  </b:Source>
  <b:Source>
    <b:Tag>HEL16</b:Tag>
    <b:SourceType>Report</b:SourceType>
    <b:Guid>{93F9C79E-4DF5-4045-835F-1280E0EE2DC7}</b:Guid>
    <b:Author>
      <b:Author>
        <b:Corporate>HELVITAS</b:Corporate>
      </b:Author>
    </b:Author>
    <b:Title>Programme Management for Market Systems Development Approaches</b:Title>
    <b:Year>May 2016</b:Year>
    <b:Publisher>HELVITAS Swiss Intercooperation</b:Publisher>
    <b:RefOrder>18</b:RefOrder>
  </b:Source>
  <b:Source>
    <b:Tag>FAO17</b:Tag>
    <b:SourceType>Report</b:SourceType>
    <b:Guid>{3D7A995C-0BAB-4F12-99BB-D5247151EB50}</b:Guid>
    <b:Author>
      <b:Author>
        <b:Corporate>FAO</b:Corporate>
      </b:Author>
    </b:Author>
    <b:Title>Evaluation of FAO's Programme in West Bank and Gaza Strip 2011-2015</b:Title>
    <b:Year>August 2017</b:Year>
    <b:Publisher>FAO Office of Evaluation</b:Publisher>
    <b:City>Rome</b:City>
    <b:RefOrder>19</b:RefOrder>
  </b:Source>
  <b:Source>
    <b:Tag>ElA19</b:Tag>
    <b:SourceType>Report</b:SourceType>
    <b:Guid>{E7E6852B-F4FA-42A6-9262-0515DFBA05E5}</b:Guid>
    <b:Author>
      <b:Author>
        <b:NameList>
          <b:Person>
            <b:Last>El-Ahmend</b:Last>
            <b:First>Nabila</b:First>
          </b:Person>
          <b:Person>
            <b:Last>Nabris</b:Last>
            <b:First>Nada</b:First>
          </b:Person>
        </b:NameList>
      </b:Author>
    </b:Author>
    <b:Title>The importance of packing house management in vegetable and fruit value chains</b:Title>
    <b:Year>January 2019</b:Year>
    <b:Publisher>Oxfam International</b:Publisher>
    <b:City>Oxford UK</b:City>
    <b:RefOrder>20</b:RefOrder>
  </b:Source>
  <b:Source>
    <b:Tag>Nor12</b:Tag>
    <b:SourceType>DocumentFromInternetSite</b:SourceType>
    <b:Guid>{7F55829E-F44D-45B9-AEFA-E73EFBD31E8E}</b:Guid>
    <b:Title> Integrating Very Poor Producers into Value Chains Field Guide [pdf]</b:Title>
    <b:Year>2012</b:Year>
    <b:Author>
      <b:Author>
        <b:NameList>
          <b:Person>
            <b:Last>Norell</b:Last>
            <b:First>D</b:First>
            <b:Middle>and Brand, M.</b:Middle>
          </b:Person>
        </b:NameList>
      </b:Author>
    </b:Author>
    <b:InternetSiteTitle>World Vision and United States Agency for International Development</b:InternetSiteTitle>
    <b:URL>https: //www.usaid.gov/sites/default/files/documents/1862/integrating_very_poor_into_value_chains.pdf</b:URL>
    <b:RefOrder>22</b:RefOrder>
  </b:Source>
  <b:Source>
    <b:Tag>Bre14</b:Tag>
    <b:SourceType>Book</b:SourceType>
    <b:Guid>{F07917A2-F87D-4B67-8451-348501D8F6FC}</b:Guid>
    <b:Title>Necessity Entrepreneurs: Microenterprise Education and Economic Development</b:Title>
    <b:Year>2014</b:Year>
    <b:Author>
      <b:Author>
        <b:NameList>
          <b:Person>
            <b:Last>Brewer</b:Last>
            <b:First>J</b:First>
            <b:Middle>and Gibson, SW</b:Middle>
          </b:Person>
        </b:NameList>
      </b:Author>
    </b:Author>
    <b:City>Cheltenham</b:City>
    <b:Publisher>Edward Elgar Publishing</b:Publisher>
    <b:RefOrder>23</b:RefOrder>
  </b:Source>
  <b:Source>
    <b:Tag>Ber12</b:Tag>
    <b:SourceType>JournalArticle</b:SourceType>
    <b:Guid>{517D655B-90DE-4DEF-93E7-D4909D033CF4}</b:Guid>
    <b:Title>Helping a large number of people become a little less poor: the logic of survival entrepreneurs</b:Title>
    <b:Year>2012</b:Year>
    <b:Author>
      <b:Author>
        <b:NameList>
          <b:Person>
            <b:Last>Berner</b:Last>
            <b:First>E.,</b:First>
            <b:Middle>Gomez, G. and Knorringa, P.</b:Middle>
          </b:Person>
        </b:NameList>
      </b:Author>
    </b:Author>
    <b:JournalName>The European Journal of Development Research</b:JournalName>
    <b:Pages>382-396</b:Pages>
    <b:RefOrder>24</b:RefOrder>
  </b:Source>
  <b:Source>
    <b:Tag>Van16</b:Tag>
    <b:SourceType>Report</b:SourceType>
    <b:Guid>{7F02726A-EC07-496A-8B29-F2621232030A}</b:Guid>
    <b:Author>
      <b:Author>
        <b:NameList>
          <b:Person>
            <b:Last>Van der Velde</b:Last>
            <b:First>Martine</b:First>
          </b:Person>
        </b:NameList>
      </b:Author>
    </b:Author>
    <b:Title>AMENCA 2 Program Level Completion Report</b:Title>
    <b:Year>May 2016</b:Year>
    <b:Publisher>Department of Foreign Affairs and Trade</b:Publisher>
    <b:City>Canberra</b:City>
    <b:RefOrder>25</b:RefOrder>
  </b:Source>
  <b:Source>
    <b:Tag>ElA191</b:Tag>
    <b:SourceType>Report</b:SourceType>
    <b:Guid>{35E6B112-C853-4F04-9D0F-E041F4847607}</b:Guid>
    <b:Author>
      <b:Author>
        <b:NameList>
          <b:Person>
            <b:Last>El-Ahmed</b:Last>
            <b:First>Nabila</b:First>
          </b:Person>
          <b:Person>
            <b:Last>Nabris</b:Last>
            <b:First>Nada</b:First>
          </b:Person>
        </b:NameList>
      </b:Author>
    </b:Author>
    <b:Title>Women's Economic Empowerment: Supporting women led business</b:Title>
    <b:Year>January 2019</b:Year>
    <b:Publisher>Oxfam International</b:Publisher>
    <b:City>Oxford, UK</b:City>
    <b:RefOrder>26</b:RefOrder>
  </b:Source>
  <b:Source>
    <b:Tag>Abu19</b:Tag>
    <b:SourceType>Report</b:SourceType>
    <b:Guid>{5BE6882D-5F2D-4683-8F37-226990589DD0}</b:Guid>
    <b:Author>
      <b:Author>
        <b:NameList>
          <b:Person>
            <b:Last>AbuMezied</b:Last>
            <b:First>Asmaa</b:First>
          </b:Person>
        </b:NameList>
      </b:Author>
    </b:Author>
    <b:Title>Agripreneurship: Engaging young people in the agriculture sector in the Gaza Strip</b:Title>
    <b:Year>February 2019</b:Year>
    <b:Publisher>Oxfam International</b:Publisher>
    <b:City>Oxford</b:City>
    <b:RefOrder>27</b:RefOrder>
  </b:Source>
  <b:Source>
    <b:Tag>CAR19</b:Tag>
    <b:SourceType>Report</b:SourceType>
    <b:Guid>{8B229C78-A536-43BD-BDA1-C075C8A84A6C}</b:Guid>
    <b:Author>
      <b:Author>
        <b:Corporate>CARE</b:Corporate>
      </b:Author>
    </b:Author>
    <b:Title>Mid-term Evaluation of Souqona Project</b:Title>
    <b:Year>Feb 2019</b:Year>
    <b:Publisher>Advance Consulting Services</b:Publisher>
    <b:City>Al Bireh, Palestine</b:City>
    <b:RefOrder>28</b:RefOrder>
  </b:Source>
  <b:Source>
    <b:Tag>Ran15</b:Tag>
    <b:SourceType>Report</b:SourceType>
    <b:Guid>{D81184AC-3D44-4F14-9C44-103BAD53CBAD}</b:Guid>
    <b:Author>
      <b:Author>
        <b:NameList>
          <b:Person>
            <b:Last>Rankin</b:Last>
            <b:First>Scott</b:First>
          </b:Person>
        </b:NameList>
      </b:Author>
    </b:Author>
    <b:Title>Program Review: Australia Middle-East NGO Cooperation Agreement (AMENCA) Phase Two (2009-15)</b:Title>
    <b:Year>2015</b:Year>
    <b:Publisher>Research Communications Group</b:Publisher>
    <b:City>Australia</b:City>
    <b:RefOrder>29</b:RefOrder>
  </b:Source>
  <b:Source>
    <b:Tag>Aus08</b:Tag>
    <b:SourceType>Report</b:SourceType>
    <b:Guid>{63A45D77-6CEE-4292-AC41-951938AF4A2F}</b:Guid>
    <b:Author>
      <b:Author>
        <b:Corporate>AusAID</b:Corporate>
      </b:Author>
    </b:Author>
    <b:Title>AMENCA: Program Design Concept Papaer and Guidelines</b:Title>
    <b:Year>January 2008</b:Year>
    <b:Publisher>Australian Agency for International Development</b:Publisher>
    <b:City>Canberra</b:City>
    <b:RefOrder>30</b:RefOrder>
  </b:Source>
  <b:Source>
    <b:Tag>BEA19</b:Tag>
    <b:SourceType>InternetSite</b:SourceType>
    <b:Guid>{4E36D797-E0DA-480A-A9A0-87447A4A1E61}</b:Guid>
    <b:Title>Evaluating Programmes</b:Title>
    <b:Year>2019</b:Year>
    <b:Month>May</b:Month>
    <b:Day>7</b:Day>
    <b:Author>
      <b:Author>
        <b:Corporate>BEAM Exchange</b:Corporate>
      </b:Author>
    </b:Author>
    <b:InternetSiteTitle>BEAN Exchange</b:InternetSiteTitle>
    <b:URL>https://beamexchange.org/evidence/evaluating-programmes/</b:URL>
    <b:RefOrder>31</b:RefOrder>
  </b:Source>
  <b:Source>
    <b:Tag>AME191</b:Tag>
    <b:SourceType>Report</b:SourceType>
    <b:Guid>{11A72373-8470-434A-A19E-8BCE5B2FD818}</b:Guid>
    <b:Author>
      <b:Author>
        <b:Corporate>AMENCA 3</b:Corporate>
      </b:Author>
    </b:Author>
    <b:Title>Definitions and notes on AMENCA 3 indicators</b:Title>
    <b:Year>Jan 2019</b:Year>
    <b:Publisher>Cardno</b:Publisher>
    <b:City>Melbourne, Australia</b:City>
    <b:RefOrder>32</b:RefOrder>
  </b:Source>
  <b:Source>
    <b:Tag>DFA19</b:Tag>
    <b:SourceType>Report</b:SourceType>
    <b:Guid>{E27DE08F-F502-4514-86EE-B145B4423801}</b:Guid>
    <b:Author>
      <b:Author>
        <b:Corporate>DFAT</b:Corporate>
      </b:Author>
    </b:Author>
    <b:Title>Foreign Policy White Paper</b:Title>
    <b:Year>2017</b:Year>
    <b:InternetSiteTitle>Australian Government 2017 Foreign Policy White Paper</b:InternetSiteTitle>
    <b:Month>April</b:Month>
    <b:Day>23</b:Day>
    <b:URL>https://www.fpwhitepaper.gov.au/</b:URL>
    <b:Publisher>Department of Foreign Affairs and Trade</b:Publisher>
    <b:City>Canberra, Australia</b:City>
    <b:RefOrder>33</b:RefOrder>
  </b:Source>
  <b:Source>
    <b:Tag>AME192</b:Tag>
    <b:SourceType>Report</b:SourceType>
    <b:Guid>{4A8F1368-5BB6-45A0-A309-EF85CB814A64}</b:Guid>
    <b:Author>
      <b:Author>
        <b:Corporate>AMENCA 3</b:Corporate>
      </b:Author>
    </b:Author>
    <b:Title>Definitions and notes on AMENCA 3 indicators</b:Title>
    <b:Year>Jan 2019</b:Year>
    <b:Publisher>Cardno</b:Publisher>
    <b:City>Melbourne</b:City>
    <b:RefOrder>34</b:RefOrder>
  </b:Source>
  <b:Source>
    <b:Tag>DFA181</b:Tag>
    <b:SourceType>Report</b:SourceType>
    <b:Guid>{65547E36-CAAE-416E-A48D-01A768627EA1}</b:Guid>
    <b:Author>
      <b:Author>
        <b:Corporate>DFAT</b:Corporate>
      </b:Author>
    </b:Author>
    <b:Title>Aid Program Performance Report 2015/16; 2016/17 and 2017/18</b:Title>
    <b:Year>2016, 2017, 2018</b:Year>
    <b:Publisher>Department of Foreign Affairs and Trade</b:Publisher>
    <b:City>Canberra</b:City>
    <b:RefOrder>7</b:RefOrder>
  </b:Source>
  <b:Source>
    <b:Tag>DFA192</b:Tag>
    <b:SourceType>Report</b:SourceType>
    <b:Guid>{F77233DF-0A39-4206-8A2F-0660466AC64E}</b:Guid>
    <b:Author>
      <b:Author>
        <b:Corporate>DFAT</b:Corporate>
      </b:Author>
    </b:Author>
    <b:Title>Environmental and Social Safeguards Policy</b:Title>
    <b:Year>March 2019</b:Year>
    <b:Publisher>DFAT</b:Publisher>
    <b:City>Canberra</b:City>
    <b:Pages>25</b:Pages>
    <b:Medium>Document</b:Medium>
    <b:YearAccessed>2019</b:YearAccessed>
    <b:MonthAccessed>June</b:MonthAccessed>
    <b:DayAccessed>23</b:DayAccessed>
    <b:URL>https://dfat.gov.au/about-us/publications/Documents/environmental-social-safeguard-policy.pdf</b:URL>
    <b:RefOrder>21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859881B-77DA-4B64-BA4E-291479A5C371}"/>
</file>

<file path=customXml/itemProps2.xml><?xml version="1.0" encoding="utf-8"?>
<ds:datastoreItem xmlns:ds="http://schemas.openxmlformats.org/officeDocument/2006/customXml" ds:itemID="{DE4FC68B-81CC-4364-B3B8-82CD2DF53DC5}"/>
</file>

<file path=customXml/itemProps3.xml><?xml version="1.0" encoding="utf-8"?>
<ds:datastoreItem xmlns:ds="http://schemas.openxmlformats.org/officeDocument/2006/customXml" ds:itemID="{B2105DB3-3314-4E8D-A506-EB36FE870D09}"/>
</file>

<file path=customXml/itemProps4.xml><?xml version="1.0" encoding="utf-8"?>
<ds:datastoreItem xmlns:ds="http://schemas.openxmlformats.org/officeDocument/2006/customXml" ds:itemID="{300BE61C-32D8-4C85-92C0-CD6FADB31F51}"/>
</file>

<file path=docProps/app.xml><?xml version="1.0" encoding="utf-8"?>
<Properties xmlns="http://schemas.openxmlformats.org/officeDocument/2006/extended-properties" xmlns:vt="http://schemas.openxmlformats.org/officeDocument/2006/docPropsVTypes">
  <Template>Normal.dotm</Template>
  <TotalTime>0</TotalTime>
  <Pages>74</Pages>
  <Words>30793</Words>
  <Characters>175524</Characters>
  <Application>Microsoft Office Word</Application>
  <DocSecurity>0</DocSecurity>
  <Lines>1462</Lines>
  <Paragraphs>411</Paragraphs>
  <ScaleCrop>false</ScaleCrop>
  <Company/>
  <LinksUpToDate>false</LinksUpToDate>
  <CharactersWithSpaces>205906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2019-11-12T03:17:00Z</dcterms:created>
  <dcterms:modified xsi:type="dcterms:W3CDTF">2019-11-12T03:17:00Z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b63cda65-067b-4fe5-8d3f-85e6c3d226a7</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1279700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