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B73F" w14:textId="77777777" w:rsidR="00BD5C16" w:rsidRPr="00011B95" w:rsidRDefault="00BD5C16" w:rsidP="00C3490B">
      <w:pPr>
        <w:pStyle w:val="Title"/>
      </w:pPr>
      <w:r w:rsidRPr="00011B95">
        <w:t>Pakistan Trade and Investment Policy Program (PTIPP)</w:t>
      </w:r>
    </w:p>
    <w:p w14:paraId="024AB8B1" w14:textId="77777777" w:rsidR="00BD5C16" w:rsidRPr="00EF1149" w:rsidRDefault="00C3490B" w:rsidP="00C3490B">
      <w:pPr>
        <w:pStyle w:val="Heading1"/>
        <w:rPr>
          <w:lang w:val="en-AU"/>
        </w:rPr>
      </w:pPr>
      <w:r>
        <w:rPr>
          <w:lang w:val="en-AU"/>
        </w:rPr>
        <w:t xml:space="preserve">DFAT Management Response to </w:t>
      </w:r>
      <w:r w:rsidR="00BD5C16" w:rsidRPr="00EF1149">
        <w:rPr>
          <w:lang w:val="en-AU"/>
        </w:rPr>
        <w:t xml:space="preserve">Independent Review </w:t>
      </w:r>
    </w:p>
    <w:p w14:paraId="079C18C0" w14:textId="21654E29" w:rsidR="0047223C" w:rsidRPr="00A636A4" w:rsidRDefault="0047223C" w:rsidP="00A636A4">
      <w:pPr>
        <w:pStyle w:val="BodyText"/>
        <w:rPr>
          <w:rFonts w:eastAsia="Calibri" w:cs="Times New Roman"/>
          <w:color w:val="auto"/>
          <w:lang w:val="en-US"/>
        </w:rPr>
      </w:pPr>
      <w:r w:rsidRPr="00A636A4">
        <w:rPr>
          <w:rFonts w:eastAsia="Calibri" w:cs="Times New Roman"/>
          <w:color w:val="auto"/>
          <w:lang w:val="en-US"/>
        </w:rPr>
        <w:t>PTIPP is a three year, $9.9 million investment (July 2015 to June 2018), delivered by the World Bank to support Pakistan’s efforts to increase regional trade and investment, with a particular focus on strengthening links to other South Asian markets. The program consists of four components and two cross</w:t>
      </w:r>
      <w:r w:rsidR="00A636A4">
        <w:rPr>
          <w:rFonts w:eastAsia="Calibri" w:cs="Times New Roman"/>
          <w:color w:val="auto"/>
          <w:lang w:val="en-US"/>
        </w:rPr>
        <w:t xml:space="preserve"> </w:t>
      </w:r>
      <w:r w:rsidRPr="00A636A4">
        <w:rPr>
          <w:rFonts w:eastAsia="Calibri" w:cs="Times New Roman"/>
          <w:color w:val="auto"/>
          <w:lang w:val="en-US"/>
        </w:rPr>
        <w:t>cutting themes</w:t>
      </w:r>
      <w:r w:rsidR="00A636A4">
        <w:rPr>
          <w:rFonts w:eastAsia="Calibri" w:cs="Times New Roman"/>
          <w:color w:val="auto"/>
          <w:lang w:val="en-US"/>
        </w:rPr>
        <w:t xml:space="preserve"> -</w:t>
      </w:r>
      <w:r w:rsidRPr="00A636A4">
        <w:rPr>
          <w:rFonts w:eastAsia="Calibri" w:cs="Times New Roman"/>
          <w:color w:val="auto"/>
          <w:lang w:val="en-US"/>
        </w:rPr>
        <w:t xml:space="preserve"> 1) Supporting the regional trade policy framework; 2) Strengthening institutional capacity for trade; 3)</w:t>
      </w:r>
      <w:r w:rsidR="00E24DE8">
        <w:rPr>
          <w:rFonts w:eastAsia="Calibri" w:cs="Times New Roman"/>
          <w:color w:val="auto"/>
          <w:lang w:val="en-US"/>
        </w:rPr>
        <w:t> </w:t>
      </w:r>
      <w:r w:rsidRPr="00A636A4">
        <w:rPr>
          <w:rFonts w:eastAsia="Calibri" w:cs="Times New Roman"/>
          <w:color w:val="auto"/>
          <w:lang w:val="en-US"/>
        </w:rPr>
        <w:t>Specific trade facilitation activities and 4) Heritage Tourism</w:t>
      </w:r>
      <w:r w:rsidR="00A636A4">
        <w:rPr>
          <w:rFonts w:eastAsia="Calibri" w:cs="Times New Roman"/>
          <w:color w:val="auto"/>
          <w:lang w:val="en-US"/>
        </w:rPr>
        <w:t>, with</w:t>
      </w:r>
      <w:r w:rsidRPr="00A636A4">
        <w:rPr>
          <w:rFonts w:eastAsia="Calibri" w:cs="Times New Roman"/>
          <w:color w:val="auto"/>
          <w:lang w:val="en-US"/>
        </w:rPr>
        <w:t xml:space="preserve"> ge</w:t>
      </w:r>
      <w:bookmarkStart w:id="0" w:name="_GoBack"/>
      <w:bookmarkEnd w:id="0"/>
      <w:r w:rsidRPr="00A636A4">
        <w:rPr>
          <w:rFonts w:eastAsia="Calibri" w:cs="Times New Roman"/>
          <w:color w:val="auto"/>
          <w:lang w:val="en-US"/>
        </w:rPr>
        <w:t>nder and strategic communications</w:t>
      </w:r>
      <w:r w:rsidR="00A636A4">
        <w:rPr>
          <w:rFonts w:eastAsia="Calibri" w:cs="Times New Roman"/>
          <w:color w:val="auto"/>
          <w:lang w:val="en-US"/>
        </w:rPr>
        <w:t xml:space="preserve"> as cross cutting issues</w:t>
      </w:r>
      <w:r w:rsidRPr="00A636A4">
        <w:rPr>
          <w:rFonts w:eastAsia="Calibri" w:cs="Times New Roman"/>
          <w:color w:val="auto"/>
          <w:lang w:val="en-US"/>
        </w:rPr>
        <w:t>.</w:t>
      </w:r>
    </w:p>
    <w:p w14:paraId="0A6E24F2" w14:textId="77777777" w:rsidR="0047223C" w:rsidRPr="00A636A4" w:rsidRDefault="0047223C" w:rsidP="00A636A4">
      <w:pPr>
        <w:pStyle w:val="BodyText"/>
        <w:rPr>
          <w:rFonts w:eastAsia="Calibri" w:cs="Times New Roman"/>
          <w:color w:val="auto"/>
          <w:lang w:val="en-US"/>
        </w:rPr>
      </w:pPr>
    </w:p>
    <w:p w14:paraId="3E8BFBF2" w14:textId="0418760B" w:rsidR="00E5562D" w:rsidRPr="00C16EC7" w:rsidRDefault="00A636A4" w:rsidP="00A636A4">
      <w:pPr>
        <w:pStyle w:val="BodyText"/>
        <w:rPr>
          <w:rFonts w:eastAsia="Calibri" w:cs="Times New Roman"/>
          <w:color w:val="auto"/>
          <w:lang w:val="en-US"/>
        </w:rPr>
      </w:pPr>
      <w:r>
        <w:rPr>
          <w:rFonts w:eastAsia="Calibri" w:cs="Times New Roman"/>
          <w:color w:val="auto"/>
          <w:lang w:val="en-US"/>
        </w:rPr>
        <w:t>I</w:t>
      </w:r>
      <w:r w:rsidRPr="00A636A4">
        <w:rPr>
          <w:rFonts w:eastAsia="Calibri" w:cs="Times New Roman"/>
          <w:color w:val="auto"/>
          <w:lang w:val="en-US"/>
        </w:rPr>
        <w:t xml:space="preserve">n line with stipulations in the Australia and the World Bank </w:t>
      </w:r>
      <w:r w:rsidR="00E24DE8">
        <w:rPr>
          <w:rFonts w:eastAsia="Calibri" w:cs="Times New Roman"/>
          <w:color w:val="auto"/>
          <w:lang w:val="en-US"/>
        </w:rPr>
        <w:t xml:space="preserve">program </w:t>
      </w:r>
      <w:r>
        <w:rPr>
          <w:rFonts w:eastAsia="Calibri" w:cs="Times New Roman"/>
          <w:color w:val="auto"/>
          <w:lang w:val="en-US"/>
        </w:rPr>
        <w:t>agreement, a</w:t>
      </w:r>
      <w:r w:rsidR="0047223C" w:rsidRPr="00A636A4">
        <w:rPr>
          <w:rFonts w:eastAsia="Calibri" w:cs="Times New Roman"/>
          <w:color w:val="auto"/>
          <w:lang w:val="en-US"/>
        </w:rPr>
        <w:t xml:space="preserve">n independent review was conducted in January - March 2017 to assess </w:t>
      </w:r>
      <w:r>
        <w:rPr>
          <w:rFonts w:eastAsia="Calibri" w:cs="Times New Roman"/>
          <w:color w:val="auto"/>
          <w:lang w:val="en-US"/>
        </w:rPr>
        <w:t>PTIPP’s performance</w:t>
      </w:r>
      <w:r w:rsidR="0047223C" w:rsidRPr="00A636A4">
        <w:rPr>
          <w:rFonts w:eastAsia="Calibri" w:cs="Times New Roman"/>
          <w:color w:val="auto"/>
          <w:lang w:val="en-US"/>
        </w:rPr>
        <w:t>.</w:t>
      </w:r>
      <w:r>
        <w:rPr>
          <w:rFonts w:eastAsia="Calibri" w:cs="Times New Roman"/>
          <w:color w:val="auto"/>
          <w:lang w:val="en-US"/>
        </w:rPr>
        <w:t xml:space="preserve"> </w:t>
      </w:r>
      <w:r w:rsidR="0047223C" w:rsidRPr="00A636A4">
        <w:rPr>
          <w:rFonts w:eastAsia="Calibri" w:cs="Times New Roman"/>
          <w:color w:val="auto"/>
          <w:lang w:val="en-US"/>
        </w:rPr>
        <w:t xml:space="preserve">The purpose of the review </w:t>
      </w:r>
      <w:r>
        <w:rPr>
          <w:rFonts w:eastAsia="Calibri" w:cs="Times New Roman"/>
          <w:color w:val="auto"/>
          <w:lang w:val="en-US"/>
        </w:rPr>
        <w:t>was</w:t>
      </w:r>
      <w:r w:rsidR="0047223C" w:rsidRPr="00A636A4">
        <w:rPr>
          <w:rFonts w:eastAsia="Calibri" w:cs="Times New Roman"/>
          <w:color w:val="auto"/>
          <w:lang w:val="en-US"/>
        </w:rPr>
        <w:t xml:space="preserve"> to assess program progress and to provide recommendations on future focus and volume of funding against each of the four components, with specific attention given to promoting gender equality.</w:t>
      </w:r>
      <w:r>
        <w:rPr>
          <w:rFonts w:eastAsia="Calibri" w:cs="Times New Roman"/>
          <w:color w:val="auto"/>
          <w:lang w:val="en-US"/>
        </w:rPr>
        <w:t xml:space="preserve"> </w:t>
      </w:r>
      <w:r w:rsidR="00E5562D" w:rsidRPr="00C16EC7">
        <w:rPr>
          <w:rFonts w:eastAsia="Calibri" w:cs="Times New Roman"/>
          <w:color w:val="auto"/>
          <w:lang w:val="en-US"/>
        </w:rPr>
        <w:t>The Independent Review team comprised two independent consultants</w:t>
      </w:r>
      <w:r>
        <w:rPr>
          <w:rFonts w:eastAsia="Calibri" w:cs="Times New Roman"/>
          <w:color w:val="auto"/>
          <w:lang w:val="en-US"/>
        </w:rPr>
        <w:t xml:space="preserve"> –</w:t>
      </w:r>
      <w:r w:rsidR="00E5562D" w:rsidRPr="00C16EC7">
        <w:rPr>
          <w:rFonts w:eastAsia="Calibri" w:cs="Times New Roman"/>
          <w:color w:val="auto"/>
          <w:lang w:val="en-US"/>
        </w:rPr>
        <w:t xml:space="preserve"> </w:t>
      </w:r>
      <w:r>
        <w:rPr>
          <w:rFonts w:eastAsia="Calibri" w:cs="Times New Roman"/>
          <w:color w:val="auto"/>
          <w:lang w:val="en-US"/>
        </w:rPr>
        <w:t xml:space="preserve">a </w:t>
      </w:r>
      <w:r w:rsidR="00E5562D" w:rsidRPr="00C16EC7">
        <w:rPr>
          <w:rFonts w:eastAsia="Calibri" w:cs="Times New Roman"/>
          <w:color w:val="auto"/>
          <w:lang w:val="en-US"/>
        </w:rPr>
        <w:t>trade policy specialist (Peter van Dierm</w:t>
      </w:r>
      <w:r w:rsidR="00F17D1F">
        <w:rPr>
          <w:rFonts w:eastAsia="Calibri" w:cs="Times New Roman"/>
          <w:color w:val="auto"/>
          <w:lang w:val="en-US"/>
        </w:rPr>
        <w:t>e</w:t>
      </w:r>
      <w:r w:rsidR="00E5562D" w:rsidRPr="00C16EC7">
        <w:rPr>
          <w:rFonts w:eastAsia="Calibri" w:cs="Times New Roman"/>
          <w:color w:val="auto"/>
          <w:lang w:val="en-US"/>
        </w:rPr>
        <w:t>n)</w:t>
      </w:r>
      <w:r>
        <w:rPr>
          <w:rFonts w:eastAsia="Calibri" w:cs="Times New Roman"/>
          <w:color w:val="auto"/>
          <w:lang w:val="en-US"/>
        </w:rPr>
        <w:t xml:space="preserve"> and</w:t>
      </w:r>
      <w:r w:rsidR="00E5562D" w:rsidRPr="00C16EC7">
        <w:rPr>
          <w:rFonts w:eastAsia="Calibri" w:cs="Times New Roman"/>
          <w:color w:val="auto"/>
          <w:lang w:val="en-US"/>
        </w:rPr>
        <w:t xml:space="preserve"> </w:t>
      </w:r>
      <w:r>
        <w:rPr>
          <w:rFonts w:eastAsia="Calibri" w:cs="Times New Roman"/>
          <w:color w:val="auto"/>
          <w:lang w:val="en-US"/>
        </w:rPr>
        <w:t xml:space="preserve">a </w:t>
      </w:r>
      <w:r w:rsidR="00E5562D" w:rsidRPr="00C16EC7">
        <w:rPr>
          <w:rFonts w:eastAsia="Calibri" w:cs="Times New Roman"/>
          <w:color w:val="auto"/>
          <w:lang w:val="en-US"/>
        </w:rPr>
        <w:t xml:space="preserve">gender </w:t>
      </w:r>
      <w:r>
        <w:rPr>
          <w:rFonts w:eastAsia="Calibri" w:cs="Times New Roman"/>
          <w:color w:val="auto"/>
          <w:lang w:val="en-US"/>
        </w:rPr>
        <w:t>and</w:t>
      </w:r>
      <w:r w:rsidR="00E5562D" w:rsidRPr="00C16EC7">
        <w:rPr>
          <w:rFonts w:eastAsia="Calibri" w:cs="Times New Roman"/>
          <w:color w:val="auto"/>
          <w:lang w:val="en-US"/>
        </w:rPr>
        <w:t xml:space="preserve"> trade specialist (Gillian Brown). The </w:t>
      </w:r>
      <w:r w:rsidR="00C16EC7">
        <w:rPr>
          <w:rFonts w:eastAsia="Calibri" w:cs="Times New Roman"/>
          <w:color w:val="auto"/>
          <w:lang w:val="en-US"/>
        </w:rPr>
        <w:t>i</w:t>
      </w:r>
      <w:r w:rsidR="00E5562D" w:rsidRPr="00C16EC7">
        <w:rPr>
          <w:rFonts w:eastAsia="Calibri" w:cs="Times New Roman"/>
          <w:color w:val="auto"/>
          <w:lang w:val="en-US"/>
        </w:rPr>
        <w:t>ndependent</w:t>
      </w:r>
      <w:r w:rsidR="00C16EC7">
        <w:rPr>
          <w:rFonts w:eastAsia="Calibri" w:cs="Times New Roman"/>
          <w:color w:val="auto"/>
          <w:lang w:val="en-US"/>
        </w:rPr>
        <w:t xml:space="preserve"> r</w:t>
      </w:r>
      <w:r w:rsidR="00E5562D" w:rsidRPr="00C16EC7">
        <w:rPr>
          <w:rFonts w:eastAsia="Calibri" w:cs="Times New Roman"/>
          <w:color w:val="auto"/>
          <w:lang w:val="en-US"/>
        </w:rPr>
        <w:t>eview was managed by the Australian High Commission in Islamabad and DFAT Pakistan Desk in Canberra. Islamabad Post participated in all meetings and field visits associated with the mission.</w:t>
      </w:r>
    </w:p>
    <w:p w14:paraId="1B4D4BA9" w14:textId="77777777" w:rsidR="00160B90" w:rsidRDefault="00160B90" w:rsidP="00C16EC7">
      <w:pPr>
        <w:pStyle w:val="BodyText"/>
        <w:rPr>
          <w:b/>
        </w:rPr>
      </w:pPr>
    </w:p>
    <w:p w14:paraId="1369DCBF" w14:textId="4A95F1CD" w:rsidR="009F5D6B" w:rsidRPr="00C957BE" w:rsidRDefault="00C957BE">
      <w:pPr>
        <w:pStyle w:val="BodyText"/>
        <w:rPr>
          <w:rFonts w:eastAsia="Calibri" w:cs="Times New Roman"/>
          <w:color w:val="auto"/>
          <w:lang w:val="en-US"/>
        </w:rPr>
      </w:pPr>
      <w:r w:rsidRPr="00C957BE">
        <w:rPr>
          <w:b/>
          <w:color w:val="auto"/>
        </w:rPr>
        <w:t xml:space="preserve">DFAT’s response to the Independent Review Report (Review): </w:t>
      </w:r>
      <w:r w:rsidRPr="00C957BE">
        <w:rPr>
          <w:rFonts w:eastAsia="Calibri" w:cs="Times New Roman"/>
          <w:color w:val="auto"/>
          <w:lang w:val="en-US"/>
        </w:rPr>
        <w:t xml:space="preserve">DFAT accepts the Review findings and agrees with the majority of recommendations. The World Bank has developed an action plan that outlines steps to remedy program performance, and implementation of recommendations has commenced on several fronts. Following the review, DFAT undertook an internal performance assessment of PTIPP that confirmed the need to work closely with the Bank to improve program efficiency and effectiveness.  As a result, and in addition to the recommendations below, </w:t>
      </w:r>
      <w:r w:rsidR="00234763" w:rsidRPr="00234763">
        <w:rPr>
          <w:rFonts w:eastAsia="Calibri" w:cs="Times New Roman"/>
          <w:color w:val="auto"/>
          <w:lang w:val="en-US"/>
        </w:rPr>
        <w:t xml:space="preserve">DFAT has 1) committed to senior management oversight of PTIPP; 2) identified a minimum suite of program deliverables; 3) agreed to a six-month no-cost extension to ensure full implementation of program activities; and 4) </w:t>
      </w:r>
      <w:r w:rsidRPr="00C957BE">
        <w:rPr>
          <w:rFonts w:eastAsia="Calibri" w:cs="Times New Roman"/>
          <w:color w:val="auto"/>
          <w:lang w:val="en-US"/>
        </w:rPr>
        <w:t xml:space="preserve">will delay the release of final payment to Quarter 1 2018, pending a satisfactory financial acquittal and program progress report. </w:t>
      </w:r>
    </w:p>
    <w:p w14:paraId="5F463BB7" w14:textId="77777777" w:rsidR="009F5D6B" w:rsidRDefault="009F5D6B">
      <w:pPr>
        <w:pStyle w:val="BodyText"/>
        <w:rPr>
          <w:rFonts w:eastAsia="Calibri" w:cs="Times New Roman"/>
          <w:color w:val="auto"/>
          <w:lang w:val="en-US"/>
        </w:rPr>
      </w:pPr>
    </w:p>
    <w:p w14:paraId="246DBB64" w14:textId="77777777" w:rsidR="009F5D6B" w:rsidRDefault="009F5D6B">
      <w:pPr>
        <w:pStyle w:val="BodyText"/>
        <w:rPr>
          <w:rFonts w:eastAsia="Calibri" w:cs="Times New Roman"/>
          <w:color w:val="auto"/>
          <w:lang w:val="en-US"/>
        </w:rPr>
      </w:pPr>
    </w:p>
    <w:p w14:paraId="20BAB1FD" w14:textId="77777777" w:rsidR="009F5D6B" w:rsidRDefault="009F5D6B">
      <w:pPr>
        <w:pStyle w:val="BodyText"/>
        <w:rPr>
          <w:rFonts w:eastAsia="Calibri" w:cs="Times New Roman"/>
          <w:color w:val="auto"/>
          <w:lang w:val="en-US"/>
        </w:rPr>
      </w:pPr>
    </w:p>
    <w:p w14:paraId="354AF567" w14:textId="77777777" w:rsidR="009F5D6B" w:rsidRDefault="009F5D6B">
      <w:pPr>
        <w:pStyle w:val="BodyText"/>
        <w:rPr>
          <w:rFonts w:eastAsia="Calibri" w:cs="Times New Roman"/>
          <w:color w:val="auto"/>
          <w:lang w:val="en-US"/>
        </w:rPr>
      </w:pPr>
    </w:p>
    <w:p w14:paraId="17B536A1" w14:textId="77777777" w:rsidR="009F5D6B" w:rsidRDefault="009F5D6B">
      <w:pPr>
        <w:pStyle w:val="BodyText"/>
        <w:rPr>
          <w:rFonts w:eastAsia="Calibri" w:cs="Times New Roman"/>
          <w:color w:val="auto"/>
          <w:lang w:val="en-US"/>
        </w:rPr>
      </w:pPr>
    </w:p>
    <w:p w14:paraId="1DFD7989" w14:textId="77777777" w:rsidR="009F5D6B" w:rsidRDefault="009F5D6B">
      <w:pPr>
        <w:pStyle w:val="BodyText"/>
        <w:rPr>
          <w:rFonts w:eastAsia="Calibri" w:cs="Times New Roman"/>
          <w:color w:val="auto"/>
          <w:lang w:val="en-US"/>
        </w:rPr>
      </w:pPr>
    </w:p>
    <w:tbl>
      <w:tblPr>
        <w:tblStyle w:val="DFATTable1"/>
        <w:tblW w:w="14601" w:type="dxa"/>
        <w:tblInd w:w="-426"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679"/>
        <w:gridCol w:w="1134"/>
        <w:gridCol w:w="2977"/>
        <w:gridCol w:w="4536"/>
        <w:gridCol w:w="1275"/>
      </w:tblGrid>
      <w:tr w:rsidR="008C33B1" w:rsidRPr="00493FD8" w14:paraId="5B0729C3" w14:textId="77777777" w:rsidTr="00C35153">
        <w:trPr>
          <w:cnfStyle w:val="100000000000" w:firstRow="1" w:lastRow="0" w:firstColumn="0" w:lastColumn="0" w:oddVBand="0" w:evenVBand="0" w:oddHBand="0" w:evenHBand="0" w:firstRowFirstColumn="0" w:firstRowLastColumn="0" w:lastRowFirstColumn="0" w:lastRowLastColumn="0"/>
          <w:trHeight w:val="358"/>
          <w:tblHeader w:val="0"/>
        </w:trPr>
        <w:tc>
          <w:tcPr>
            <w:cnfStyle w:val="001000000000" w:firstRow="0" w:lastRow="0" w:firstColumn="1" w:lastColumn="0" w:oddVBand="0" w:evenVBand="0" w:oddHBand="0" w:evenHBand="0" w:firstRowFirstColumn="0" w:firstRowLastColumn="0" w:lastRowFirstColumn="0" w:lastRowLastColumn="0"/>
            <w:tcW w:w="14601" w:type="dxa"/>
            <w:gridSpan w:val="5"/>
            <w:shd w:val="clear" w:color="auto" w:fill="auto"/>
          </w:tcPr>
          <w:p w14:paraId="202C3558" w14:textId="77777777" w:rsidR="008C33B1" w:rsidRPr="00493FD8" w:rsidRDefault="008C33B1" w:rsidP="00927D9C">
            <w:pPr>
              <w:pStyle w:val="Heading1"/>
              <w:spacing w:before="0"/>
              <w:outlineLvl w:val="0"/>
              <w:rPr>
                <w:b/>
                <w:sz w:val="30"/>
                <w:szCs w:val="30"/>
              </w:rPr>
            </w:pPr>
            <w:r w:rsidRPr="00493FD8">
              <w:rPr>
                <w:sz w:val="30"/>
                <w:szCs w:val="30"/>
              </w:rPr>
              <w:lastRenderedPageBreak/>
              <w:t>Individual management response to the recommendations</w:t>
            </w:r>
          </w:p>
        </w:tc>
      </w:tr>
      <w:tr w:rsidR="009F5D6B" w:rsidRPr="0047223C" w14:paraId="47234216" w14:textId="77777777" w:rsidTr="00493FD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79" w:type="dxa"/>
            <w:shd w:val="clear" w:color="auto" w:fill="5B9BD5" w:themeFill="accent1"/>
            <w:hideMark/>
          </w:tcPr>
          <w:p w14:paraId="3CDA11E7" w14:textId="77777777" w:rsidR="00C15F4D" w:rsidRPr="008C33B1" w:rsidRDefault="00C15F4D" w:rsidP="00F02539">
            <w:pPr>
              <w:pStyle w:val="TableHeaderRow"/>
              <w:rPr>
                <w:sz w:val="18"/>
                <w:szCs w:val="18"/>
              </w:rPr>
            </w:pPr>
            <w:r w:rsidRPr="008C33B1">
              <w:rPr>
                <w:sz w:val="18"/>
                <w:szCs w:val="18"/>
              </w:rPr>
              <w:t>Recommendation</w:t>
            </w:r>
          </w:p>
        </w:tc>
        <w:tc>
          <w:tcPr>
            <w:tcW w:w="1134" w:type="dxa"/>
            <w:shd w:val="clear" w:color="auto" w:fill="5B9BD5" w:themeFill="accent1"/>
            <w:hideMark/>
          </w:tcPr>
          <w:p w14:paraId="14EDB29F" w14:textId="77777777" w:rsidR="00C15F4D" w:rsidRPr="008C33B1" w:rsidRDefault="00C15F4D">
            <w:pPr>
              <w:pStyle w:val="TableHeaderRow"/>
              <w:cnfStyle w:val="000000100000" w:firstRow="0" w:lastRow="0" w:firstColumn="0" w:lastColumn="0" w:oddVBand="0" w:evenVBand="0" w:oddHBand="1" w:evenHBand="0" w:firstRowFirstColumn="0" w:firstRowLastColumn="0" w:lastRowFirstColumn="0" w:lastRowLastColumn="0"/>
              <w:rPr>
                <w:sz w:val="18"/>
                <w:szCs w:val="18"/>
              </w:rPr>
            </w:pPr>
            <w:r w:rsidRPr="008C33B1">
              <w:rPr>
                <w:sz w:val="18"/>
                <w:szCs w:val="18"/>
              </w:rPr>
              <w:t xml:space="preserve">Response </w:t>
            </w:r>
          </w:p>
        </w:tc>
        <w:tc>
          <w:tcPr>
            <w:tcW w:w="2977" w:type="dxa"/>
            <w:shd w:val="clear" w:color="auto" w:fill="5B9BD5" w:themeFill="accent1"/>
            <w:hideMark/>
          </w:tcPr>
          <w:p w14:paraId="7DEA4038" w14:textId="77777777" w:rsidR="00C15F4D" w:rsidRPr="008C33B1" w:rsidRDefault="00C15F4D" w:rsidP="00F02539">
            <w:pPr>
              <w:pStyle w:val="TableHeaderRow"/>
              <w:cnfStyle w:val="000000100000" w:firstRow="0" w:lastRow="0" w:firstColumn="0" w:lastColumn="0" w:oddVBand="0" w:evenVBand="0" w:oddHBand="1" w:evenHBand="0" w:firstRowFirstColumn="0" w:firstRowLastColumn="0" w:lastRowFirstColumn="0" w:lastRowLastColumn="0"/>
              <w:rPr>
                <w:sz w:val="18"/>
                <w:szCs w:val="18"/>
              </w:rPr>
            </w:pPr>
            <w:r w:rsidRPr="008C33B1">
              <w:rPr>
                <w:sz w:val="18"/>
                <w:szCs w:val="18"/>
              </w:rPr>
              <w:t xml:space="preserve">Explanation </w:t>
            </w:r>
          </w:p>
        </w:tc>
        <w:tc>
          <w:tcPr>
            <w:tcW w:w="4536" w:type="dxa"/>
            <w:shd w:val="clear" w:color="auto" w:fill="5B9BD5" w:themeFill="accent1"/>
            <w:hideMark/>
          </w:tcPr>
          <w:p w14:paraId="1EAEA8F8" w14:textId="77777777" w:rsidR="00C15F4D" w:rsidRPr="008C33B1" w:rsidRDefault="00C15F4D" w:rsidP="00F02539">
            <w:pPr>
              <w:pStyle w:val="TableHeaderRow"/>
              <w:cnfStyle w:val="000000100000" w:firstRow="0" w:lastRow="0" w:firstColumn="0" w:lastColumn="0" w:oddVBand="0" w:evenVBand="0" w:oddHBand="1" w:evenHBand="0" w:firstRowFirstColumn="0" w:firstRowLastColumn="0" w:lastRowFirstColumn="0" w:lastRowLastColumn="0"/>
              <w:rPr>
                <w:sz w:val="18"/>
                <w:szCs w:val="18"/>
              </w:rPr>
            </w:pPr>
            <w:r w:rsidRPr="008C33B1">
              <w:rPr>
                <w:sz w:val="18"/>
                <w:szCs w:val="18"/>
              </w:rPr>
              <w:t xml:space="preserve">Action plan </w:t>
            </w:r>
          </w:p>
        </w:tc>
        <w:tc>
          <w:tcPr>
            <w:tcW w:w="1275" w:type="dxa"/>
            <w:shd w:val="clear" w:color="auto" w:fill="5B9BD5" w:themeFill="accent1"/>
            <w:hideMark/>
          </w:tcPr>
          <w:p w14:paraId="2D94F90D" w14:textId="77777777" w:rsidR="00C15F4D" w:rsidRPr="00493FD8" w:rsidRDefault="00C15F4D" w:rsidP="00F02539">
            <w:pPr>
              <w:pStyle w:val="TableHeaderRow"/>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493FD8">
              <w:rPr>
                <w:sz w:val="18"/>
                <w:szCs w:val="18"/>
              </w:rPr>
              <w:t>Timeframe</w:t>
            </w:r>
          </w:p>
        </w:tc>
      </w:tr>
      <w:tr w:rsidR="009F5D6B" w:rsidRPr="0047223C" w14:paraId="79CA08E1" w14:textId="77777777" w:rsidTr="00C35153">
        <w:trPr>
          <w:cnfStyle w:val="000000010000" w:firstRow="0" w:lastRow="0" w:firstColumn="0" w:lastColumn="0" w:oddVBand="0" w:evenVBand="0" w:oddHBand="0" w:evenHBand="1" w:firstRowFirstColumn="0" w:firstRowLastColumn="0" w:lastRowFirstColumn="0" w:lastRowLastColumn="0"/>
          <w:trHeight w:val="2675"/>
        </w:trPr>
        <w:tc>
          <w:tcPr>
            <w:cnfStyle w:val="001000000000" w:firstRow="0" w:lastRow="0" w:firstColumn="1" w:lastColumn="0" w:oddVBand="0" w:evenVBand="0" w:oddHBand="0" w:evenHBand="0" w:firstRowFirstColumn="0" w:firstRowLastColumn="0" w:lastRowFirstColumn="0" w:lastRowLastColumn="0"/>
            <w:tcW w:w="4679" w:type="dxa"/>
            <w:shd w:val="clear" w:color="auto" w:fill="D9D9D9" w:themeFill="background1" w:themeFillShade="D9"/>
          </w:tcPr>
          <w:p w14:paraId="2EAB2215" w14:textId="77777777" w:rsidR="0047223C" w:rsidRPr="00F417C3" w:rsidRDefault="009F5D6B" w:rsidP="008C33B1">
            <w:pPr>
              <w:pStyle w:val="Heading3"/>
              <w:spacing w:before="0"/>
              <w:outlineLvl w:val="2"/>
              <w:rPr>
                <w:b/>
                <w:color w:val="auto"/>
                <w:sz w:val="18"/>
                <w:szCs w:val="18"/>
              </w:rPr>
            </w:pPr>
            <w:r w:rsidRPr="00F417C3">
              <w:rPr>
                <w:b/>
                <w:color w:val="auto"/>
                <w:sz w:val="18"/>
                <w:szCs w:val="18"/>
              </w:rPr>
              <w:t>R</w:t>
            </w:r>
            <w:r w:rsidR="0047223C" w:rsidRPr="00F417C3">
              <w:rPr>
                <w:b/>
                <w:color w:val="auto"/>
                <w:sz w:val="18"/>
                <w:szCs w:val="18"/>
              </w:rPr>
              <w:t>ecommendation 1</w:t>
            </w:r>
          </w:p>
          <w:p w14:paraId="76473C2B" w14:textId="77777777" w:rsidR="0047223C" w:rsidRPr="00F417C3" w:rsidRDefault="0047223C" w:rsidP="008C33B1">
            <w:pPr>
              <w:rPr>
                <w:color w:val="auto"/>
              </w:rPr>
            </w:pPr>
            <w:r w:rsidRPr="00F417C3">
              <w:rPr>
                <w:i/>
                <w:color w:val="auto"/>
                <w:sz w:val="18"/>
                <w:szCs w:val="18"/>
                <w:lang w:val="en-AU"/>
              </w:rPr>
              <w:t xml:space="preserve">An interim solution needs to be found and implemented for the continuity of the Regional Trade Office (RTO) as soon as possible, while waiting for the </w:t>
            </w:r>
            <w:r w:rsidRPr="00F417C3">
              <w:rPr>
                <w:rFonts w:asciiTheme="majorHAnsi" w:hAnsiTheme="majorHAnsi"/>
                <w:i/>
                <w:color w:val="auto"/>
                <w:sz w:val="18"/>
                <w:szCs w:val="18"/>
                <w:lang w:val="en-AU"/>
              </w:rPr>
              <w:t xml:space="preserve">Recipient Executed Trust Fund (RETF) </w:t>
            </w:r>
            <w:r w:rsidRPr="00F417C3">
              <w:rPr>
                <w:i/>
                <w:color w:val="auto"/>
                <w:sz w:val="18"/>
                <w:szCs w:val="18"/>
                <w:lang w:val="en-AU"/>
              </w:rPr>
              <w:t xml:space="preserve">to be finalised. The RETF could be expanded to also include consultants that could help the </w:t>
            </w:r>
            <w:r w:rsidRPr="00F417C3">
              <w:rPr>
                <w:rFonts w:asciiTheme="majorHAnsi" w:hAnsiTheme="majorHAnsi"/>
                <w:i/>
                <w:color w:val="auto"/>
                <w:sz w:val="18"/>
                <w:szCs w:val="18"/>
                <w:lang w:val="en-AU"/>
              </w:rPr>
              <w:t xml:space="preserve">Ministry of Commence (MoC) </w:t>
            </w:r>
            <w:r w:rsidRPr="00F417C3">
              <w:rPr>
                <w:i/>
                <w:color w:val="auto"/>
                <w:sz w:val="18"/>
                <w:szCs w:val="18"/>
                <w:lang w:val="en-AU"/>
              </w:rPr>
              <w:t xml:space="preserve">identify specific capacity building activities and implement these, and possibly also to develop the strategic communication activities. </w:t>
            </w:r>
          </w:p>
        </w:tc>
        <w:tc>
          <w:tcPr>
            <w:tcW w:w="1134" w:type="dxa"/>
            <w:shd w:val="clear" w:color="auto" w:fill="FFC000"/>
            <w:hideMark/>
          </w:tcPr>
          <w:p w14:paraId="25DC34D5" w14:textId="77777777" w:rsidR="0047223C" w:rsidRPr="00F417C3" w:rsidRDefault="0047223C" w:rsidP="008C33B1">
            <w:pPr>
              <w:pStyle w:val="Heading3"/>
              <w:spacing w:before="0"/>
              <w:outlineLvl w:val="2"/>
              <w:cnfStyle w:val="000000010000" w:firstRow="0" w:lastRow="0" w:firstColumn="0" w:lastColumn="0" w:oddVBand="0" w:evenVBand="0" w:oddHBand="0" w:evenHBand="1" w:firstRowFirstColumn="0" w:firstRowLastColumn="0" w:lastRowFirstColumn="0" w:lastRowLastColumn="0"/>
              <w:rPr>
                <w:b/>
                <w:color w:val="auto"/>
                <w:sz w:val="18"/>
                <w:szCs w:val="18"/>
              </w:rPr>
            </w:pPr>
            <w:r w:rsidRPr="00F417C3">
              <w:rPr>
                <w:b/>
                <w:color w:val="auto"/>
                <w:sz w:val="18"/>
                <w:szCs w:val="18"/>
              </w:rPr>
              <w:t xml:space="preserve">Agree in part </w:t>
            </w:r>
          </w:p>
        </w:tc>
        <w:tc>
          <w:tcPr>
            <w:tcW w:w="2977" w:type="dxa"/>
          </w:tcPr>
          <w:p w14:paraId="0BE3A8EC" w14:textId="08D99460" w:rsidR="0047223C" w:rsidRPr="00F417C3" w:rsidRDefault="0047223C" w:rsidP="00FC1578">
            <w:pPr>
              <w:pStyle w:val="BodyText"/>
              <w:cnfStyle w:val="000000010000" w:firstRow="0" w:lastRow="0" w:firstColumn="0" w:lastColumn="0" w:oddVBand="0" w:evenVBand="0" w:oddHBand="0" w:evenHBand="1" w:firstRowFirstColumn="0" w:firstRowLastColumn="0" w:lastRowFirstColumn="0" w:lastRowLastColumn="0"/>
              <w:rPr>
                <w:color w:val="auto"/>
                <w:sz w:val="18"/>
                <w:szCs w:val="18"/>
                <w:highlight w:val="red"/>
              </w:rPr>
            </w:pPr>
            <w:r w:rsidRPr="00F417C3">
              <w:rPr>
                <w:rFonts w:asciiTheme="majorHAnsi" w:hAnsiTheme="majorHAnsi"/>
                <w:color w:val="auto"/>
                <w:sz w:val="18"/>
                <w:szCs w:val="18"/>
              </w:rPr>
              <w:t>The RTO, consisting of three national-staff economists, has been an important part of producing and socialising World Bank (</w:t>
            </w:r>
            <w:r w:rsidR="00FC1578">
              <w:rPr>
                <w:rFonts w:asciiTheme="majorHAnsi" w:hAnsiTheme="majorHAnsi"/>
                <w:color w:val="auto"/>
                <w:sz w:val="18"/>
                <w:szCs w:val="18"/>
              </w:rPr>
              <w:t>WB</w:t>
            </w:r>
            <w:r w:rsidRPr="00F417C3">
              <w:rPr>
                <w:rFonts w:asciiTheme="majorHAnsi" w:hAnsiTheme="majorHAnsi"/>
                <w:color w:val="auto"/>
                <w:sz w:val="18"/>
                <w:szCs w:val="18"/>
              </w:rPr>
              <w:t xml:space="preserve">) analytics within the MoC. Additional work has been commissioned from </w:t>
            </w:r>
            <w:r w:rsidR="00FC1578">
              <w:rPr>
                <w:rFonts w:asciiTheme="majorHAnsi" w:hAnsiTheme="majorHAnsi"/>
                <w:color w:val="auto"/>
                <w:sz w:val="18"/>
                <w:szCs w:val="18"/>
              </w:rPr>
              <w:t>WB</w:t>
            </w:r>
            <w:r w:rsidRPr="00F417C3">
              <w:rPr>
                <w:rFonts w:asciiTheme="majorHAnsi" w:hAnsiTheme="majorHAnsi"/>
                <w:color w:val="auto"/>
                <w:sz w:val="18"/>
                <w:szCs w:val="18"/>
              </w:rPr>
              <w:t xml:space="preserve"> analysts in Washington. While the RTO function needs to continue, it is not viable to establish an RETF within the remaining timeframe.</w:t>
            </w:r>
          </w:p>
        </w:tc>
        <w:tc>
          <w:tcPr>
            <w:tcW w:w="4536" w:type="dxa"/>
          </w:tcPr>
          <w:p w14:paraId="37D41B89" w14:textId="46743198" w:rsidR="0047223C" w:rsidRPr="00F417C3" w:rsidRDefault="0047223C">
            <w:pPr>
              <w:pStyle w:val="BodyText"/>
              <w:cnfStyle w:val="000000010000" w:firstRow="0" w:lastRow="0" w:firstColumn="0" w:lastColumn="0" w:oddVBand="0" w:evenVBand="0" w:oddHBand="0" w:evenHBand="1" w:firstRowFirstColumn="0" w:firstRowLastColumn="0" w:lastRowFirstColumn="0" w:lastRowLastColumn="0"/>
              <w:rPr>
                <w:color w:val="auto"/>
                <w:sz w:val="18"/>
                <w:szCs w:val="18"/>
              </w:rPr>
            </w:pPr>
            <w:r w:rsidRPr="00F417C3">
              <w:rPr>
                <w:rFonts w:asciiTheme="majorHAnsi" w:hAnsiTheme="majorHAnsi"/>
                <w:color w:val="auto"/>
                <w:sz w:val="18"/>
                <w:szCs w:val="18"/>
              </w:rPr>
              <w:t xml:space="preserve">The MoC has now directly hired the RTO consultants with their own financial resources. This will further contribute to the sustainability of the program’s objectives. </w:t>
            </w:r>
            <w:r w:rsidR="00FC1578">
              <w:rPr>
                <w:rFonts w:asciiTheme="majorHAnsi" w:hAnsiTheme="majorHAnsi"/>
                <w:color w:val="auto"/>
                <w:sz w:val="18"/>
                <w:szCs w:val="18"/>
              </w:rPr>
              <w:t>WB</w:t>
            </w:r>
            <w:r w:rsidRPr="00F417C3">
              <w:rPr>
                <w:rFonts w:asciiTheme="majorHAnsi" w:hAnsiTheme="majorHAnsi"/>
                <w:color w:val="auto"/>
                <w:sz w:val="18"/>
                <w:szCs w:val="18"/>
              </w:rPr>
              <w:t xml:space="preserve"> global trade specialists will continue to develop analytics and guide trade policy work in Pakistan. DFAT will seek feedback from the MoC to </w:t>
            </w:r>
            <w:r w:rsidR="00E24DE8">
              <w:rPr>
                <w:rFonts w:asciiTheme="majorHAnsi" w:hAnsiTheme="majorHAnsi"/>
                <w:color w:val="auto"/>
                <w:sz w:val="18"/>
                <w:szCs w:val="18"/>
              </w:rPr>
              <w:t>confirm</w:t>
            </w:r>
            <w:r w:rsidR="00E24DE8" w:rsidRPr="00F417C3">
              <w:rPr>
                <w:rFonts w:asciiTheme="majorHAnsi" w:hAnsiTheme="majorHAnsi"/>
                <w:color w:val="auto"/>
                <w:sz w:val="18"/>
                <w:szCs w:val="18"/>
              </w:rPr>
              <w:t xml:space="preserve"> </w:t>
            </w:r>
            <w:r w:rsidRPr="00F417C3">
              <w:rPr>
                <w:rFonts w:asciiTheme="majorHAnsi" w:hAnsiTheme="majorHAnsi"/>
                <w:color w:val="auto"/>
                <w:sz w:val="18"/>
                <w:szCs w:val="18"/>
              </w:rPr>
              <w:t>inputs remain relevant.</w:t>
            </w:r>
          </w:p>
        </w:tc>
        <w:tc>
          <w:tcPr>
            <w:tcW w:w="1275" w:type="dxa"/>
          </w:tcPr>
          <w:p w14:paraId="5F311A47" w14:textId="77777777" w:rsidR="0047223C" w:rsidRPr="00F417C3" w:rsidRDefault="0047223C" w:rsidP="00F02539">
            <w:pPr>
              <w:pStyle w:val="BodyText"/>
              <w:cnfStyle w:val="000000010000" w:firstRow="0" w:lastRow="0" w:firstColumn="0" w:lastColumn="0" w:oddVBand="0" w:evenVBand="0" w:oddHBand="0" w:evenHBand="1" w:firstRowFirstColumn="0" w:firstRowLastColumn="0" w:lastRowFirstColumn="0" w:lastRowLastColumn="0"/>
              <w:rPr>
                <w:color w:val="auto"/>
                <w:sz w:val="18"/>
                <w:szCs w:val="18"/>
              </w:rPr>
            </w:pPr>
            <w:r w:rsidRPr="00F417C3">
              <w:rPr>
                <w:color w:val="auto"/>
                <w:sz w:val="18"/>
                <w:szCs w:val="18"/>
              </w:rPr>
              <w:t>Completed</w:t>
            </w:r>
          </w:p>
        </w:tc>
      </w:tr>
      <w:tr w:rsidR="008C33B1" w:rsidRPr="0047223C" w14:paraId="71C60372" w14:textId="77777777" w:rsidTr="00C35153">
        <w:trPr>
          <w:cnfStyle w:val="000000100000" w:firstRow="0" w:lastRow="0" w:firstColumn="0" w:lastColumn="0" w:oddVBand="0" w:evenVBand="0" w:oddHBand="1" w:evenHBand="0" w:firstRowFirstColumn="0" w:firstRowLastColumn="0" w:lastRowFirstColumn="0" w:lastRowLastColumn="0"/>
          <w:trHeight w:val="1578"/>
        </w:trPr>
        <w:tc>
          <w:tcPr>
            <w:cnfStyle w:val="001000000000" w:firstRow="0" w:lastRow="0" w:firstColumn="1" w:lastColumn="0" w:oddVBand="0" w:evenVBand="0" w:oddHBand="0" w:evenHBand="0" w:firstRowFirstColumn="0" w:firstRowLastColumn="0" w:lastRowFirstColumn="0" w:lastRowLastColumn="0"/>
            <w:tcW w:w="4679" w:type="dxa"/>
            <w:shd w:val="clear" w:color="auto" w:fill="D9D9D9" w:themeFill="background1" w:themeFillShade="D9"/>
            <w:hideMark/>
          </w:tcPr>
          <w:p w14:paraId="56C39FF1" w14:textId="77777777" w:rsidR="001A0507" w:rsidRPr="00F417C3" w:rsidRDefault="001A0507" w:rsidP="008C33B1">
            <w:pPr>
              <w:pStyle w:val="Heading3"/>
              <w:spacing w:before="0"/>
              <w:outlineLvl w:val="2"/>
              <w:rPr>
                <w:b/>
                <w:color w:val="auto"/>
                <w:sz w:val="18"/>
                <w:szCs w:val="18"/>
              </w:rPr>
            </w:pPr>
            <w:r w:rsidRPr="00F417C3">
              <w:rPr>
                <w:b/>
                <w:color w:val="auto"/>
                <w:sz w:val="18"/>
                <w:szCs w:val="18"/>
              </w:rPr>
              <w:t>Recommendation 2</w:t>
            </w:r>
          </w:p>
          <w:p w14:paraId="29DBB24D" w14:textId="499AEBEC" w:rsidR="001A0507" w:rsidRPr="00F417C3" w:rsidRDefault="001A0507" w:rsidP="00F66F9E">
            <w:pPr>
              <w:rPr>
                <w:rFonts w:asciiTheme="majorHAnsi" w:hAnsiTheme="majorHAnsi"/>
                <w:i/>
                <w:color w:val="auto"/>
                <w:sz w:val="18"/>
                <w:szCs w:val="18"/>
                <w:lang w:val="en-AU"/>
              </w:rPr>
            </w:pPr>
            <w:r w:rsidRPr="00F417C3">
              <w:rPr>
                <w:rFonts w:asciiTheme="majorHAnsi" w:hAnsiTheme="majorHAnsi"/>
                <w:i/>
                <w:color w:val="auto"/>
                <w:sz w:val="18"/>
                <w:szCs w:val="18"/>
                <w:lang w:val="en-AU"/>
              </w:rPr>
              <w:t>The Results Framework should be revised to provide a greater focus on realistic and achievable indicators of ‘outcomes’ and ‘impact’ rather than just ‘outputs’</w:t>
            </w:r>
            <w:r w:rsidR="00493FD8">
              <w:rPr>
                <w:rFonts w:asciiTheme="majorHAnsi" w:hAnsiTheme="majorHAnsi"/>
                <w:i/>
                <w:color w:val="auto"/>
                <w:sz w:val="18"/>
                <w:szCs w:val="18"/>
                <w:lang w:val="en-AU"/>
              </w:rPr>
              <w:t>.</w:t>
            </w:r>
          </w:p>
        </w:tc>
        <w:tc>
          <w:tcPr>
            <w:tcW w:w="1134" w:type="dxa"/>
            <w:shd w:val="clear" w:color="auto" w:fill="92D050"/>
            <w:hideMark/>
          </w:tcPr>
          <w:p w14:paraId="6C53EDF7" w14:textId="77777777" w:rsidR="001A0507" w:rsidRPr="00F417C3" w:rsidRDefault="001A0507" w:rsidP="008C33B1">
            <w:pPr>
              <w:pStyle w:val="Heading3"/>
              <w:spacing w:before="0"/>
              <w:outlineLvl w:val="2"/>
              <w:cnfStyle w:val="000000100000" w:firstRow="0" w:lastRow="0" w:firstColumn="0" w:lastColumn="0" w:oddVBand="0" w:evenVBand="0" w:oddHBand="1" w:evenHBand="0" w:firstRowFirstColumn="0" w:firstRowLastColumn="0" w:lastRowFirstColumn="0" w:lastRowLastColumn="0"/>
              <w:rPr>
                <w:b/>
                <w:color w:val="auto"/>
                <w:sz w:val="18"/>
                <w:szCs w:val="18"/>
              </w:rPr>
            </w:pPr>
            <w:r w:rsidRPr="00F417C3">
              <w:rPr>
                <w:b/>
                <w:color w:val="auto"/>
                <w:sz w:val="18"/>
                <w:szCs w:val="18"/>
              </w:rPr>
              <w:t>Agree</w:t>
            </w:r>
          </w:p>
        </w:tc>
        <w:tc>
          <w:tcPr>
            <w:tcW w:w="2977" w:type="dxa"/>
          </w:tcPr>
          <w:p w14:paraId="6ADD0D32" w14:textId="77777777" w:rsidR="001A0507" w:rsidRPr="00F417C3" w:rsidRDefault="001A0507" w:rsidP="00F66F9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4536" w:type="dxa"/>
          </w:tcPr>
          <w:p w14:paraId="3D5029BB" w14:textId="2571EB45" w:rsidR="001A0507" w:rsidRPr="00F417C3" w:rsidRDefault="00FC1578" w:rsidP="00493FD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Pr>
                <w:rFonts w:asciiTheme="majorHAnsi" w:hAnsiTheme="majorHAnsi"/>
                <w:color w:val="auto"/>
                <w:sz w:val="18"/>
                <w:szCs w:val="18"/>
              </w:rPr>
              <w:t>WB</w:t>
            </w:r>
            <w:r w:rsidR="001A0507" w:rsidRPr="00F417C3">
              <w:rPr>
                <w:rFonts w:asciiTheme="majorHAnsi" w:hAnsiTheme="majorHAnsi"/>
                <w:color w:val="auto"/>
                <w:sz w:val="18"/>
                <w:szCs w:val="18"/>
              </w:rPr>
              <w:t xml:space="preserve"> </w:t>
            </w:r>
            <w:r w:rsidR="0048030C" w:rsidRPr="00F417C3">
              <w:rPr>
                <w:rFonts w:asciiTheme="majorHAnsi" w:hAnsiTheme="majorHAnsi"/>
                <w:color w:val="auto"/>
                <w:sz w:val="18"/>
                <w:szCs w:val="18"/>
              </w:rPr>
              <w:t xml:space="preserve">has submitted </w:t>
            </w:r>
            <w:r w:rsidR="001A0507" w:rsidRPr="00F417C3">
              <w:rPr>
                <w:rFonts w:asciiTheme="majorHAnsi" w:hAnsiTheme="majorHAnsi"/>
                <w:color w:val="auto"/>
                <w:sz w:val="18"/>
                <w:szCs w:val="18"/>
              </w:rPr>
              <w:t>a</w:t>
            </w:r>
            <w:r w:rsidR="0048030C" w:rsidRPr="00F417C3">
              <w:rPr>
                <w:rFonts w:asciiTheme="majorHAnsi" w:hAnsiTheme="majorHAnsi"/>
                <w:color w:val="auto"/>
                <w:sz w:val="18"/>
                <w:szCs w:val="18"/>
              </w:rPr>
              <w:t>n improved</w:t>
            </w:r>
            <w:r w:rsidR="001A0507" w:rsidRPr="00F417C3">
              <w:rPr>
                <w:rFonts w:asciiTheme="majorHAnsi" w:hAnsiTheme="majorHAnsi"/>
                <w:color w:val="auto"/>
                <w:sz w:val="18"/>
                <w:szCs w:val="18"/>
              </w:rPr>
              <w:t xml:space="preserve"> Results Framework accompanied by explanatory notes on linkages between remaining activities and the proposed outcomes.</w:t>
            </w:r>
            <w:r w:rsidR="0048030C" w:rsidRPr="00F417C3">
              <w:rPr>
                <w:rFonts w:asciiTheme="majorHAnsi" w:hAnsiTheme="majorHAnsi"/>
                <w:color w:val="auto"/>
                <w:sz w:val="18"/>
                <w:szCs w:val="18"/>
              </w:rPr>
              <w:t xml:space="preserve"> </w:t>
            </w:r>
            <w:r w:rsidR="00DC1AA4" w:rsidRPr="00F417C3">
              <w:rPr>
                <w:rFonts w:asciiTheme="majorHAnsi" w:hAnsiTheme="majorHAnsi"/>
                <w:color w:val="auto"/>
                <w:sz w:val="18"/>
                <w:szCs w:val="18"/>
              </w:rPr>
              <w:t>The Framework</w:t>
            </w:r>
            <w:r w:rsidR="0048030C" w:rsidRPr="00F417C3">
              <w:rPr>
                <w:rFonts w:asciiTheme="majorHAnsi" w:hAnsiTheme="majorHAnsi"/>
                <w:color w:val="auto"/>
                <w:sz w:val="18"/>
                <w:szCs w:val="18"/>
              </w:rPr>
              <w:t xml:space="preserve"> </w:t>
            </w:r>
            <w:r w:rsidR="00DC1AA4" w:rsidRPr="00F417C3">
              <w:rPr>
                <w:rFonts w:asciiTheme="majorHAnsi" w:hAnsiTheme="majorHAnsi"/>
                <w:color w:val="auto"/>
                <w:sz w:val="18"/>
                <w:szCs w:val="18"/>
              </w:rPr>
              <w:t xml:space="preserve">retains some weaknesses </w:t>
            </w:r>
            <w:r w:rsidR="0048030C" w:rsidRPr="00F417C3">
              <w:rPr>
                <w:rFonts w:asciiTheme="majorHAnsi" w:hAnsiTheme="majorHAnsi"/>
                <w:color w:val="auto"/>
                <w:sz w:val="18"/>
                <w:szCs w:val="18"/>
              </w:rPr>
              <w:t xml:space="preserve">but </w:t>
            </w:r>
            <w:r w:rsidR="00DC1AA4" w:rsidRPr="00F417C3">
              <w:rPr>
                <w:rFonts w:asciiTheme="majorHAnsi" w:hAnsiTheme="majorHAnsi"/>
                <w:color w:val="auto"/>
                <w:sz w:val="18"/>
                <w:szCs w:val="18"/>
              </w:rPr>
              <w:t xml:space="preserve">is </w:t>
            </w:r>
            <w:r w:rsidR="0048030C" w:rsidRPr="00F417C3">
              <w:rPr>
                <w:rFonts w:asciiTheme="majorHAnsi" w:hAnsiTheme="majorHAnsi"/>
                <w:color w:val="auto"/>
                <w:sz w:val="18"/>
                <w:szCs w:val="18"/>
              </w:rPr>
              <w:t xml:space="preserve">satisfactory given the remaining timeframe. </w:t>
            </w:r>
            <w:r w:rsidR="00DC1AA4" w:rsidRPr="00F417C3">
              <w:rPr>
                <w:rFonts w:asciiTheme="majorHAnsi" w:hAnsiTheme="majorHAnsi"/>
                <w:color w:val="auto"/>
                <w:sz w:val="18"/>
                <w:szCs w:val="18"/>
              </w:rPr>
              <w:t xml:space="preserve">DFAT and the </w:t>
            </w:r>
            <w:r>
              <w:rPr>
                <w:rFonts w:asciiTheme="majorHAnsi" w:hAnsiTheme="majorHAnsi"/>
                <w:color w:val="auto"/>
                <w:sz w:val="18"/>
                <w:szCs w:val="18"/>
              </w:rPr>
              <w:t>WB</w:t>
            </w:r>
            <w:r w:rsidR="00DC1AA4" w:rsidRPr="00F417C3">
              <w:rPr>
                <w:rFonts w:asciiTheme="majorHAnsi" w:hAnsiTheme="majorHAnsi"/>
                <w:color w:val="auto"/>
                <w:sz w:val="18"/>
                <w:szCs w:val="18"/>
              </w:rPr>
              <w:t xml:space="preserve"> have agreed to a suite of program deliverables </w:t>
            </w:r>
            <w:r w:rsidR="00F417C3">
              <w:rPr>
                <w:rFonts w:asciiTheme="majorHAnsi" w:hAnsiTheme="majorHAnsi"/>
                <w:color w:val="auto"/>
                <w:sz w:val="18"/>
                <w:szCs w:val="18"/>
              </w:rPr>
              <w:t>for the remainder of implementation</w:t>
            </w:r>
            <w:r w:rsidR="00DC1AA4" w:rsidRPr="00F417C3">
              <w:rPr>
                <w:rFonts w:asciiTheme="majorHAnsi" w:hAnsiTheme="majorHAnsi"/>
                <w:color w:val="auto"/>
                <w:sz w:val="18"/>
                <w:szCs w:val="18"/>
              </w:rPr>
              <w:t>.</w:t>
            </w:r>
            <w:r>
              <w:rPr>
                <w:rFonts w:asciiTheme="majorHAnsi" w:hAnsiTheme="majorHAnsi"/>
                <w:color w:val="auto"/>
                <w:sz w:val="18"/>
                <w:szCs w:val="18"/>
              </w:rPr>
              <w:t xml:space="preserve"> </w:t>
            </w:r>
          </w:p>
        </w:tc>
        <w:tc>
          <w:tcPr>
            <w:tcW w:w="1275" w:type="dxa"/>
          </w:tcPr>
          <w:p w14:paraId="475DBA6F" w14:textId="5EF7F2D6" w:rsidR="001A0507" w:rsidRPr="00F417C3" w:rsidRDefault="0048030C" w:rsidP="00F66F9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Completed</w:t>
            </w:r>
            <w:r w:rsidR="00E24DE8">
              <w:rPr>
                <w:rFonts w:asciiTheme="majorHAnsi" w:hAnsiTheme="majorHAnsi"/>
                <w:color w:val="auto"/>
                <w:sz w:val="18"/>
                <w:szCs w:val="18"/>
              </w:rPr>
              <w:t xml:space="preserve"> in September 2017</w:t>
            </w:r>
          </w:p>
        </w:tc>
      </w:tr>
      <w:tr w:rsidR="008C33B1" w:rsidRPr="0047223C" w14:paraId="7732F7C0" w14:textId="77777777" w:rsidTr="00C35153">
        <w:trPr>
          <w:cnfStyle w:val="000000010000" w:firstRow="0" w:lastRow="0" w:firstColumn="0" w:lastColumn="0" w:oddVBand="0" w:evenVBand="0" w:oddHBand="0" w:evenHBand="1" w:firstRowFirstColumn="0" w:firstRowLastColumn="0" w:lastRowFirstColumn="0" w:lastRowLastColumn="0"/>
          <w:trHeight w:val="2261"/>
        </w:trPr>
        <w:tc>
          <w:tcPr>
            <w:cnfStyle w:val="001000000000" w:firstRow="0" w:lastRow="0" w:firstColumn="1" w:lastColumn="0" w:oddVBand="0" w:evenVBand="0" w:oddHBand="0" w:evenHBand="0" w:firstRowFirstColumn="0" w:firstRowLastColumn="0" w:lastRowFirstColumn="0" w:lastRowLastColumn="0"/>
            <w:tcW w:w="4679" w:type="dxa"/>
            <w:shd w:val="clear" w:color="auto" w:fill="D9D9D9" w:themeFill="background1" w:themeFillShade="D9"/>
          </w:tcPr>
          <w:p w14:paraId="547F256C" w14:textId="77777777" w:rsidR="001A0507" w:rsidRPr="00F417C3" w:rsidRDefault="001A0507" w:rsidP="008C33B1">
            <w:pPr>
              <w:pStyle w:val="Heading3"/>
              <w:spacing w:before="0"/>
              <w:outlineLvl w:val="2"/>
              <w:rPr>
                <w:b/>
                <w:color w:val="auto"/>
                <w:sz w:val="18"/>
                <w:szCs w:val="18"/>
              </w:rPr>
            </w:pPr>
            <w:r w:rsidRPr="00F417C3">
              <w:rPr>
                <w:b/>
                <w:color w:val="auto"/>
                <w:sz w:val="18"/>
                <w:szCs w:val="18"/>
              </w:rPr>
              <w:t>Recommendation 3</w:t>
            </w:r>
          </w:p>
          <w:p w14:paraId="2CCB8790" w14:textId="08BE8649" w:rsidR="001A0507" w:rsidRPr="00F417C3" w:rsidRDefault="008C33B1" w:rsidP="00F66F9E">
            <w:pPr>
              <w:rPr>
                <w:rFonts w:asciiTheme="majorHAnsi" w:eastAsiaTheme="majorEastAsia" w:hAnsiTheme="majorHAnsi" w:cstheme="majorBidi"/>
                <w:bCs/>
                <w:color w:val="auto"/>
                <w:sz w:val="18"/>
                <w:szCs w:val="18"/>
                <w:lang w:val="en-AU"/>
              </w:rPr>
            </w:pPr>
            <w:r w:rsidRPr="00F417C3">
              <w:rPr>
                <w:rFonts w:asciiTheme="majorHAnsi" w:hAnsiTheme="majorHAnsi"/>
                <w:i/>
                <w:color w:val="auto"/>
                <w:sz w:val="18"/>
                <w:szCs w:val="18"/>
                <w:lang w:val="en-AU"/>
              </w:rPr>
              <w:t>In Pillar O</w:t>
            </w:r>
            <w:r w:rsidR="001A0507" w:rsidRPr="00F417C3">
              <w:rPr>
                <w:rFonts w:asciiTheme="majorHAnsi" w:hAnsiTheme="majorHAnsi"/>
                <w:i/>
                <w:color w:val="auto"/>
                <w:sz w:val="18"/>
                <w:szCs w:val="18"/>
                <w:lang w:val="en-AU"/>
              </w:rPr>
              <w:t>ne, emphasis should be given to supporting the next MoC Trade Strategy that it hopes to produce in 2018. The opportunity should be taken to support integrating a gender dimension into the trade strategy</w:t>
            </w:r>
            <w:r w:rsidR="00493FD8">
              <w:rPr>
                <w:rFonts w:asciiTheme="majorHAnsi" w:hAnsiTheme="majorHAnsi"/>
                <w:i/>
                <w:color w:val="auto"/>
                <w:sz w:val="18"/>
                <w:szCs w:val="18"/>
                <w:lang w:val="en-AU"/>
              </w:rPr>
              <w:t>.</w:t>
            </w:r>
            <w:r w:rsidR="001A0507" w:rsidRPr="00F417C3">
              <w:rPr>
                <w:rFonts w:asciiTheme="majorHAnsi" w:hAnsiTheme="majorHAnsi"/>
                <w:color w:val="auto"/>
                <w:sz w:val="18"/>
                <w:szCs w:val="18"/>
              </w:rPr>
              <w:t xml:space="preserve"> </w:t>
            </w:r>
          </w:p>
        </w:tc>
        <w:tc>
          <w:tcPr>
            <w:tcW w:w="1134" w:type="dxa"/>
            <w:shd w:val="clear" w:color="auto" w:fill="92D050"/>
          </w:tcPr>
          <w:p w14:paraId="171C654C" w14:textId="77777777" w:rsidR="001A0507" w:rsidRPr="00F417C3" w:rsidRDefault="001A0507" w:rsidP="008C33B1">
            <w:pPr>
              <w:pStyle w:val="Heading3"/>
              <w:spacing w:before="0"/>
              <w:outlineLvl w:val="2"/>
              <w:cnfStyle w:val="000000010000" w:firstRow="0" w:lastRow="0" w:firstColumn="0" w:lastColumn="0" w:oddVBand="0" w:evenVBand="0" w:oddHBand="0" w:evenHBand="1" w:firstRowFirstColumn="0" w:firstRowLastColumn="0" w:lastRowFirstColumn="0" w:lastRowLastColumn="0"/>
              <w:rPr>
                <w:b/>
                <w:color w:val="auto"/>
                <w:sz w:val="18"/>
                <w:szCs w:val="18"/>
              </w:rPr>
            </w:pPr>
            <w:r w:rsidRPr="00F417C3">
              <w:rPr>
                <w:b/>
                <w:color w:val="auto"/>
                <w:sz w:val="18"/>
                <w:szCs w:val="18"/>
              </w:rPr>
              <w:t>Agree</w:t>
            </w:r>
          </w:p>
        </w:tc>
        <w:tc>
          <w:tcPr>
            <w:tcW w:w="2977" w:type="dxa"/>
          </w:tcPr>
          <w:p w14:paraId="3766E11D" w14:textId="77777777" w:rsidR="001A0507" w:rsidRPr="00F417C3" w:rsidRDefault="001A0507" w:rsidP="00F66F9E">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p>
        </w:tc>
        <w:tc>
          <w:tcPr>
            <w:tcW w:w="4536" w:type="dxa"/>
          </w:tcPr>
          <w:p w14:paraId="00D6DA79" w14:textId="78B01A6F" w:rsidR="001A0507" w:rsidRPr="00F417C3" w:rsidRDefault="001A0507" w:rsidP="00493FD8">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 xml:space="preserve">The MoC plans to finalise the next trade strategy by April 2018 which will incorporate PTIPP supported analytics and products. An action plan for mainstreaming gender across PTIPP activities was delivered as part of the 6 monthly report (Jan-Jun 2017). </w:t>
            </w:r>
            <w:r w:rsidR="00EB2948" w:rsidRPr="00F417C3">
              <w:rPr>
                <w:rFonts w:asciiTheme="majorHAnsi" w:hAnsiTheme="majorHAnsi"/>
                <w:color w:val="auto"/>
                <w:sz w:val="18"/>
                <w:szCs w:val="18"/>
              </w:rPr>
              <w:t>High-level</w:t>
            </w:r>
            <w:r w:rsidR="0048030C" w:rsidRPr="00F417C3">
              <w:rPr>
                <w:rFonts w:asciiTheme="majorHAnsi" w:hAnsiTheme="majorHAnsi"/>
                <w:color w:val="auto"/>
                <w:sz w:val="18"/>
                <w:szCs w:val="18"/>
              </w:rPr>
              <w:t xml:space="preserve"> policy interventions include the establishment of a trade and gender committee with WB and MoC </w:t>
            </w:r>
            <w:r w:rsidR="00F417C3">
              <w:rPr>
                <w:rFonts w:asciiTheme="majorHAnsi" w:hAnsiTheme="majorHAnsi"/>
                <w:color w:val="auto"/>
                <w:sz w:val="18"/>
                <w:szCs w:val="18"/>
              </w:rPr>
              <w:t>membership</w:t>
            </w:r>
            <w:r w:rsidR="0048030C" w:rsidRPr="00F417C3">
              <w:rPr>
                <w:rFonts w:asciiTheme="majorHAnsi" w:hAnsiTheme="majorHAnsi"/>
                <w:color w:val="auto"/>
                <w:sz w:val="18"/>
                <w:szCs w:val="18"/>
              </w:rPr>
              <w:t xml:space="preserve">, and drafting gender policy notes for the new strategy. </w:t>
            </w:r>
            <w:r w:rsidR="00493FD8">
              <w:rPr>
                <w:rFonts w:asciiTheme="majorHAnsi" w:hAnsiTheme="majorHAnsi"/>
                <w:color w:val="auto"/>
                <w:sz w:val="18"/>
                <w:szCs w:val="18"/>
              </w:rPr>
              <w:t xml:space="preserve">Evidence that trade analytics have contributed to a more gender-sensitive trade strategy for Pakistan has been included as a benchmark for DFAT’s 2017/18 Pakistan Annual Program Performance Review. </w:t>
            </w:r>
          </w:p>
        </w:tc>
        <w:tc>
          <w:tcPr>
            <w:tcW w:w="1275" w:type="dxa"/>
          </w:tcPr>
          <w:p w14:paraId="4D880BA1" w14:textId="7926F1A4" w:rsidR="001A0507" w:rsidRPr="00F417C3" w:rsidRDefault="00C76CDB" w:rsidP="00F66F9E">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Ongoing</w:t>
            </w:r>
          </w:p>
        </w:tc>
      </w:tr>
    </w:tbl>
    <w:p w14:paraId="79578B5D" w14:textId="77777777" w:rsidR="00C35153" w:rsidRDefault="00C35153"/>
    <w:tbl>
      <w:tblPr>
        <w:tblStyle w:val="DFATTable1"/>
        <w:tblW w:w="14601" w:type="dxa"/>
        <w:tblInd w:w="-426"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679"/>
        <w:gridCol w:w="1134"/>
        <w:gridCol w:w="2977"/>
        <w:gridCol w:w="4536"/>
        <w:gridCol w:w="1275"/>
      </w:tblGrid>
      <w:tr w:rsidR="00C35153" w:rsidRPr="0047223C" w14:paraId="789D72AB" w14:textId="77777777" w:rsidTr="00C35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tcPr>
          <w:p w14:paraId="2E8A707D" w14:textId="77777777" w:rsidR="00C35153" w:rsidRPr="008C33B1" w:rsidRDefault="00C35153" w:rsidP="00C35153">
            <w:pPr>
              <w:pStyle w:val="TableHeaderRow"/>
              <w:rPr>
                <w:sz w:val="18"/>
                <w:szCs w:val="18"/>
              </w:rPr>
            </w:pPr>
            <w:r w:rsidRPr="008C33B1">
              <w:rPr>
                <w:sz w:val="18"/>
                <w:szCs w:val="18"/>
              </w:rPr>
              <w:lastRenderedPageBreak/>
              <w:t>Recommendation</w:t>
            </w:r>
          </w:p>
        </w:tc>
        <w:tc>
          <w:tcPr>
            <w:tcW w:w="1134" w:type="dxa"/>
          </w:tcPr>
          <w:p w14:paraId="100A2F13" w14:textId="77777777" w:rsidR="00C35153" w:rsidRPr="008C33B1" w:rsidRDefault="00C35153" w:rsidP="00C35153">
            <w:pPr>
              <w:pStyle w:val="TableHeaderRow"/>
              <w:cnfStyle w:val="100000000000" w:firstRow="1" w:lastRow="0" w:firstColumn="0" w:lastColumn="0" w:oddVBand="0" w:evenVBand="0" w:oddHBand="0" w:evenHBand="0" w:firstRowFirstColumn="0" w:firstRowLastColumn="0" w:lastRowFirstColumn="0" w:lastRowLastColumn="0"/>
              <w:rPr>
                <w:sz w:val="18"/>
                <w:szCs w:val="18"/>
              </w:rPr>
            </w:pPr>
            <w:r w:rsidRPr="008C33B1">
              <w:rPr>
                <w:sz w:val="18"/>
                <w:szCs w:val="18"/>
              </w:rPr>
              <w:t xml:space="preserve">Response </w:t>
            </w:r>
          </w:p>
        </w:tc>
        <w:tc>
          <w:tcPr>
            <w:tcW w:w="2977" w:type="dxa"/>
          </w:tcPr>
          <w:p w14:paraId="71BCA033" w14:textId="77777777" w:rsidR="00C35153" w:rsidRPr="008C33B1" w:rsidRDefault="00C35153" w:rsidP="00C35153">
            <w:pPr>
              <w:pStyle w:val="TableHeaderRow"/>
              <w:cnfStyle w:val="100000000000" w:firstRow="1" w:lastRow="0" w:firstColumn="0" w:lastColumn="0" w:oddVBand="0" w:evenVBand="0" w:oddHBand="0" w:evenHBand="0" w:firstRowFirstColumn="0" w:firstRowLastColumn="0" w:lastRowFirstColumn="0" w:lastRowLastColumn="0"/>
              <w:rPr>
                <w:sz w:val="18"/>
                <w:szCs w:val="18"/>
              </w:rPr>
            </w:pPr>
            <w:r w:rsidRPr="008C33B1">
              <w:rPr>
                <w:sz w:val="18"/>
                <w:szCs w:val="18"/>
              </w:rPr>
              <w:t xml:space="preserve">Explanation </w:t>
            </w:r>
          </w:p>
        </w:tc>
        <w:tc>
          <w:tcPr>
            <w:tcW w:w="4536" w:type="dxa"/>
          </w:tcPr>
          <w:p w14:paraId="6C5ABC7C" w14:textId="77777777" w:rsidR="00C35153" w:rsidRPr="008C33B1" w:rsidRDefault="00C35153" w:rsidP="00C35153">
            <w:pPr>
              <w:pStyle w:val="TableHeaderRow"/>
              <w:cnfStyle w:val="100000000000" w:firstRow="1" w:lastRow="0" w:firstColumn="0" w:lastColumn="0" w:oddVBand="0" w:evenVBand="0" w:oddHBand="0" w:evenHBand="0" w:firstRowFirstColumn="0" w:firstRowLastColumn="0" w:lastRowFirstColumn="0" w:lastRowLastColumn="0"/>
              <w:rPr>
                <w:sz w:val="18"/>
                <w:szCs w:val="18"/>
              </w:rPr>
            </w:pPr>
            <w:r w:rsidRPr="008C33B1">
              <w:rPr>
                <w:sz w:val="18"/>
                <w:szCs w:val="18"/>
              </w:rPr>
              <w:t xml:space="preserve">Action plan </w:t>
            </w:r>
          </w:p>
        </w:tc>
        <w:tc>
          <w:tcPr>
            <w:tcW w:w="1275" w:type="dxa"/>
          </w:tcPr>
          <w:p w14:paraId="6FFDD9E7" w14:textId="77777777" w:rsidR="00C35153" w:rsidRPr="008C33B1" w:rsidRDefault="00C35153" w:rsidP="00C35153">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8C33B1">
              <w:rPr>
                <w:b w:val="0"/>
                <w:sz w:val="18"/>
                <w:szCs w:val="18"/>
              </w:rPr>
              <w:t>Timeframe</w:t>
            </w:r>
          </w:p>
        </w:tc>
      </w:tr>
      <w:tr w:rsidR="00C35153" w:rsidRPr="0047223C" w14:paraId="5CFE2578" w14:textId="77777777" w:rsidTr="00C35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shd w:val="clear" w:color="auto" w:fill="D9D9D9" w:themeFill="background1" w:themeFillShade="D9"/>
          </w:tcPr>
          <w:p w14:paraId="4B44FEC9" w14:textId="77777777" w:rsidR="00C35153" w:rsidRPr="00F417C3" w:rsidRDefault="00C35153" w:rsidP="00C35153">
            <w:pPr>
              <w:pStyle w:val="Heading3"/>
              <w:spacing w:before="0"/>
              <w:outlineLvl w:val="2"/>
              <w:rPr>
                <w:b/>
                <w:color w:val="auto"/>
                <w:sz w:val="18"/>
                <w:szCs w:val="18"/>
              </w:rPr>
            </w:pPr>
            <w:r w:rsidRPr="00F417C3">
              <w:rPr>
                <w:b/>
                <w:color w:val="auto"/>
                <w:sz w:val="18"/>
                <w:szCs w:val="18"/>
              </w:rPr>
              <w:t>Recommendation 4</w:t>
            </w:r>
          </w:p>
          <w:p w14:paraId="30EF37D1" w14:textId="77777777" w:rsidR="00C35153" w:rsidRPr="00F417C3" w:rsidRDefault="00C35153" w:rsidP="00C35153">
            <w:pPr>
              <w:rPr>
                <w:rFonts w:asciiTheme="majorHAnsi" w:hAnsiTheme="majorHAnsi"/>
                <w:i/>
                <w:color w:val="auto"/>
                <w:sz w:val="18"/>
                <w:szCs w:val="18"/>
                <w:lang w:val="en-AU"/>
              </w:rPr>
            </w:pPr>
            <w:r w:rsidRPr="00F417C3">
              <w:rPr>
                <w:rFonts w:asciiTheme="majorHAnsi" w:hAnsiTheme="majorHAnsi"/>
                <w:i/>
                <w:color w:val="auto"/>
                <w:sz w:val="18"/>
                <w:szCs w:val="18"/>
                <w:lang w:val="en-AU"/>
              </w:rPr>
              <w:t>MoC should be supported, along the lines of the original design, to prepare a communication strategy to mitigate the political economy risks and improve coordination between agencies. This would also require a consultant to work within MoC.</w:t>
            </w:r>
          </w:p>
        </w:tc>
        <w:tc>
          <w:tcPr>
            <w:tcW w:w="1134" w:type="dxa"/>
            <w:shd w:val="clear" w:color="auto" w:fill="92D050"/>
          </w:tcPr>
          <w:p w14:paraId="643D1BC0" w14:textId="77777777" w:rsidR="00C35153" w:rsidRPr="00F417C3" w:rsidRDefault="00C35153" w:rsidP="00C35153">
            <w:pPr>
              <w:pStyle w:val="Heading3"/>
              <w:spacing w:before="0"/>
              <w:outlineLvl w:val="2"/>
              <w:cnfStyle w:val="000000100000" w:firstRow="0" w:lastRow="0" w:firstColumn="0" w:lastColumn="0" w:oddVBand="0" w:evenVBand="0" w:oddHBand="1" w:evenHBand="0" w:firstRowFirstColumn="0" w:firstRowLastColumn="0" w:lastRowFirstColumn="0" w:lastRowLastColumn="0"/>
              <w:rPr>
                <w:b/>
                <w:color w:val="auto"/>
                <w:sz w:val="18"/>
                <w:szCs w:val="18"/>
              </w:rPr>
            </w:pPr>
            <w:r w:rsidRPr="00F417C3">
              <w:rPr>
                <w:b/>
                <w:color w:val="auto"/>
                <w:sz w:val="18"/>
                <w:szCs w:val="18"/>
              </w:rPr>
              <w:t>Agree</w:t>
            </w:r>
          </w:p>
        </w:tc>
        <w:tc>
          <w:tcPr>
            <w:tcW w:w="2977" w:type="dxa"/>
          </w:tcPr>
          <w:p w14:paraId="175E71E4" w14:textId="77777777" w:rsidR="00C35153" w:rsidRPr="00F417C3" w:rsidRDefault="00C35153" w:rsidP="00C3515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4536" w:type="dxa"/>
          </w:tcPr>
          <w:p w14:paraId="1D43E2D7" w14:textId="77777777" w:rsidR="00C35153" w:rsidRPr="00F417C3" w:rsidRDefault="00C35153" w:rsidP="00C3515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 xml:space="preserve">WB has undertaken to implement a comprehensive communications program to enhance coordination and communication between the various government departments and apprise key stakeholders and wider public of the findings and recommendations of the analytics produced under the program. </w:t>
            </w:r>
          </w:p>
        </w:tc>
        <w:tc>
          <w:tcPr>
            <w:tcW w:w="1275" w:type="dxa"/>
          </w:tcPr>
          <w:p w14:paraId="50620F9F" w14:textId="77777777" w:rsidR="00C35153" w:rsidRPr="00F417C3" w:rsidRDefault="00C35153" w:rsidP="00C3515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 xml:space="preserve">Ongoing </w:t>
            </w:r>
          </w:p>
        </w:tc>
      </w:tr>
      <w:tr w:rsidR="00C35153" w:rsidRPr="0047223C" w14:paraId="007F8E24" w14:textId="77777777" w:rsidTr="00C351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shd w:val="clear" w:color="auto" w:fill="D9D9D9" w:themeFill="background1" w:themeFillShade="D9"/>
          </w:tcPr>
          <w:p w14:paraId="1CF05D37" w14:textId="77777777" w:rsidR="00C35153" w:rsidRPr="00F417C3" w:rsidRDefault="00C35153" w:rsidP="00C35153">
            <w:pPr>
              <w:pStyle w:val="Heading3"/>
              <w:spacing w:before="0"/>
              <w:outlineLvl w:val="2"/>
              <w:rPr>
                <w:b/>
                <w:color w:val="auto"/>
                <w:sz w:val="18"/>
                <w:szCs w:val="18"/>
              </w:rPr>
            </w:pPr>
            <w:r w:rsidRPr="00F417C3">
              <w:rPr>
                <w:b/>
                <w:color w:val="auto"/>
                <w:sz w:val="18"/>
                <w:szCs w:val="18"/>
              </w:rPr>
              <w:t>Recommendation 5</w:t>
            </w:r>
          </w:p>
          <w:p w14:paraId="4C34BAAE" w14:textId="77777777" w:rsidR="00C35153" w:rsidRPr="00F417C3" w:rsidRDefault="00C35153" w:rsidP="00C35153">
            <w:pPr>
              <w:pStyle w:val="Heading3"/>
              <w:spacing w:before="0" w:line="240" w:lineRule="auto"/>
              <w:outlineLvl w:val="2"/>
              <w:rPr>
                <w:rFonts w:eastAsiaTheme="minorHAnsi" w:cstheme="minorBidi"/>
                <w:bCs w:val="0"/>
                <w:i/>
                <w:color w:val="auto"/>
                <w:sz w:val="18"/>
                <w:szCs w:val="18"/>
              </w:rPr>
            </w:pPr>
          </w:p>
          <w:p w14:paraId="1DEA8BCA" w14:textId="77777777" w:rsidR="00C35153" w:rsidRPr="00F417C3" w:rsidRDefault="00C35153" w:rsidP="00C35153">
            <w:pPr>
              <w:pStyle w:val="Heading3"/>
              <w:spacing w:before="0" w:line="240" w:lineRule="auto"/>
              <w:outlineLvl w:val="2"/>
              <w:rPr>
                <w:i/>
                <w:color w:val="auto"/>
                <w:sz w:val="18"/>
                <w:szCs w:val="18"/>
              </w:rPr>
            </w:pPr>
            <w:r w:rsidRPr="00F417C3">
              <w:rPr>
                <w:rFonts w:eastAsiaTheme="minorHAnsi" w:cstheme="minorBidi"/>
                <w:bCs w:val="0"/>
                <w:i/>
                <w:color w:val="auto"/>
                <w:sz w:val="18"/>
                <w:szCs w:val="18"/>
              </w:rPr>
              <w:t>Coordination between the PTIPP stakeholders and other donors can be improved by: i) mobilization of the Advisory Committee at least every six months to provide greater direction; and ii) greater engagement with other donors and the private sector working in the trade space.</w:t>
            </w:r>
          </w:p>
        </w:tc>
        <w:tc>
          <w:tcPr>
            <w:tcW w:w="1134" w:type="dxa"/>
            <w:shd w:val="clear" w:color="auto" w:fill="92D050"/>
          </w:tcPr>
          <w:p w14:paraId="4A019169" w14:textId="77777777" w:rsidR="00C35153" w:rsidRPr="00F417C3" w:rsidRDefault="00C35153" w:rsidP="00C35153">
            <w:pPr>
              <w:pStyle w:val="Heading3"/>
              <w:outlineLvl w:val="2"/>
              <w:cnfStyle w:val="000000010000" w:firstRow="0" w:lastRow="0" w:firstColumn="0" w:lastColumn="0" w:oddVBand="0" w:evenVBand="0" w:oddHBand="0" w:evenHBand="1" w:firstRowFirstColumn="0" w:firstRowLastColumn="0" w:lastRowFirstColumn="0" w:lastRowLastColumn="0"/>
              <w:rPr>
                <w:b/>
                <w:color w:val="auto"/>
                <w:sz w:val="18"/>
                <w:szCs w:val="18"/>
              </w:rPr>
            </w:pPr>
            <w:r w:rsidRPr="00F417C3">
              <w:rPr>
                <w:b/>
                <w:color w:val="auto"/>
                <w:sz w:val="18"/>
                <w:szCs w:val="18"/>
                <w:shd w:val="clear" w:color="auto" w:fill="92D050"/>
              </w:rPr>
              <w:t>Agree</w:t>
            </w:r>
          </w:p>
        </w:tc>
        <w:tc>
          <w:tcPr>
            <w:tcW w:w="2977" w:type="dxa"/>
          </w:tcPr>
          <w:p w14:paraId="3934387F" w14:textId="77777777" w:rsidR="00C35153" w:rsidRPr="00F417C3" w:rsidRDefault="00C35153" w:rsidP="00C3515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p>
        </w:tc>
        <w:tc>
          <w:tcPr>
            <w:tcW w:w="4536" w:type="dxa"/>
          </w:tcPr>
          <w:p w14:paraId="23682154" w14:textId="51CCD3E8" w:rsidR="00C35153" w:rsidRPr="00F417C3" w:rsidRDefault="00FC1578" w:rsidP="00242D2D">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r>
              <w:rPr>
                <w:rFonts w:asciiTheme="majorHAnsi" w:hAnsiTheme="majorHAnsi"/>
                <w:color w:val="auto"/>
                <w:sz w:val="18"/>
                <w:szCs w:val="18"/>
              </w:rPr>
              <w:t>WB</w:t>
            </w:r>
            <w:r w:rsidR="00C35153" w:rsidRPr="00F417C3">
              <w:rPr>
                <w:rFonts w:asciiTheme="majorHAnsi" w:hAnsiTheme="majorHAnsi"/>
                <w:color w:val="auto"/>
                <w:sz w:val="18"/>
                <w:szCs w:val="18"/>
              </w:rPr>
              <w:t xml:space="preserve"> has proposed that the next Advisory Council (AC) meeting be held after the six-monthly report is finalised (8</w:t>
            </w:r>
            <w:r w:rsidR="00E24DE8">
              <w:rPr>
                <w:rFonts w:asciiTheme="majorHAnsi" w:hAnsiTheme="majorHAnsi"/>
                <w:color w:val="auto"/>
                <w:sz w:val="18"/>
                <w:szCs w:val="18"/>
              </w:rPr>
              <w:t> </w:t>
            </w:r>
            <w:r w:rsidR="00C35153" w:rsidRPr="00F417C3">
              <w:rPr>
                <w:rFonts w:asciiTheme="majorHAnsi" w:hAnsiTheme="majorHAnsi"/>
                <w:color w:val="auto"/>
                <w:sz w:val="18"/>
                <w:szCs w:val="18"/>
              </w:rPr>
              <w:t xml:space="preserve">September). </w:t>
            </w:r>
            <w:r>
              <w:rPr>
                <w:rFonts w:asciiTheme="majorHAnsi" w:hAnsiTheme="majorHAnsi"/>
                <w:color w:val="auto"/>
                <w:sz w:val="18"/>
                <w:szCs w:val="18"/>
              </w:rPr>
              <w:t>WB</w:t>
            </w:r>
            <w:r w:rsidR="00C35153" w:rsidRPr="00F417C3">
              <w:rPr>
                <w:rFonts w:asciiTheme="majorHAnsi" w:hAnsiTheme="majorHAnsi"/>
                <w:color w:val="auto"/>
                <w:sz w:val="18"/>
                <w:szCs w:val="18"/>
              </w:rPr>
              <w:t xml:space="preserve"> will use the convening power of the Advisory Council to bring together donors and government agencies around the table. In addition, the PTIPP team has started to engage with donors bilaterally to explore possible areas of collaboration including transit trade, trade strategy, infrastructure and capacity building.  </w:t>
            </w:r>
          </w:p>
        </w:tc>
        <w:tc>
          <w:tcPr>
            <w:tcW w:w="1275" w:type="dxa"/>
          </w:tcPr>
          <w:p w14:paraId="6CD3480A" w14:textId="729F5E9F" w:rsidR="00C35153" w:rsidRPr="00F417C3" w:rsidRDefault="00E24DE8" w:rsidP="00C3515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r>
              <w:rPr>
                <w:rFonts w:asciiTheme="majorHAnsi" w:hAnsiTheme="majorHAnsi"/>
                <w:color w:val="auto"/>
                <w:sz w:val="18"/>
                <w:szCs w:val="18"/>
              </w:rPr>
              <w:t>AC meeting scheduled for October</w:t>
            </w:r>
            <w:r w:rsidRPr="00F417C3">
              <w:rPr>
                <w:rFonts w:asciiTheme="majorHAnsi" w:hAnsiTheme="majorHAnsi"/>
                <w:color w:val="auto"/>
                <w:sz w:val="18"/>
                <w:szCs w:val="18"/>
              </w:rPr>
              <w:t xml:space="preserve"> </w:t>
            </w:r>
            <w:r w:rsidR="00C35153" w:rsidRPr="00F417C3">
              <w:rPr>
                <w:rFonts w:asciiTheme="majorHAnsi" w:hAnsiTheme="majorHAnsi"/>
                <w:color w:val="auto"/>
                <w:sz w:val="18"/>
                <w:szCs w:val="18"/>
              </w:rPr>
              <w:t>2017/ongoing</w:t>
            </w:r>
          </w:p>
        </w:tc>
      </w:tr>
      <w:tr w:rsidR="00C35153" w:rsidRPr="0047223C" w14:paraId="57FBFA0A" w14:textId="77777777" w:rsidTr="00C35153">
        <w:trPr>
          <w:cnfStyle w:val="000000100000" w:firstRow="0" w:lastRow="0" w:firstColumn="0" w:lastColumn="0" w:oddVBand="0" w:evenVBand="0" w:oddHBand="1" w:evenHBand="0" w:firstRowFirstColumn="0" w:firstRowLastColumn="0" w:lastRowFirstColumn="0" w:lastRowLastColumn="0"/>
          <w:trHeight w:val="1885"/>
        </w:trPr>
        <w:tc>
          <w:tcPr>
            <w:cnfStyle w:val="001000000000" w:firstRow="0" w:lastRow="0" w:firstColumn="1" w:lastColumn="0" w:oddVBand="0" w:evenVBand="0" w:oddHBand="0" w:evenHBand="0" w:firstRowFirstColumn="0" w:firstRowLastColumn="0" w:lastRowFirstColumn="0" w:lastRowLastColumn="0"/>
            <w:tcW w:w="4679" w:type="dxa"/>
            <w:shd w:val="clear" w:color="auto" w:fill="D9D9D9" w:themeFill="background1" w:themeFillShade="D9"/>
          </w:tcPr>
          <w:p w14:paraId="387C9AC6" w14:textId="77777777" w:rsidR="00C35153" w:rsidRPr="00F417C3" w:rsidRDefault="00C35153" w:rsidP="00C35153">
            <w:pPr>
              <w:pStyle w:val="Heading3"/>
              <w:spacing w:before="0"/>
              <w:outlineLvl w:val="2"/>
              <w:rPr>
                <w:b/>
                <w:color w:val="auto"/>
                <w:sz w:val="18"/>
                <w:szCs w:val="18"/>
              </w:rPr>
            </w:pPr>
            <w:r w:rsidRPr="00F417C3">
              <w:rPr>
                <w:b/>
                <w:color w:val="auto"/>
                <w:sz w:val="18"/>
                <w:szCs w:val="18"/>
              </w:rPr>
              <w:t>Recommendation 6</w:t>
            </w:r>
          </w:p>
          <w:p w14:paraId="1F4A7167" w14:textId="77777777" w:rsidR="00C35153" w:rsidRPr="00F417C3" w:rsidRDefault="00C35153" w:rsidP="00C35153">
            <w:pPr>
              <w:pStyle w:val="Heading3"/>
              <w:spacing w:before="0" w:line="240" w:lineRule="auto"/>
              <w:outlineLvl w:val="2"/>
              <w:rPr>
                <w:rFonts w:eastAsiaTheme="minorHAnsi" w:cstheme="minorBidi"/>
                <w:bCs w:val="0"/>
                <w:i/>
                <w:color w:val="auto"/>
                <w:sz w:val="18"/>
                <w:szCs w:val="18"/>
              </w:rPr>
            </w:pPr>
          </w:p>
          <w:p w14:paraId="05ED48B3" w14:textId="77777777" w:rsidR="00C35153" w:rsidRPr="00F417C3" w:rsidRDefault="00C35153" w:rsidP="00C266E9">
            <w:pPr>
              <w:pStyle w:val="Heading3"/>
              <w:spacing w:before="0" w:after="0" w:line="240" w:lineRule="auto"/>
              <w:outlineLvl w:val="2"/>
              <w:rPr>
                <w:color w:val="auto"/>
                <w:sz w:val="18"/>
                <w:szCs w:val="18"/>
              </w:rPr>
            </w:pPr>
            <w:r w:rsidRPr="00F417C3">
              <w:rPr>
                <w:rFonts w:eastAsiaTheme="minorHAnsi" w:cstheme="minorBidi"/>
                <w:bCs w:val="0"/>
                <w:i/>
                <w:color w:val="auto"/>
                <w:sz w:val="18"/>
                <w:szCs w:val="18"/>
              </w:rPr>
              <w:t xml:space="preserve">PTIPP coordination at a regional level could be improved through World Bank’s Regional Integration team. DFAT could contribute through coordination between South Asia Regional and Pakistan teams. Links to the South Asia Regional Trade Facilitation program (SARTF) provides such an opportunity. </w:t>
            </w:r>
          </w:p>
        </w:tc>
        <w:tc>
          <w:tcPr>
            <w:tcW w:w="1134" w:type="dxa"/>
            <w:shd w:val="clear" w:color="auto" w:fill="92D050"/>
          </w:tcPr>
          <w:p w14:paraId="7B0AAB0E" w14:textId="77777777" w:rsidR="00C35153" w:rsidRPr="00F417C3" w:rsidRDefault="00C35153" w:rsidP="00C35153">
            <w:pPr>
              <w:pStyle w:val="Heading3"/>
              <w:outlineLvl w:val="2"/>
              <w:cnfStyle w:val="000000100000" w:firstRow="0" w:lastRow="0" w:firstColumn="0" w:lastColumn="0" w:oddVBand="0" w:evenVBand="0" w:oddHBand="1" w:evenHBand="0" w:firstRowFirstColumn="0" w:firstRowLastColumn="0" w:lastRowFirstColumn="0" w:lastRowLastColumn="0"/>
              <w:rPr>
                <w:b/>
                <w:color w:val="auto"/>
                <w:sz w:val="18"/>
                <w:szCs w:val="18"/>
              </w:rPr>
            </w:pPr>
            <w:r w:rsidRPr="00F417C3">
              <w:rPr>
                <w:b/>
                <w:color w:val="auto"/>
                <w:sz w:val="18"/>
                <w:szCs w:val="18"/>
              </w:rPr>
              <w:t>Agree</w:t>
            </w:r>
          </w:p>
        </w:tc>
        <w:tc>
          <w:tcPr>
            <w:tcW w:w="2977" w:type="dxa"/>
          </w:tcPr>
          <w:p w14:paraId="6351227B" w14:textId="77777777" w:rsidR="00C35153" w:rsidRPr="00F417C3" w:rsidRDefault="00C35153" w:rsidP="00C3515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4536" w:type="dxa"/>
          </w:tcPr>
          <w:p w14:paraId="3AA4C630" w14:textId="51C719A4" w:rsidR="00C35153" w:rsidRPr="00F417C3" w:rsidRDefault="00C35153" w:rsidP="00C266E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The PTIPP team will continue to engage and work with the activities/programs that are being carried out by the Regional Integration team. Islamabad Post will explore potential links of PTIPP with SARTF in discussion with DFAT</w:t>
            </w:r>
            <w:r w:rsidR="00906B83">
              <w:rPr>
                <w:rFonts w:asciiTheme="majorHAnsi" w:hAnsiTheme="majorHAnsi"/>
                <w:color w:val="auto"/>
                <w:sz w:val="18"/>
                <w:szCs w:val="18"/>
              </w:rPr>
              <w:t>’s</w:t>
            </w:r>
            <w:r w:rsidRPr="00F417C3">
              <w:rPr>
                <w:rFonts w:asciiTheme="majorHAnsi" w:hAnsiTheme="majorHAnsi"/>
                <w:color w:val="auto"/>
                <w:sz w:val="18"/>
                <w:szCs w:val="18"/>
              </w:rPr>
              <w:t xml:space="preserve"> South Asia Regional Team in November 2017.</w:t>
            </w:r>
          </w:p>
        </w:tc>
        <w:tc>
          <w:tcPr>
            <w:tcW w:w="1275" w:type="dxa"/>
          </w:tcPr>
          <w:p w14:paraId="5E5402CA" w14:textId="77777777" w:rsidR="00C35153" w:rsidRPr="00F417C3" w:rsidRDefault="00C35153" w:rsidP="00C3515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 xml:space="preserve">November 2017/ongoing </w:t>
            </w:r>
          </w:p>
        </w:tc>
      </w:tr>
      <w:tr w:rsidR="00C35153" w:rsidRPr="0047223C" w14:paraId="17E83393" w14:textId="77777777" w:rsidTr="00493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shd w:val="clear" w:color="auto" w:fill="D9D9D9" w:themeFill="background1" w:themeFillShade="D9"/>
          </w:tcPr>
          <w:p w14:paraId="78B438BB" w14:textId="77777777" w:rsidR="00C35153" w:rsidRPr="00F417C3" w:rsidRDefault="00C35153" w:rsidP="00C35153">
            <w:pPr>
              <w:pStyle w:val="Heading3"/>
              <w:spacing w:before="0"/>
              <w:outlineLvl w:val="2"/>
              <w:rPr>
                <w:b/>
                <w:color w:val="auto"/>
                <w:sz w:val="18"/>
                <w:szCs w:val="18"/>
              </w:rPr>
            </w:pPr>
            <w:r w:rsidRPr="00F417C3">
              <w:rPr>
                <w:b/>
                <w:color w:val="auto"/>
                <w:sz w:val="18"/>
                <w:szCs w:val="18"/>
              </w:rPr>
              <w:t>Recommendation 7</w:t>
            </w:r>
          </w:p>
          <w:p w14:paraId="34F15BBD" w14:textId="77777777" w:rsidR="00C35153" w:rsidRPr="00F417C3" w:rsidRDefault="00C35153" w:rsidP="00C35153">
            <w:pPr>
              <w:pStyle w:val="Heading3"/>
              <w:spacing w:line="260" w:lineRule="atLeast"/>
              <w:outlineLvl w:val="2"/>
              <w:rPr>
                <w:rFonts w:eastAsiaTheme="minorHAnsi" w:cstheme="minorBidi"/>
                <w:bCs w:val="0"/>
                <w:i/>
                <w:color w:val="auto"/>
                <w:sz w:val="18"/>
                <w:szCs w:val="18"/>
              </w:rPr>
            </w:pPr>
          </w:p>
          <w:p w14:paraId="2A593A9A" w14:textId="77777777" w:rsidR="00C35153" w:rsidRPr="00F417C3" w:rsidRDefault="00C35153" w:rsidP="00C35153">
            <w:pPr>
              <w:pStyle w:val="Heading3"/>
              <w:spacing w:line="260" w:lineRule="atLeast"/>
              <w:outlineLvl w:val="2"/>
              <w:rPr>
                <w:rFonts w:eastAsiaTheme="minorHAnsi" w:cstheme="minorBidi"/>
                <w:bCs w:val="0"/>
                <w:i/>
                <w:color w:val="auto"/>
                <w:sz w:val="18"/>
                <w:szCs w:val="18"/>
              </w:rPr>
            </w:pPr>
            <w:r w:rsidRPr="00F417C3">
              <w:rPr>
                <w:rFonts w:eastAsiaTheme="minorHAnsi" w:cstheme="minorBidi"/>
                <w:bCs w:val="0"/>
                <w:i/>
                <w:color w:val="auto"/>
                <w:sz w:val="18"/>
                <w:szCs w:val="18"/>
              </w:rPr>
              <w:t>The Institutional Strengthening pillar should be revisited and discussions held with the appropriate Deputy Secretary in MOC with the view of developing a plan of activities, including the existing training plan, and other related capacity building activities.</w:t>
            </w:r>
          </w:p>
        </w:tc>
        <w:tc>
          <w:tcPr>
            <w:tcW w:w="1134" w:type="dxa"/>
            <w:shd w:val="clear" w:color="auto" w:fill="92D050"/>
          </w:tcPr>
          <w:p w14:paraId="3C29F0B9" w14:textId="4E2B32D7" w:rsidR="00C35153" w:rsidRPr="00F417C3" w:rsidRDefault="00C35153" w:rsidP="00493FD8">
            <w:pPr>
              <w:pStyle w:val="Heading3"/>
              <w:outlineLvl w:val="2"/>
              <w:cnfStyle w:val="000000010000" w:firstRow="0" w:lastRow="0" w:firstColumn="0" w:lastColumn="0" w:oddVBand="0" w:evenVBand="0" w:oddHBand="0" w:evenHBand="1" w:firstRowFirstColumn="0" w:firstRowLastColumn="0" w:lastRowFirstColumn="0" w:lastRowLastColumn="0"/>
              <w:rPr>
                <w:b/>
                <w:color w:val="auto"/>
                <w:sz w:val="18"/>
                <w:szCs w:val="18"/>
              </w:rPr>
            </w:pPr>
            <w:r w:rsidRPr="00F417C3">
              <w:rPr>
                <w:b/>
                <w:color w:val="auto"/>
                <w:sz w:val="18"/>
                <w:szCs w:val="18"/>
              </w:rPr>
              <w:t xml:space="preserve">Agree </w:t>
            </w:r>
          </w:p>
        </w:tc>
        <w:tc>
          <w:tcPr>
            <w:tcW w:w="2977" w:type="dxa"/>
          </w:tcPr>
          <w:p w14:paraId="3004CDB0" w14:textId="77777777" w:rsidR="00C35153" w:rsidRPr="00F417C3" w:rsidRDefault="00C35153" w:rsidP="00C3515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This component was deliberately delayed (with agreement from DFAT) until initial work on the medium-term trade strategy had been completed and the strategic direction was better defined.</w:t>
            </w:r>
          </w:p>
          <w:p w14:paraId="4353A2AB" w14:textId="77777777" w:rsidR="00C35153" w:rsidRPr="00F417C3" w:rsidRDefault="00C35153" w:rsidP="00C3515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p>
        </w:tc>
        <w:tc>
          <w:tcPr>
            <w:tcW w:w="4536" w:type="dxa"/>
          </w:tcPr>
          <w:p w14:paraId="7A9449C4" w14:textId="66FDE1C3" w:rsidR="00C35153" w:rsidRPr="00F417C3" w:rsidRDefault="00493FD8" w:rsidP="00C3515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r w:rsidRPr="00493FD8">
              <w:rPr>
                <w:rFonts w:asciiTheme="majorHAnsi" w:hAnsiTheme="majorHAnsi"/>
                <w:color w:val="auto"/>
                <w:sz w:val="18"/>
                <w:szCs w:val="18"/>
              </w:rPr>
              <w:t xml:space="preserve">WB has provided a detailed overview and financial breakdown of planned capacity building activities. </w:t>
            </w:r>
            <w:r w:rsidR="00C35153" w:rsidRPr="00493FD8">
              <w:rPr>
                <w:rFonts w:asciiTheme="majorHAnsi" w:hAnsiTheme="majorHAnsi"/>
                <w:color w:val="auto"/>
                <w:sz w:val="18"/>
                <w:szCs w:val="18"/>
              </w:rPr>
              <w:t>A series of technical trainings on trade and services related issues began in March 2017 and will run through to the end of program implementation. The topic of</w:t>
            </w:r>
            <w:r w:rsidR="00C35153" w:rsidRPr="00F417C3">
              <w:rPr>
                <w:rFonts w:asciiTheme="majorHAnsi" w:hAnsiTheme="majorHAnsi"/>
                <w:color w:val="auto"/>
                <w:sz w:val="18"/>
                <w:szCs w:val="18"/>
              </w:rPr>
              <w:t xml:space="preserve"> gender in trade will be mainstreamed throughout all training. </w:t>
            </w:r>
          </w:p>
          <w:p w14:paraId="25DEE7A1" w14:textId="77777777" w:rsidR="00C35153" w:rsidRPr="00F417C3" w:rsidRDefault="00C35153" w:rsidP="00C3515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Other parts of the program such as the Trade Facilitation pillar complement Institutional Strengthening, through introduction of new technologies and systems, especially at border points.</w:t>
            </w:r>
          </w:p>
        </w:tc>
        <w:tc>
          <w:tcPr>
            <w:tcW w:w="1275" w:type="dxa"/>
          </w:tcPr>
          <w:p w14:paraId="7368D60A" w14:textId="77777777" w:rsidR="00C35153" w:rsidRPr="00F417C3" w:rsidRDefault="00C35153" w:rsidP="00C3515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Ongoing</w:t>
            </w:r>
          </w:p>
        </w:tc>
      </w:tr>
      <w:tr w:rsidR="00C35153" w:rsidRPr="0047223C" w14:paraId="76D83FCD" w14:textId="77777777" w:rsidTr="00C35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shd w:val="clear" w:color="auto" w:fill="D9D9D9" w:themeFill="background1" w:themeFillShade="D9"/>
          </w:tcPr>
          <w:p w14:paraId="420F3E48" w14:textId="77777777" w:rsidR="00C35153" w:rsidRPr="00F417C3" w:rsidRDefault="00C35153" w:rsidP="00C35153">
            <w:pPr>
              <w:pStyle w:val="Heading3"/>
              <w:spacing w:before="0"/>
              <w:outlineLvl w:val="2"/>
              <w:rPr>
                <w:b/>
                <w:color w:val="auto"/>
                <w:sz w:val="18"/>
                <w:szCs w:val="18"/>
              </w:rPr>
            </w:pPr>
            <w:r w:rsidRPr="00F417C3">
              <w:rPr>
                <w:b/>
                <w:color w:val="auto"/>
                <w:sz w:val="18"/>
                <w:szCs w:val="18"/>
              </w:rPr>
              <w:lastRenderedPageBreak/>
              <w:t>Recommendation 8</w:t>
            </w:r>
          </w:p>
          <w:p w14:paraId="5DD52C9E" w14:textId="77777777" w:rsidR="00C35153" w:rsidRPr="00F417C3" w:rsidRDefault="00C35153" w:rsidP="00C35153">
            <w:pPr>
              <w:rPr>
                <w:rFonts w:asciiTheme="majorHAnsi" w:hAnsiTheme="majorHAnsi"/>
                <w:color w:val="auto"/>
                <w:sz w:val="18"/>
                <w:szCs w:val="18"/>
                <w:lang w:val="en-AU"/>
              </w:rPr>
            </w:pPr>
            <w:r w:rsidRPr="00F417C3">
              <w:rPr>
                <w:rFonts w:asciiTheme="majorHAnsi" w:hAnsiTheme="majorHAnsi"/>
                <w:i/>
                <w:color w:val="auto"/>
                <w:sz w:val="18"/>
                <w:szCs w:val="18"/>
                <w:lang w:val="en-AU"/>
              </w:rPr>
              <w:t>The World Bank should engage with the MoC on the opportunities for closer coordination across donors and GoP around the issue of Trade facilitation, either through the original proposed Steering Group or an alternative mechanism.</w:t>
            </w:r>
          </w:p>
        </w:tc>
        <w:tc>
          <w:tcPr>
            <w:tcW w:w="1134" w:type="dxa"/>
            <w:shd w:val="clear" w:color="auto" w:fill="92D050"/>
          </w:tcPr>
          <w:p w14:paraId="561D88C8" w14:textId="77777777" w:rsidR="00C35153" w:rsidRPr="00F417C3" w:rsidRDefault="00C35153" w:rsidP="00C35153">
            <w:pPr>
              <w:pStyle w:val="Heading3"/>
              <w:spacing w:before="0"/>
              <w:outlineLvl w:val="2"/>
              <w:cnfStyle w:val="000000100000" w:firstRow="0" w:lastRow="0" w:firstColumn="0" w:lastColumn="0" w:oddVBand="0" w:evenVBand="0" w:oddHBand="1" w:evenHBand="0" w:firstRowFirstColumn="0" w:firstRowLastColumn="0" w:lastRowFirstColumn="0" w:lastRowLastColumn="0"/>
              <w:rPr>
                <w:b/>
                <w:color w:val="auto"/>
                <w:sz w:val="18"/>
                <w:szCs w:val="18"/>
              </w:rPr>
            </w:pPr>
            <w:r w:rsidRPr="00F417C3">
              <w:rPr>
                <w:b/>
                <w:color w:val="auto"/>
                <w:sz w:val="18"/>
                <w:szCs w:val="18"/>
              </w:rPr>
              <w:t>Agree</w:t>
            </w:r>
          </w:p>
        </w:tc>
        <w:tc>
          <w:tcPr>
            <w:tcW w:w="2977" w:type="dxa"/>
          </w:tcPr>
          <w:p w14:paraId="46154343" w14:textId="77777777" w:rsidR="00C35153" w:rsidRPr="00F417C3" w:rsidRDefault="00C35153" w:rsidP="00C3515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4536" w:type="dxa"/>
          </w:tcPr>
          <w:p w14:paraId="027EFDCD" w14:textId="77777777" w:rsidR="00C35153" w:rsidRDefault="00C35153" w:rsidP="00C3515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See Recommendation 5</w:t>
            </w:r>
          </w:p>
          <w:p w14:paraId="38C23CAE" w14:textId="011CA5D6" w:rsidR="00493FD8" w:rsidRPr="00F417C3" w:rsidRDefault="00493FD8" w:rsidP="00C3515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1275" w:type="dxa"/>
          </w:tcPr>
          <w:p w14:paraId="0E9EA2CD" w14:textId="643A901F" w:rsidR="00C35153" w:rsidRPr="00F417C3" w:rsidRDefault="00E24DE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Pr>
                <w:rFonts w:asciiTheme="majorHAnsi" w:hAnsiTheme="majorHAnsi"/>
                <w:color w:val="auto"/>
                <w:sz w:val="18"/>
                <w:szCs w:val="18"/>
              </w:rPr>
              <w:t>O</w:t>
            </w:r>
            <w:r w:rsidR="00C35153" w:rsidRPr="00F417C3">
              <w:rPr>
                <w:rFonts w:asciiTheme="majorHAnsi" w:hAnsiTheme="majorHAnsi"/>
                <w:color w:val="auto"/>
                <w:sz w:val="18"/>
                <w:szCs w:val="18"/>
              </w:rPr>
              <w:t>ngoing</w:t>
            </w:r>
          </w:p>
        </w:tc>
      </w:tr>
      <w:tr w:rsidR="00C35153" w:rsidRPr="0047223C" w14:paraId="3757240D" w14:textId="77777777" w:rsidTr="00C351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shd w:val="clear" w:color="auto" w:fill="D9D9D9" w:themeFill="background1" w:themeFillShade="D9"/>
          </w:tcPr>
          <w:p w14:paraId="6114978D" w14:textId="77777777" w:rsidR="00C35153" w:rsidRPr="00F417C3" w:rsidRDefault="00C35153" w:rsidP="00C35153">
            <w:pPr>
              <w:pStyle w:val="Heading3"/>
              <w:spacing w:before="0"/>
              <w:outlineLvl w:val="2"/>
              <w:rPr>
                <w:b/>
                <w:color w:val="auto"/>
                <w:sz w:val="18"/>
                <w:szCs w:val="18"/>
              </w:rPr>
            </w:pPr>
            <w:r w:rsidRPr="00F417C3">
              <w:rPr>
                <w:b/>
                <w:color w:val="auto"/>
                <w:sz w:val="18"/>
                <w:szCs w:val="18"/>
              </w:rPr>
              <w:t xml:space="preserve">Recommendation 9 </w:t>
            </w:r>
          </w:p>
          <w:p w14:paraId="6E06F4A1" w14:textId="77777777" w:rsidR="00C35153" w:rsidRPr="00F417C3" w:rsidRDefault="00C35153" w:rsidP="00C35153">
            <w:pPr>
              <w:rPr>
                <w:rFonts w:asciiTheme="majorHAnsi" w:hAnsiTheme="majorHAnsi"/>
                <w:i/>
                <w:color w:val="auto"/>
                <w:sz w:val="18"/>
                <w:szCs w:val="18"/>
                <w:lang w:val="en-AU"/>
              </w:rPr>
            </w:pPr>
            <w:r w:rsidRPr="00F417C3">
              <w:rPr>
                <w:rFonts w:asciiTheme="majorHAnsi" w:hAnsiTheme="majorHAnsi"/>
                <w:i/>
                <w:color w:val="auto"/>
                <w:sz w:val="18"/>
                <w:szCs w:val="18"/>
                <w:lang w:val="en-AU"/>
              </w:rPr>
              <w:t>The recommendations of the gender and trade strategy paper need to be reviewed and relevant ones identified that can be followed up and integrated into the other work being undertaken.</w:t>
            </w:r>
            <w:r w:rsidRPr="00F417C3">
              <w:rPr>
                <w:rFonts w:asciiTheme="majorHAnsi" w:eastAsiaTheme="majorEastAsia" w:hAnsiTheme="majorHAnsi" w:cstheme="majorBidi"/>
                <w:bCs/>
                <w:i/>
                <w:color w:val="auto"/>
                <w:sz w:val="18"/>
                <w:szCs w:val="18"/>
                <w:lang w:val="en-AU"/>
              </w:rPr>
              <w:t xml:space="preserve"> </w:t>
            </w:r>
            <w:r w:rsidRPr="00F417C3">
              <w:rPr>
                <w:rFonts w:asciiTheme="majorHAnsi" w:hAnsiTheme="majorHAnsi"/>
                <w:i/>
                <w:color w:val="auto"/>
                <w:sz w:val="18"/>
                <w:szCs w:val="18"/>
                <w:lang w:val="en-AU"/>
              </w:rPr>
              <w:t>Consideration needs to be made with regard to balancing the work between Washington and embedding it within MoC for greater impact.</w:t>
            </w:r>
          </w:p>
        </w:tc>
        <w:tc>
          <w:tcPr>
            <w:tcW w:w="1134" w:type="dxa"/>
            <w:shd w:val="clear" w:color="auto" w:fill="92D050"/>
          </w:tcPr>
          <w:p w14:paraId="1BE3C0B9" w14:textId="77777777" w:rsidR="00C35153" w:rsidRPr="00F417C3" w:rsidRDefault="00C35153" w:rsidP="00C35153">
            <w:pPr>
              <w:pStyle w:val="Heading3"/>
              <w:spacing w:before="0"/>
              <w:outlineLvl w:val="2"/>
              <w:cnfStyle w:val="000000010000" w:firstRow="0" w:lastRow="0" w:firstColumn="0" w:lastColumn="0" w:oddVBand="0" w:evenVBand="0" w:oddHBand="0" w:evenHBand="1" w:firstRowFirstColumn="0" w:firstRowLastColumn="0" w:lastRowFirstColumn="0" w:lastRowLastColumn="0"/>
              <w:rPr>
                <w:b/>
                <w:color w:val="auto"/>
                <w:sz w:val="18"/>
                <w:szCs w:val="18"/>
              </w:rPr>
            </w:pPr>
            <w:r w:rsidRPr="00F417C3">
              <w:rPr>
                <w:b/>
                <w:color w:val="auto"/>
                <w:sz w:val="18"/>
                <w:szCs w:val="18"/>
              </w:rPr>
              <w:t>Agree</w:t>
            </w:r>
          </w:p>
        </w:tc>
        <w:tc>
          <w:tcPr>
            <w:tcW w:w="2977" w:type="dxa"/>
          </w:tcPr>
          <w:p w14:paraId="0B6532FB" w14:textId="77777777" w:rsidR="00C35153" w:rsidRPr="00F417C3" w:rsidRDefault="00C35153" w:rsidP="00C3515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p>
        </w:tc>
        <w:tc>
          <w:tcPr>
            <w:tcW w:w="4536" w:type="dxa"/>
          </w:tcPr>
          <w:p w14:paraId="44617C62" w14:textId="35B7E3EF" w:rsidR="00C35153" w:rsidRPr="00F417C3" w:rsidRDefault="00C3515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 xml:space="preserve">Key activities on Gender and Trade include the finalisation of a gender action plan, launching WE-NET in early 2018, and mainstreaming the topic of gender and trade in institutional capacity building training. </w:t>
            </w:r>
            <w:r w:rsidR="00C76CDB" w:rsidRPr="00F417C3">
              <w:rPr>
                <w:rFonts w:asciiTheme="majorHAnsi" w:hAnsiTheme="majorHAnsi"/>
                <w:color w:val="auto"/>
                <w:sz w:val="18"/>
                <w:szCs w:val="18"/>
              </w:rPr>
              <w:t xml:space="preserve">DFAT is seeking further detail from </w:t>
            </w:r>
            <w:r w:rsidR="00FC1578">
              <w:rPr>
                <w:rFonts w:asciiTheme="majorHAnsi" w:hAnsiTheme="majorHAnsi"/>
                <w:color w:val="auto"/>
                <w:sz w:val="18"/>
                <w:szCs w:val="18"/>
              </w:rPr>
              <w:t>WB</w:t>
            </w:r>
            <w:r w:rsidR="00C76CDB" w:rsidRPr="00F417C3">
              <w:rPr>
                <w:rFonts w:asciiTheme="majorHAnsi" w:hAnsiTheme="majorHAnsi"/>
                <w:color w:val="auto"/>
                <w:sz w:val="18"/>
                <w:szCs w:val="18"/>
              </w:rPr>
              <w:t xml:space="preserve"> regarding human resourcing and locations</w:t>
            </w:r>
            <w:r w:rsidR="00A767F2" w:rsidRPr="00F417C3">
              <w:rPr>
                <w:rFonts w:asciiTheme="majorHAnsi" w:hAnsiTheme="majorHAnsi"/>
                <w:color w:val="auto"/>
                <w:sz w:val="18"/>
                <w:szCs w:val="18"/>
              </w:rPr>
              <w:t xml:space="preserve"> for PTIPP specifically, and </w:t>
            </w:r>
            <w:r w:rsidRPr="00F417C3">
              <w:rPr>
                <w:rFonts w:asciiTheme="majorHAnsi" w:hAnsiTheme="majorHAnsi"/>
                <w:color w:val="auto"/>
                <w:sz w:val="18"/>
                <w:szCs w:val="18"/>
              </w:rPr>
              <w:t xml:space="preserve">working to ensure greater </w:t>
            </w:r>
            <w:r w:rsidR="00C76CDB" w:rsidRPr="00F417C3">
              <w:rPr>
                <w:rFonts w:asciiTheme="majorHAnsi" w:hAnsiTheme="majorHAnsi"/>
                <w:color w:val="auto"/>
                <w:sz w:val="18"/>
                <w:szCs w:val="18"/>
              </w:rPr>
              <w:t xml:space="preserve">local </w:t>
            </w:r>
            <w:r w:rsidRPr="00F417C3">
              <w:rPr>
                <w:rFonts w:asciiTheme="majorHAnsi" w:hAnsiTheme="majorHAnsi"/>
                <w:color w:val="auto"/>
                <w:sz w:val="18"/>
                <w:szCs w:val="18"/>
              </w:rPr>
              <w:t>gender expertise is made available to all DFAT-World Bank programs</w:t>
            </w:r>
            <w:r w:rsidR="00A767F2" w:rsidRPr="00F417C3">
              <w:rPr>
                <w:rFonts w:asciiTheme="majorHAnsi" w:hAnsiTheme="majorHAnsi"/>
                <w:color w:val="auto"/>
                <w:sz w:val="18"/>
                <w:szCs w:val="18"/>
              </w:rPr>
              <w:t xml:space="preserve"> in Pakistan</w:t>
            </w:r>
            <w:r w:rsidRPr="00F417C3">
              <w:rPr>
                <w:rFonts w:asciiTheme="majorHAnsi" w:hAnsiTheme="majorHAnsi"/>
                <w:color w:val="auto"/>
                <w:sz w:val="18"/>
                <w:szCs w:val="18"/>
              </w:rPr>
              <w:t>.</w:t>
            </w:r>
            <w:r w:rsidR="00C76CDB" w:rsidRPr="00F417C3">
              <w:rPr>
                <w:rFonts w:asciiTheme="majorHAnsi" w:hAnsiTheme="majorHAnsi"/>
                <w:color w:val="auto"/>
                <w:sz w:val="18"/>
                <w:szCs w:val="18"/>
              </w:rPr>
              <w:t xml:space="preserve"> </w:t>
            </w:r>
            <w:r w:rsidR="00D111A6">
              <w:rPr>
                <w:rFonts w:asciiTheme="majorHAnsi" w:hAnsiTheme="majorHAnsi"/>
                <w:color w:val="auto"/>
                <w:sz w:val="18"/>
                <w:szCs w:val="18"/>
              </w:rPr>
              <w:t>Also s</w:t>
            </w:r>
            <w:r w:rsidR="00D111A6" w:rsidRPr="00F417C3">
              <w:rPr>
                <w:rFonts w:asciiTheme="majorHAnsi" w:hAnsiTheme="majorHAnsi"/>
                <w:color w:val="auto"/>
                <w:sz w:val="18"/>
                <w:szCs w:val="18"/>
              </w:rPr>
              <w:t>ee Recommendation 3.</w:t>
            </w:r>
          </w:p>
        </w:tc>
        <w:tc>
          <w:tcPr>
            <w:tcW w:w="1275" w:type="dxa"/>
          </w:tcPr>
          <w:p w14:paraId="6AED9417" w14:textId="7ABC1FA4" w:rsidR="00C35153" w:rsidRPr="00F417C3" w:rsidRDefault="00A767F2" w:rsidP="00C3515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Ongoing</w:t>
            </w:r>
          </w:p>
        </w:tc>
      </w:tr>
      <w:tr w:rsidR="00C35153" w:rsidRPr="0047223C" w14:paraId="1C747C98" w14:textId="77777777" w:rsidTr="00C35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shd w:val="clear" w:color="auto" w:fill="D9D9D9" w:themeFill="background1" w:themeFillShade="D9"/>
          </w:tcPr>
          <w:p w14:paraId="250EDD91" w14:textId="77777777" w:rsidR="00C35153" w:rsidRPr="00F417C3" w:rsidRDefault="00C35153" w:rsidP="00C35153">
            <w:pPr>
              <w:pStyle w:val="Heading3"/>
              <w:spacing w:before="0"/>
              <w:outlineLvl w:val="2"/>
              <w:rPr>
                <w:b/>
                <w:color w:val="auto"/>
                <w:sz w:val="18"/>
                <w:szCs w:val="18"/>
              </w:rPr>
            </w:pPr>
            <w:r w:rsidRPr="00F417C3">
              <w:rPr>
                <w:b/>
                <w:color w:val="auto"/>
                <w:sz w:val="18"/>
                <w:szCs w:val="18"/>
              </w:rPr>
              <w:t>Recommendation 10</w:t>
            </w:r>
          </w:p>
          <w:p w14:paraId="4656CB28" w14:textId="57EC84A8" w:rsidR="00C35153" w:rsidRPr="00F417C3" w:rsidRDefault="00C35153" w:rsidP="00C35153">
            <w:pPr>
              <w:rPr>
                <w:rFonts w:asciiTheme="majorHAnsi" w:hAnsiTheme="majorHAnsi"/>
                <w:color w:val="auto"/>
                <w:sz w:val="18"/>
                <w:szCs w:val="18"/>
                <w:lang w:val="en-AU"/>
              </w:rPr>
            </w:pPr>
            <w:r w:rsidRPr="00F417C3">
              <w:rPr>
                <w:rFonts w:asciiTheme="majorHAnsi" w:hAnsiTheme="majorHAnsi"/>
                <w:i/>
                <w:color w:val="auto"/>
                <w:sz w:val="18"/>
                <w:szCs w:val="18"/>
                <w:lang w:val="en-AU"/>
              </w:rPr>
              <w:t>The establishment of</w:t>
            </w:r>
            <w:r w:rsidR="00906B83">
              <w:rPr>
                <w:rFonts w:asciiTheme="majorHAnsi" w:hAnsiTheme="majorHAnsi"/>
                <w:i/>
                <w:color w:val="auto"/>
                <w:sz w:val="18"/>
                <w:szCs w:val="18"/>
                <w:lang w:val="en-AU"/>
              </w:rPr>
              <w:t xml:space="preserve"> the </w:t>
            </w:r>
            <w:r w:rsidR="00906B83" w:rsidRPr="00906B83">
              <w:rPr>
                <w:rFonts w:asciiTheme="majorHAnsi" w:hAnsiTheme="majorHAnsi"/>
                <w:i/>
                <w:color w:val="auto"/>
                <w:sz w:val="18"/>
                <w:szCs w:val="18"/>
                <w:lang w:val="en-AU"/>
              </w:rPr>
              <w:t>Women Entrepreneurs network</w:t>
            </w:r>
            <w:r w:rsidRPr="00F417C3">
              <w:rPr>
                <w:rFonts w:asciiTheme="majorHAnsi" w:hAnsiTheme="majorHAnsi"/>
                <w:i/>
                <w:color w:val="auto"/>
                <w:sz w:val="18"/>
                <w:szCs w:val="18"/>
                <w:lang w:val="en-AU"/>
              </w:rPr>
              <w:t xml:space="preserve"> </w:t>
            </w:r>
            <w:r w:rsidR="00906B83">
              <w:rPr>
                <w:rFonts w:asciiTheme="majorHAnsi" w:hAnsiTheme="majorHAnsi"/>
                <w:i/>
                <w:color w:val="auto"/>
                <w:sz w:val="18"/>
                <w:szCs w:val="18"/>
                <w:lang w:val="en-AU"/>
              </w:rPr>
              <w:t>(</w:t>
            </w:r>
            <w:r w:rsidRPr="00F417C3">
              <w:rPr>
                <w:rFonts w:asciiTheme="majorHAnsi" w:hAnsiTheme="majorHAnsi"/>
                <w:i/>
                <w:color w:val="auto"/>
                <w:sz w:val="18"/>
                <w:szCs w:val="18"/>
                <w:lang w:val="en-AU"/>
              </w:rPr>
              <w:t>WE-NET</w:t>
            </w:r>
            <w:r w:rsidR="00906B83">
              <w:rPr>
                <w:rFonts w:asciiTheme="majorHAnsi" w:hAnsiTheme="majorHAnsi"/>
                <w:i/>
                <w:color w:val="auto"/>
                <w:sz w:val="18"/>
                <w:szCs w:val="18"/>
                <w:lang w:val="en-AU"/>
              </w:rPr>
              <w:t>)</w:t>
            </w:r>
            <w:r w:rsidRPr="00F417C3">
              <w:rPr>
                <w:rFonts w:asciiTheme="majorHAnsi" w:hAnsiTheme="majorHAnsi"/>
                <w:i/>
                <w:color w:val="auto"/>
                <w:sz w:val="18"/>
                <w:szCs w:val="18"/>
                <w:lang w:val="en-AU"/>
              </w:rPr>
              <w:t xml:space="preserve"> needs to be expedited if it is to have a chance of being sustainable after PTIPP finishes. Additional activities as per the design also need to be identified and initiated.</w:t>
            </w:r>
          </w:p>
        </w:tc>
        <w:tc>
          <w:tcPr>
            <w:tcW w:w="1134" w:type="dxa"/>
            <w:shd w:val="clear" w:color="auto" w:fill="92D050"/>
          </w:tcPr>
          <w:p w14:paraId="0ABCA250" w14:textId="77777777" w:rsidR="00C35153" w:rsidRPr="00F417C3" w:rsidRDefault="00C35153" w:rsidP="00C35153">
            <w:pPr>
              <w:pStyle w:val="Heading3"/>
              <w:spacing w:before="0"/>
              <w:outlineLvl w:val="2"/>
              <w:cnfStyle w:val="000000100000" w:firstRow="0" w:lastRow="0" w:firstColumn="0" w:lastColumn="0" w:oddVBand="0" w:evenVBand="0" w:oddHBand="1" w:evenHBand="0" w:firstRowFirstColumn="0" w:firstRowLastColumn="0" w:lastRowFirstColumn="0" w:lastRowLastColumn="0"/>
              <w:rPr>
                <w:b/>
                <w:color w:val="auto"/>
                <w:sz w:val="18"/>
                <w:szCs w:val="18"/>
              </w:rPr>
            </w:pPr>
            <w:r w:rsidRPr="00F417C3">
              <w:rPr>
                <w:b/>
                <w:color w:val="auto"/>
                <w:sz w:val="18"/>
                <w:szCs w:val="18"/>
              </w:rPr>
              <w:t>Agree</w:t>
            </w:r>
          </w:p>
        </w:tc>
        <w:tc>
          <w:tcPr>
            <w:tcW w:w="2977" w:type="dxa"/>
          </w:tcPr>
          <w:p w14:paraId="01AB964E" w14:textId="77777777" w:rsidR="00C35153" w:rsidRPr="00F417C3" w:rsidRDefault="00C35153" w:rsidP="00C3515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4536" w:type="dxa"/>
          </w:tcPr>
          <w:p w14:paraId="2EB1ED80" w14:textId="6C2291AE" w:rsidR="00C35153" w:rsidRPr="00F417C3" w:rsidRDefault="00FC1578" w:rsidP="00C3515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Pr>
                <w:rFonts w:asciiTheme="majorHAnsi" w:hAnsiTheme="majorHAnsi"/>
                <w:color w:val="auto"/>
                <w:sz w:val="18"/>
                <w:szCs w:val="18"/>
              </w:rPr>
              <w:t>WB</w:t>
            </w:r>
            <w:r w:rsidR="00C35153" w:rsidRPr="00F417C3">
              <w:rPr>
                <w:rFonts w:asciiTheme="majorHAnsi" w:hAnsiTheme="majorHAnsi"/>
                <w:color w:val="auto"/>
                <w:sz w:val="18"/>
                <w:szCs w:val="18"/>
              </w:rPr>
              <w:t xml:space="preserve"> has advised that the WE-NET is scheduled to be launched early 2018.</w:t>
            </w:r>
            <w:r w:rsidR="00906B83" w:rsidRPr="00F417C3">
              <w:rPr>
                <w:rFonts w:asciiTheme="majorHAnsi" w:hAnsiTheme="majorHAnsi"/>
                <w:color w:val="auto"/>
                <w:sz w:val="18"/>
                <w:szCs w:val="18"/>
              </w:rPr>
              <w:t xml:space="preserve"> </w:t>
            </w:r>
          </w:p>
          <w:p w14:paraId="7AF1260F" w14:textId="77777777" w:rsidR="00C35153" w:rsidRPr="00F417C3" w:rsidRDefault="00C35153" w:rsidP="00C3515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Also see Recommendation 9.</w:t>
            </w:r>
          </w:p>
        </w:tc>
        <w:tc>
          <w:tcPr>
            <w:tcW w:w="1275" w:type="dxa"/>
          </w:tcPr>
          <w:p w14:paraId="104E0723" w14:textId="77777777" w:rsidR="00C35153" w:rsidRPr="00F417C3" w:rsidRDefault="00C35153" w:rsidP="00C3515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F417C3">
              <w:rPr>
                <w:rFonts w:asciiTheme="majorHAnsi" w:hAnsiTheme="majorHAnsi"/>
                <w:color w:val="auto"/>
                <w:sz w:val="18"/>
                <w:szCs w:val="18"/>
              </w:rPr>
              <w:t>Early 2018</w:t>
            </w:r>
          </w:p>
        </w:tc>
      </w:tr>
      <w:tr w:rsidR="00C35153" w:rsidRPr="0047223C" w14:paraId="3B232A0B" w14:textId="77777777" w:rsidTr="00C351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shd w:val="clear" w:color="auto" w:fill="D9D9D9" w:themeFill="background1" w:themeFillShade="D9"/>
          </w:tcPr>
          <w:p w14:paraId="3BDC9382" w14:textId="77777777" w:rsidR="00C35153" w:rsidRPr="00D111A6" w:rsidRDefault="00C35153" w:rsidP="00C35153">
            <w:pPr>
              <w:pStyle w:val="Heading3"/>
              <w:spacing w:before="0"/>
              <w:outlineLvl w:val="2"/>
              <w:rPr>
                <w:b/>
                <w:color w:val="auto"/>
                <w:sz w:val="18"/>
                <w:szCs w:val="18"/>
              </w:rPr>
            </w:pPr>
            <w:r w:rsidRPr="00D111A6">
              <w:rPr>
                <w:b/>
                <w:color w:val="auto"/>
                <w:sz w:val="18"/>
                <w:szCs w:val="18"/>
              </w:rPr>
              <w:t>Recommendation 11</w:t>
            </w:r>
          </w:p>
          <w:p w14:paraId="1813B639" w14:textId="77777777" w:rsidR="00C35153" w:rsidRPr="00D111A6" w:rsidRDefault="00C35153" w:rsidP="00C35153">
            <w:pPr>
              <w:rPr>
                <w:rFonts w:asciiTheme="majorHAnsi" w:hAnsiTheme="majorHAnsi"/>
                <w:i/>
                <w:color w:val="auto"/>
                <w:sz w:val="18"/>
                <w:szCs w:val="18"/>
                <w:lang w:val="en-AU"/>
              </w:rPr>
            </w:pPr>
            <w:r w:rsidRPr="00D111A6">
              <w:rPr>
                <w:rFonts w:asciiTheme="majorHAnsi" w:hAnsiTheme="majorHAnsi"/>
                <w:i/>
                <w:color w:val="auto"/>
                <w:sz w:val="18"/>
                <w:szCs w:val="18"/>
                <w:lang w:val="en-AU"/>
              </w:rPr>
              <w:t>Disbursement needs to be closely monitored and adjustments made quickly to reflect changing conditions on the ground. Pillar 1 disbursement is on track. Pillar 2 and Pillar 3 urgently need revised work plans prepared so that budgets can be allocated and/or reallocations made to other activities if necessary. Pillar 4 has fully disbursed its committed funding.</w:t>
            </w:r>
          </w:p>
        </w:tc>
        <w:tc>
          <w:tcPr>
            <w:tcW w:w="1134" w:type="dxa"/>
            <w:shd w:val="clear" w:color="auto" w:fill="FFC000"/>
          </w:tcPr>
          <w:p w14:paraId="474273EF" w14:textId="77777777" w:rsidR="00C35153" w:rsidRPr="00D111A6" w:rsidRDefault="00C35153" w:rsidP="00C35153">
            <w:pPr>
              <w:pStyle w:val="Heading3"/>
              <w:spacing w:before="0"/>
              <w:outlineLvl w:val="2"/>
              <w:cnfStyle w:val="000000010000" w:firstRow="0" w:lastRow="0" w:firstColumn="0" w:lastColumn="0" w:oddVBand="0" w:evenVBand="0" w:oddHBand="0" w:evenHBand="1" w:firstRowFirstColumn="0" w:firstRowLastColumn="0" w:lastRowFirstColumn="0" w:lastRowLastColumn="0"/>
              <w:rPr>
                <w:b/>
                <w:color w:val="auto"/>
                <w:sz w:val="18"/>
                <w:szCs w:val="18"/>
              </w:rPr>
            </w:pPr>
            <w:r w:rsidRPr="00D111A6">
              <w:rPr>
                <w:b/>
                <w:color w:val="auto"/>
                <w:sz w:val="18"/>
                <w:szCs w:val="18"/>
              </w:rPr>
              <w:t>Agree in part</w:t>
            </w:r>
          </w:p>
        </w:tc>
        <w:tc>
          <w:tcPr>
            <w:tcW w:w="2977" w:type="dxa"/>
          </w:tcPr>
          <w:p w14:paraId="5B667FC0" w14:textId="67E5228B" w:rsidR="00C35153" w:rsidRPr="00D111A6" w:rsidRDefault="002C4736" w:rsidP="00242D2D">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r>
              <w:rPr>
                <w:rFonts w:asciiTheme="majorHAnsi" w:hAnsiTheme="majorHAnsi"/>
                <w:color w:val="auto"/>
                <w:sz w:val="18"/>
                <w:szCs w:val="18"/>
              </w:rPr>
              <w:t>F</w:t>
            </w:r>
            <w:r w:rsidR="00E24DE8" w:rsidRPr="00906B83">
              <w:rPr>
                <w:rFonts w:asciiTheme="majorHAnsi" w:hAnsiTheme="majorHAnsi"/>
                <w:color w:val="auto"/>
                <w:sz w:val="18"/>
                <w:szCs w:val="18"/>
              </w:rPr>
              <w:t>ollowing DFAT’s acceptance of the Review, WB provided updated financial figures clarifying disbursement</w:t>
            </w:r>
            <w:r>
              <w:rPr>
                <w:rFonts w:asciiTheme="majorHAnsi" w:hAnsiTheme="majorHAnsi"/>
                <w:color w:val="auto"/>
                <w:sz w:val="18"/>
                <w:szCs w:val="18"/>
              </w:rPr>
              <w:t>s</w:t>
            </w:r>
            <w:r w:rsidR="00E24DE8" w:rsidRPr="00906B83">
              <w:rPr>
                <w:rFonts w:asciiTheme="majorHAnsi" w:hAnsiTheme="majorHAnsi"/>
                <w:color w:val="auto"/>
                <w:sz w:val="18"/>
                <w:szCs w:val="18"/>
              </w:rPr>
              <w:t xml:space="preserve"> and advised that reallocation </w:t>
            </w:r>
            <w:r w:rsidRPr="00906B83">
              <w:rPr>
                <w:rFonts w:asciiTheme="majorHAnsi" w:hAnsiTheme="majorHAnsi"/>
                <w:color w:val="auto"/>
                <w:sz w:val="18"/>
                <w:szCs w:val="18"/>
              </w:rPr>
              <w:t>across the pillars</w:t>
            </w:r>
            <w:r>
              <w:rPr>
                <w:rFonts w:asciiTheme="majorHAnsi" w:hAnsiTheme="majorHAnsi"/>
                <w:color w:val="auto"/>
                <w:sz w:val="18"/>
                <w:szCs w:val="18"/>
              </w:rPr>
              <w:t xml:space="preserve"> </w:t>
            </w:r>
            <w:r w:rsidR="00E24DE8">
              <w:rPr>
                <w:rFonts w:asciiTheme="majorHAnsi" w:hAnsiTheme="majorHAnsi"/>
                <w:color w:val="auto"/>
                <w:sz w:val="18"/>
                <w:szCs w:val="18"/>
              </w:rPr>
              <w:t>is</w:t>
            </w:r>
            <w:r w:rsidR="00E24DE8" w:rsidRPr="00906B83">
              <w:rPr>
                <w:rFonts w:asciiTheme="majorHAnsi" w:hAnsiTheme="majorHAnsi"/>
                <w:color w:val="auto"/>
                <w:sz w:val="18"/>
                <w:szCs w:val="18"/>
              </w:rPr>
              <w:t xml:space="preserve"> </w:t>
            </w:r>
            <w:r>
              <w:rPr>
                <w:rFonts w:asciiTheme="majorHAnsi" w:hAnsiTheme="majorHAnsi"/>
                <w:color w:val="auto"/>
                <w:sz w:val="18"/>
                <w:szCs w:val="18"/>
              </w:rPr>
              <w:t xml:space="preserve">not </w:t>
            </w:r>
            <w:r w:rsidR="00E24DE8" w:rsidRPr="00906B83">
              <w:rPr>
                <w:rFonts w:asciiTheme="majorHAnsi" w:hAnsiTheme="majorHAnsi"/>
                <w:color w:val="auto"/>
                <w:sz w:val="18"/>
                <w:szCs w:val="18"/>
              </w:rPr>
              <w:t>required</w:t>
            </w:r>
            <w:r w:rsidR="00E24DE8">
              <w:rPr>
                <w:rFonts w:asciiTheme="majorHAnsi" w:hAnsiTheme="majorHAnsi"/>
                <w:color w:val="auto"/>
                <w:sz w:val="18"/>
                <w:szCs w:val="18"/>
              </w:rPr>
              <w:t xml:space="preserve">. </w:t>
            </w:r>
            <w:r w:rsidR="00155097">
              <w:rPr>
                <w:rFonts w:asciiTheme="majorHAnsi" w:hAnsiTheme="majorHAnsi"/>
                <w:color w:val="auto"/>
                <w:sz w:val="18"/>
                <w:szCs w:val="18"/>
              </w:rPr>
              <w:t xml:space="preserve">DFAT will </w:t>
            </w:r>
            <w:r w:rsidR="00155097" w:rsidRPr="00D111A6">
              <w:rPr>
                <w:rFonts w:asciiTheme="majorHAnsi" w:hAnsiTheme="majorHAnsi"/>
                <w:color w:val="auto"/>
                <w:sz w:val="18"/>
                <w:szCs w:val="18"/>
              </w:rPr>
              <w:t xml:space="preserve">withhold the final tranche payment to </w:t>
            </w:r>
            <w:r w:rsidR="00155097">
              <w:rPr>
                <w:rFonts w:asciiTheme="majorHAnsi" w:hAnsiTheme="majorHAnsi"/>
                <w:color w:val="auto"/>
                <w:sz w:val="18"/>
                <w:szCs w:val="18"/>
              </w:rPr>
              <w:t>WB</w:t>
            </w:r>
            <w:r w:rsidR="00155097" w:rsidRPr="00D111A6">
              <w:rPr>
                <w:rFonts w:asciiTheme="majorHAnsi" w:hAnsiTheme="majorHAnsi"/>
                <w:color w:val="auto"/>
                <w:sz w:val="18"/>
                <w:szCs w:val="18"/>
              </w:rPr>
              <w:t xml:space="preserve"> until a satisfactory acquittal and program performance report is received</w:t>
            </w:r>
            <w:r w:rsidR="00155097">
              <w:rPr>
                <w:rFonts w:asciiTheme="majorHAnsi" w:hAnsiTheme="majorHAnsi"/>
                <w:color w:val="auto"/>
                <w:sz w:val="18"/>
                <w:szCs w:val="18"/>
              </w:rPr>
              <w:t>.</w:t>
            </w:r>
          </w:p>
        </w:tc>
        <w:tc>
          <w:tcPr>
            <w:tcW w:w="4536" w:type="dxa"/>
          </w:tcPr>
          <w:p w14:paraId="063FC01F" w14:textId="77E651EE" w:rsidR="00C35153" w:rsidRPr="00D111A6" w:rsidRDefault="00242D2D" w:rsidP="00C266E9">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r w:rsidRPr="00155097">
              <w:rPr>
                <w:rFonts w:asciiTheme="majorHAnsi" w:hAnsiTheme="majorHAnsi"/>
                <w:color w:val="auto"/>
                <w:sz w:val="18"/>
                <w:szCs w:val="18"/>
              </w:rPr>
              <w:t>DFAT agrees that close monitoring of PTIPP is required through to its completion. In April 2017, following the Review, DFAT undertook an internal quality check that assessed PTIPP requires improvements in its effectiveness and efficiency. As a result, DFAT has committed to senior oversight of program management; a suite of minimum program deliverables by the Bank; a revised payment schedule; and</w:t>
            </w:r>
            <w:r w:rsidR="00155097" w:rsidRPr="00155097">
              <w:rPr>
                <w:rFonts w:asciiTheme="majorHAnsi" w:hAnsiTheme="majorHAnsi"/>
                <w:color w:val="auto"/>
                <w:sz w:val="18"/>
                <w:szCs w:val="18"/>
              </w:rPr>
              <w:t xml:space="preserve"> a six-month no-cost extension to December 2018 to ensure full implementation of program activities</w:t>
            </w:r>
            <w:r w:rsidR="00155097">
              <w:rPr>
                <w:rFonts w:asciiTheme="majorHAnsi" w:hAnsiTheme="majorHAnsi"/>
                <w:sz w:val="18"/>
                <w:szCs w:val="18"/>
              </w:rPr>
              <w:t xml:space="preserve">.  </w:t>
            </w:r>
          </w:p>
        </w:tc>
        <w:tc>
          <w:tcPr>
            <w:tcW w:w="1275" w:type="dxa"/>
          </w:tcPr>
          <w:p w14:paraId="56BA10CB" w14:textId="511DE1E6" w:rsidR="00C35153" w:rsidRPr="00D111A6" w:rsidRDefault="00A767F2" w:rsidP="00C3515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18"/>
                <w:szCs w:val="18"/>
              </w:rPr>
            </w:pPr>
            <w:r w:rsidRPr="00D111A6">
              <w:rPr>
                <w:rFonts w:asciiTheme="majorHAnsi" w:hAnsiTheme="majorHAnsi"/>
                <w:color w:val="auto"/>
                <w:sz w:val="18"/>
                <w:szCs w:val="18"/>
              </w:rPr>
              <w:t>June 2018</w:t>
            </w:r>
          </w:p>
        </w:tc>
      </w:tr>
    </w:tbl>
    <w:p w14:paraId="4F10A9DC" w14:textId="77777777" w:rsidR="004D31C5" w:rsidRPr="008C33B1" w:rsidRDefault="004D31C5">
      <w:pPr>
        <w:rPr>
          <w:rFonts w:asciiTheme="majorHAnsi" w:hAnsiTheme="majorHAnsi"/>
          <w:sz w:val="18"/>
          <w:szCs w:val="18"/>
        </w:rPr>
      </w:pPr>
    </w:p>
    <w:sectPr w:rsidR="004D31C5" w:rsidRPr="008C33B1" w:rsidSect="00C266E9">
      <w:headerReference w:type="even" r:id="rId6"/>
      <w:headerReference w:type="default" r:id="rId7"/>
      <w:footerReference w:type="even" r:id="rId8"/>
      <w:footerReference w:type="default" r:id="rId9"/>
      <w:headerReference w:type="first" r:id="rId10"/>
      <w:footerReference w:type="first" r:id="rId11"/>
      <w:pgSz w:w="16838" w:h="11906" w:orient="landscape" w:code="9"/>
      <w:pgMar w:top="1077" w:right="1985" w:bottom="90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384E8" w14:textId="77777777" w:rsidR="002B734A" w:rsidRDefault="002B734A" w:rsidP="002B734A">
      <w:pPr>
        <w:spacing w:before="0" w:after="0" w:line="240" w:lineRule="auto"/>
      </w:pPr>
      <w:r>
        <w:separator/>
      </w:r>
    </w:p>
  </w:endnote>
  <w:endnote w:type="continuationSeparator" w:id="0">
    <w:p w14:paraId="783B99D1" w14:textId="77777777" w:rsidR="002B734A" w:rsidRDefault="002B734A" w:rsidP="002B73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D41F" w14:textId="77777777" w:rsidR="002B734A" w:rsidRDefault="002B7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DEFCD" w14:textId="77777777" w:rsidR="002B734A" w:rsidRDefault="002B7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8064A" w14:textId="77777777" w:rsidR="002B734A" w:rsidRDefault="002B7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74B84" w14:textId="77777777" w:rsidR="002B734A" w:rsidRDefault="002B734A" w:rsidP="002B734A">
      <w:pPr>
        <w:spacing w:before="0" w:after="0" w:line="240" w:lineRule="auto"/>
      </w:pPr>
      <w:r>
        <w:separator/>
      </w:r>
    </w:p>
  </w:footnote>
  <w:footnote w:type="continuationSeparator" w:id="0">
    <w:p w14:paraId="3FF23527" w14:textId="77777777" w:rsidR="002B734A" w:rsidRDefault="002B734A" w:rsidP="002B73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2D2F3" w14:textId="77777777" w:rsidR="002B734A" w:rsidRDefault="002B7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385C" w14:textId="77777777" w:rsidR="002B734A" w:rsidRDefault="002B7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0879" w14:textId="77777777" w:rsidR="002B734A" w:rsidRDefault="002B7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4D"/>
    <w:rsid w:val="00011B95"/>
    <w:rsid w:val="00036A4B"/>
    <w:rsid w:val="00062D39"/>
    <w:rsid w:val="00082F6A"/>
    <w:rsid w:val="000B3888"/>
    <w:rsid w:val="000F4B9C"/>
    <w:rsid w:val="00141A42"/>
    <w:rsid w:val="00155097"/>
    <w:rsid w:val="00160B90"/>
    <w:rsid w:val="001632CC"/>
    <w:rsid w:val="00195DD8"/>
    <w:rsid w:val="001A0507"/>
    <w:rsid w:val="001B2381"/>
    <w:rsid w:val="00234763"/>
    <w:rsid w:val="00242D2D"/>
    <w:rsid w:val="0029741A"/>
    <w:rsid w:val="002A267A"/>
    <w:rsid w:val="002A48E8"/>
    <w:rsid w:val="002A4D55"/>
    <w:rsid w:val="002B734A"/>
    <w:rsid w:val="002C4736"/>
    <w:rsid w:val="002D2E5C"/>
    <w:rsid w:val="0030084B"/>
    <w:rsid w:val="00315EA0"/>
    <w:rsid w:val="0032554F"/>
    <w:rsid w:val="00355C55"/>
    <w:rsid w:val="00376AF9"/>
    <w:rsid w:val="00381BE1"/>
    <w:rsid w:val="003B251E"/>
    <w:rsid w:val="003C5B72"/>
    <w:rsid w:val="003E0234"/>
    <w:rsid w:val="003E05C1"/>
    <w:rsid w:val="003E5812"/>
    <w:rsid w:val="0043637A"/>
    <w:rsid w:val="0043677B"/>
    <w:rsid w:val="0047223C"/>
    <w:rsid w:val="00474608"/>
    <w:rsid w:val="0048030C"/>
    <w:rsid w:val="00493FD8"/>
    <w:rsid w:val="004A0D85"/>
    <w:rsid w:val="004D31C5"/>
    <w:rsid w:val="004E33F4"/>
    <w:rsid w:val="00523389"/>
    <w:rsid w:val="00551D82"/>
    <w:rsid w:val="0057495C"/>
    <w:rsid w:val="00583C9C"/>
    <w:rsid w:val="005937CF"/>
    <w:rsid w:val="005B67DE"/>
    <w:rsid w:val="005C3AD6"/>
    <w:rsid w:val="005D3196"/>
    <w:rsid w:val="005D7FA8"/>
    <w:rsid w:val="005E03CD"/>
    <w:rsid w:val="005F4F93"/>
    <w:rsid w:val="00603274"/>
    <w:rsid w:val="0062017B"/>
    <w:rsid w:val="00627E62"/>
    <w:rsid w:val="00630337"/>
    <w:rsid w:val="00644B40"/>
    <w:rsid w:val="0067176B"/>
    <w:rsid w:val="006B6574"/>
    <w:rsid w:val="006B676B"/>
    <w:rsid w:val="006D4561"/>
    <w:rsid w:val="0074284C"/>
    <w:rsid w:val="0074494A"/>
    <w:rsid w:val="00752302"/>
    <w:rsid w:val="00756BD5"/>
    <w:rsid w:val="007575D6"/>
    <w:rsid w:val="007658FA"/>
    <w:rsid w:val="007A3A2E"/>
    <w:rsid w:val="007A6E7D"/>
    <w:rsid w:val="007B5EB2"/>
    <w:rsid w:val="007C0435"/>
    <w:rsid w:val="00801232"/>
    <w:rsid w:val="008028B1"/>
    <w:rsid w:val="0082073B"/>
    <w:rsid w:val="00826148"/>
    <w:rsid w:val="00836925"/>
    <w:rsid w:val="008C33B1"/>
    <w:rsid w:val="00906B83"/>
    <w:rsid w:val="0092289D"/>
    <w:rsid w:val="00927D9C"/>
    <w:rsid w:val="00945499"/>
    <w:rsid w:val="00970F4A"/>
    <w:rsid w:val="00974B29"/>
    <w:rsid w:val="00987382"/>
    <w:rsid w:val="0099416E"/>
    <w:rsid w:val="009C6F79"/>
    <w:rsid w:val="009F5D6B"/>
    <w:rsid w:val="00A034E5"/>
    <w:rsid w:val="00A4535B"/>
    <w:rsid w:val="00A636A4"/>
    <w:rsid w:val="00A73EA3"/>
    <w:rsid w:val="00A75E12"/>
    <w:rsid w:val="00A767F2"/>
    <w:rsid w:val="00A93034"/>
    <w:rsid w:val="00AC328C"/>
    <w:rsid w:val="00AD5821"/>
    <w:rsid w:val="00AE2FAE"/>
    <w:rsid w:val="00AE5DA8"/>
    <w:rsid w:val="00B0399A"/>
    <w:rsid w:val="00B043F6"/>
    <w:rsid w:val="00B33F1E"/>
    <w:rsid w:val="00B72092"/>
    <w:rsid w:val="00B7730C"/>
    <w:rsid w:val="00B80312"/>
    <w:rsid w:val="00BA70F7"/>
    <w:rsid w:val="00BB504D"/>
    <w:rsid w:val="00BC152A"/>
    <w:rsid w:val="00BD5C16"/>
    <w:rsid w:val="00BD7D72"/>
    <w:rsid w:val="00BE2502"/>
    <w:rsid w:val="00C10716"/>
    <w:rsid w:val="00C133AA"/>
    <w:rsid w:val="00C1579B"/>
    <w:rsid w:val="00C15F4D"/>
    <w:rsid w:val="00C16EC7"/>
    <w:rsid w:val="00C266E9"/>
    <w:rsid w:val="00C31592"/>
    <w:rsid w:val="00C3490B"/>
    <w:rsid w:val="00C35153"/>
    <w:rsid w:val="00C36072"/>
    <w:rsid w:val="00C41176"/>
    <w:rsid w:val="00C76CDB"/>
    <w:rsid w:val="00C90E92"/>
    <w:rsid w:val="00C92AE7"/>
    <w:rsid w:val="00C957BE"/>
    <w:rsid w:val="00CA0FF7"/>
    <w:rsid w:val="00CA12BD"/>
    <w:rsid w:val="00CA1925"/>
    <w:rsid w:val="00CB42E5"/>
    <w:rsid w:val="00CC6C1A"/>
    <w:rsid w:val="00D07DD4"/>
    <w:rsid w:val="00D111A6"/>
    <w:rsid w:val="00D70795"/>
    <w:rsid w:val="00D85F26"/>
    <w:rsid w:val="00D924E2"/>
    <w:rsid w:val="00D96DAB"/>
    <w:rsid w:val="00DB4DF5"/>
    <w:rsid w:val="00DC1AA4"/>
    <w:rsid w:val="00DD1561"/>
    <w:rsid w:val="00DE49BC"/>
    <w:rsid w:val="00DF07A5"/>
    <w:rsid w:val="00E10AD8"/>
    <w:rsid w:val="00E24DE8"/>
    <w:rsid w:val="00E5562D"/>
    <w:rsid w:val="00E56449"/>
    <w:rsid w:val="00E64AB2"/>
    <w:rsid w:val="00E90A28"/>
    <w:rsid w:val="00EB2948"/>
    <w:rsid w:val="00EE3CDA"/>
    <w:rsid w:val="00EF0F50"/>
    <w:rsid w:val="00EF1149"/>
    <w:rsid w:val="00EF685F"/>
    <w:rsid w:val="00EF6C02"/>
    <w:rsid w:val="00F06741"/>
    <w:rsid w:val="00F17D1F"/>
    <w:rsid w:val="00F417C3"/>
    <w:rsid w:val="00F85819"/>
    <w:rsid w:val="00FB1F2C"/>
    <w:rsid w:val="00FC1578"/>
    <w:rsid w:val="00FD26C3"/>
    <w:rsid w:val="00FD56AB"/>
    <w:rsid w:val="00FE7BBC"/>
    <w:rsid w:val="00FF26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9D7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4D"/>
    <w:pPr>
      <w:suppressAutoHyphens/>
      <w:spacing w:before="120" w:after="60" w:line="260" w:lineRule="atLeast"/>
    </w:pPr>
    <w:rPr>
      <w:color w:val="44546A" w:themeColor="text2"/>
      <w:lang w:val="en-GB"/>
    </w:rPr>
  </w:style>
  <w:style w:type="paragraph" w:styleId="Heading1">
    <w:name w:val="heading 1"/>
    <w:basedOn w:val="Normal"/>
    <w:next w:val="Normal"/>
    <w:link w:val="Heading1Char"/>
    <w:uiPriority w:val="9"/>
    <w:qFormat/>
    <w:rsid w:val="004722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5F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C15F4D"/>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15F4D"/>
    <w:rPr>
      <w:rFonts w:asciiTheme="majorHAnsi" w:eastAsiaTheme="majorEastAsia" w:hAnsiTheme="majorHAnsi" w:cstheme="majorBidi"/>
      <w:bCs/>
      <w:color w:val="44546A" w:themeColor="text2"/>
      <w:sz w:val="30"/>
      <w:szCs w:val="26"/>
    </w:rPr>
  </w:style>
  <w:style w:type="paragraph" w:customStyle="1" w:styleId="TableHeaderRow">
    <w:name w:val="Table Header Row"/>
    <w:basedOn w:val="Normal"/>
    <w:qFormat/>
    <w:rsid w:val="00C15F4D"/>
    <w:pPr>
      <w:spacing w:before="60"/>
    </w:pPr>
    <w:rPr>
      <w:rFonts w:ascii="Calibri" w:hAnsi="Calibri"/>
      <w:b/>
      <w:color w:val="FFFFFF" w:themeColor="background1"/>
      <w:szCs w:val="21"/>
    </w:rPr>
  </w:style>
  <w:style w:type="table" w:customStyle="1" w:styleId="DFATTable1">
    <w:name w:val="DFAT Table 1"/>
    <w:basedOn w:val="TableNormal"/>
    <w:uiPriority w:val="99"/>
    <w:rsid w:val="00C15F4D"/>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C15F4D"/>
  </w:style>
  <w:style w:type="character" w:customStyle="1" w:styleId="BodyTextChar">
    <w:name w:val="Body Text Char"/>
    <w:basedOn w:val="DefaultParagraphFont"/>
    <w:link w:val="BodyText"/>
    <w:uiPriority w:val="99"/>
    <w:rsid w:val="00C15F4D"/>
    <w:rPr>
      <w:color w:val="44546A" w:themeColor="text2"/>
      <w:lang w:val="en-GB"/>
    </w:rPr>
  </w:style>
  <w:style w:type="character" w:customStyle="1" w:styleId="Heading2Char">
    <w:name w:val="Heading 2 Char"/>
    <w:basedOn w:val="DefaultParagraphFont"/>
    <w:link w:val="Heading2"/>
    <w:uiPriority w:val="9"/>
    <w:semiHidden/>
    <w:rsid w:val="00C15F4D"/>
    <w:rPr>
      <w:rFonts w:asciiTheme="majorHAnsi" w:eastAsiaTheme="majorEastAsia" w:hAnsiTheme="majorHAnsi" w:cstheme="majorBidi"/>
      <w:color w:val="2E74B5" w:themeColor="accent1" w:themeShade="BF"/>
      <w:sz w:val="26"/>
      <w:szCs w:val="26"/>
      <w:lang w:val="en-GB"/>
    </w:rPr>
  </w:style>
  <w:style w:type="paragraph" w:styleId="BalloonText">
    <w:name w:val="Balloon Text"/>
    <w:basedOn w:val="Normal"/>
    <w:link w:val="BalloonTextChar"/>
    <w:uiPriority w:val="99"/>
    <w:semiHidden/>
    <w:unhideWhenUsed/>
    <w:rsid w:val="00C3607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072"/>
    <w:rPr>
      <w:rFonts w:ascii="Segoe UI" w:hAnsi="Segoe UI" w:cs="Segoe UI"/>
      <w:color w:val="44546A" w:themeColor="text2"/>
      <w:sz w:val="18"/>
      <w:szCs w:val="18"/>
      <w:lang w:val="en-GB"/>
    </w:rPr>
  </w:style>
  <w:style w:type="paragraph" w:styleId="CommentText">
    <w:name w:val="annotation text"/>
    <w:basedOn w:val="Normal"/>
    <w:link w:val="CommentTextChar"/>
    <w:rsid w:val="00D70795"/>
    <w:pPr>
      <w:suppressAutoHyphens w:val="0"/>
      <w:spacing w:before="0" w:after="200" w:line="240" w:lineRule="auto"/>
    </w:pPr>
    <w:rPr>
      <w:rFonts w:ascii="Calibri" w:eastAsia="Calibri" w:hAnsi="Calibri" w:cs="Times New Roman"/>
      <w:color w:val="auto"/>
      <w:sz w:val="20"/>
      <w:szCs w:val="20"/>
      <w:lang w:val="en-US"/>
    </w:rPr>
  </w:style>
  <w:style w:type="character" w:customStyle="1" w:styleId="CommentTextChar">
    <w:name w:val="Comment Text Char"/>
    <w:basedOn w:val="DefaultParagraphFont"/>
    <w:link w:val="CommentText"/>
    <w:rsid w:val="00D70795"/>
    <w:rPr>
      <w:rFonts w:ascii="Calibri" w:eastAsia="Calibri" w:hAnsi="Calibri" w:cs="Times New Roman"/>
      <w:sz w:val="20"/>
      <w:szCs w:val="20"/>
      <w:lang w:val="en-US"/>
    </w:rPr>
  </w:style>
  <w:style w:type="paragraph" w:customStyle="1" w:styleId="Default">
    <w:name w:val="Default"/>
    <w:rsid w:val="00F06741"/>
    <w:pPr>
      <w:autoSpaceDE w:val="0"/>
      <w:autoSpaceDN w:val="0"/>
      <w:adjustRightInd w:val="0"/>
      <w:spacing w:after="0" w:line="240" w:lineRule="auto"/>
    </w:pPr>
    <w:rPr>
      <w:rFonts w:ascii="Cambria" w:eastAsia="Times New Roman" w:hAnsi="Cambria" w:cs="Cambria"/>
      <w:color w:val="000000"/>
      <w:sz w:val="24"/>
      <w:szCs w:val="24"/>
      <w:lang w:eastAsia="en-AU"/>
    </w:rPr>
  </w:style>
  <w:style w:type="character" w:customStyle="1" w:styleId="Heading1Char">
    <w:name w:val="Heading 1 Char"/>
    <w:basedOn w:val="DefaultParagraphFont"/>
    <w:link w:val="Heading1"/>
    <w:uiPriority w:val="9"/>
    <w:rsid w:val="0047223C"/>
    <w:rPr>
      <w:rFonts w:asciiTheme="majorHAnsi" w:eastAsiaTheme="majorEastAsia" w:hAnsiTheme="majorHAnsi" w:cstheme="majorBidi"/>
      <w:color w:val="2E74B5" w:themeColor="accent1" w:themeShade="BF"/>
      <w:sz w:val="32"/>
      <w:szCs w:val="32"/>
      <w:lang w:val="en-GB"/>
    </w:rPr>
  </w:style>
  <w:style w:type="paragraph" w:styleId="Title">
    <w:name w:val="Title"/>
    <w:basedOn w:val="Normal"/>
    <w:next w:val="Normal"/>
    <w:link w:val="TitleChar"/>
    <w:uiPriority w:val="10"/>
    <w:qFormat/>
    <w:rsid w:val="00C3490B"/>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3490B"/>
    <w:rPr>
      <w:rFonts w:asciiTheme="majorHAnsi" w:eastAsiaTheme="majorEastAsia" w:hAnsiTheme="majorHAnsi" w:cstheme="majorBidi"/>
      <w:spacing w:val="-10"/>
      <w:kern w:val="28"/>
      <w:sz w:val="56"/>
      <w:szCs w:val="56"/>
      <w:lang w:val="en-GB"/>
    </w:rPr>
  </w:style>
  <w:style w:type="character" w:styleId="CommentReference">
    <w:name w:val="annotation reference"/>
    <w:basedOn w:val="DefaultParagraphFont"/>
    <w:uiPriority w:val="99"/>
    <w:semiHidden/>
    <w:unhideWhenUsed/>
    <w:rsid w:val="00DC1AA4"/>
    <w:rPr>
      <w:sz w:val="16"/>
      <w:szCs w:val="16"/>
    </w:rPr>
  </w:style>
  <w:style w:type="paragraph" w:styleId="CommentSubject">
    <w:name w:val="annotation subject"/>
    <w:basedOn w:val="CommentText"/>
    <w:next w:val="CommentText"/>
    <w:link w:val="CommentSubjectChar"/>
    <w:uiPriority w:val="99"/>
    <w:semiHidden/>
    <w:unhideWhenUsed/>
    <w:rsid w:val="00DC1AA4"/>
    <w:pPr>
      <w:suppressAutoHyphens/>
      <w:spacing w:before="120" w:after="60"/>
    </w:pPr>
    <w:rPr>
      <w:rFonts w:asciiTheme="minorHAnsi" w:eastAsiaTheme="minorHAnsi" w:hAnsiTheme="minorHAnsi" w:cstheme="minorBidi"/>
      <w:b/>
      <w:bCs/>
      <w:color w:val="44546A" w:themeColor="text2"/>
      <w:lang w:val="en-GB"/>
    </w:rPr>
  </w:style>
  <w:style w:type="character" w:customStyle="1" w:styleId="CommentSubjectChar">
    <w:name w:val="Comment Subject Char"/>
    <w:basedOn w:val="CommentTextChar"/>
    <w:link w:val="CommentSubject"/>
    <w:uiPriority w:val="99"/>
    <w:semiHidden/>
    <w:rsid w:val="00DC1AA4"/>
    <w:rPr>
      <w:rFonts w:ascii="Calibri" w:eastAsia="Calibri" w:hAnsi="Calibri" w:cs="Times New Roman"/>
      <w:b/>
      <w:bCs/>
      <w:color w:val="44546A" w:themeColor="text2"/>
      <w:sz w:val="20"/>
      <w:szCs w:val="20"/>
      <w:lang w:val="en-GB"/>
    </w:rPr>
  </w:style>
  <w:style w:type="paragraph" w:styleId="Header">
    <w:name w:val="header"/>
    <w:basedOn w:val="Normal"/>
    <w:link w:val="HeaderChar"/>
    <w:uiPriority w:val="99"/>
    <w:unhideWhenUsed/>
    <w:rsid w:val="002B734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B734A"/>
    <w:rPr>
      <w:color w:val="44546A" w:themeColor="text2"/>
      <w:lang w:val="en-GB"/>
    </w:rPr>
  </w:style>
  <w:style w:type="paragraph" w:styleId="Footer">
    <w:name w:val="footer"/>
    <w:basedOn w:val="Normal"/>
    <w:link w:val="FooterChar"/>
    <w:uiPriority w:val="99"/>
    <w:unhideWhenUsed/>
    <w:rsid w:val="002B734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B734A"/>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C3B6A6-57AD-4CE1-B293-854F56EBEA0C}"/>
</file>

<file path=customXml/itemProps2.xml><?xml version="1.0" encoding="utf-8"?>
<ds:datastoreItem xmlns:ds="http://schemas.openxmlformats.org/officeDocument/2006/customXml" ds:itemID="{1EA19C65-49D3-4D66-A03D-2243B097BC39}"/>
</file>

<file path=customXml/itemProps3.xml><?xml version="1.0" encoding="utf-8"?>
<ds:datastoreItem xmlns:ds="http://schemas.openxmlformats.org/officeDocument/2006/customXml" ds:itemID="{D32C97C6-F049-492E-A6DB-C590476B66C8}"/>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Pakistan Trade and Investment Policy Program (PTIPP): DFAT Management Response to Independent Review</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 Trade and Investment Policy Program (PTIPP): DFAT Management Response to Independent Review</dc:title>
  <dc:subject/>
  <dc:creator/>
  <cp:keywords/>
  <dc:description/>
  <cp:lastModifiedBy/>
  <cp:revision>1</cp:revision>
  <dcterms:created xsi:type="dcterms:W3CDTF">2017-10-04T22:15:00Z</dcterms:created>
  <dcterms:modified xsi:type="dcterms:W3CDTF">2017-10-04T22:16:00Z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9a79bad1-06bc-4760-bc29-18e089c65346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1129300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