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0E2EF" w14:textId="77777777" w:rsidR="00230777" w:rsidRPr="00867443" w:rsidRDefault="00230777" w:rsidP="00230777">
      <w:pPr>
        <w:pStyle w:val="Title"/>
        <w:rPr>
          <w:sz w:val="16"/>
          <w:szCs w:val="16"/>
        </w:rPr>
      </w:pPr>
    </w:p>
    <w:p w14:paraId="19CEAA97" w14:textId="77777777" w:rsidR="00494F98" w:rsidRDefault="00494F98" w:rsidP="00EB398C">
      <w:pPr>
        <w:pStyle w:val="Title"/>
        <w:rPr>
          <w:sz w:val="36"/>
          <w:szCs w:val="36"/>
        </w:rPr>
      </w:pPr>
    </w:p>
    <w:p w14:paraId="28732C70" w14:textId="4EC4D76E" w:rsidR="00EB398C" w:rsidRDefault="00494F98" w:rsidP="00EB398C">
      <w:pPr>
        <w:pStyle w:val="Title"/>
        <w:rPr>
          <w:sz w:val="36"/>
          <w:szCs w:val="36"/>
        </w:rPr>
      </w:pPr>
      <w:r>
        <w:rPr>
          <w:sz w:val="36"/>
          <w:szCs w:val="36"/>
        </w:rPr>
        <w:t xml:space="preserve">2019-20 </w:t>
      </w:r>
      <w:r w:rsidR="00757AAE">
        <w:rPr>
          <w:sz w:val="36"/>
          <w:szCs w:val="36"/>
        </w:rPr>
        <w:t>PAKISTAN</w:t>
      </w:r>
      <w:r w:rsidR="00235EAB">
        <w:rPr>
          <w:sz w:val="36"/>
          <w:szCs w:val="36"/>
        </w:rPr>
        <w:t xml:space="preserve"> </w:t>
      </w:r>
      <w:r w:rsidR="004C5598">
        <w:rPr>
          <w:sz w:val="36"/>
          <w:szCs w:val="36"/>
        </w:rPr>
        <w:t>development program progress report</w:t>
      </w:r>
      <w:r w:rsidR="00660121">
        <w:rPr>
          <w:sz w:val="36"/>
          <w:szCs w:val="36"/>
        </w:rPr>
        <w:t xml:space="preserve">  </w:t>
      </w:r>
    </w:p>
    <w:p w14:paraId="657C8666" w14:textId="77777777" w:rsidR="00452298" w:rsidRDefault="00230777" w:rsidP="00EB398C">
      <w:pPr>
        <w:pStyle w:val="Title"/>
        <w:rPr>
          <w:noProof/>
          <w:sz w:val="36"/>
          <w:szCs w:val="36"/>
          <w:lang w:val="en-AU" w:eastAsia="en-AU"/>
        </w:rPr>
        <w:sectPr w:rsidR="00452298" w:rsidSect="001D6405">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19.0&#10;Regional – 5.7&#10;Global – 4.9&#10;Other Government Departments – 2.5&#10;Total Australian ODA – 32.2&#10;Note. Actual expenditure is expected to be available in December 2020&#10;"/>
      </w:tblPr>
      <w:tblGrid>
        <w:gridCol w:w="3715"/>
        <w:gridCol w:w="1551"/>
      </w:tblGrid>
      <w:tr w:rsidR="007022F0" w14:paraId="523B1547" w14:textId="77777777" w:rsidTr="00F857E7">
        <w:trPr>
          <w:trHeight w:hRule="exact" w:val="680"/>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shd w:val="clear" w:color="auto" w:fill="C1E7E0" w:themeFill="accent1" w:themeFillTint="66"/>
            <w:vAlign w:val="center"/>
            <w:hideMark/>
          </w:tcPr>
          <w:p w14:paraId="598DAAD3" w14:textId="77777777" w:rsidR="007022F0" w:rsidRPr="0039001F" w:rsidRDefault="007022F0" w:rsidP="00F857E7">
            <w:pPr>
              <w:pStyle w:val="NormalWeb"/>
              <w:spacing w:before="120" w:beforeAutospacing="0" w:after="60" w:afterAutospacing="0" w:line="200" w:lineRule="exact"/>
              <w:jc w:val="center"/>
              <w:rPr>
                <w:rFonts w:asciiTheme="minorHAnsi" w:hAnsiTheme="minorHAnsi"/>
                <w:b/>
                <w:bCs/>
                <w:kern w:val="24"/>
                <w:sz w:val="20"/>
                <w:szCs w:val="20"/>
                <w:lang w:eastAsia="en-US"/>
              </w:rPr>
            </w:pPr>
            <w:r w:rsidRPr="0039001F">
              <w:rPr>
                <w:rFonts w:asciiTheme="minorHAnsi" w:hAnsiTheme="minorHAnsi"/>
                <w:b/>
                <w:sz w:val="22"/>
              </w:rPr>
              <w:t>Program Budget</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shd w:val="clear" w:color="auto" w:fill="C1E7E0" w:themeFill="accent1" w:themeFillTint="66"/>
            <w:vAlign w:val="center"/>
          </w:tcPr>
          <w:p w14:paraId="2ADF43DC" w14:textId="77777777" w:rsidR="007022F0" w:rsidRPr="0039001F" w:rsidRDefault="007022F0" w:rsidP="00F857E7">
            <w:pPr>
              <w:pStyle w:val="NormalWeb"/>
              <w:spacing w:before="120" w:beforeAutospacing="0" w:after="60" w:afterAutospacing="0" w:line="200" w:lineRule="exact"/>
              <w:jc w:val="center"/>
              <w:rPr>
                <w:rFonts w:asciiTheme="minorHAnsi" w:hAnsiTheme="minorHAnsi"/>
                <w:b/>
                <w:bCs/>
                <w:kern w:val="24"/>
                <w:sz w:val="20"/>
                <w:szCs w:val="20"/>
                <w:lang w:eastAsia="en-US"/>
              </w:rPr>
            </w:pPr>
            <w:r w:rsidRPr="0039001F">
              <w:rPr>
                <w:rFonts w:asciiTheme="minorHAnsi" w:hAnsiTheme="minorHAnsi"/>
                <w:b/>
                <w:bCs/>
                <w:kern w:val="24"/>
                <w:sz w:val="20"/>
                <w:szCs w:val="20"/>
                <w:lang w:eastAsia="en-US"/>
              </w:rPr>
              <w:t>2019-20 Budget Estimate ($m)</w:t>
            </w:r>
            <w:r w:rsidRPr="0039001F">
              <w:rPr>
                <w:rFonts w:asciiTheme="minorHAnsi" w:hAnsiTheme="minorHAnsi"/>
                <w:b/>
                <w:bCs/>
                <w:kern w:val="24"/>
                <w:sz w:val="20"/>
                <w:szCs w:val="20"/>
                <w:vertAlign w:val="superscript"/>
                <w:lang w:eastAsia="en-US"/>
              </w:rPr>
              <w:t>*</w:t>
            </w:r>
          </w:p>
        </w:tc>
      </w:tr>
      <w:tr w:rsidR="007022F0" w14:paraId="0C64EAB1" w14:textId="77777777" w:rsidTr="00F857E7">
        <w:trPr>
          <w:trHeight w:hRule="exact" w:val="454"/>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hideMark/>
          </w:tcPr>
          <w:p w14:paraId="3FAC3423" w14:textId="77777777" w:rsidR="007022F0" w:rsidRDefault="007022F0" w:rsidP="00F857E7">
            <w:pPr>
              <w:pStyle w:val="NormalWeb"/>
              <w:spacing w:before="20" w:beforeAutospacing="0" w:after="20" w:afterAutospacing="0"/>
              <w:ind w:right="172"/>
              <w:rPr>
                <w:rFonts w:ascii="Arial" w:hAnsi="Arial" w:cs="Arial"/>
                <w:sz w:val="36"/>
                <w:szCs w:val="36"/>
                <w:lang w:eastAsia="en-US"/>
              </w:rPr>
            </w:pPr>
            <w:r>
              <w:rPr>
                <w:rFonts w:ascii="Calibri" w:hAnsi="Calibri"/>
                <w:color w:val="000000" w:themeColor="dark1"/>
                <w:kern w:val="24"/>
                <w:sz w:val="20"/>
                <w:szCs w:val="20"/>
                <w:lang w:eastAsia="en-US"/>
              </w:rPr>
              <w:t>Bilateral</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tcPr>
          <w:p w14:paraId="4C58F968" w14:textId="77777777" w:rsidR="007022F0" w:rsidRDefault="007022F0" w:rsidP="00F857E7">
            <w:pPr>
              <w:pStyle w:val="NormalWeb"/>
              <w:spacing w:before="20" w:beforeAutospacing="0" w:after="20" w:afterAutospacing="0"/>
              <w:ind w:right="172"/>
              <w:jc w:val="right"/>
              <w:rPr>
                <w:rFonts w:ascii="Arial" w:hAnsi="Arial" w:cs="Arial"/>
                <w:sz w:val="36"/>
                <w:szCs w:val="36"/>
                <w:lang w:eastAsia="en-US"/>
              </w:rPr>
            </w:pPr>
            <w:r>
              <w:rPr>
                <w:rFonts w:ascii="Calibri Light" w:eastAsia="Calibri Light" w:hAnsi="Calibri Light"/>
                <w:color w:val="495965" w:themeColor="text2"/>
                <w:kern w:val="24"/>
                <w:sz w:val="20"/>
                <w:szCs w:val="20"/>
                <w:lang w:eastAsia="en-US"/>
              </w:rPr>
              <w:t>19.0</w:t>
            </w:r>
          </w:p>
        </w:tc>
      </w:tr>
      <w:tr w:rsidR="007022F0" w14:paraId="54F44B21" w14:textId="77777777" w:rsidTr="00F857E7">
        <w:trPr>
          <w:trHeight w:hRule="exact" w:val="454"/>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hideMark/>
          </w:tcPr>
          <w:p w14:paraId="168C4EF6" w14:textId="77777777" w:rsidR="007022F0" w:rsidRDefault="007022F0" w:rsidP="00F857E7">
            <w:pPr>
              <w:pStyle w:val="NormalWeb"/>
              <w:spacing w:before="20" w:beforeAutospacing="0" w:after="20" w:afterAutospacing="0"/>
              <w:ind w:right="172"/>
              <w:rPr>
                <w:rFonts w:ascii="Arial" w:hAnsi="Arial" w:cs="Arial"/>
                <w:sz w:val="36"/>
                <w:szCs w:val="36"/>
                <w:lang w:eastAsia="en-US"/>
              </w:rPr>
            </w:pPr>
            <w:r>
              <w:rPr>
                <w:rFonts w:ascii="Calibri" w:hAnsi="Calibri"/>
                <w:color w:val="000000" w:themeColor="dark1"/>
                <w:kern w:val="24"/>
                <w:sz w:val="20"/>
                <w:szCs w:val="20"/>
                <w:lang w:eastAsia="en-US"/>
              </w:rPr>
              <w:t>Regional</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tcPr>
          <w:p w14:paraId="1FBDF1DC" w14:textId="77777777" w:rsidR="007022F0" w:rsidRDefault="007022F0" w:rsidP="00F857E7">
            <w:pPr>
              <w:pStyle w:val="NormalWeb"/>
              <w:spacing w:before="20" w:beforeAutospacing="0" w:after="20" w:afterAutospacing="0"/>
              <w:ind w:right="172"/>
              <w:jc w:val="right"/>
              <w:rPr>
                <w:rFonts w:ascii="Arial" w:hAnsi="Arial" w:cs="Arial"/>
                <w:sz w:val="36"/>
                <w:szCs w:val="36"/>
                <w:lang w:eastAsia="en-US"/>
              </w:rPr>
            </w:pPr>
            <w:r>
              <w:rPr>
                <w:rFonts w:ascii="Calibri Light" w:eastAsia="Calibri Light" w:hAnsi="Calibri Light"/>
                <w:color w:val="495965" w:themeColor="text2"/>
                <w:kern w:val="24"/>
                <w:sz w:val="20"/>
                <w:szCs w:val="20"/>
                <w:lang w:eastAsia="en-US"/>
              </w:rPr>
              <w:t>5.7</w:t>
            </w:r>
          </w:p>
        </w:tc>
      </w:tr>
      <w:tr w:rsidR="007022F0" w14:paraId="479A5849" w14:textId="77777777" w:rsidTr="00F857E7">
        <w:trPr>
          <w:trHeight w:hRule="exact" w:val="454"/>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hideMark/>
          </w:tcPr>
          <w:p w14:paraId="3AF31265" w14:textId="77777777" w:rsidR="007022F0" w:rsidRDefault="007022F0" w:rsidP="00F857E7">
            <w:pPr>
              <w:pStyle w:val="NormalWeb"/>
              <w:spacing w:before="20" w:beforeAutospacing="0" w:after="20" w:afterAutospacing="0"/>
              <w:ind w:right="172"/>
              <w:rPr>
                <w:rFonts w:ascii="Arial" w:hAnsi="Arial" w:cs="Arial"/>
                <w:sz w:val="36"/>
                <w:szCs w:val="36"/>
                <w:lang w:eastAsia="en-US"/>
              </w:rPr>
            </w:pPr>
            <w:r>
              <w:rPr>
                <w:rFonts w:ascii="Calibri" w:hAnsi="Calibri"/>
                <w:color w:val="000000" w:themeColor="dark1"/>
                <w:kern w:val="24"/>
                <w:sz w:val="20"/>
                <w:szCs w:val="20"/>
                <w:lang w:eastAsia="en-US"/>
              </w:rPr>
              <w:t>Global</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tcPr>
          <w:p w14:paraId="1A158BA1" w14:textId="77777777" w:rsidR="007022F0" w:rsidRDefault="007022F0" w:rsidP="00F857E7">
            <w:pPr>
              <w:pStyle w:val="NormalWeb"/>
              <w:spacing w:before="20" w:beforeAutospacing="0" w:after="20" w:afterAutospacing="0"/>
              <w:ind w:right="172"/>
              <w:jc w:val="right"/>
              <w:rPr>
                <w:rFonts w:ascii="Arial" w:hAnsi="Arial" w:cs="Arial"/>
                <w:sz w:val="36"/>
                <w:szCs w:val="36"/>
                <w:lang w:eastAsia="en-US"/>
              </w:rPr>
            </w:pPr>
            <w:r>
              <w:rPr>
                <w:rFonts w:ascii="Calibri Light" w:eastAsia="Calibri Light" w:hAnsi="Calibri Light"/>
                <w:color w:val="495965" w:themeColor="text2"/>
                <w:kern w:val="24"/>
                <w:sz w:val="20"/>
                <w:szCs w:val="20"/>
                <w:lang w:eastAsia="en-US"/>
              </w:rPr>
              <w:t>4.9</w:t>
            </w:r>
          </w:p>
        </w:tc>
      </w:tr>
      <w:tr w:rsidR="007022F0" w14:paraId="2CC110D3" w14:textId="77777777" w:rsidTr="00F857E7">
        <w:trPr>
          <w:trHeight w:hRule="exact" w:val="454"/>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hideMark/>
          </w:tcPr>
          <w:p w14:paraId="0739B639" w14:textId="77777777" w:rsidR="007022F0" w:rsidRDefault="007022F0" w:rsidP="00F857E7">
            <w:pPr>
              <w:pStyle w:val="NormalWeb"/>
              <w:spacing w:before="20" w:beforeAutospacing="0" w:after="20" w:afterAutospacing="0"/>
              <w:ind w:right="172"/>
              <w:rPr>
                <w:rFonts w:ascii="Arial" w:hAnsi="Arial" w:cs="Arial"/>
                <w:sz w:val="36"/>
                <w:szCs w:val="36"/>
                <w:lang w:eastAsia="en-US"/>
              </w:rPr>
            </w:pPr>
            <w:r>
              <w:rPr>
                <w:rFonts w:ascii="Calibri" w:hAnsi="Calibri"/>
                <w:color w:val="000000" w:themeColor="dark1"/>
                <w:kern w:val="24"/>
                <w:sz w:val="20"/>
                <w:szCs w:val="20"/>
                <w:lang w:eastAsia="en-US"/>
              </w:rPr>
              <w:t>Other Government Departments</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tcPr>
          <w:p w14:paraId="4C106A0B" w14:textId="77777777" w:rsidR="007022F0" w:rsidRDefault="007022F0" w:rsidP="00F857E7">
            <w:pPr>
              <w:pStyle w:val="NormalWeb"/>
              <w:spacing w:before="20" w:beforeAutospacing="0" w:after="20" w:afterAutospacing="0"/>
              <w:ind w:right="172"/>
              <w:jc w:val="right"/>
              <w:rPr>
                <w:rFonts w:ascii="Arial" w:hAnsi="Arial" w:cs="Arial"/>
                <w:sz w:val="36"/>
                <w:szCs w:val="36"/>
                <w:lang w:eastAsia="en-US"/>
              </w:rPr>
            </w:pPr>
            <w:r>
              <w:rPr>
                <w:rFonts w:ascii="Calibri Light" w:eastAsia="Calibri Light" w:hAnsi="Calibri Light"/>
                <w:color w:val="495965" w:themeColor="text2"/>
                <w:kern w:val="24"/>
                <w:sz w:val="20"/>
                <w:szCs w:val="20"/>
                <w:lang w:eastAsia="en-US"/>
              </w:rPr>
              <w:t>2.5</w:t>
            </w:r>
          </w:p>
        </w:tc>
      </w:tr>
      <w:tr w:rsidR="007022F0" w14:paraId="1E621D56" w14:textId="77777777" w:rsidTr="00F857E7">
        <w:trPr>
          <w:trHeight w:hRule="exact" w:val="454"/>
        </w:trPr>
        <w:tc>
          <w:tcPr>
            <w:tcW w:w="3715"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hideMark/>
          </w:tcPr>
          <w:p w14:paraId="05AF268E" w14:textId="77777777" w:rsidR="007022F0" w:rsidRDefault="007022F0" w:rsidP="00F857E7">
            <w:pPr>
              <w:pStyle w:val="NormalWeb"/>
              <w:spacing w:before="20" w:beforeAutospacing="0" w:after="20" w:afterAutospacing="0"/>
              <w:rPr>
                <w:rFonts w:ascii="Arial" w:hAnsi="Arial" w:cs="Arial"/>
                <w:sz w:val="36"/>
                <w:szCs w:val="36"/>
                <w:lang w:eastAsia="en-US"/>
              </w:rPr>
            </w:pPr>
            <w:r>
              <w:rPr>
                <w:rFonts w:ascii="Calibri" w:hAnsi="Calibri"/>
                <w:b/>
                <w:bCs/>
                <w:color w:val="000000" w:themeColor="dark1"/>
                <w:kern w:val="24"/>
                <w:sz w:val="20"/>
                <w:szCs w:val="20"/>
                <w:lang w:eastAsia="en-US"/>
              </w:rPr>
              <w:t>Total Australian ODA to Pakistan</w:t>
            </w:r>
          </w:p>
        </w:tc>
        <w:tc>
          <w:tcPr>
            <w:tcW w:w="1551" w:type="dxa"/>
            <w:tcBorders>
              <w:top w:val="single" w:sz="2" w:space="0" w:color="65C5B4" w:themeColor="accent1"/>
              <w:left w:val="single" w:sz="2" w:space="0" w:color="65C5B4" w:themeColor="accent1"/>
              <w:bottom w:val="single" w:sz="2" w:space="0" w:color="65C5B4" w:themeColor="accent1"/>
              <w:right w:val="single" w:sz="2" w:space="0" w:color="65C5B4" w:themeColor="accent1"/>
            </w:tcBorders>
            <w:vAlign w:val="bottom"/>
          </w:tcPr>
          <w:p w14:paraId="2B66B608" w14:textId="77777777" w:rsidR="007022F0" w:rsidRPr="00F16880" w:rsidRDefault="007022F0" w:rsidP="00F857E7">
            <w:pPr>
              <w:pStyle w:val="NormalWeb"/>
              <w:spacing w:before="20" w:beforeAutospacing="0" w:after="20" w:afterAutospacing="0"/>
              <w:ind w:right="172"/>
              <w:jc w:val="right"/>
              <w:rPr>
                <w:rFonts w:ascii="Calibri" w:hAnsi="Calibri"/>
                <w:b/>
                <w:bCs/>
                <w:color w:val="000000" w:themeColor="dark1"/>
                <w:kern w:val="24"/>
                <w:sz w:val="20"/>
                <w:szCs w:val="20"/>
                <w:lang w:eastAsia="en-US"/>
              </w:rPr>
            </w:pPr>
            <w:r w:rsidRPr="00F16880">
              <w:rPr>
                <w:rFonts w:ascii="Calibri" w:hAnsi="Calibri"/>
                <w:b/>
                <w:bCs/>
                <w:color w:val="000000" w:themeColor="dark1"/>
                <w:kern w:val="24"/>
                <w:sz w:val="20"/>
                <w:szCs w:val="20"/>
                <w:lang w:eastAsia="en-US"/>
              </w:rPr>
              <w:t>32.2</w:t>
            </w:r>
          </w:p>
        </w:tc>
      </w:tr>
    </w:tbl>
    <w:p w14:paraId="77FF2746" w14:textId="77777777" w:rsidR="007022F0" w:rsidRPr="00CD7D92" w:rsidRDefault="007022F0" w:rsidP="007022F0">
      <w:pPr>
        <w:spacing w:before="0" w:line="360" w:lineRule="auto"/>
        <w:rPr>
          <w:sz w:val="20"/>
        </w:rPr>
      </w:pPr>
      <w:r w:rsidRPr="00CD7D92">
        <w:rPr>
          <w:rFonts w:ascii="Calibri Light" w:eastAsia="Calibri Light" w:hAnsi="Calibri Light"/>
          <w:bCs/>
          <w:kern w:val="24"/>
          <w:sz w:val="16"/>
          <w:szCs w:val="20"/>
        </w:rPr>
        <w:t>*Actual expenditure is expected to be available in December 2020</w:t>
      </w:r>
    </w:p>
    <w:p w14:paraId="0A72422B" w14:textId="7B4D1849" w:rsidR="00452298" w:rsidRDefault="007022F0" w:rsidP="00494F98">
      <w:pPr>
        <w:spacing w:before="0" w:after="0"/>
      </w:pPr>
      <w:r>
        <w:rPr>
          <w:noProof/>
          <w:lang w:val="en-AU" w:eastAsia="en-AU"/>
        </w:rPr>
        <w:drawing>
          <wp:inline distT="0" distB="0" distL="0" distR="0" wp14:anchorId="57A9A5E0" wp14:editId="5C8FEC21">
            <wp:extent cx="3293745" cy="1899096"/>
            <wp:effectExtent l="0" t="0" r="1905" b="6350"/>
            <wp:docPr id="1" name="Picture 1" descr="Infrastructure and trade – 12%&#10;Agriculture, fisheries and water – 14%&#10;Governance – 7%&#10;Education – 30%&#10;Health – 13%&#10;Building resilience – 24%&#10;General development support – 0.3%&#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4300" cy="1910948"/>
                    </a:xfrm>
                    <a:prstGeom prst="rect">
                      <a:avLst/>
                    </a:prstGeom>
                    <a:noFill/>
                  </pic:spPr>
                </pic:pic>
              </a:graphicData>
            </a:graphic>
          </wp:inline>
        </w:drawing>
      </w:r>
    </w:p>
    <w:p w14:paraId="6924FB6C" w14:textId="1267A32F" w:rsidR="007022F0" w:rsidRDefault="007022F0" w:rsidP="00494F98">
      <w:pPr>
        <w:spacing w:before="0" w:after="0"/>
      </w:pPr>
    </w:p>
    <w:p w14:paraId="2CEBF208" w14:textId="77777777" w:rsidR="007022F0" w:rsidRPr="00452298" w:rsidRDefault="007022F0" w:rsidP="00494F98">
      <w:pPr>
        <w:spacing w:before="0" w:after="0"/>
        <w:sectPr w:rsidR="007022F0" w:rsidRPr="00452298" w:rsidSect="007022F0">
          <w:type w:val="continuous"/>
          <w:pgSz w:w="11906" w:h="16838" w:code="9"/>
          <w:pgMar w:top="1701" w:right="140" w:bottom="1418" w:left="709" w:header="142" w:footer="493" w:gutter="0"/>
          <w:cols w:num="2" w:space="397"/>
          <w:titlePg/>
          <w:docGrid w:linePitch="360"/>
        </w:sectPr>
      </w:pPr>
    </w:p>
    <w:p w14:paraId="5C6120F8" w14:textId="77777777" w:rsidR="003500CF" w:rsidRPr="00BE38CC" w:rsidRDefault="00651213" w:rsidP="00757AAE">
      <w:pPr>
        <w:spacing w:before="0"/>
        <w:rPr>
          <w:b/>
        </w:rPr>
      </w:pPr>
      <w:r w:rsidRPr="00BE38CC">
        <w:rPr>
          <w:b/>
          <w:sz w:val="24"/>
        </w:rPr>
        <w:t>COVID-19 Development Response</w:t>
      </w:r>
      <w:r w:rsidR="003500CF" w:rsidRPr="00BE38CC">
        <w:rPr>
          <w:b/>
        </w:rPr>
        <w:tab/>
      </w:r>
    </w:p>
    <w:p w14:paraId="153AB086" w14:textId="23CC8D88" w:rsidR="0037214C" w:rsidRPr="00BE38CC" w:rsidRDefault="0037214C" w:rsidP="00ED16F2">
      <w:r w:rsidRPr="00BE38CC">
        <w:t>Australia provided emergency assistance to respo</w:t>
      </w:r>
      <w:r w:rsidR="00DC753C" w:rsidRPr="00BE38CC">
        <w:t xml:space="preserve">nd to immediate COVID-19 health, </w:t>
      </w:r>
      <w:r w:rsidRPr="00BE38CC">
        <w:t xml:space="preserve">humanitarian </w:t>
      </w:r>
      <w:r w:rsidR="00DC753C" w:rsidRPr="00BE38CC">
        <w:t xml:space="preserve">and socio-economic </w:t>
      </w:r>
      <w:r w:rsidRPr="00BE38CC">
        <w:t>needs in Pakistan.</w:t>
      </w:r>
    </w:p>
    <w:p w14:paraId="0792C3C6" w14:textId="40555E4F" w:rsidR="00C1034D" w:rsidRPr="003358EE" w:rsidRDefault="00531B41" w:rsidP="0037214C">
      <w:pPr>
        <w:pStyle w:val="ListParagraph"/>
        <w:numPr>
          <w:ilvl w:val="0"/>
          <w:numId w:val="39"/>
        </w:numPr>
        <w:suppressAutoHyphens w:val="0"/>
        <w:spacing w:before="0" w:after="0" w:line="254" w:lineRule="auto"/>
      </w:pPr>
      <w:r w:rsidRPr="00BE38CC">
        <w:t>Through the</w:t>
      </w:r>
      <w:r w:rsidR="00C2016F" w:rsidRPr="00BE38CC">
        <w:t xml:space="preserve"> World Bank, </w:t>
      </w:r>
      <w:r w:rsidRPr="00BE38CC">
        <w:t xml:space="preserve">we </w:t>
      </w:r>
      <w:r w:rsidR="00E201A3">
        <w:t>supported the</w:t>
      </w:r>
      <w:r w:rsidR="0037214C" w:rsidRPr="00BE38CC">
        <w:t xml:space="preserve"> procure</w:t>
      </w:r>
      <w:r w:rsidR="00C2016F" w:rsidRPr="00BE38CC">
        <w:t>ment</w:t>
      </w:r>
      <w:r w:rsidR="00C1034D" w:rsidRPr="00BE38CC">
        <w:t xml:space="preserve"> </w:t>
      </w:r>
      <w:r w:rsidR="00757AAE" w:rsidRPr="00BE38CC">
        <w:t xml:space="preserve">of </w:t>
      </w:r>
      <w:r w:rsidR="00AF2CF6" w:rsidRPr="00BE38CC">
        <w:t>50</w:t>
      </w:r>
      <w:r w:rsidR="0037214C" w:rsidRPr="00BE38CC">
        <w:t xml:space="preserve"> ventilators and </w:t>
      </w:r>
      <w:r w:rsidR="00C1034D" w:rsidRPr="00BE38CC">
        <w:t xml:space="preserve">thousands of </w:t>
      </w:r>
      <w:r w:rsidR="00757AAE" w:rsidRPr="00BE38CC">
        <w:t>Protective Personal Equipment</w:t>
      </w:r>
      <w:r w:rsidR="0037214C" w:rsidRPr="00BE38CC">
        <w:t xml:space="preserve"> in Khyber Pakhtunkhwa (KP). </w:t>
      </w:r>
      <w:r w:rsidR="00E201A3">
        <w:t>G</w:t>
      </w:r>
      <w:r w:rsidR="00296E36" w:rsidRPr="00BE38CC">
        <w:t xml:space="preserve">rants to small and medium enterprises will </w:t>
      </w:r>
      <w:r w:rsidR="00296E36" w:rsidRPr="003358EE">
        <w:t>continue to support economic recovery.</w:t>
      </w:r>
    </w:p>
    <w:p w14:paraId="70578668" w14:textId="05F2F7CD" w:rsidR="00DC753C" w:rsidRPr="003358EE" w:rsidRDefault="003358EE" w:rsidP="00DC753C">
      <w:pPr>
        <w:pStyle w:val="ListParagraph"/>
        <w:numPr>
          <w:ilvl w:val="0"/>
          <w:numId w:val="39"/>
        </w:numPr>
        <w:suppressAutoHyphens w:val="0"/>
        <w:spacing w:before="0" w:after="0" w:line="254" w:lineRule="auto"/>
      </w:pPr>
      <w:r>
        <w:t xml:space="preserve">Through WFP, </w:t>
      </w:r>
      <w:r w:rsidR="00ED16F2" w:rsidRPr="003358EE">
        <w:t>Australia support</w:t>
      </w:r>
      <w:r w:rsidRPr="003358EE">
        <w:t>ed refugees, host communities and vulnerable households in the Pakistan-Afghanistan border areas through food and cash assistance</w:t>
      </w:r>
      <w:r w:rsidR="00DC753C" w:rsidRPr="003358EE">
        <w:t>.</w:t>
      </w:r>
    </w:p>
    <w:p w14:paraId="676A446C" w14:textId="3CE47E4C" w:rsidR="006C70FA" w:rsidRPr="00BE38CC" w:rsidRDefault="006C70FA" w:rsidP="0037214C">
      <w:pPr>
        <w:pStyle w:val="ListParagraph"/>
        <w:numPr>
          <w:ilvl w:val="0"/>
          <w:numId w:val="39"/>
        </w:numPr>
        <w:suppressAutoHyphens w:val="0"/>
        <w:spacing w:before="0" w:after="0" w:line="254" w:lineRule="auto"/>
      </w:pPr>
      <w:r w:rsidRPr="003358EE">
        <w:rPr>
          <w:rFonts w:cstheme="minorHAnsi"/>
        </w:rPr>
        <w:t>Australia</w:t>
      </w:r>
      <w:r w:rsidR="00A4164F" w:rsidRPr="003358EE">
        <w:rPr>
          <w:rFonts w:cstheme="minorHAnsi"/>
        </w:rPr>
        <w:t>n support</w:t>
      </w:r>
      <w:r w:rsidRPr="003358EE">
        <w:rPr>
          <w:rFonts w:cstheme="minorHAnsi"/>
        </w:rPr>
        <w:t xml:space="preserve"> </w:t>
      </w:r>
      <w:r w:rsidR="00757AAE" w:rsidRPr="003358EE">
        <w:rPr>
          <w:rFonts w:cstheme="minorHAnsi"/>
        </w:rPr>
        <w:t>strengthened</w:t>
      </w:r>
      <w:r w:rsidRPr="003358EE">
        <w:rPr>
          <w:rFonts w:cstheme="minorHAnsi"/>
        </w:rPr>
        <w:t xml:space="preserve"> awareness raising on COVID-19 </w:t>
      </w:r>
      <w:r w:rsidR="00AF2CF6" w:rsidRPr="003358EE">
        <w:rPr>
          <w:rFonts w:cstheme="minorHAnsi"/>
        </w:rPr>
        <w:t xml:space="preserve">health </w:t>
      </w:r>
      <w:r w:rsidRPr="003358EE">
        <w:rPr>
          <w:rFonts w:cstheme="minorHAnsi"/>
        </w:rPr>
        <w:t>mitigation measures and</w:t>
      </w:r>
      <w:r w:rsidRPr="00BE38CC">
        <w:rPr>
          <w:rFonts w:cstheme="minorHAnsi"/>
        </w:rPr>
        <w:t xml:space="preserve"> access to water, sanitation and hygiene facilities in KP.</w:t>
      </w:r>
    </w:p>
    <w:p w14:paraId="2E4B53C5" w14:textId="77777777" w:rsidR="003500CF" w:rsidRPr="00BE38CC" w:rsidRDefault="00651213" w:rsidP="00B16FE3">
      <w:pPr>
        <w:rPr>
          <w:b/>
          <w:sz w:val="24"/>
        </w:rPr>
      </w:pPr>
      <w:r w:rsidRPr="00BE38CC">
        <w:rPr>
          <w:b/>
          <w:sz w:val="24"/>
        </w:rPr>
        <w:t>Other program highlights</w:t>
      </w:r>
    </w:p>
    <w:p w14:paraId="5D1D2925" w14:textId="6398AF01" w:rsidR="006C70FA" w:rsidRPr="00BE38CC" w:rsidRDefault="00A045E3" w:rsidP="006C70FA">
      <w:pPr>
        <w:pStyle w:val="ListParagraph"/>
        <w:numPr>
          <w:ilvl w:val="0"/>
          <w:numId w:val="41"/>
        </w:numPr>
        <w:suppressAutoHyphens w:val="0"/>
        <w:spacing w:before="0" w:after="0" w:line="254" w:lineRule="auto"/>
        <w:rPr>
          <w:rFonts w:cstheme="minorHAnsi"/>
          <w:lang w:val="en-AU"/>
        </w:rPr>
      </w:pPr>
      <w:r>
        <w:rPr>
          <w:rFonts w:cstheme="minorHAnsi"/>
          <w:lang w:val="en-AU"/>
        </w:rPr>
        <w:t>Australia extended critical humanitarian relief after</w:t>
      </w:r>
      <w:r w:rsidR="006C70FA" w:rsidRPr="00BE38CC">
        <w:rPr>
          <w:rFonts w:cstheme="minorHAnsi"/>
          <w:lang w:val="en-AU"/>
        </w:rPr>
        <w:t xml:space="preserve"> the snow emergency in Balochistan</w:t>
      </w:r>
      <w:r w:rsidR="00873627">
        <w:rPr>
          <w:rFonts w:cstheme="minorHAnsi"/>
          <w:lang w:val="en-AU"/>
        </w:rPr>
        <w:t xml:space="preserve"> (Jan</w:t>
      </w:r>
      <w:r w:rsidR="00E201A3">
        <w:rPr>
          <w:rFonts w:cstheme="minorHAnsi"/>
          <w:lang w:val="en-AU"/>
        </w:rPr>
        <w:t>-May 2020)</w:t>
      </w:r>
      <w:r>
        <w:rPr>
          <w:rFonts w:cstheme="minorHAnsi"/>
          <w:lang w:val="en-AU"/>
        </w:rPr>
        <w:t xml:space="preserve"> and the earthquake in Kashmir</w:t>
      </w:r>
      <w:r w:rsidR="00E201A3">
        <w:rPr>
          <w:rFonts w:cstheme="minorHAnsi"/>
          <w:lang w:val="en-AU"/>
        </w:rPr>
        <w:t xml:space="preserve"> (Dec 2019-April 2020)</w:t>
      </w:r>
      <w:r>
        <w:rPr>
          <w:rFonts w:cstheme="minorHAnsi"/>
          <w:lang w:val="en-AU"/>
        </w:rPr>
        <w:t>.</w:t>
      </w:r>
      <w:r w:rsidR="00E201A3">
        <w:rPr>
          <w:rFonts w:cstheme="minorHAnsi"/>
          <w:lang w:val="en-AU"/>
        </w:rPr>
        <w:t xml:space="preserve"> Over</w:t>
      </w:r>
      <w:r>
        <w:rPr>
          <w:rFonts w:cstheme="minorHAnsi"/>
          <w:lang w:val="en-AU"/>
        </w:rPr>
        <w:t xml:space="preserve"> </w:t>
      </w:r>
      <w:r w:rsidR="006C70FA" w:rsidRPr="00BE38CC">
        <w:rPr>
          <w:rFonts w:cstheme="minorHAnsi"/>
          <w:lang w:val="en-AU"/>
        </w:rPr>
        <w:t>8,000 women/girls access</w:t>
      </w:r>
      <w:r w:rsidR="00757AAE" w:rsidRPr="00BE38CC">
        <w:rPr>
          <w:rFonts w:cstheme="minorHAnsi"/>
          <w:lang w:val="en-AU"/>
        </w:rPr>
        <w:t>ed</w:t>
      </w:r>
      <w:r w:rsidR="006C70FA" w:rsidRPr="00BE38CC">
        <w:rPr>
          <w:rFonts w:cstheme="minorHAnsi"/>
          <w:lang w:val="en-AU"/>
        </w:rPr>
        <w:t xml:space="preserve"> reproductive health and </w:t>
      </w:r>
      <w:r w:rsidR="006414F8" w:rsidRPr="00BE38CC">
        <w:rPr>
          <w:rFonts w:cstheme="minorHAnsi"/>
          <w:lang w:val="en-AU"/>
        </w:rPr>
        <w:t>protection</w:t>
      </w:r>
      <w:r w:rsidR="006C70FA" w:rsidRPr="00BE38CC">
        <w:rPr>
          <w:rFonts w:cstheme="minorHAnsi"/>
          <w:lang w:val="en-AU"/>
        </w:rPr>
        <w:t xml:space="preserve"> services</w:t>
      </w:r>
      <w:r w:rsidR="006414F8" w:rsidRPr="00BE38CC">
        <w:rPr>
          <w:rFonts w:cstheme="minorHAnsi"/>
          <w:lang w:val="en-AU"/>
        </w:rPr>
        <w:t>;</w:t>
      </w:r>
      <w:r w:rsidR="006C70FA" w:rsidRPr="00BE38CC">
        <w:rPr>
          <w:rFonts w:cstheme="minorHAnsi"/>
          <w:lang w:val="en-AU"/>
        </w:rPr>
        <w:t xml:space="preserve"> 30,000</w:t>
      </w:r>
      <w:r w:rsidR="006414F8" w:rsidRPr="00BE38CC">
        <w:rPr>
          <w:rFonts w:cstheme="minorHAnsi"/>
          <w:lang w:val="en-AU"/>
        </w:rPr>
        <w:t xml:space="preserve"> families receive</w:t>
      </w:r>
      <w:r w:rsidR="00757AAE" w:rsidRPr="00BE38CC">
        <w:rPr>
          <w:rFonts w:cstheme="minorHAnsi"/>
          <w:lang w:val="en-AU"/>
        </w:rPr>
        <w:t>d</w:t>
      </w:r>
      <w:r w:rsidR="006414F8" w:rsidRPr="00BE38CC">
        <w:rPr>
          <w:rFonts w:cstheme="minorHAnsi"/>
          <w:lang w:val="en-AU"/>
        </w:rPr>
        <w:t xml:space="preserve"> food </w:t>
      </w:r>
      <w:r w:rsidR="006C70FA" w:rsidRPr="00BE38CC">
        <w:rPr>
          <w:rFonts w:cstheme="minorHAnsi"/>
          <w:lang w:val="en-AU"/>
        </w:rPr>
        <w:t>and 830 households</w:t>
      </w:r>
      <w:r w:rsidR="006414F8" w:rsidRPr="00BE38CC">
        <w:rPr>
          <w:rFonts w:cstheme="minorHAnsi"/>
          <w:lang w:val="en-AU"/>
        </w:rPr>
        <w:t xml:space="preserve"> receive</w:t>
      </w:r>
      <w:r w:rsidR="00757AAE" w:rsidRPr="00BE38CC">
        <w:rPr>
          <w:rFonts w:cstheme="minorHAnsi"/>
          <w:lang w:val="en-AU"/>
        </w:rPr>
        <w:t>d</w:t>
      </w:r>
      <w:r w:rsidR="006414F8" w:rsidRPr="00BE38CC">
        <w:rPr>
          <w:rFonts w:cstheme="minorHAnsi"/>
          <w:lang w:val="en-AU"/>
        </w:rPr>
        <w:t xml:space="preserve"> shelter</w:t>
      </w:r>
      <w:r w:rsidR="006C70FA" w:rsidRPr="00BE38CC">
        <w:rPr>
          <w:rFonts w:cstheme="minorHAnsi"/>
          <w:lang w:val="en-AU"/>
        </w:rPr>
        <w:t>.</w:t>
      </w:r>
    </w:p>
    <w:p w14:paraId="23E6CDE6" w14:textId="721E1001" w:rsidR="00C1034D" w:rsidRPr="00BE38CC" w:rsidRDefault="00DC753C" w:rsidP="00DF7661">
      <w:pPr>
        <w:pStyle w:val="ListParagraph"/>
        <w:numPr>
          <w:ilvl w:val="0"/>
          <w:numId w:val="41"/>
        </w:numPr>
        <w:suppressAutoHyphens w:val="0"/>
        <w:spacing w:before="0" w:after="0" w:line="254" w:lineRule="auto"/>
      </w:pPr>
      <w:r w:rsidRPr="00BE38CC">
        <w:t xml:space="preserve">Through UNFPA, Australia provided </w:t>
      </w:r>
      <w:r w:rsidR="00AF2CF6" w:rsidRPr="00BE38CC">
        <w:t>life-saving maternal/</w:t>
      </w:r>
      <w:r w:rsidR="005D7781" w:rsidRPr="00BE38CC">
        <w:rPr>
          <w:rFonts w:cstheme="minorHAnsi"/>
          <w:lang w:val="en-AU"/>
        </w:rPr>
        <w:t xml:space="preserve">reproductive health </w:t>
      </w:r>
      <w:r w:rsidRPr="00BE38CC">
        <w:t xml:space="preserve">and protection services to </w:t>
      </w:r>
      <w:r w:rsidR="00DF7661" w:rsidRPr="00BE38CC">
        <w:t>140,000 Afghan and vulnerable host community b</w:t>
      </w:r>
      <w:r w:rsidR="008B72E0">
        <w:t>eneficiaries.</w:t>
      </w:r>
    </w:p>
    <w:p w14:paraId="75C13278" w14:textId="34134577" w:rsidR="006C70FA" w:rsidRPr="00BE38CC" w:rsidRDefault="00FB2401" w:rsidP="006C70FA">
      <w:pPr>
        <w:pStyle w:val="ListParagraph"/>
        <w:numPr>
          <w:ilvl w:val="0"/>
          <w:numId w:val="41"/>
        </w:numPr>
        <w:suppressAutoHyphens w:val="0"/>
        <w:spacing w:before="0" w:after="0" w:line="254" w:lineRule="auto"/>
        <w:rPr>
          <w:rFonts w:cstheme="minorHAnsi"/>
          <w:lang w:val="en-AU"/>
        </w:rPr>
      </w:pPr>
      <w:r w:rsidRPr="00BE38CC">
        <w:rPr>
          <w:rFonts w:cstheme="minorHAnsi"/>
          <w:lang w:val="en-AU"/>
        </w:rPr>
        <w:t>Australia</w:t>
      </w:r>
      <w:r w:rsidR="006C70FA" w:rsidRPr="00BE38CC">
        <w:rPr>
          <w:rFonts w:cstheme="minorHAnsi"/>
          <w:lang w:val="en-AU"/>
        </w:rPr>
        <w:t xml:space="preserve"> contributed to food security and improved nutrition </w:t>
      </w:r>
      <w:r w:rsidR="00206747">
        <w:rPr>
          <w:rFonts w:cstheme="minorHAnsi"/>
          <w:lang w:val="en-AU"/>
        </w:rPr>
        <w:t>wit</w:t>
      </w:r>
      <w:r w:rsidR="00757AAE" w:rsidRPr="00BE38CC">
        <w:rPr>
          <w:rFonts w:cstheme="minorHAnsi"/>
          <w:lang w:val="en-AU"/>
        </w:rPr>
        <w:t>h WFP through</w:t>
      </w:r>
      <w:r w:rsidR="006C70FA" w:rsidRPr="00BE38CC">
        <w:rPr>
          <w:rFonts w:cstheme="minorHAnsi"/>
          <w:lang w:val="en-AU"/>
        </w:rPr>
        <w:t xml:space="preserve"> school feeding, stunting prevention </w:t>
      </w:r>
      <w:r w:rsidR="006414F8" w:rsidRPr="00BE38CC">
        <w:rPr>
          <w:rFonts w:cstheme="minorHAnsi"/>
          <w:lang w:val="en-AU"/>
        </w:rPr>
        <w:t>and</w:t>
      </w:r>
      <w:r w:rsidR="006C70FA" w:rsidRPr="00BE38CC">
        <w:rPr>
          <w:rFonts w:cstheme="minorHAnsi"/>
          <w:lang w:val="en-AU"/>
        </w:rPr>
        <w:t xml:space="preserve"> food fortification initiative</w:t>
      </w:r>
      <w:r w:rsidR="00757AAE" w:rsidRPr="00BE38CC">
        <w:rPr>
          <w:rFonts w:cstheme="minorHAnsi"/>
          <w:lang w:val="en-AU"/>
        </w:rPr>
        <w:t>s</w:t>
      </w:r>
      <w:r w:rsidR="006C70FA" w:rsidRPr="00BE38CC">
        <w:rPr>
          <w:rFonts w:cstheme="minorHAnsi"/>
          <w:lang w:val="en-AU"/>
        </w:rPr>
        <w:t xml:space="preserve"> benefiting more than 1.1 million people</w:t>
      </w:r>
      <w:r w:rsidR="00BE38CC">
        <w:rPr>
          <w:rFonts w:cstheme="minorHAnsi"/>
          <w:lang w:val="en-AU"/>
        </w:rPr>
        <w:t xml:space="preserve"> across Pakistan</w:t>
      </w:r>
      <w:r w:rsidR="006C70FA" w:rsidRPr="00BE38CC">
        <w:rPr>
          <w:rFonts w:cstheme="minorHAnsi"/>
          <w:lang w:val="en-AU"/>
        </w:rPr>
        <w:t>.</w:t>
      </w:r>
    </w:p>
    <w:p w14:paraId="064766EC" w14:textId="4B2AA9AD" w:rsidR="00AF2CF6" w:rsidRPr="00BE38CC" w:rsidRDefault="00AF2CF6" w:rsidP="00AF2CF6">
      <w:pPr>
        <w:pStyle w:val="ListParagraph"/>
        <w:numPr>
          <w:ilvl w:val="0"/>
          <w:numId w:val="41"/>
        </w:numPr>
        <w:suppressAutoHyphens w:val="0"/>
        <w:spacing w:before="0" w:after="0" w:line="254" w:lineRule="auto"/>
        <w:rPr>
          <w:rFonts w:cstheme="minorHAnsi"/>
          <w:lang w:val="en-AU"/>
        </w:rPr>
      </w:pPr>
      <w:r w:rsidRPr="00BE38CC">
        <w:rPr>
          <w:rFonts w:cstheme="minorHAnsi"/>
          <w:lang w:val="en-AU"/>
        </w:rPr>
        <w:t>Through IOM, we advocat</w:t>
      </w:r>
      <w:r w:rsidR="00BC07E1">
        <w:rPr>
          <w:rFonts w:cstheme="minorHAnsi"/>
          <w:lang w:val="en-AU"/>
        </w:rPr>
        <w:t xml:space="preserve">ed for improved protection for </w:t>
      </w:r>
      <w:r w:rsidRPr="00BE38CC">
        <w:rPr>
          <w:rFonts w:cstheme="minorHAnsi"/>
          <w:lang w:val="en-AU"/>
        </w:rPr>
        <w:t>undocumented</w:t>
      </w:r>
      <w:r w:rsidR="00757AAE" w:rsidRPr="00BE38CC">
        <w:rPr>
          <w:rFonts w:cstheme="minorHAnsi"/>
          <w:lang w:val="en-AU"/>
        </w:rPr>
        <w:t xml:space="preserve"> Afghans </w:t>
      </w:r>
      <w:r w:rsidRPr="00BE38CC">
        <w:rPr>
          <w:rFonts w:cstheme="minorHAnsi"/>
          <w:lang w:val="en-AU"/>
        </w:rPr>
        <w:t xml:space="preserve">and supported better </w:t>
      </w:r>
      <w:r w:rsidRPr="00BE38CC">
        <w:rPr>
          <w:rFonts w:cstheme="minorHAnsi"/>
        </w:rPr>
        <w:t>socio-economic opportunities for 1,000 Afghans (840 women) through skills development.</w:t>
      </w:r>
      <w:r w:rsidRPr="00BE38CC">
        <w:rPr>
          <w:rFonts w:cstheme="minorHAnsi"/>
          <w:lang w:val="en-AU"/>
        </w:rPr>
        <w:t xml:space="preserve"> </w:t>
      </w:r>
    </w:p>
    <w:p w14:paraId="05CEE550" w14:textId="2A767FEC" w:rsidR="00FC2C38" w:rsidRPr="00BE38CC" w:rsidRDefault="00FC2C38" w:rsidP="00FC2C38">
      <w:pPr>
        <w:pStyle w:val="ListParagraph"/>
        <w:numPr>
          <w:ilvl w:val="0"/>
          <w:numId w:val="41"/>
        </w:numPr>
        <w:suppressAutoHyphens w:val="0"/>
        <w:spacing w:before="0" w:after="0" w:line="254" w:lineRule="auto"/>
        <w:rPr>
          <w:rFonts w:cstheme="minorHAnsi"/>
          <w:lang w:val="en-AU"/>
        </w:rPr>
      </w:pPr>
      <w:r w:rsidRPr="00BE38CC">
        <w:rPr>
          <w:rFonts w:cstheme="minorHAnsi"/>
          <w:lang w:val="en-AU"/>
        </w:rPr>
        <w:t xml:space="preserve">Australia’s Market Development Facility </w:t>
      </w:r>
      <w:r w:rsidR="00A045E3">
        <w:rPr>
          <w:rFonts w:cstheme="minorHAnsi"/>
          <w:lang w:val="en-AU"/>
        </w:rPr>
        <w:t xml:space="preserve">(MDF) </w:t>
      </w:r>
      <w:r w:rsidRPr="00BE38CC">
        <w:rPr>
          <w:rFonts w:cstheme="minorHAnsi"/>
          <w:lang w:val="en-AU"/>
        </w:rPr>
        <w:t>stimulated over USD 75 million in additional market transactions, benefiting 185,430 poor and marginalised households.</w:t>
      </w:r>
    </w:p>
    <w:p w14:paraId="5A5D4415" w14:textId="29578C67" w:rsidR="00AF2CF6" w:rsidRPr="00BE38CC" w:rsidRDefault="00AF2CF6" w:rsidP="00AF2CF6">
      <w:pPr>
        <w:pStyle w:val="ListParagraph"/>
        <w:numPr>
          <w:ilvl w:val="0"/>
          <w:numId w:val="41"/>
        </w:numPr>
        <w:suppressAutoHyphens w:val="0"/>
        <w:spacing w:before="0" w:after="0" w:line="254" w:lineRule="auto"/>
        <w:rPr>
          <w:rFonts w:cstheme="minorHAnsi"/>
          <w:lang w:val="en-AU"/>
        </w:rPr>
      </w:pPr>
      <w:r w:rsidRPr="00BE38CC">
        <w:rPr>
          <w:rFonts w:cstheme="minorHAnsi"/>
          <w:lang w:val="en-AU"/>
        </w:rPr>
        <w:t xml:space="preserve">We provided technical expertise to draft </w:t>
      </w:r>
      <w:proofErr w:type="spellStart"/>
      <w:r w:rsidRPr="00BE38CC">
        <w:rPr>
          <w:rFonts w:cstheme="minorHAnsi"/>
          <w:lang w:val="en-AU"/>
        </w:rPr>
        <w:t>Balochistan's</w:t>
      </w:r>
      <w:proofErr w:type="spellEnd"/>
      <w:r w:rsidRPr="00BE38CC">
        <w:rPr>
          <w:rFonts w:cstheme="minorHAnsi"/>
          <w:lang w:val="en-AU"/>
        </w:rPr>
        <w:t xml:space="preserve"> Livestock Strategy.  </w:t>
      </w:r>
    </w:p>
    <w:p w14:paraId="2F11D551" w14:textId="2E69CB6F" w:rsidR="005D7781" w:rsidRPr="00BE38CC" w:rsidRDefault="005D7781" w:rsidP="00FC2C38">
      <w:pPr>
        <w:pStyle w:val="ListParagraph"/>
        <w:numPr>
          <w:ilvl w:val="0"/>
          <w:numId w:val="41"/>
        </w:numPr>
        <w:suppressAutoHyphens w:val="0"/>
        <w:spacing w:before="0" w:after="0" w:line="254" w:lineRule="auto"/>
        <w:ind w:left="714" w:hanging="357"/>
        <w:rPr>
          <w:rFonts w:cstheme="minorHAnsi"/>
          <w:lang w:val="en-AU"/>
        </w:rPr>
      </w:pPr>
      <w:r w:rsidRPr="00BE38CC">
        <w:t xml:space="preserve">In partnership with </w:t>
      </w:r>
      <w:r w:rsidR="00757AAE" w:rsidRPr="00BE38CC">
        <w:t>local</w:t>
      </w:r>
      <w:r w:rsidRPr="00BE38CC">
        <w:t xml:space="preserve"> agencies, the CSIRO successfully </w:t>
      </w:r>
      <w:r w:rsidR="00757AAE" w:rsidRPr="00BE38CC">
        <w:t>used</w:t>
      </w:r>
      <w:r w:rsidRPr="00BE38CC">
        <w:t xml:space="preserve"> </w:t>
      </w:r>
      <w:r w:rsidR="00757AAE" w:rsidRPr="00BE38CC">
        <w:t>a new</w:t>
      </w:r>
      <w:r w:rsidRPr="00BE38CC">
        <w:t xml:space="preserve"> tool </w:t>
      </w:r>
      <w:r w:rsidR="00757AAE" w:rsidRPr="00BE38CC">
        <w:t>for</w:t>
      </w:r>
      <w:r w:rsidRPr="00BE38CC">
        <w:t xml:space="preserve"> accurate provincial water allocation.</w:t>
      </w:r>
    </w:p>
    <w:p w14:paraId="39413DF6" w14:textId="5B60525C" w:rsidR="00BE38CC" w:rsidRPr="00245961" w:rsidRDefault="00245961" w:rsidP="005D7781">
      <w:pPr>
        <w:pStyle w:val="ListParagraph"/>
        <w:numPr>
          <w:ilvl w:val="0"/>
          <w:numId w:val="41"/>
        </w:numPr>
      </w:pPr>
      <w:r w:rsidRPr="00245961">
        <w:t>In 2019-20, 21</w:t>
      </w:r>
      <w:r w:rsidR="005D7781" w:rsidRPr="00245961">
        <w:t xml:space="preserve"> Australia Awards scholars co</w:t>
      </w:r>
      <w:r w:rsidRPr="00245961">
        <w:t>mmen</w:t>
      </w:r>
      <w:r w:rsidR="00873627">
        <w:t xml:space="preserve">ced Masters degrees. Of these, </w:t>
      </w:r>
      <w:r w:rsidRPr="00245961">
        <w:t>12 were female and three had a disability</w:t>
      </w:r>
      <w:r w:rsidR="005D7781" w:rsidRPr="00245961">
        <w:t>.</w:t>
      </w:r>
    </w:p>
    <w:p w14:paraId="645232A7" w14:textId="5358A566" w:rsidR="006B47C6" w:rsidRPr="006414F8" w:rsidRDefault="00BC07E1" w:rsidP="00C37628">
      <w:pPr>
        <w:pStyle w:val="ListParagraph"/>
        <w:numPr>
          <w:ilvl w:val="0"/>
          <w:numId w:val="41"/>
        </w:numPr>
        <w:sectPr w:rsidR="006B47C6" w:rsidRPr="006414F8"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r>
        <w:t>Global funding</w:t>
      </w:r>
      <w:r w:rsidR="00BE38CC">
        <w:t xml:space="preserve"> supported polio eradication</w:t>
      </w:r>
      <w:r>
        <w:t xml:space="preserve"> efforts</w:t>
      </w:r>
      <w:r w:rsidR="00BE38CC">
        <w:t>.</w:t>
      </w:r>
      <w:r w:rsidR="005D7781" w:rsidRPr="00BE38CC">
        <w:t xml:space="preserve"> </w:t>
      </w:r>
    </w:p>
    <w:p w14:paraId="464B03C9" w14:textId="5603856B" w:rsidR="006B2462" w:rsidRDefault="00D00153" w:rsidP="00A665EC">
      <w:pPr>
        <w:pStyle w:val="Heading2"/>
        <w:spacing w:before="360" w:line="300" w:lineRule="exact"/>
        <w:contextualSpacing w:val="0"/>
      </w:pPr>
      <w:r>
        <w:lastRenderedPageBreak/>
        <w:t>P</w:t>
      </w:r>
      <w:r w:rsidR="004C5598">
        <w:t>rogress against 2019-20 performance indicators</w:t>
      </w:r>
      <w:r w:rsidR="00C32299">
        <w:br/>
      </w:r>
    </w:p>
    <w:tbl>
      <w:tblPr>
        <w:tblStyle w:val="TableGrid"/>
        <w:tblW w:w="10201" w:type="dxa"/>
        <w:tblLook w:val="04A0" w:firstRow="1" w:lastRow="0" w:firstColumn="1" w:lastColumn="0" w:noHBand="0" w:noVBand="1"/>
        <w:tblCaption w:val="Performance Assessment Framework"/>
        <w:tblDescription w:val="This program has three strategic objectives, eight sub-objectives and fifteen performance benchmark, indicators that are used to measure progress."/>
      </w:tblPr>
      <w:tblGrid>
        <w:gridCol w:w="2095"/>
        <w:gridCol w:w="2862"/>
        <w:gridCol w:w="5244"/>
      </w:tblGrid>
      <w:tr w:rsidR="006B2462" w:rsidRPr="009E3C7A" w14:paraId="10F16A5B" w14:textId="77777777" w:rsidTr="005A47EB">
        <w:trPr>
          <w:tblHeader/>
        </w:trPr>
        <w:tc>
          <w:tcPr>
            <w:tcW w:w="2095" w:type="dxa"/>
            <w:shd w:val="clear" w:color="auto" w:fill="C1E7E0" w:themeFill="accent1" w:themeFillTint="66"/>
          </w:tcPr>
          <w:p w14:paraId="1CF24749" w14:textId="77777777" w:rsidR="006B2462" w:rsidRPr="009E3C7A" w:rsidRDefault="006B2462" w:rsidP="001D6405">
            <w:pPr>
              <w:pStyle w:val="BodyText"/>
              <w:spacing w:before="40" w:after="40" w:line="240" w:lineRule="auto"/>
              <w:rPr>
                <w:rFonts w:asciiTheme="majorHAnsi" w:eastAsiaTheme="majorEastAsia" w:hAnsiTheme="majorHAnsi" w:cstheme="majorHAnsi"/>
                <w:b/>
                <w:caps/>
                <w:sz w:val="20"/>
                <w:szCs w:val="20"/>
              </w:rPr>
            </w:pPr>
            <w:r w:rsidRPr="009E3C7A">
              <w:rPr>
                <w:rFonts w:asciiTheme="majorHAnsi" w:eastAsiaTheme="majorEastAsia" w:hAnsiTheme="majorHAnsi" w:cstheme="majorHAnsi"/>
                <w:b/>
                <w:sz w:val="20"/>
                <w:szCs w:val="20"/>
              </w:rPr>
              <w:t>Title of Strategic Objective</w:t>
            </w:r>
          </w:p>
        </w:tc>
        <w:tc>
          <w:tcPr>
            <w:tcW w:w="2862" w:type="dxa"/>
            <w:shd w:val="clear" w:color="auto" w:fill="C1E7E0" w:themeFill="accent1" w:themeFillTint="66"/>
          </w:tcPr>
          <w:p w14:paraId="15A58CF8" w14:textId="77777777" w:rsidR="006B2462" w:rsidRPr="009E3C7A" w:rsidRDefault="006B2462" w:rsidP="001D6405">
            <w:pPr>
              <w:pStyle w:val="BodyText"/>
              <w:spacing w:before="40" w:after="40" w:line="240" w:lineRule="auto"/>
              <w:rPr>
                <w:rFonts w:asciiTheme="majorHAnsi" w:eastAsiaTheme="majorEastAsia" w:hAnsiTheme="majorHAnsi" w:cstheme="majorHAnsi"/>
                <w:b/>
                <w:caps/>
                <w:sz w:val="20"/>
                <w:szCs w:val="20"/>
              </w:rPr>
            </w:pPr>
            <w:r w:rsidRPr="009E3C7A">
              <w:rPr>
                <w:rFonts w:asciiTheme="majorHAnsi" w:eastAsiaTheme="majorEastAsia" w:hAnsiTheme="majorHAnsi" w:cstheme="majorHAnsi"/>
                <w:b/>
                <w:sz w:val="20"/>
                <w:szCs w:val="20"/>
              </w:rPr>
              <w:t>Performance Assessment Framework Indicator/Benchmark</w:t>
            </w:r>
          </w:p>
        </w:tc>
        <w:tc>
          <w:tcPr>
            <w:tcW w:w="5244" w:type="dxa"/>
            <w:shd w:val="clear" w:color="auto" w:fill="C1E7E0" w:themeFill="accent1" w:themeFillTint="66"/>
          </w:tcPr>
          <w:p w14:paraId="0B1DCA95" w14:textId="77777777" w:rsidR="006B2462" w:rsidRPr="009E3C7A" w:rsidRDefault="006B2462" w:rsidP="001D6405">
            <w:pPr>
              <w:pStyle w:val="BodyText"/>
              <w:spacing w:before="40" w:after="40" w:line="240" w:lineRule="auto"/>
              <w:rPr>
                <w:rFonts w:asciiTheme="majorHAnsi" w:eastAsiaTheme="majorEastAsia" w:hAnsiTheme="majorHAnsi" w:cstheme="majorHAnsi"/>
                <w:b/>
                <w:caps/>
                <w:sz w:val="20"/>
                <w:szCs w:val="20"/>
              </w:rPr>
            </w:pPr>
            <w:r w:rsidRPr="009E3C7A">
              <w:rPr>
                <w:rFonts w:asciiTheme="majorHAnsi" w:eastAsiaTheme="majorEastAsia" w:hAnsiTheme="majorHAnsi" w:cstheme="majorHAnsi"/>
                <w:b/>
                <w:sz w:val="20"/>
                <w:szCs w:val="20"/>
              </w:rPr>
              <w:t>Brief Summary of Progress in 2019-20 Against Indicator/Benchmark for that period</w:t>
            </w:r>
          </w:p>
        </w:tc>
      </w:tr>
      <w:tr w:rsidR="001130DD" w:rsidRPr="009E3C7A" w14:paraId="416657BE" w14:textId="77777777" w:rsidTr="00424DFA">
        <w:tc>
          <w:tcPr>
            <w:tcW w:w="2095" w:type="dxa"/>
          </w:tcPr>
          <w:p w14:paraId="73B905DE" w14:textId="77777777" w:rsidR="00A665EC" w:rsidRDefault="001130DD"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t>Objective 1</w:t>
            </w:r>
            <w:r w:rsidR="00A665EC">
              <w:rPr>
                <w:rFonts w:eastAsiaTheme="majorEastAsia" w:cstheme="minorHAnsi"/>
                <w:b/>
                <w:sz w:val="20"/>
                <w:szCs w:val="20"/>
              </w:rPr>
              <w:t>.</w:t>
            </w:r>
          </w:p>
          <w:p w14:paraId="1889EFB1" w14:textId="3F5C6ED9" w:rsidR="001130DD" w:rsidRDefault="001130DD"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t>More women, girls and vulnerable groups realise their rights</w:t>
            </w:r>
          </w:p>
          <w:p w14:paraId="581549E1" w14:textId="77777777" w:rsidR="00A665EC" w:rsidRPr="009E3C7A" w:rsidRDefault="00A665EC" w:rsidP="001D6405">
            <w:pPr>
              <w:pStyle w:val="BodyText"/>
              <w:spacing w:before="40" w:after="40" w:line="240" w:lineRule="auto"/>
              <w:rPr>
                <w:rFonts w:eastAsiaTheme="majorEastAsia" w:cstheme="minorHAnsi"/>
                <w:b/>
                <w:sz w:val="20"/>
                <w:szCs w:val="20"/>
              </w:rPr>
            </w:pPr>
          </w:p>
          <w:p w14:paraId="352185A8" w14:textId="0C8036BC" w:rsidR="001130DD" w:rsidRPr="009E3C7A" w:rsidRDefault="001130DD"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t>1.1</w:t>
            </w:r>
            <w:r w:rsidRPr="009E3C7A">
              <w:rPr>
                <w:rFonts w:eastAsiaTheme="majorEastAsia" w:cstheme="minorHAnsi"/>
                <w:sz w:val="20"/>
                <w:szCs w:val="20"/>
              </w:rPr>
              <w:t xml:space="preserve"> – Women, girls and vulnerable groups in target areas have increased access to quality Reproductive Health (RH) and Gender Based Violence (GBV) services</w:t>
            </w:r>
          </w:p>
          <w:p w14:paraId="4CC6EA4E" w14:textId="0CD7D0F5" w:rsidR="001130DD" w:rsidRPr="009E3C7A" w:rsidRDefault="001130DD"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t>1.2</w:t>
            </w:r>
            <w:r w:rsidRPr="009E3C7A">
              <w:rPr>
                <w:rFonts w:eastAsiaTheme="majorEastAsia" w:cstheme="minorHAnsi"/>
                <w:sz w:val="20"/>
                <w:szCs w:val="20"/>
              </w:rPr>
              <w:t xml:space="preserve"> – Governments, enterprises and other partners in target areas are promoting, adopting and implementing reforms that benefit women, girls and vulnerable groups</w:t>
            </w:r>
          </w:p>
          <w:p w14:paraId="530A0DC2" w14:textId="66F6DF52" w:rsidR="001130DD" w:rsidRPr="009E3C7A" w:rsidRDefault="001130DD" w:rsidP="001D6405">
            <w:pPr>
              <w:pStyle w:val="BodyText"/>
              <w:spacing w:before="40" w:after="40" w:line="240" w:lineRule="auto"/>
              <w:rPr>
                <w:rFonts w:eastAsiaTheme="majorEastAsia" w:cstheme="minorHAnsi"/>
                <w:caps/>
                <w:sz w:val="20"/>
                <w:szCs w:val="20"/>
              </w:rPr>
            </w:pPr>
            <w:r w:rsidRPr="00A665EC">
              <w:rPr>
                <w:rFonts w:asciiTheme="majorHAnsi" w:eastAsiaTheme="majorEastAsia" w:hAnsiTheme="majorHAnsi" w:cstheme="majorHAnsi"/>
                <w:sz w:val="20"/>
                <w:szCs w:val="20"/>
              </w:rPr>
              <w:t xml:space="preserve">1.3 </w:t>
            </w:r>
            <w:r w:rsidRPr="009E3C7A">
              <w:rPr>
                <w:rFonts w:eastAsiaTheme="majorEastAsia" w:cstheme="minorHAnsi"/>
                <w:sz w:val="20"/>
                <w:szCs w:val="20"/>
              </w:rPr>
              <w:t>– Community members demonstrate increased acceptance and respect for the rights and empowerment of women and girls</w:t>
            </w:r>
          </w:p>
        </w:tc>
        <w:tc>
          <w:tcPr>
            <w:tcW w:w="2862" w:type="dxa"/>
          </w:tcPr>
          <w:p w14:paraId="6529471F" w14:textId="477C887F" w:rsidR="001130DD" w:rsidRDefault="001130DD"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1.1.1</w:t>
            </w:r>
            <w:r w:rsidRPr="009E3C7A">
              <w:rPr>
                <w:rFonts w:eastAsiaTheme="majorEastAsia" w:cstheme="minorHAnsi"/>
                <w:caps/>
                <w:sz w:val="20"/>
                <w:szCs w:val="20"/>
              </w:rPr>
              <w:t xml:space="preserve"> </w:t>
            </w:r>
            <w:r w:rsidRPr="009E3C7A">
              <w:rPr>
                <w:rFonts w:eastAsiaTheme="majorEastAsia" w:cstheme="minorHAnsi"/>
                <w:sz w:val="20"/>
                <w:szCs w:val="20"/>
              </w:rPr>
              <w:t>Number of women survivors of violence receiving services such as counselling, medico-legal advice and shelter</w:t>
            </w:r>
            <w:r>
              <w:rPr>
                <w:rFonts w:eastAsiaTheme="majorEastAsia" w:cstheme="minorHAnsi"/>
                <w:sz w:val="20"/>
                <w:szCs w:val="20"/>
              </w:rPr>
              <w:t>.</w:t>
            </w:r>
          </w:p>
          <w:p w14:paraId="56822D2F" w14:textId="23BF9F3D" w:rsidR="001130DD" w:rsidRDefault="001130DD" w:rsidP="001130DD">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1.1.2</w:t>
            </w:r>
            <w:r w:rsidRPr="009E3C7A">
              <w:rPr>
                <w:rFonts w:eastAsiaTheme="majorEastAsia" w:cstheme="minorHAnsi"/>
                <w:caps/>
                <w:sz w:val="20"/>
                <w:szCs w:val="20"/>
              </w:rPr>
              <w:t xml:space="preserve"> </w:t>
            </w:r>
            <w:r w:rsidRPr="009E3C7A">
              <w:rPr>
                <w:rFonts w:eastAsiaTheme="majorEastAsia" w:cstheme="minorHAnsi"/>
                <w:sz w:val="20"/>
                <w:szCs w:val="20"/>
              </w:rPr>
              <w:t>Number of women and men in border areas receiving reproductive health and family planning services</w:t>
            </w:r>
            <w:r>
              <w:rPr>
                <w:rFonts w:eastAsiaTheme="majorEastAsia" w:cstheme="minorHAnsi"/>
                <w:sz w:val="20"/>
                <w:szCs w:val="20"/>
              </w:rPr>
              <w:t>.</w:t>
            </w:r>
          </w:p>
          <w:p w14:paraId="365177B5" w14:textId="049C4C5E" w:rsidR="001130DD" w:rsidRDefault="001130DD"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1.1.3</w:t>
            </w:r>
            <w:r w:rsidRPr="009E3C7A">
              <w:rPr>
                <w:rFonts w:eastAsiaTheme="majorEastAsia" w:cstheme="minorHAnsi"/>
                <w:caps/>
                <w:sz w:val="20"/>
                <w:szCs w:val="20"/>
              </w:rPr>
              <w:t xml:space="preserve"> % </w:t>
            </w:r>
            <w:r w:rsidRPr="009E3C7A">
              <w:rPr>
                <w:rFonts w:eastAsiaTheme="majorEastAsia" w:cstheme="minorHAnsi"/>
                <w:sz w:val="20"/>
                <w:szCs w:val="20"/>
              </w:rPr>
              <w:t>survivors’ satisfaction with quality of GBV support services</w:t>
            </w:r>
            <w:r>
              <w:rPr>
                <w:rFonts w:eastAsiaTheme="majorEastAsia" w:cstheme="minorHAnsi"/>
                <w:sz w:val="20"/>
                <w:szCs w:val="20"/>
              </w:rPr>
              <w:t>.</w:t>
            </w:r>
          </w:p>
          <w:p w14:paraId="0E2DEC4A" w14:textId="77777777" w:rsidR="001130DD" w:rsidRDefault="001130DD" w:rsidP="001130DD">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1.2.1</w:t>
            </w:r>
            <w:r w:rsidRPr="009E3C7A">
              <w:rPr>
                <w:rFonts w:eastAsiaTheme="majorEastAsia" w:cstheme="minorHAnsi"/>
                <w:caps/>
                <w:sz w:val="20"/>
                <w:szCs w:val="20"/>
              </w:rPr>
              <w:t xml:space="preserve"> </w:t>
            </w:r>
            <w:r w:rsidRPr="009E3C7A">
              <w:rPr>
                <w:rFonts w:eastAsiaTheme="majorEastAsia" w:cstheme="minorHAnsi"/>
                <w:sz w:val="20"/>
                <w:szCs w:val="20"/>
              </w:rPr>
              <w:t>Evidence of approaches and knowledge generated that contribute to improved policy and practices on EVAW</w:t>
            </w:r>
            <w:r>
              <w:rPr>
                <w:rFonts w:eastAsiaTheme="majorEastAsia" w:cstheme="minorHAnsi"/>
                <w:sz w:val="20"/>
                <w:szCs w:val="20"/>
              </w:rPr>
              <w:t>.</w:t>
            </w:r>
          </w:p>
          <w:p w14:paraId="68F4E9EC" w14:textId="2F83EBD6" w:rsidR="001130DD" w:rsidRDefault="001130DD" w:rsidP="001130DD">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1.2.2</w:t>
            </w:r>
            <w:r w:rsidRPr="009E3C7A">
              <w:rPr>
                <w:rFonts w:eastAsiaTheme="majorEastAsia" w:cstheme="minorHAnsi"/>
                <w:caps/>
                <w:sz w:val="20"/>
                <w:szCs w:val="20"/>
              </w:rPr>
              <w:t xml:space="preserve"> E</w:t>
            </w:r>
            <w:r w:rsidRPr="009E3C7A">
              <w:rPr>
                <w:rFonts w:eastAsiaTheme="majorEastAsia" w:cstheme="minorHAnsi"/>
                <w:sz w:val="20"/>
                <w:szCs w:val="20"/>
              </w:rPr>
              <w:t>vidence of increased implementation of Education Equity strategy by the KP provincial government</w:t>
            </w:r>
            <w:r>
              <w:rPr>
                <w:rFonts w:eastAsiaTheme="majorEastAsia" w:cstheme="minorHAnsi"/>
                <w:sz w:val="20"/>
                <w:szCs w:val="20"/>
              </w:rPr>
              <w:t>.</w:t>
            </w:r>
          </w:p>
          <w:p w14:paraId="012AF1D2" w14:textId="77777777" w:rsidR="001130DD" w:rsidRDefault="001130DD" w:rsidP="001130DD">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1.3.1</w:t>
            </w:r>
            <w:r w:rsidRPr="009E3C7A">
              <w:rPr>
                <w:rFonts w:eastAsiaTheme="majorEastAsia" w:cstheme="minorHAnsi"/>
                <w:caps/>
                <w:sz w:val="20"/>
                <w:szCs w:val="20"/>
              </w:rPr>
              <w:t xml:space="preserve"> </w:t>
            </w:r>
            <w:r w:rsidRPr="009E3C7A">
              <w:rPr>
                <w:rFonts w:eastAsiaTheme="majorEastAsia" w:cstheme="minorHAnsi"/>
                <w:sz w:val="20"/>
                <w:szCs w:val="20"/>
              </w:rPr>
              <w:t>Number of community members with improved knowledge and understanding of RH and GBV related issues (previous indicator)</w:t>
            </w:r>
            <w:r>
              <w:rPr>
                <w:rFonts w:eastAsiaTheme="majorEastAsia" w:cstheme="minorHAnsi"/>
                <w:sz w:val="20"/>
                <w:szCs w:val="20"/>
              </w:rPr>
              <w:t>.</w:t>
            </w:r>
          </w:p>
          <w:p w14:paraId="43BE9F9F" w14:textId="52D118FF" w:rsidR="001130DD" w:rsidRPr="009E3C7A" w:rsidRDefault="001130DD" w:rsidP="001D6405">
            <w:pPr>
              <w:pStyle w:val="BodyText"/>
              <w:spacing w:before="40" w:after="40" w:line="240" w:lineRule="auto"/>
              <w:rPr>
                <w:rFonts w:eastAsiaTheme="majorEastAsia" w:cstheme="minorHAnsi"/>
                <w:caps/>
                <w:sz w:val="20"/>
                <w:szCs w:val="20"/>
              </w:rPr>
            </w:pPr>
            <w:r w:rsidRPr="00A665EC">
              <w:rPr>
                <w:rFonts w:asciiTheme="majorHAnsi" w:eastAsiaTheme="majorEastAsia" w:hAnsiTheme="majorHAnsi" w:cstheme="majorHAnsi"/>
                <w:caps/>
                <w:sz w:val="20"/>
                <w:szCs w:val="20"/>
              </w:rPr>
              <w:t>1.3.2</w:t>
            </w:r>
            <w:r w:rsidRPr="009E3C7A">
              <w:rPr>
                <w:rFonts w:eastAsiaTheme="majorEastAsia" w:cstheme="minorHAnsi"/>
                <w:caps/>
                <w:sz w:val="20"/>
                <w:szCs w:val="20"/>
              </w:rPr>
              <w:t xml:space="preserve"> E</w:t>
            </w:r>
            <w:r w:rsidRPr="009E3C7A">
              <w:rPr>
                <w:rFonts w:eastAsiaTheme="majorEastAsia" w:cstheme="minorHAnsi"/>
                <w:sz w:val="20"/>
                <w:szCs w:val="20"/>
              </w:rPr>
              <w:t>vidence of community members increasingly playing an active role to address GBV</w:t>
            </w:r>
          </w:p>
        </w:tc>
        <w:tc>
          <w:tcPr>
            <w:tcW w:w="5244" w:type="dxa"/>
          </w:tcPr>
          <w:p w14:paraId="7161A3BA" w14:textId="02CBA0DB" w:rsidR="001130DD" w:rsidRPr="009E3C7A" w:rsidRDefault="001130DD" w:rsidP="00DB0825">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w:t>
            </w:r>
            <w:proofErr w:type="spellStart"/>
            <w:r w:rsidRPr="009E3C7A">
              <w:rPr>
                <w:rFonts w:eastAsiaTheme="majorEastAsia" w:cstheme="minorHAnsi"/>
                <w:b/>
                <w:sz w:val="20"/>
                <w:szCs w:val="20"/>
              </w:rPr>
              <w:t>Trocaire</w:t>
            </w:r>
            <w:proofErr w:type="spellEnd"/>
            <w:r w:rsidRPr="009E3C7A">
              <w:rPr>
                <w:rFonts w:eastAsiaTheme="majorEastAsia" w:cstheme="minorHAnsi"/>
                <w:b/>
                <w:sz w:val="20"/>
                <w:szCs w:val="20"/>
              </w:rPr>
              <w:t>-EVAW):</w:t>
            </w:r>
            <w:r w:rsidRPr="009E3C7A">
              <w:rPr>
                <w:rFonts w:eastAsiaTheme="majorEastAsia" w:cstheme="minorHAnsi"/>
                <w:i/>
                <w:sz w:val="20"/>
                <w:szCs w:val="20"/>
              </w:rPr>
              <w:t xml:space="preserve"> 828 including 10 survivors with disability was revised down to 485 including 10 survivors with disability, because the program</w:t>
            </w:r>
            <w:r>
              <w:rPr>
                <w:rFonts w:eastAsiaTheme="majorEastAsia" w:cstheme="minorHAnsi"/>
                <w:i/>
                <w:sz w:val="20"/>
                <w:szCs w:val="20"/>
              </w:rPr>
              <w:t xml:space="preserve"> ended</w:t>
            </w:r>
            <w:r w:rsidRPr="009E3C7A">
              <w:rPr>
                <w:rFonts w:eastAsiaTheme="majorEastAsia" w:cstheme="minorHAnsi"/>
                <w:i/>
                <w:sz w:val="20"/>
                <w:szCs w:val="20"/>
              </w:rPr>
              <w:t xml:space="preserve"> </w:t>
            </w:r>
            <w:r>
              <w:rPr>
                <w:rFonts w:eastAsiaTheme="majorEastAsia" w:cstheme="minorHAnsi"/>
                <w:i/>
                <w:sz w:val="20"/>
                <w:szCs w:val="20"/>
              </w:rPr>
              <w:t xml:space="preserve">early. </w:t>
            </w:r>
            <w:r w:rsidRPr="009E3C7A">
              <w:rPr>
                <w:rFonts w:eastAsiaTheme="majorEastAsia" w:cstheme="minorHAnsi"/>
                <w:sz w:val="20"/>
                <w:szCs w:val="20"/>
              </w:rPr>
              <w:t>Achieved 1,518 Not met: 5 survivors with disability</w:t>
            </w:r>
          </w:p>
          <w:p w14:paraId="2E57DEF7" w14:textId="2825D502" w:rsidR="001130DD" w:rsidRDefault="001130DD" w:rsidP="00FC320F">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 (UNFPA):</w:t>
            </w:r>
            <w:r w:rsidRPr="009E3C7A">
              <w:rPr>
                <w:rFonts w:eastAsiaTheme="majorEastAsia" w:cstheme="minorHAnsi"/>
                <w:sz w:val="20"/>
                <w:szCs w:val="20"/>
              </w:rPr>
              <w:t xml:space="preserve"> </w:t>
            </w:r>
            <w:r w:rsidRPr="009E3C7A">
              <w:rPr>
                <w:rFonts w:eastAsiaTheme="majorEastAsia" w:cstheme="minorHAnsi"/>
                <w:i/>
                <w:sz w:val="20"/>
                <w:szCs w:val="20"/>
              </w:rPr>
              <w:t xml:space="preserve">864 </w:t>
            </w:r>
            <w:r w:rsidRPr="009E3C7A">
              <w:rPr>
                <w:rFonts w:eastAsiaTheme="majorEastAsia" w:cstheme="minorHAnsi"/>
                <w:sz w:val="20"/>
                <w:szCs w:val="20"/>
              </w:rPr>
              <w:t>Achieved 5,992</w:t>
            </w:r>
          </w:p>
          <w:p w14:paraId="0B5F789E" w14:textId="77777777" w:rsidR="001130DD" w:rsidRPr="009E3C7A" w:rsidRDefault="001130DD" w:rsidP="001130DD">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(UNFPA):</w:t>
            </w:r>
            <w:r w:rsidRPr="009E3C7A">
              <w:rPr>
                <w:rFonts w:eastAsiaTheme="majorEastAsia" w:cstheme="minorHAnsi"/>
                <w:sz w:val="20"/>
                <w:szCs w:val="20"/>
              </w:rPr>
              <w:t xml:space="preserve"> </w:t>
            </w:r>
            <w:r w:rsidRPr="009E3C7A">
              <w:rPr>
                <w:rFonts w:eastAsiaTheme="majorEastAsia" w:cstheme="minorHAnsi"/>
                <w:i/>
                <w:sz w:val="20"/>
                <w:szCs w:val="20"/>
              </w:rPr>
              <w:t>Total 22,940 incl. 5,120 women and 1,782 men (Note: correction from published target of 17,820 men)</w:t>
            </w:r>
          </w:p>
          <w:p w14:paraId="3BB9FF16" w14:textId="77777777" w:rsidR="001130DD"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Achieved 78,767 including 73,701 women and 5,066 men</w:t>
            </w:r>
            <w:r>
              <w:rPr>
                <w:rFonts w:eastAsiaTheme="majorEastAsia" w:cstheme="minorHAnsi"/>
                <w:sz w:val="20"/>
                <w:szCs w:val="20"/>
              </w:rPr>
              <w:t>.</w:t>
            </w:r>
          </w:p>
          <w:p w14:paraId="1BF0B4CE" w14:textId="77777777" w:rsidR="001130DD" w:rsidRPr="009E3C7A" w:rsidRDefault="001130DD" w:rsidP="001130DD">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w:t>
            </w:r>
            <w:proofErr w:type="spellStart"/>
            <w:r w:rsidRPr="009E3C7A">
              <w:rPr>
                <w:rFonts w:eastAsiaTheme="majorEastAsia" w:cstheme="minorHAnsi"/>
                <w:b/>
                <w:sz w:val="20"/>
                <w:szCs w:val="20"/>
              </w:rPr>
              <w:t>Trocaire</w:t>
            </w:r>
            <w:proofErr w:type="spellEnd"/>
            <w:r w:rsidRPr="009E3C7A">
              <w:rPr>
                <w:rFonts w:eastAsiaTheme="majorEastAsia" w:cstheme="minorHAnsi"/>
                <w:b/>
                <w:sz w:val="20"/>
                <w:szCs w:val="20"/>
              </w:rPr>
              <w:t>-EVAW):</w:t>
            </w:r>
            <w:r w:rsidRPr="009E3C7A">
              <w:rPr>
                <w:rFonts w:eastAsiaTheme="majorEastAsia" w:cstheme="minorHAnsi"/>
                <w:sz w:val="20"/>
                <w:szCs w:val="20"/>
              </w:rPr>
              <w:t xml:space="preserve"> </w:t>
            </w:r>
            <w:r w:rsidRPr="009E3C7A">
              <w:rPr>
                <w:rFonts w:eastAsiaTheme="majorEastAsia" w:cstheme="minorHAnsi"/>
                <w:i/>
                <w:sz w:val="20"/>
                <w:szCs w:val="20"/>
              </w:rPr>
              <w:t>80%</w:t>
            </w:r>
          </w:p>
          <w:p w14:paraId="6198FF8D" w14:textId="77777777" w:rsidR="001130DD"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Achieved 91.65% (9,731 women of total 10,618)</w:t>
            </w:r>
            <w:r>
              <w:rPr>
                <w:rFonts w:eastAsiaTheme="majorEastAsia" w:cstheme="minorHAnsi"/>
                <w:sz w:val="20"/>
                <w:szCs w:val="20"/>
              </w:rPr>
              <w:t>.</w:t>
            </w:r>
          </w:p>
          <w:p w14:paraId="171F6E5A" w14:textId="77777777" w:rsidR="001130DD" w:rsidRPr="009E3C7A" w:rsidRDefault="001130DD" w:rsidP="001130DD">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w:t>
            </w:r>
            <w:r w:rsidRPr="009E3C7A">
              <w:rPr>
                <w:rFonts w:eastAsiaTheme="majorEastAsia" w:cstheme="minorHAnsi"/>
                <w:sz w:val="20"/>
                <w:szCs w:val="20"/>
              </w:rPr>
              <w:t xml:space="preserve"> </w:t>
            </w:r>
            <w:r w:rsidRPr="009E3C7A">
              <w:rPr>
                <w:rFonts w:eastAsiaTheme="majorEastAsia" w:cstheme="minorHAnsi"/>
                <w:i/>
                <w:sz w:val="20"/>
                <w:szCs w:val="20"/>
              </w:rPr>
              <w:t>Effective implementation of Post’s policy engagement plan for gender equality</w:t>
            </w:r>
          </w:p>
          <w:p w14:paraId="6013908C" w14:textId="77777777" w:rsidR="001130DD" w:rsidRDefault="001130DD" w:rsidP="001130DD">
            <w:pPr>
              <w:pStyle w:val="BodyText"/>
              <w:spacing w:before="40" w:after="40" w:line="240" w:lineRule="auto"/>
              <w:rPr>
                <w:rFonts w:cstheme="minorHAnsi"/>
                <w:sz w:val="20"/>
                <w:szCs w:val="20"/>
              </w:rPr>
            </w:pPr>
            <w:r w:rsidRPr="009E3C7A">
              <w:rPr>
                <w:rFonts w:cstheme="minorHAnsi"/>
                <w:sz w:val="20"/>
                <w:szCs w:val="20"/>
              </w:rPr>
              <w:t xml:space="preserve">Our Gender Policy Engagement Plan was </w:t>
            </w:r>
            <w:r>
              <w:rPr>
                <w:rFonts w:cstheme="minorHAnsi"/>
                <w:sz w:val="20"/>
                <w:szCs w:val="20"/>
              </w:rPr>
              <w:t>revised</w:t>
            </w:r>
            <w:r w:rsidRPr="009E3C7A">
              <w:rPr>
                <w:rFonts w:cstheme="minorHAnsi"/>
                <w:sz w:val="20"/>
                <w:szCs w:val="20"/>
              </w:rPr>
              <w:t xml:space="preserve"> in 2019-20. We continued policy-level engagement with the Government of Pakistan in relation to gender equality as well as public diplomacy activities</w:t>
            </w:r>
            <w:r>
              <w:rPr>
                <w:rFonts w:cstheme="minorHAnsi"/>
                <w:sz w:val="20"/>
                <w:szCs w:val="20"/>
              </w:rPr>
              <w:t>.</w:t>
            </w:r>
          </w:p>
          <w:p w14:paraId="4BD17701" w14:textId="77777777" w:rsidR="001130DD" w:rsidRPr="009E3C7A" w:rsidRDefault="001130DD" w:rsidP="001130DD">
            <w:pPr>
              <w:pStyle w:val="BodyText"/>
              <w:spacing w:before="40" w:after="40" w:line="240" w:lineRule="auto"/>
              <w:rPr>
                <w:rFonts w:eastAsiaTheme="majorEastAsia" w:cstheme="minorHAnsi"/>
                <w:b/>
                <w:sz w:val="20"/>
                <w:szCs w:val="20"/>
              </w:rPr>
            </w:pPr>
            <w:r>
              <w:rPr>
                <w:rFonts w:eastAsiaTheme="majorEastAsia" w:cstheme="minorHAnsi"/>
                <w:b/>
                <w:sz w:val="20"/>
                <w:szCs w:val="20"/>
              </w:rPr>
              <w:t xml:space="preserve">~ </w:t>
            </w:r>
            <w:r w:rsidRPr="009E3C7A">
              <w:rPr>
                <w:rFonts w:eastAsiaTheme="majorEastAsia" w:cstheme="minorHAnsi"/>
                <w:b/>
                <w:sz w:val="20"/>
                <w:szCs w:val="20"/>
              </w:rPr>
              <w:t xml:space="preserve">Target (KESP): </w:t>
            </w:r>
            <w:r w:rsidRPr="009E3C7A">
              <w:rPr>
                <w:rFonts w:eastAsiaTheme="majorEastAsia" w:cstheme="minorHAnsi"/>
                <w:i/>
                <w:sz w:val="20"/>
                <w:szCs w:val="20"/>
              </w:rPr>
              <w:t>17% children incl. 24% girls and 10% boys out of school at primary and secondary level</w:t>
            </w:r>
          </w:p>
          <w:p w14:paraId="53BCF8F0" w14:textId="64F77782" w:rsidR="001130DD" w:rsidRPr="009E3C7A" w:rsidRDefault="001130DD" w:rsidP="001130DD">
            <w:pPr>
              <w:pStyle w:val="BodyText"/>
              <w:spacing w:before="40" w:after="40" w:line="240" w:lineRule="auto"/>
              <w:rPr>
                <w:rFonts w:eastAsiaTheme="majorEastAsia" w:cstheme="minorHAnsi"/>
                <w:sz w:val="20"/>
                <w:szCs w:val="20"/>
              </w:rPr>
            </w:pPr>
            <w:r>
              <w:rPr>
                <w:rFonts w:eastAsiaTheme="majorEastAsia" w:cstheme="minorHAnsi"/>
                <w:sz w:val="20"/>
                <w:szCs w:val="20"/>
              </w:rPr>
              <w:t>P</w:t>
            </w:r>
            <w:r w:rsidRPr="009E3C7A">
              <w:rPr>
                <w:rFonts w:eastAsiaTheme="majorEastAsia" w:cstheme="minorHAnsi"/>
                <w:sz w:val="20"/>
                <w:szCs w:val="20"/>
              </w:rPr>
              <w:t>rogram achievements were impacted by COVID-19 school closures</w:t>
            </w:r>
            <w:r w:rsidR="00A665EC">
              <w:rPr>
                <w:rFonts w:eastAsiaTheme="majorEastAsia" w:cstheme="minorHAnsi"/>
                <w:sz w:val="20"/>
                <w:szCs w:val="20"/>
              </w:rPr>
              <w:t xml:space="preserve">. </w:t>
            </w:r>
            <w:r w:rsidRPr="009E3C7A">
              <w:rPr>
                <w:rFonts w:eastAsiaTheme="majorEastAsia" w:cstheme="minorHAnsi"/>
                <w:sz w:val="20"/>
                <w:szCs w:val="20"/>
              </w:rPr>
              <w:t>Out of School Children census results:</w:t>
            </w:r>
          </w:p>
          <w:p w14:paraId="13A6FCF6" w14:textId="77777777" w:rsidR="001130DD" w:rsidRPr="009E3C7A"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2017 – 23% children of school-going age out of school in KP</w:t>
            </w:r>
          </w:p>
          <w:p w14:paraId="084320D1" w14:textId="77777777" w:rsidR="001130DD" w:rsidRPr="009E3C7A"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2018 – 20%</w:t>
            </w:r>
          </w:p>
          <w:p w14:paraId="124EB54A" w14:textId="77777777" w:rsidR="001130DD" w:rsidRPr="009E3C7A"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2019 – 17.5% including 23% girls and 12% boys</w:t>
            </w:r>
          </w:p>
          <w:p w14:paraId="340F5ED3" w14:textId="77777777" w:rsidR="001130DD"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2020 – census not conducted due to COVID-19</w:t>
            </w:r>
            <w:r>
              <w:rPr>
                <w:rFonts w:eastAsiaTheme="majorEastAsia" w:cstheme="minorHAnsi"/>
                <w:sz w:val="20"/>
                <w:szCs w:val="20"/>
              </w:rPr>
              <w:t>.</w:t>
            </w:r>
          </w:p>
          <w:p w14:paraId="418F2CB5" w14:textId="75F16D3A" w:rsidR="001130DD" w:rsidRPr="009E3C7A" w:rsidRDefault="001130DD" w:rsidP="001130DD">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w:t>
            </w:r>
            <w:proofErr w:type="spellStart"/>
            <w:r w:rsidRPr="009E3C7A">
              <w:rPr>
                <w:rFonts w:eastAsiaTheme="majorEastAsia" w:cstheme="minorHAnsi"/>
                <w:b/>
                <w:sz w:val="20"/>
                <w:szCs w:val="20"/>
              </w:rPr>
              <w:t>Trocaire</w:t>
            </w:r>
            <w:proofErr w:type="spellEnd"/>
            <w:r w:rsidRPr="009E3C7A">
              <w:rPr>
                <w:rFonts w:eastAsiaTheme="majorEastAsia" w:cstheme="minorHAnsi"/>
                <w:b/>
                <w:sz w:val="20"/>
                <w:szCs w:val="20"/>
              </w:rPr>
              <w:t>-EVAW):</w:t>
            </w:r>
            <w:r w:rsidRPr="009E3C7A">
              <w:rPr>
                <w:rFonts w:eastAsiaTheme="majorEastAsia" w:cstheme="minorHAnsi"/>
                <w:sz w:val="20"/>
                <w:szCs w:val="20"/>
              </w:rPr>
              <w:t xml:space="preserve"> </w:t>
            </w:r>
            <w:r w:rsidRPr="009E3C7A">
              <w:rPr>
                <w:rFonts w:eastAsiaTheme="majorEastAsia" w:cstheme="minorHAnsi"/>
                <w:i/>
                <w:sz w:val="20"/>
                <w:szCs w:val="20"/>
              </w:rPr>
              <w:t>90% of 10,423 men/boys and 85% of 8690 women/girls can identify formal and informal mechanisms of support for women and girls experiencing GBV (Note: this indicator and its target were updated when changes to M&amp;E were made as the program entered its second phase)</w:t>
            </w:r>
            <w:r w:rsidRPr="009E3C7A">
              <w:rPr>
                <w:rFonts w:eastAsiaTheme="majorEastAsia" w:cstheme="minorHAnsi"/>
                <w:sz w:val="20"/>
                <w:szCs w:val="20"/>
              </w:rPr>
              <w:t xml:space="preserve"> </w:t>
            </w:r>
            <w:r w:rsidR="00A665EC">
              <w:rPr>
                <w:rFonts w:eastAsiaTheme="majorEastAsia" w:cstheme="minorHAnsi"/>
                <w:sz w:val="20"/>
                <w:szCs w:val="20"/>
              </w:rPr>
              <w:t xml:space="preserve"> </w:t>
            </w:r>
            <w:r w:rsidRPr="009E3C7A">
              <w:rPr>
                <w:rFonts w:eastAsiaTheme="majorEastAsia" w:cstheme="minorHAnsi"/>
                <w:sz w:val="20"/>
                <w:szCs w:val="20"/>
              </w:rPr>
              <w:t>Proportions achieved: 97.6% of 10,172 men/boys and 98.3% of 8,542 women/girls</w:t>
            </w:r>
          </w:p>
          <w:p w14:paraId="77630222" w14:textId="697FC621" w:rsidR="001130DD"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 (UNFPA):</w:t>
            </w:r>
            <w:r w:rsidRPr="009E3C7A">
              <w:rPr>
                <w:rFonts w:eastAsiaTheme="majorEastAsia" w:cstheme="minorHAnsi"/>
                <w:sz w:val="20"/>
                <w:szCs w:val="20"/>
              </w:rPr>
              <w:t xml:space="preserve"> </w:t>
            </w:r>
            <w:r w:rsidRPr="009E3C7A">
              <w:rPr>
                <w:rFonts w:eastAsiaTheme="majorEastAsia" w:cstheme="minorHAnsi"/>
                <w:i/>
                <w:sz w:val="20"/>
                <w:szCs w:val="20"/>
              </w:rPr>
              <w:t>35,000 incl. 29,250 women and 5,750 men (Note: correction from published target of 22,940 incl. 5,120 women and 17,820 men)</w:t>
            </w:r>
            <w:r w:rsidR="00A665EC">
              <w:rPr>
                <w:rFonts w:eastAsiaTheme="majorEastAsia" w:cstheme="minorHAnsi"/>
                <w:i/>
                <w:sz w:val="20"/>
                <w:szCs w:val="20"/>
              </w:rPr>
              <w:t xml:space="preserve"> </w:t>
            </w:r>
            <w:r w:rsidRPr="009E3C7A">
              <w:rPr>
                <w:rFonts w:eastAsiaTheme="majorEastAsia" w:cstheme="minorHAnsi"/>
                <w:sz w:val="20"/>
                <w:szCs w:val="20"/>
              </w:rPr>
              <w:t>Total achieved (exceeded): 61,945</w:t>
            </w:r>
          </w:p>
          <w:p w14:paraId="75FEF8D5" w14:textId="77777777" w:rsidR="001130DD" w:rsidRPr="009E3C7A"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Target for women achieved (exceeded): 58,963</w:t>
            </w:r>
          </w:p>
          <w:p w14:paraId="36E704F5" w14:textId="77777777" w:rsidR="001130DD" w:rsidRDefault="001130DD" w:rsidP="001130DD">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Target for men partially achieved: 2,982</w:t>
            </w:r>
            <w:r>
              <w:rPr>
                <w:rFonts w:eastAsiaTheme="majorEastAsia" w:cstheme="minorHAnsi"/>
                <w:sz w:val="20"/>
                <w:szCs w:val="20"/>
              </w:rPr>
              <w:t>.</w:t>
            </w:r>
          </w:p>
          <w:p w14:paraId="0A415438" w14:textId="77777777" w:rsidR="00A665EC" w:rsidRDefault="001130DD" w:rsidP="00A665EC">
            <w:pPr>
              <w:pStyle w:val="BodyText"/>
              <w:spacing w:before="40" w:after="40" w:line="240" w:lineRule="auto"/>
              <w:rPr>
                <w:rFonts w:eastAsiaTheme="majorEastAsia" w:cstheme="minorHAnsi"/>
                <w:i/>
                <w:sz w:val="20"/>
                <w:szCs w:val="20"/>
              </w:rPr>
            </w:pPr>
            <w:r>
              <w:rPr>
                <w:rFonts w:eastAsiaTheme="majorEastAsia" w:cstheme="minorHAnsi"/>
                <w:b/>
                <w:sz w:val="20"/>
                <w:szCs w:val="20"/>
              </w:rPr>
              <w:t xml:space="preserve">~ </w:t>
            </w:r>
            <w:r w:rsidRPr="009E3C7A">
              <w:rPr>
                <w:rFonts w:eastAsiaTheme="majorEastAsia" w:cstheme="minorHAnsi"/>
                <w:b/>
                <w:sz w:val="20"/>
                <w:szCs w:val="20"/>
              </w:rPr>
              <w:t>Target (</w:t>
            </w:r>
            <w:proofErr w:type="spellStart"/>
            <w:r w:rsidRPr="009E3C7A">
              <w:rPr>
                <w:rFonts w:eastAsiaTheme="majorEastAsia" w:cstheme="minorHAnsi"/>
                <w:b/>
                <w:sz w:val="20"/>
                <w:szCs w:val="20"/>
              </w:rPr>
              <w:t>Trocaire</w:t>
            </w:r>
            <w:proofErr w:type="spellEnd"/>
            <w:r w:rsidRPr="009E3C7A">
              <w:rPr>
                <w:rFonts w:eastAsiaTheme="majorEastAsia" w:cstheme="minorHAnsi"/>
                <w:b/>
                <w:sz w:val="20"/>
                <w:szCs w:val="20"/>
              </w:rPr>
              <w:t>-EVAW):</w:t>
            </w:r>
            <w:r w:rsidRPr="009E3C7A">
              <w:rPr>
                <w:rFonts w:eastAsiaTheme="majorEastAsia" w:cstheme="minorHAnsi"/>
                <w:sz w:val="20"/>
                <w:szCs w:val="20"/>
              </w:rPr>
              <w:t xml:space="preserve"> </w:t>
            </w:r>
            <w:r w:rsidRPr="009E3C7A">
              <w:rPr>
                <w:rFonts w:eastAsiaTheme="majorEastAsia" w:cstheme="minorHAnsi"/>
                <w:i/>
                <w:sz w:val="20"/>
                <w:szCs w:val="20"/>
              </w:rPr>
              <w:t xml:space="preserve">75% of 19,113 community members (10,423 men/boys and 8690 women/girls) playing an active role to address GBV in their communities (Note: target was updated with sex disaggregation and reduced to 65% men (6,775) and 63% women (5,474) because the program ended </w:t>
            </w:r>
            <w:r>
              <w:rPr>
                <w:rFonts w:eastAsiaTheme="majorEastAsia" w:cstheme="minorHAnsi"/>
                <w:i/>
                <w:sz w:val="20"/>
                <w:szCs w:val="20"/>
              </w:rPr>
              <w:t>early</w:t>
            </w:r>
            <w:r w:rsidRPr="009E3C7A">
              <w:rPr>
                <w:rFonts w:eastAsiaTheme="majorEastAsia" w:cstheme="minorHAnsi"/>
                <w:i/>
                <w:sz w:val="20"/>
                <w:szCs w:val="20"/>
              </w:rPr>
              <w:t>)</w:t>
            </w:r>
            <w:r w:rsidR="00A665EC">
              <w:rPr>
                <w:rFonts w:eastAsiaTheme="majorEastAsia" w:cstheme="minorHAnsi"/>
                <w:i/>
                <w:sz w:val="20"/>
                <w:szCs w:val="20"/>
              </w:rPr>
              <w:t xml:space="preserve">. </w:t>
            </w:r>
          </w:p>
          <w:p w14:paraId="0969F846" w14:textId="1A53571B" w:rsidR="001130DD" w:rsidRPr="009E3C7A" w:rsidRDefault="001130DD"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Achieved (exceeded): 68% men (7,087) and 65% (5648) women</w:t>
            </w:r>
          </w:p>
        </w:tc>
      </w:tr>
      <w:tr w:rsidR="006B2462" w:rsidRPr="009E3C7A" w14:paraId="45A21D12" w14:textId="77777777" w:rsidTr="00424DFA">
        <w:tc>
          <w:tcPr>
            <w:tcW w:w="2095" w:type="dxa"/>
          </w:tcPr>
          <w:p w14:paraId="7FE9995D" w14:textId="77777777" w:rsidR="00A665EC" w:rsidRDefault="006B2462"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lastRenderedPageBreak/>
              <w:t>Objective 2</w:t>
            </w:r>
            <w:r w:rsidR="00A665EC">
              <w:rPr>
                <w:rFonts w:eastAsiaTheme="majorEastAsia" w:cstheme="minorHAnsi"/>
                <w:b/>
                <w:sz w:val="20"/>
                <w:szCs w:val="20"/>
              </w:rPr>
              <w:t>.</w:t>
            </w:r>
          </w:p>
          <w:p w14:paraId="26AD2E91" w14:textId="3729FAFC" w:rsidR="006B2462" w:rsidRPr="009E3C7A" w:rsidRDefault="006B2462"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t>Improved water, food and economic security</w:t>
            </w:r>
          </w:p>
          <w:p w14:paraId="5CE02EF1" w14:textId="77777777" w:rsidR="006B2462" w:rsidRPr="009E3C7A" w:rsidRDefault="006B2462" w:rsidP="001D6405">
            <w:pPr>
              <w:pStyle w:val="BodyText"/>
              <w:spacing w:before="40" w:after="40" w:line="240" w:lineRule="auto"/>
              <w:rPr>
                <w:rFonts w:eastAsiaTheme="majorEastAsia" w:cstheme="minorHAnsi"/>
                <w:sz w:val="20"/>
                <w:szCs w:val="20"/>
              </w:rPr>
            </w:pPr>
          </w:p>
          <w:p w14:paraId="1F75AB38" w14:textId="43D152F8" w:rsidR="006B2462" w:rsidRPr="009E3C7A" w:rsidRDefault="006B2462"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t>2.1</w:t>
            </w:r>
            <w:r w:rsidRPr="009E3C7A">
              <w:rPr>
                <w:rFonts w:eastAsiaTheme="majorEastAsia" w:cstheme="minorHAnsi"/>
                <w:sz w:val="20"/>
                <w:szCs w:val="20"/>
              </w:rPr>
              <w:t xml:space="preserve"> – Governments, enterprises and smallholders are adopting more sustainable and inclusive agriculture and water security related policies and practices</w:t>
            </w:r>
          </w:p>
          <w:p w14:paraId="3DDE8590" w14:textId="6F356389" w:rsidR="006B2462" w:rsidRPr="009E3C7A" w:rsidRDefault="006B2462"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t xml:space="preserve">2.2 </w:t>
            </w:r>
            <w:r w:rsidRPr="009E3C7A">
              <w:rPr>
                <w:rFonts w:eastAsiaTheme="majorEastAsia" w:cstheme="minorHAnsi"/>
                <w:sz w:val="20"/>
                <w:szCs w:val="20"/>
              </w:rPr>
              <w:t>– Improved food security and nutrition for women and children in target communities</w:t>
            </w:r>
          </w:p>
          <w:p w14:paraId="2671C207" w14:textId="4FF146C0" w:rsidR="006B2462" w:rsidRPr="009E3C7A" w:rsidRDefault="006B2462" w:rsidP="001D6405">
            <w:pPr>
              <w:pStyle w:val="BodyText"/>
              <w:spacing w:before="40" w:after="40" w:line="240" w:lineRule="auto"/>
              <w:rPr>
                <w:rFonts w:eastAsiaTheme="majorEastAsia" w:cstheme="minorHAnsi"/>
                <w:caps/>
                <w:sz w:val="20"/>
                <w:szCs w:val="20"/>
              </w:rPr>
            </w:pPr>
            <w:r w:rsidRPr="00A665EC">
              <w:rPr>
                <w:rFonts w:asciiTheme="majorHAnsi" w:eastAsiaTheme="majorEastAsia" w:hAnsiTheme="majorHAnsi" w:cstheme="majorHAnsi"/>
                <w:sz w:val="20"/>
                <w:szCs w:val="20"/>
              </w:rPr>
              <w:t>2.3</w:t>
            </w:r>
            <w:r w:rsidRPr="009E3C7A">
              <w:rPr>
                <w:rFonts w:eastAsiaTheme="majorEastAsia" w:cstheme="minorHAnsi"/>
                <w:sz w:val="20"/>
                <w:szCs w:val="20"/>
              </w:rPr>
              <w:t xml:space="preserve"> – Poor men and women excluded groups benefit from more inclusive market systems in target sectors</w:t>
            </w:r>
          </w:p>
        </w:tc>
        <w:tc>
          <w:tcPr>
            <w:tcW w:w="2862" w:type="dxa"/>
          </w:tcPr>
          <w:p w14:paraId="1584EDAB" w14:textId="77777777" w:rsidR="006B2462" w:rsidRDefault="006B2462"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2.1.1</w:t>
            </w:r>
            <w:r w:rsidRPr="009E3C7A">
              <w:rPr>
                <w:rFonts w:eastAsiaTheme="majorEastAsia" w:cstheme="minorHAnsi"/>
                <w:caps/>
                <w:sz w:val="20"/>
                <w:szCs w:val="20"/>
              </w:rPr>
              <w:t xml:space="preserve"> </w:t>
            </w:r>
            <w:r w:rsidRPr="009E3C7A">
              <w:rPr>
                <w:rFonts w:eastAsiaTheme="majorEastAsia" w:cstheme="minorHAnsi"/>
                <w:sz w:val="20"/>
                <w:szCs w:val="20"/>
              </w:rPr>
              <w:t>Evidence of approaches and knowledge generated that contribute to improved policy and practices in water and agriculture sectors</w:t>
            </w:r>
            <w:r w:rsidR="00A665EC">
              <w:rPr>
                <w:rFonts w:eastAsiaTheme="majorEastAsia" w:cstheme="minorHAnsi"/>
                <w:sz w:val="20"/>
                <w:szCs w:val="20"/>
              </w:rPr>
              <w:t>.</w:t>
            </w:r>
          </w:p>
          <w:p w14:paraId="69CBF064" w14:textId="77777777" w:rsidR="00A665EC" w:rsidRDefault="00A665EC" w:rsidP="00A665EC">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2.1.2</w:t>
            </w:r>
            <w:r w:rsidRPr="009E3C7A">
              <w:rPr>
                <w:rFonts w:eastAsiaTheme="majorEastAsia" w:cstheme="minorHAnsi"/>
                <w:caps/>
                <w:sz w:val="20"/>
                <w:szCs w:val="20"/>
              </w:rPr>
              <w:t xml:space="preserve"> </w:t>
            </w:r>
            <w:r w:rsidRPr="009E3C7A">
              <w:rPr>
                <w:rFonts w:eastAsiaTheme="majorEastAsia" w:cstheme="minorHAnsi"/>
                <w:sz w:val="20"/>
                <w:szCs w:val="20"/>
              </w:rPr>
              <w:t>Number of poor women and men who adopt innovative agricultural practices</w:t>
            </w:r>
            <w:r>
              <w:rPr>
                <w:rFonts w:eastAsiaTheme="majorEastAsia" w:cstheme="minorHAnsi"/>
                <w:sz w:val="20"/>
                <w:szCs w:val="20"/>
              </w:rPr>
              <w:t>.</w:t>
            </w:r>
          </w:p>
          <w:p w14:paraId="2AD78AC1" w14:textId="095309AE" w:rsidR="00A665EC" w:rsidRDefault="00A665EC" w:rsidP="00A665EC">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2.2.1</w:t>
            </w:r>
            <w:r w:rsidRPr="009E3C7A">
              <w:rPr>
                <w:rFonts w:eastAsiaTheme="majorEastAsia" w:cstheme="minorHAnsi"/>
                <w:caps/>
                <w:sz w:val="20"/>
                <w:szCs w:val="20"/>
              </w:rPr>
              <w:t xml:space="preserve"> </w:t>
            </w:r>
            <w:r w:rsidRPr="009E3C7A">
              <w:rPr>
                <w:rFonts w:eastAsiaTheme="majorEastAsia" w:cstheme="minorHAnsi"/>
                <w:sz w:val="20"/>
                <w:szCs w:val="20"/>
              </w:rPr>
              <w:t>Number of targeted beneficiaries including women and children receiving cash / food transfers and nutrition specific services</w:t>
            </w:r>
            <w:r>
              <w:rPr>
                <w:rFonts w:eastAsiaTheme="majorEastAsia" w:cstheme="minorHAnsi"/>
                <w:sz w:val="20"/>
                <w:szCs w:val="20"/>
              </w:rPr>
              <w:t>.</w:t>
            </w:r>
          </w:p>
          <w:p w14:paraId="27388C0D" w14:textId="77777777" w:rsidR="00A665EC" w:rsidRDefault="00A665EC"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t>2.3.1</w:t>
            </w:r>
            <w:r w:rsidRPr="009E3C7A">
              <w:rPr>
                <w:rFonts w:eastAsiaTheme="majorEastAsia" w:cstheme="minorHAnsi"/>
                <w:caps/>
                <w:sz w:val="20"/>
                <w:szCs w:val="20"/>
              </w:rPr>
              <w:t xml:space="preserve"> </w:t>
            </w:r>
            <w:r w:rsidRPr="009E3C7A">
              <w:rPr>
                <w:rFonts w:eastAsiaTheme="majorEastAsia" w:cstheme="minorHAnsi"/>
                <w:sz w:val="20"/>
                <w:szCs w:val="20"/>
              </w:rPr>
              <w:t>Number of poor women and men with increased incomes in target areas</w:t>
            </w:r>
            <w:r>
              <w:rPr>
                <w:rFonts w:eastAsiaTheme="majorEastAsia" w:cstheme="minorHAnsi"/>
                <w:sz w:val="20"/>
                <w:szCs w:val="20"/>
              </w:rPr>
              <w:t>.</w:t>
            </w:r>
          </w:p>
          <w:p w14:paraId="752D3D76" w14:textId="4811AEA6" w:rsidR="00A665EC" w:rsidRPr="009E3C7A" w:rsidRDefault="00A665EC" w:rsidP="001D6405">
            <w:pPr>
              <w:pStyle w:val="BodyText"/>
              <w:spacing w:before="40" w:after="40" w:line="240" w:lineRule="auto"/>
              <w:rPr>
                <w:rFonts w:eastAsiaTheme="majorEastAsia" w:cstheme="minorHAnsi"/>
                <w:caps/>
                <w:sz w:val="20"/>
                <w:szCs w:val="20"/>
              </w:rPr>
            </w:pPr>
            <w:r w:rsidRPr="00A665EC">
              <w:rPr>
                <w:rFonts w:asciiTheme="majorHAnsi" w:eastAsiaTheme="majorEastAsia" w:hAnsiTheme="majorHAnsi" w:cstheme="majorHAnsi"/>
                <w:caps/>
                <w:sz w:val="20"/>
                <w:szCs w:val="20"/>
              </w:rPr>
              <w:t>2.3.2</w:t>
            </w:r>
            <w:r w:rsidRPr="009E3C7A">
              <w:rPr>
                <w:rFonts w:eastAsiaTheme="majorEastAsia" w:cstheme="minorHAnsi"/>
                <w:caps/>
                <w:sz w:val="20"/>
                <w:szCs w:val="20"/>
              </w:rPr>
              <w:t xml:space="preserve"> </w:t>
            </w:r>
            <w:r w:rsidRPr="009E3C7A">
              <w:rPr>
                <w:rFonts w:eastAsiaTheme="majorEastAsia" w:cstheme="minorHAnsi"/>
                <w:sz w:val="20"/>
                <w:szCs w:val="20"/>
              </w:rPr>
              <w:t>% of women beneficiaries who report increased involvement in economic decision-making at household level in targeted areas</w:t>
            </w:r>
            <w:r>
              <w:rPr>
                <w:rFonts w:eastAsiaTheme="majorEastAsia" w:cstheme="minorHAnsi"/>
                <w:sz w:val="20"/>
                <w:szCs w:val="20"/>
              </w:rPr>
              <w:t>.</w:t>
            </w:r>
          </w:p>
        </w:tc>
        <w:tc>
          <w:tcPr>
            <w:tcW w:w="5244" w:type="dxa"/>
          </w:tcPr>
          <w:p w14:paraId="2F1E799A" w14:textId="14FDEA32" w:rsidR="00542EAD" w:rsidRDefault="001130DD" w:rsidP="001D6405">
            <w:pPr>
              <w:spacing w:before="0" w:after="0" w:line="240" w:lineRule="auto"/>
              <w:rPr>
                <w:rFonts w:eastAsiaTheme="majorEastAsia" w:cstheme="minorHAnsi"/>
                <w:sz w:val="20"/>
                <w:szCs w:val="20"/>
              </w:rPr>
            </w:pPr>
            <w:r>
              <w:rPr>
                <w:rFonts w:eastAsiaTheme="majorEastAsia" w:cstheme="minorHAnsi"/>
                <w:b/>
                <w:sz w:val="20"/>
                <w:szCs w:val="20"/>
              </w:rPr>
              <w:t xml:space="preserve">~ </w:t>
            </w:r>
            <w:r w:rsidR="006B2462" w:rsidRPr="009E3C7A">
              <w:rPr>
                <w:rFonts w:eastAsiaTheme="majorEastAsia" w:cstheme="minorHAnsi"/>
                <w:b/>
                <w:sz w:val="20"/>
                <w:szCs w:val="20"/>
              </w:rPr>
              <w:t>Target</w:t>
            </w:r>
            <w:r w:rsidR="000C064E" w:rsidRPr="009E3C7A">
              <w:rPr>
                <w:rFonts w:eastAsiaTheme="majorEastAsia" w:cstheme="minorHAnsi"/>
                <w:b/>
                <w:sz w:val="20"/>
                <w:szCs w:val="20"/>
              </w:rPr>
              <w:t xml:space="preserve">: </w:t>
            </w:r>
            <w:r w:rsidR="006B2462" w:rsidRPr="009E3C7A">
              <w:rPr>
                <w:rFonts w:eastAsiaTheme="majorEastAsia" w:cstheme="minorHAnsi"/>
                <w:i/>
                <w:sz w:val="20"/>
                <w:szCs w:val="20"/>
              </w:rPr>
              <w:t>Increased use of evidence in water allocation decisions at national and provincial level</w:t>
            </w:r>
            <w:r w:rsidR="006B2462" w:rsidRPr="009E3C7A">
              <w:rPr>
                <w:rFonts w:eastAsiaTheme="majorEastAsia" w:cstheme="minorHAnsi"/>
                <w:sz w:val="20"/>
                <w:szCs w:val="20"/>
              </w:rPr>
              <w:t xml:space="preserve"> was achieved. </w:t>
            </w:r>
          </w:p>
          <w:p w14:paraId="639BDD8A" w14:textId="0C5EE25B" w:rsidR="006B2462" w:rsidRPr="00A05037" w:rsidRDefault="006B2462" w:rsidP="001D6405">
            <w:pPr>
              <w:spacing w:before="0" w:after="0" w:line="240" w:lineRule="auto"/>
              <w:rPr>
                <w:rFonts w:cstheme="minorHAnsi"/>
                <w:sz w:val="20"/>
                <w:szCs w:val="20"/>
              </w:rPr>
            </w:pPr>
            <w:r w:rsidRPr="00A05037">
              <w:rPr>
                <w:rFonts w:eastAsia="Times New Roman" w:cstheme="minorHAnsi"/>
                <w:iCs/>
                <w:sz w:val="20"/>
                <w:szCs w:val="20"/>
              </w:rPr>
              <w:t xml:space="preserve">CSIRO in partnership with the federal and provincial governments successfully used the </w:t>
            </w:r>
            <w:r w:rsidRPr="00A05037">
              <w:rPr>
                <w:rFonts w:eastAsia="Times New Roman" w:cstheme="minorHAnsi"/>
                <w:sz w:val="20"/>
                <w:szCs w:val="20"/>
                <w:lang w:eastAsia="en-AU"/>
              </w:rPr>
              <w:t>Water Apportionment Accord tool to accurately calculate provincial</w:t>
            </w:r>
            <w:r w:rsidR="00F81A87" w:rsidRPr="00A05037">
              <w:rPr>
                <w:rFonts w:eastAsia="Times New Roman" w:cstheme="minorHAnsi"/>
                <w:sz w:val="20"/>
                <w:szCs w:val="20"/>
                <w:lang w:eastAsia="en-AU"/>
              </w:rPr>
              <w:t xml:space="preserve"> water allocation</w:t>
            </w:r>
          </w:p>
          <w:p w14:paraId="6D8ED2C5" w14:textId="386F3490" w:rsidR="006B2462" w:rsidRPr="009E3C7A" w:rsidRDefault="00363114" w:rsidP="001D6405">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w:t>
            </w:r>
            <w:r w:rsidR="006B2462" w:rsidRPr="009E3C7A">
              <w:rPr>
                <w:rFonts w:eastAsiaTheme="majorEastAsia" w:cstheme="minorHAnsi"/>
                <w:b/>
                <w:sz w:val="20"/>
                <w:szCs w:val="20"/>
              </w:rPr>
              <w:t xml:space="preserve">: </w:t>
            </w:r>
            <w:r w:rsidR="006B2462" w:rsidRPr="009E3C7A">
              <w:rPr>
                <w:rFonts w:eastAsiaTheme="majorEastAsia" w:cstheme="minorHAnsi"/>
                <w:i/>
                <w:sz w:val="20"/>
                <w:szCs w:val="20"/>
              </w:rPr>
              <w:t>Research underway highlighting links between water scarcity and population</w:t>
            </w:r>
          </w:p>
          <w:p w14:paraId="1B38AF07" w14:textId="7F2976B9" w:rsidR="006B2462" w:rsidRPr="009E3C7A" w:rsidRDefault="006B2462" w:rsidP="001D6405">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 xml:space="preserve">This target </w:t>
            </w:r>
            <w:r w:rsidR="00363114" w:rsidRPr="009E3C7A">
              <w:rPr>
                <w:rFonts w:eastAsiaTheme="majorEastAsia" w:cstheme="minorHAnsi"/>
                <w:sz w:val="20"/>
                <w:szCs w:val="20"/>
              </w:rPr>
              <w:t xml:space="preserve">is </w:t>
            </w:r>
            <w:r w:rsidRPr="009E3C7A">
              <w:rPr>
                <w:rFonts w:eastAsiaTheme="majorEastAsia" w:cstheme="minorHAnsi"/>
                <w:sz w:val="20"/>
                <w:szCs w:val="20"/>
              </w:rPr>
              <w:t xml:space="preserve">no longer relevant as it was removed from the </w:t>
            </w:r>
            <w:r w:rsidR="00B10729">
              <w:rPr>
                <w:rFonts w:eastAsiaTheme="majorEastAsia" w:cstheme="minorHAnsi"/>
                <w:sz w:val="20"/>
                <w:szCs w:val="20"/>
              </w:rPr>
              <w:t>revised</w:t>
            </w:r>
            <w:r w:rsidRPr="009E3C7A">
              <w:rPr>
                <w:rFonts w:eastAsiaTheme="majorEastAsia" w:cstheme="minorHAnsi"/>
                <w:sz w:val="20"/>
                <w:szCs w:val="20"/>
              </w:rPr>
              <w:t xml:space="preserve"> version of the </w:t>
            </w:r>
            <w:r w:rsidR="00FC248B" w:rsidRPr="009E3C7A">
              <w:rPr>
                <w:rFonts w:eastAsiaTheme="majorEastAsia" w:cstheme="minorHAnsi"/>
                <w:sz w:val="20"/>
                <w:szCs w:val="20"/>
              </w:rPr>
              <w:t xml:space="preserve">Gender Policy Engagement Plan (refer 1.2.1 above) </w:t>
            </w:r>
          </w:p>
          <w:p w14:paraId="789A7E9C" w14:textId="77777777" w:rsidR="000C064E" w:rsidRPr="009E3C7A" w:rsidRDefault="00AF5E9A" w:rsidP="001D6405">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w:t>
            </w:r>
            <w:r w:rsidR="006B2462" w:rsidRPr="009E3C7A">
              <w:rPr>
                <w:rFonts w:eastAsiaTheme="majorEastAsia" w:cstheme="minorHAnsi"/>
                <w:b/>
                <w:sz w:val="20"/>
                <w:szCs w:val="20"/>
              </w:rPr>
              <w:t xml:space="preserve">: </w:t>
            </w:r>
            <w:r w:rsidR="006B2462" w:rsidRPr="009E3C7A">
              <w:rPr>
                <w:rFonts w:eastAsiaTheme="majorEastAsia" w:cstheme="minorHAnsi"/>
                <w:i/>
                <w:sz w:val="20"/>
                <w:szCs w:val="20"/>
              </w:rPr>
              <w:t>Agriculture policies in Punjab and Balochistan more sensitive to the needs o</w:t>
            </w:r>
            <w:r w:rsidRPr="009E3C7A">
              <w:rPr>
                <w:rFonts w:eastAsiaTheme="majorEastAsia" w:cstheme="minorHAnsi"/>
                <w:i/>
                <w:sz w:val="20"/>
                <w:szCs w:val="20"/>
              </w:rPr>
              <w:t>f poor and marginalised farmers</w:t>
            </w:r>
          </w:p>
          <w:p w14:paraId="3AB12E68" w14:textId="77777777" w:rsidR="00AF5E9A" w:rsidRDefault="00F81A87" w:rsidP="00F81A87">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 xml:space="preserve">Under </w:t>
            </w:r>
            <w:r w:rsidR="00E201A3" w:rsidRPr="009E3C7A">
              <w:rPr>
                <w:rFonts w:eastAsiaTheme="majorEastAsia" w:cstheme="minorHAnsi"/>
                <w:sz w:val="20"/>
                <w:szCs w:val="20"/>
              </w:rPr>
              <w:t xml:space="preserve">the </w:t>
            </w:r>
            <w:r w:rsidR="00E201A3" w:rsidRPr="009E3C7A">
              <w:rPr>
                <w:rFonts w:eastAsia="Times New Roman" w:cstheme="minorHAnsi"/>
                <w:sz w:val="20"/>
                <w:szCs w:val="20"/>
              </w:rPr>
              <w:t>Australian Assistance to Agricultural Development in Balochistan Border Areas program Phase II (</w:t>
            </w:r>
            <w:proofErr w:type="spellStart"/>
            <w:r w:rsidRPr="009E3C7A">
              <w:rPr>
                <w:rFonts w:eastAsiaTheme="majorEastAsia" w:cstheme="minorHAnsi"/>
                <w:sz w:val="20"/>
                <w:szCs w:val="20"/>
              </w:rPr>
              <w:t>AusABBAII</w:t>
            </w:r>
            <w:proofErr w:type="spellEnd"/>
            <w:r w:rsidR="00E201A3" w:rsidRPr="009E3C7A">
              <w:rPr>
                <w:rFonts w:eastAsiaTheme="majorEastAsia" w:cstheme="minorHAnsi"/>
                <w:sz w:val="20"/>
                <w:szCs w:val="20"/>
              </w:rPr>
              <w:t>)</w:t>
            </w:r>
            <w:r w:rsidRPr="009E3C7A">
              <w:rPr>
                <w:rFonts w:eastAsiaTheme="majorEastAsia" w:cstheme="minorHAnsi"/>
                <w:sz w:val="20"/>
                <w:szCs w:val="20"/>
              </w:rPr>
              <w:t>, t</w:t>
            </w:r>
            <w:r w:rsidR="00885236" w:rsidRPr="009E3C7A">
              <w:rPr>
                <w:rFonts w:eastAsiaTheme="majorEastAsia" w:cstheme="minorHAnsi"/>
                <w:sz w:val="20"/>
                <w:szCs w:val="20"/>
              </w:rPr>
              <w:t xml:space="preserve">he Balochistan Livestock Policy 2020-2030 was launched to transform the livestock sector, which </w:t>
            </w:r>
            <w:r w:rsidR="00963A63" w:rsidRPr="009E3C7A">
              <w:rPr>
                <w:rFonts w:eastAsiaTheme="majorEastAsia" w:cstheme="minorHAnsi"/>
                <w:sz w:val="20"/>
                <w:szCs w:val="20"/>
              </w:rPr>
              <w:t>is expected to benefit</w:t>
            </w:r>
            <w:r w:rsidR="00885236" w:rsidRPr="009E3C7A">
              <w:rPr>
                <w:rFonts w:eastAsiaTheme="majorEastAsia" w:cstheme="minorHAnsi"/>
                <w:sz w:val="20"/>
                <w:szCs w:val="20"/>
              </w:rPr>
              <w:t xml:space="preserve"> over </w:t>
            </w:r>
            <w:r w:rsidR="00963A63" w:rsidRPr="009E3C7A">
              <w:rPr>
                <w:rFonts w:eastAsiaTheme="majorEastAsia" w:cstheme="minorHAnsi"/>
                <w:sz w:val="20"/>
                <w:szCs w:val="20"/>
              </w:rPr>
              <w:t>a</w:t>
            </w:r>
            <w:r w:rsidR="00885236" w:rsidRPr="009E3C7A">
              <w:rPr>
                <w:rFonts w:eastAsiaTheme="majorEastAsia" w:cstheme="minorHAnsi"/>
                <w:sz w:val="20"/>
                <w:szCs w:val="20"/>
              </w:rPr>
              <w:t xml:space="preserve"> million farming families in the province.</w:t>
            </w:r>
            <w:r w:rsidR="00D76622" w:rsidRPr="009E3C7A">
              <w:rPr>
                <w:rFonts w:eastAsiaTheme="majorEastAsia" w:cstheme="minorHAnsi"/>
                <w:sz w:val="20"/>
                <w:szCs w:val="20"/>
              </w:rPr>
              <w:t xml:space="preserve"> </w:t>
            </w:r>
            <w:r w:rsidR="004B04CD" w:rsidRPr="009E3C7A">
              <w:rPr>
                <w:rFonts w:eastAsiaTheme="majorEastAsia" w:cstheme="minorHAnsi"/>
                <w:sz w:val="20"/>
                <w:szCs w:val="20"/>
              </w:rPr>
              <w:t>The World Bank’s ‘</w:t>
            </w:r>
            <w:r w:rsidR="00963A63" w:rsidRPr="009E3C7A">
              <w:rPr>
                <w:rFonts w:eastAsiaTheme="majorEastAsia" w:cstheme="minorHAnsi"/>
                <w:sz w:val="20"/>
                <w:szCs w:val="20"/>
              </w:rPr>
              <w:t>SMART</w:t>
            </w:r>
            <w:r w:rsidR="004B04CD" w:rsidRPr="009E3C7A">
              <w:rPr>
                <w:rFonts w:eastAsiaTheme="majorEastAsia" w:cstheme="minorHAnsi"/>
                <w:sz w:val="20"/>
                <w:szCs w:val="20"/>
              </w:rPr>
              <w:t>’</w:t>
            </w:r>
            <w:r w:rsidR="00963A63" w:rsidRPr="009E3C7A">
              <w:rPr>
                <w:rFonts w:eastAsiaTheme="majorEastAsia" w:cstheme="minorHAnsi"/>
                <w:sz w:val="20"/>
                <w:szCs w:val="20"/>
              </w:rPr>
              <w:t xml:space="preserve"> </w:t>
            </w:r>
            <w:r w:rsidR="004B04CD" w:rsidRPr="009E3C7A">
              <w:rPr>
                <w:rFonts w:eastAsiaTheme="majorEastAsia" w:cstheme="minorHAnsi"/>
                <w:sz w:val="20"/>
                <w:szCs w:val="20"/>
              </w:rPr>
              <w:t xml:space="preserve">project </w:t>
            </w:r>
            <w:r w:rsidR="00963A63" w:rsidRPr="009E3C7A">
              <w:rPr>
                <w:rFonts w:eastAsiaTheme="majorEastAsia" w:cstheme="minorHAnsi"/>
                <w:sz w:val="20"/>
                <w:szCs w:val="20"/>
              </w:rPr>
              <w:t>provided recommendations to the Government of Punjab for crop and livestock insurance options for 5.2 million mainly small-scale farmers and livestock producers</w:t>
            </w:r>
            <w:r w:rsidR="00905C60" w:rsidRPr="009E3C7A">
              <w:rPr>
                <w:rFonts w:eastAsiaTheme="majorEastAsia" w:cstheme="minorHAnsi"/>
                <w:sz w:val="20"/>
                <w:szCs w:val="20"/>
              </w:rPr>
              <w:t xml:space="preserve"> in Punjab</w:t>
            </w:r>
            <w:r w:rsidR="00A665EC">
              <w:rPr>
                <w:rFonts w:eastAsiaTheme="majorEastAsia" w:cstheme="minorHAnsi"/>
                <w:sz w:val="20"/>
                <w:szCs w:val="20"/>
              </w:rPr>
              <w:t>.</w:t>
            </w:r>
          </w:p>
          <w:p w14:paraId="19A251AB" w14:textId="2D01796E" w:rsidR="00A665EC" w:rsidRDefault="00A665EC" w:rsidP="00A665EC">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w:t>
            </w:r>
            <w:proofErr w:type="spellStart"/>
            <w:r w:rsidRPr="009E3C7A">
              <w:rPr>
                <w:rFonts w:eastAsiaTheme="majorEastAsia" w:cstheme="minorHAnsi"/>
                <w:b/>
                <w:sz w:val="20"/>
                <w:szCs w:val="20"/>
              </w:rPr>
              <w:t>AusABBA</w:t>
            </w:r>
            <w:proofErr w:type="spellEnd"/>
            <w:r w:rsidRPr="009E3C7A">
              <w:rPr>
                <w:rFonts w:eastAsiaTheme="majorEastAsia" w:cstheme="minorHAnsi"/>
                <w:b/>
                <w:sz w:val="20"/>
                <w:szCs w:val="20"/>
              </w:rPr>
              <w:t xml:space="preserve"> II): </w:t>
            </w:r>
            <w:r w:rsidRPr="009E3C7A">
              <w:rPr>
                <w:rFonts w:eastAsiaTheme="majorEastAsia" w:cstheme="minorHAnsi"/>
                <w:i/>
                <w:sz w:val="20"/>
                <w:szCs w:val="20"/>
              </w:rPr>
              <w:t>Total 3,000 incl. 1,800 men and 1,200 women</w:t>
            </w:r>
            <w:r>
              <w:rPr>
                <w:rFonts w:eastAsiaTheme="majorEastAsia" w:cstheme="minorHAnsi"/>
                <w:i/>
                <w:sz w:val="20"/>
                <w:szCs w:val="20"/>
              </w:rPr>
              <w:t xml:space="preserve">. </w:t>
            </w:r>
            <w:r w:rsidRPr="009E3C7A">
              <w:rPr>
                <w:rFonts w:eastAsiaTheme="majorEastAsia" w:cstheme="minorHAnsi"/>
                <w:sz w:val="20"/>
                <w:szCs w:val="20"/>
              </w:rPr>
              <w:t>Data not yet available</w:t>
            </w:r>
            <w:r>
              <w:rPr>
                <w:rFonts w:eastAsiaTheme="majorEastAsia" w:cstheme="minorHAnsi"/>
                <w:sz w:val="20"/>
                <w:szCs w:val="20"/>
              </w:rPr>
              <w:t>.</w:t>
            </w:r>
          </w:p>
          <w:p w14:paraId="5CA3ACF1" w14:textId="77777777" w:rsidR="00A665EC" w:rsidRPr="009E3C7A" w:rsidRDefault="00A665EC" w:rsidP="00A665EC">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(WFP):</w:t>
            </w:r>
            <w:r w:rsidRPr="009E3C7A">
              <w:rPr>
                <w:rFonts w:eastAsiaTheme="majorEastAsia" w:cstheme="minorHAnsi"/>
                <w:sz w:val="20"/>
                <w:szCs w:val="20"/>
              </w:rPr>
              <w:t xml:space="preserve"> 69,800</w:t>
            </w:r>
          </w:p>
          <w:p w14:paraId="0E2E90C4" w14:textId="77777777" w:rsidR="00A665EC" w:rsidRPr="009E3C7A"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This target was for a discrete nutrition initiative, selected as a sample of DFAT-funded work. It was achieved.</w:t>
            </w:r>
          </w:p>
          <w:p w14:paraId="2B74624E" w14:textId="77777777" w:rsidR="00A665EC" w:rsidRPr="009E3C7A"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WFP did not reach the overall targets in its Country Strategic Plan which is funded by multiple donors including DFAT.</w:t>
            </w:r>
          </w:p>
          <w:p w14:paraId="2AEC1F88" w14:textId="77777777" w:rsidR="00A665EC" w:rsidRPr="009E3C7A"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 (MDTF-N):</w:t>
            </w:r>
            <w:r w:rsidRPr="009E3C7A">
              <w:rPr>
                <w:rFonts w:eastAsiaTheme="majorEastAsia" w:cstheme="minorHAnsi"/>
                <w:sz w:val="20"/>
                <w:szCs w:val="20"/>
              </w:rPr>
              <w:t xml:space="preserve"> </w:t>
            </w:r>
            <w:r w:rsidRPr="009E3C7A">
              <w:rPr>
                <w:rFonts w:eastAsiaTheme="majorEastAsia" w:cstheme="minorHAnsi"/>
                <w:i/>
                <w:sz w:val="20"/>
                <w:szCs w:val="20"/>
              </w:rPr>
              <w:t>275,000 / 20% of total target population</w:t>
            </w:r>
          </w:p>
          <w:p w14:paraId="3F826C0A" w14:textId="77777777" w:rsidR="00A665EC"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Achieved (exceeded): 700,436 / 50.9%</w:t>
            </w:r>
            <w:r>
              <w:rPr>
                <w:rFonts w:eastAsiaTheme="majorEastAsia" w:cstheme="minorHAnsi"/>
                <w:sz w:val="20"/>
                <w:szCs w:val="20"/>
              </w:rPr>
              <w:t>.</w:t>
            </w:r>
          </w:p>
          <w:p w14:paraId="48BA151D" w14:textId="77777777" w:rsidR="00A665EC" w:rsidRPr="009E3C7A" w:rsidRDefault="00A665EC" w:rsidP="00A665EC">
            <w:pPr>
              <w:pStyle w:val="BodyText"/>
              <w:spacing w:before="40" w:after="40" w:line="240" w:lineRule="auto"/>
              <w:rPr>
                <w:rFonts w:eastAsiaTheme="majorEastAsia" w:cstheme="minorHAnsi"/>
                <w:sz w:val="20"/>
                <w:szCs w:val="20"/>
              </w:rPr>
            </w:pPr>
            <w:r>
              <w:rPr>
                <w:rFonts w:eastAsiaTheme="majorEastAsia" w:cstheme="minorHAnsi"/>
                <w:b/>
                <w:sz w:val="20"/>
                <w:szCs w:val="20"/>
              </w:rPr>
              <w:t xml:space="preserve">~ </w:t>
            </w:r>
            <w:r w:rsidRPr="009E3C7A">
              <w:rPr>
                <w:rFonts w:eastAsiaTheme="majorEastAsia" w:cstheme="minorHAnsi"/>
                <w:b/>
                <w:sz w:val="20"/>
                <w:szCs w:val="20"/>
              </w:rPr>
              <w:t>Target (MDF):</w:t>
            </w:r>
            <w:r w:rsidRPr="009E3C7A">
              <w:rPr>
                <w:rFonts w:eastAsiaTheme="majorEastAsia" w:cstheme="minorHAnsi"/>
                <w:sz w:val="20"/>
                <w:szCs w:val="20"/>
              </w:rPr>
              <w:t xml:space="preserve"> </w:t>
            </w:r>
            <w:r w:rsidRPr="009E3C7A">
              <w:rPr>
                <w:rFonts w:eastAsiaTheme="majorEastAsia" w:cstheme="minorHAnsi"/>
                <w:i/>
                <w:sz w:val="20"/>
                <w:szCs w:val="20"/>
              </w:rPr>
              <w:t>45,122 incl. 27,073 men and 18,049 women</w:t>
            </w:r>
          </w:p>
          <w:p w14:paraId="25C8E19D" w14:textId="77777777" w:rsidR="00A665EC"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Achieved (exceeded): 138,620 incl. 71,910 men and</w:t>
            </w:r>
            <w:r>
              <w:rPr>
                <w:rFonts w:eastAsiaTheme="majorEastAsia" w:cstheme="minorHAnsi"/>
                <w:sz w:val="20"/>
                <w:szCs w:val="20"/>
              </w:rPr>
              <w:t xml:space="preserve"> </w:t>
            </w:r>
            <w:r w:rsidRPr="009E3C7A">
              <w:rPr>
                <w:rFonts w:eastAsiaTheme="majorEastAsia" w:cstheme="minorHAnsi"/>
                <w:sz w:val="20"/>
                <w:szCs w:val="20"/>
              </w:rPr>
              <w:t>66,710 women</w:t>
            </w:r>
            <w:r>
              <w:rPr>
                <w:rFonts w:eastAsiaTheme="majorEastAsia" w:cstheme="minorHAnsi"/>
                <w:sz w:val="20"/>
                <w:szCs w:val="20"/>
              </w:rPr>
              <w:t>.</w:t>
            </w:r>
          </w:p>
          <w:p w14:paraId="371E9CE4" w14:textId="77777777" w:rsidR="00A665EC" w:rsidRPr="009E3C7A"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t>Target (</w:t>
            </w:r>
            <w:proofErr w:type="spellStart"/>
            <w:r w:rsidRPr="009E3C7A">
              <w:rPr>
                <w:rFonts w:eastAsiaTheme="majorEastAsia" w:cstheme="minorHAnsi"/>
                <w:b/>
                <w:sz w:val="20"/>
                <w:szCs w:val="20"/>
              </w:rPr>
              <w:t>AusABBA</w:t>
            </w:r>
            <w:proofErr w:type="spellEnd"/>
            <w:r w:rsidRPr="009E3C7A">
              <w:rPr>
                <w:rFonts w:eastAsiaTheme="majorEastAsia" w:cstheme="minorHAnsi"/>
                <w:b/>
                <w:sz w:val="20"/>
                <w:szCs w:val="20"/>
              </w:rPr>
              <w:t xml:space="preserve"> II):</w:t>
            </w:r>
            <w:r w:rsidRPr="009E3C7A">
              <w:rPr>
                <w:rFonts w:eastAsiaTheme="majorEastAsia" w:cstheme="minorHAnsi"/>
                <w:sz w:val="20"/>
                <w:szCs w:val="20"/>
              </w:rPr>
              <w:t xml:space="preserve"> </w:t>
            </w:r>
            <w:r w:rsidRPr="009E3C7A">
              <w:rPr>
                <w:rFonts w:eastAsiaTheme="majorEastAsia" w:cstheme="minorHAnsi"/>
                <w:i/>
                <w:sz w:val="20"/>
                <w:szCs w:val="20"/>
              </w:rPr>
              <w:t>550 / 25% of 2,200 women report increased involvement in economic decision-making at household level</w:t>
            </w:r>
          </w:p>
          <w:p w14:paraId="689F62E7" w14:textId="6EB7E535" w:rsidR="00A665EC" w:rsidRPr="009E3C7A" w:rsidRDefault="00A665EC" w:rsidP="00A665EC">
            <w:pPr>
              <w:pStyle w:val="BodyText"/>
              <w:spacing w:before="40" w:after="40" w:line="240" w:lineRule="auto"/>
              <w:rPr>
                <w:rFonts w:eastAsiaTheme="majorEastAsia" w:cstheme="minorHAnsi"/>
                <w:sz w:val="20"/>
                <w:szCs w:val="20"/>
              </w:rPr>
            </w:pPr>
            <w:r w:rsidRPr="009E3C7A">
              <w:rPr>
                <w:rFonts w:eastAsiaTheme="majorEastAsia" w:cstheme="minorHAnsi"/>
                <w:sz w:val="20"/>
                <w:szCs w:val="20"/>
              </w:rPr>
              <w:t>Full data is not currently available from the program to report against this indicator. Small-scale surveys and monitoring missions have indicated that increased household incomes have improved women’s say in household decision-making. The ‘end of project’ survey scheduled for October 2020 will corroborate impact level results</w:t>
            </w:r>
            <w:r>
              <w:rPr>
                <w:rFonts w:eastAsiaTheme="majorEastAsia" w:cstheme="minorHAnsi"/>
                <w:sz w:val="20"/>
                <w:szCs w:val="20"/>
              </w:rPr>
              <w:t>.</w:t>
            </w:r>
          </w:p>
        </w:tc>
      </w:tr>
      <w:tr w:rsidR="006B2462" w:rsidRPr="009E3C7A" w14:paraId="70768A67" w14:textId="77777777" w:rsidTr="00424DFA">
        <w:tc>
          <w:tcPr>
            <w:tcW w:w="2095" w:type="dxa"/>
          </w:tcPr>
          <w:p w14:paraId="1F9032AB" w14:textId="77777777" w:rsidR="00A665EC" w:rsidRDefault="006B2462"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t>Objective 3</w:t>
            </w:r>
            <w:r w:rsidR="00A665EC">
              <w:rPr>
                <w:rFonts w:eastAsiaTheme="majorEastAsia" w:cstheme="minorHAnsi"/>
                <w:b/>
                <w:sz w:val="20"/>
                <w:szCs w:val="20"/>
              </w:rPr>
              <w:t>.</w:t>
            </w:r>
          </w:p>
          <w:p w14:paraId="0AA05185" w14:textId="39BD5400" w:rsidR="006B2462" w:rsidRPr="009E3C7A" w:rsidRDefault="006B2462" w:rsidP="001D6405">
            <w:pPr>
              <w:pStyle w:val="BodyText"/>
              <w:spacing w:before="40" w:after="40" w:line="240" w:lineRule="auto"/>
              <w:rPr>
                <w:rFonts w:eastAsiaTheme="majorEastAsia" w:cstheme="minorHAnsi"/>
                <w:b/>
                <w:sz w:val="20"/>
                <w:szCs w:val="20"/>
              </w:rPr>
            </w:pPr>
            <w:r w:rsidRPr="009E3C7A">
              <w:rPr>
                <w:rFonts w:eastAsiaTheme="majorEastAsia" w:cstheme="minorHAnsi"/>
                <w:b/>
                <w:sz w:val="20"/>
                <w:szCs w:val="20"/>
              </w:rPr>
              <w:t>Supporting stabilisation and resilience</w:t>
            </w:r>
          </w:p>
          <w:p w14:paraId="4363FF6F" w14:textId="77777777" w:rsidR="006B2462" w:rsidRPr="009E3C7A" w:rsidRDefault="006B2462" w:rsidP="001D6405">
            <w:pPr>
              <w:pStyle w:val="BodyText"/>
              <w:spacing w:before="40" w:after="40" w:line="240" w:lineRule="auto"/>
              <w:rPr>
                <w:rFonts w:eastAsiaTheme="majorEastAsia" w:cstheme="minorHAnsi"/>
                <w:b/>
                <w:sz w:val="20"/>
                <w:szCs w:val="20"/>
              </w:rPr>
            </w:pPr>
          </w:p>
          <w:p w14:paraId="6E4B0DED" w14:textId="47098892" w:rsidR="006B2462" w:rsidRDefault="006B2462"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lastRenderedPageBreak/>
              <w:t>3.1</w:t>
            </w:r>
            <w:r w:rsidRPr="009E3C7A">
              <w:rPr>
                <w:rFonts w:eastAsiaTheme="majorEastAsia" w:cstheme="minorHAnsi"/>
                <w:sz w:val="20"/>
                <w:szCs w:val="20"/>
              </w:rPr>
              <w:t xml:space="preserve"> – Enhanced stability in Pakistan’s border areas</w:t>
            </w:r>
            <w:r w:rsidR="005A47EB">
              <w:rPr>
                <w:rFonts w:eastAsiaTheme="majorEastAsia" w:cstheme="minorHAnsi"/>
                <w:sz w:val="20"/>
                <w:szCs w:val="20"/>
              </w:rPr>
              <w:t>.</w:t>
            </w:r>
          </w:p>
          <w:p w14:paraId="53C92CC5" w14:textId="77777777" w:rsidR="005A47EB" w:rsidRPr="009E3C7A" w:rsidRDefault="005A47EB" w:rsidP="001D6405">
            <w:pPr>
              <w:pStyle w:val="BodyText"/>
              <w:spacing w:before="40" w:after="40" w:line="240" w:lineRule="auto"/>
              <w:rPr>
                <w:rFonts w:eastAsiaTheme="majorEastAsia" w:cstheme="minorHAnsi"/>
                <w:sz w:val="20"/>
                <w:szCs w:val="20"/>
              </w:rPr>
            </w:pPr>
          </w:p>
          <w:p w14:paraId="50623DAD" w14:textId="11809A63" w:rsidR="006B2462" w:rsidRPr="009E3C7A" w:rsidRDefault="005A47EB"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sz w:val="20"/>
                <w:szCs w:val="20"/>
              </w:rPr>
              <w:t>3.2</w:t>
            </w:r>
            <w:r w:rsidRPr="009E3C7A">
              <w:rPr>
                <w:rFonts w:eastAsiaTheme="majorEastAsia" w:cstheme="minorHAnsi"/>
                <w:sz w:val="20"/>
                <w:szCs w:val="20"/>
              </w:rPr>
              <w:t xml:space="preserve"> – Enhanced resilience in Pakistan’s Border areas</w:t>
            </w:r>
            <w:r>
              <w:rPr>
                <w:rFonts w:eastAsiaTheme="majorEastAsia" w:cstheme="minorHAnsi"/>
                <w:sz w:val="20"/>
                <w:szCs w:val="20"/>
              </w:rPr>
              <w:t>.</w:t>
            </w:r>
          </w:p>
          <w:p w14:paraId="63E4E3FF" w14:textId="29BD76F0" w:rsidR="006B2462" w:rsidRPr="009E3C7A" w:rsidRDefault="006B2462" w:rsidP="001D6405">
            <w:pPr>
              <w:pStyle w:val="BodyText"/>
              <w:spacing w:before="40" w:after="40" w:line="240" w:lineRule="auto"/>
              <w:rPr>
                <w:rFonts w:eastAsiaTheme="majorEastAsia" w:cstheme="minorHAnsi"/>
                <w:caps/>
                <w:sz w:val="20"/>
                <w:szCs w:val="20"/>
              </w:rPr>
            </w:pPr>
          </w:p>
        </w:tc>
        <w:tc>
          <w:tcPr>
            <w:tcW w:w="2862" w:type="dxa"/>
          </w:tcPr>
          <w:p w14:paraId="2503B1DB" w14:textId="77777777" w:rsidR="006B2462" w:rsidRDefault="006B2462" w:rsidP="001D6405">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lastRenderedPageBreak/>
              <w:t>3.1.1</w:t>
            </w:r>
            <w:r w:rsidRPr="009E3C7A">
              <w:rPr>
                <w:rFonts w:eastAsiaTheme="majorEastAsia" w:cstheme="minorHAnsi"/>
                <w:caps/>
                <w:sz w:val="20"/>
                <w:szCs w:val="20"/>
              </w:rPr>
              <w:t xml:space="preserve"> </w:t>
            </w:r>
            <w:r w:rsidRPr="009E3C7A">
              <w:rPr>
                <w:rFonts w:eastAsiaTheme="majorEastAsia" w:cstheme="minorHAnsi"/>
                <w:sz w:val="20"/>
                <w:szCs w:val="20"/>
              </w:rPr>
              <w:t>Number of additional women and men benefiting from improved services, local infrastructure and livelihoods opportunities in areas affected by conflict and natural disaster</w:t>
            </w:r>
            <w:r w:rsidR="00A665EC">
              <w:rPr>
                <w:rFonts w:eastAsiaTheme="majorEastAsia" w:cstheme="minorHAnsi"/>
                <w:sz w:val="20"/>
                <w:szCs w:val="20"/>
              </w:rPr>
              <w:t>.</w:t>
            </w:r>
          </w:p>
          <w:p w14:paraId="556E78EA" w14:textId="77777777" w:rsidR="00A665EC" w:rsidRDefault="00A665EC" w:rsidP="00A665EC">
            <w:pPr>
              <w:pStyle w:val="BodyText"/>
              <w:spacing w:before="40" w:after="40" w:line="240" w:lineRule="auto"/>
              <w:rPr>
                <w:rFonts w:eastAsiaTheme="majorEastAsia" w:cstheme="minorHAnsi"/>
                <w:sz w:val="20"/>
                <w:szCs w:val="20"/>
              </w:rPr>
            </w:pPr>
            <w:r w:rsidRPr="00A665EC">
              <w:rPr>
                <w:rFonts w:asciiTheme="majorHAnsi" w:eastAsiaTheme="majorEastAsia" w:hAnsiTheme="majorHAnsi" w:cstheme="majorHAnsi"/>
                <w:caps/>
                <w:sz w:val="20"/>
                <w:szCs w:val="20"/>
              </w:rPr>
              <w:lastRenderedPageBreak/>
              <w:t>3.1.2</w:t>
            </w:r>
            <w:r w:rsidRPr="00A665EC">
              <w:rPr>
                <w:rFonts w:eastAsiaTheme="majorEastAsia" w:cstheme="minorHAnsi"/>
                <w:caps/>
                <w:sz w:val="20"/>
                <w:szCs w:val="20"/>
              </w:rPr>
              <w:t xml:space="preserve"> </w:t>
            </w:r>
            <w:r w:rsidRPr="00A665EC">
              <w:rPr>
                <w:rFonts w:eastAsiaTheme="majorEastAsia" w:cstheme="minorHAnsi"/>
                <w:sz w:val="20"/>
                <w:szCs w:val="20"/>
              </w:rPr>
              <w:t>Number of women and men in crises provided with humanitarian support</w:t>
            </w:r>
            <w:r>
              <w:rPr>
                <w:rFonts w:eastAsiaTheme="majorEastAsia" w:cstheme="minorHAnsi"/>
                <w:sz w:val="20"/>
                <w:szCs w:val="20"/>
              </w:rPr>
              <w:t>.</w:t>
            </w:r>
          </w:p>
          <w:p w14:paraId="7B688494" w14:textId="56371282" w:rsidR="00A665EC" w:rsidRDefault="005A47EB" w:rsidP="001D6405">
            <w:pPr>
              <w:pStyle w:val="BodyText"/>
              <w:spacing w:before="40" w:after="40" w:line="240" w:lineRule="auto"/>
              <w:rPr>
                <w:rFonts w:eastAsiaTheme="majorEastAsia" w:cstheme="minorHAnsi"/>
                <w:sz w:val="20"/>
                <w:szCs w:val="20"/>
              </w:rPr>
            </w:pPr>
            <w:r w:rsidRPr="005A47EB">
              <w:rPr>
                <w:rFonts w:asciiTheme="majorHAnsi" w:eastAsiaTheme="majorEastAsia" w:hAnsiTheme="majorHAnsi" w:cstheme="majorHAnsi"/>
                <w:caps/>
                <w:sz w:val="20"/>
                <w:szCs w:val="20"/>
              </w:rPr>
              <w:t>3.2.1</w:t>
            </w:r>
            <w:r w:rsidRPr="009E3C7A">
              <w:rPr>
                <w:rFonts w:eastAsiaTheme="majorEastAsia" w:cstheme="minorHAnsi"/>
                <w:caps/>
                <w:sz w:val="20"/>
                <w:szCs w:val="20"/>
              </w:rPr>
              <w:t xml:space="preserve"> </w:t>
            </w:r>
            <w:r w:rsidRPr="009E3C7A">
              <w:rPr>
                <w:rFonts w:eastAsiaTheme="majorEastAsia" w:cstheme="minorHAnsi"/>
                <w:sz w:val="20"/>
                <w:szCs w:val="20"/>
              </w:rPr>
              <w:t>Number of community organisations, including women’s organisations, which are effectively supported to build community cohesion and advocate for their own needs</w:t>
            </w:r>
            <w:r>
              <w:rPr>
                <w:rFonts w:eastAsiaTheme="majorEastAsia" w:cstheme="minorHAnsi"/>
                <w:sz w:val="20"/>
                <w:szCs w:val="20"/>
              </w:rPr>
              <w:t>.</w:t>
            </w:r>
          </w:p>
          <w:p w14:paraId="5D79B26D" w14:textId="77777777" w:rsidR="00A665EC" w:rsidRDefault="00A665EC" w:rsidP="001D6405">
            <w:pPr>
              <w:pStyle w:val="BodyText"/>
              <w:spacing w:before="40" w:after="40" w:line="240" w:lineRule="auto"/>
              <w:rPr>
                <w:rFonts w:eastAsiaTheme="majorEastAsia" w:cstheme="minorHAnsi"/>
                <w:sz w:val="20"/>
                <w:szCs w:val="20"/>
              </w:rPr>
            </w:pPr>
          </w:p>
          <w:p w14:paraId="5F0B98C8" w14:textId="289B00C8" w:rsidR="00A665EC" w:rsidRPr="009E3C7A" w:rsidRDefault="00A665EC" w:rsidP="001D6405">
            <w:pPr>
              <w:pStyle w:val="BodyText"/>
              <w:spacing w:before="40" w:after="40" w:line="240" w:lineRule="auto"/>
              <w:rPr>
                <w:rFonts w:eastAsiaTheme="majorEastAsia" w:cstheme="minorHAnsi"/>
                <w:caps/>
                <w:sz w:val="20"/>
                <w:szCs w:val="20"/>
              </w:rPr>
            </w:pPr>
          </w:p>
        </w:tc>
        <w:tc>
          <w:tcPr>
            <w:tcW w:w="5244" w:type="dxa"/>
          </w:tcPr>
          <w:p w14:paraId="6F0D0ED9" w14:textId="3F6427AB" w:rsidR="006B47C6" w:rsidRPr="009E3C7A" w:rsidRDefault="006B2462" w:rsidP="001130DD">
            <w:pPr>
              <w:pStyle w:val="BodyText"/>
              <w:spacing w:before="40" w:after="40" w:line="240" w:lineRule="auto"/>
              <w:rPr>
                <w:rFonts w:eastAsiaTheme="majorEastAsia" w:cstheme="minorHAnsi"/>
                <w:sz w:val="20"/>
                <w:szCs w:val="20"/>
              </w:rPr>
            </w:pPr>
            <w:r w:rsidRPr="009E3C7A">
              <w:rPr>
                <w:rFonts w:eastAsiaTheme="majorEastAsia" w:cstheme="minorHAnsi"/>
                <w:b/>
                <w:sz w:val="20"/>
                <w:szCs w:val="20"/>
              </w:rPr>
              <w:lastRenderedPageBreak/>
              <w:t xml:space="preserve"> </w:t>
            </w:r>
            <w:r w:rsidR="001130DD">
              <w:rPr>
                <w:rFonts w:eastAsiaTheme="majorEastAsia" w:cstheme="minorHAnsi"/>
                <w:b/>
                <w:sz w:val="20"/>
                <w:szCs w:val="20"/>
              </w:rPr>
              <w:t xml:space="preserve">~ </w:t>
            </w:r>
            <w:r w:rsidR="006B47C6" w:rsidRPr="009E3C7A">
              <w:rPr>
                <w:rFonts w:eastAsiaTheme="majorEastAsia" w:cstheme="minorHAnsi"/>
                <w:sz w:val="20"/>
                <w:szCs w:val="20"/>
              </w:rPr>
              <w:t>Results are</w:t>
            </w:r>
            <w:r w:rsidR="00A05037">
              <w:rPr>
                <w:rFonts w:eastAsiaTheme="majorEastAsia" w:cstheme="minorHAnsi"/>
                <w:sz w:val="20"/>
                <w:szCs w:val="20"/>
              </w:rPr>
              <w:t xml:space="preserve"> (MDTF-BA)</w:t>
            </w:r>
            <w:r w:rsidR="006B47C6" w:rsidRPr="009E3C7A">
              <w:rPr>
                <w:rFonts w:eastAsiaTheme="majorEastAsia" w:cstheme="minorHAnsi"/>
                <w:sz w:val="20"/>
                <w:szCs w:val="20"/>
              </w:rPr>
              <w:t>:</w:t>
            </w:r>
          </w:p>
          <w:p w14:paraId="5F9EAF41" w14:textId="77777777" w:rsidR="00553E56" w:rsidRPr="009E3C7A" w:rsidRDefault="00553E56" w:rsidP="00A665EC">
            <w:pPr>
              <w:pStyle w:val="CommentText"/>
              <w:numPr>
                <w:ilvl w:val="0"/>
                <w:numId w:val="46"/>
              </w:numPr>
              <w:spacing w:before="0" w:after="0"/>
              <w:ind w:left="317" w:hanging="284"/>
              <w:rPr>
                <w:rFonts w:cstheme="minorHAnsi"/>
              </w:rPr>
            </w:pPr>
            <w:r w:rsidRPr="009E3C7A">
              <w:rPr>
                <w:rFonts w:cstheme="minorHAnsi"/>
              </w:rPr>
              <w:t>50,000 women received child wellness grants for improved child immunisation</w:t>
            </w:r>
          </w:p>
          <w:p w14:paraId="1625A5A6" w14:textId="77777777" w:rsidR="00553E56" w:rsidRPr="009E3C7A" w:rsidRDefault="00553E56" w:rsidP="00A665EC">
            <w:pPr>
              <w:pStyle w:val="CommentText"/>
              <w:numPr>
                <w:ilvl w:val="0"/>
                <w:numId w:val="46"/>
              </w:numPr>
              <w:spacing w:before="0" w:after="0"/>
              <w:ind w:left="317" w:hanging="284"/>
              <w:rPr>
                <w:rFonts w:cstheme="minorHAnsi"/>
              </w:rPr>
            </w:pPr>
            <w:r w:rsidRPr="009E3C7A">
              <w:rPr>
                <w:rFonts w:cstheme="minorHAnsi"/>
              </w:rPr>
              <w:t>Job opportunities created for more than 11,600 people including 200 women Small-Medium Enterprise (SME) workers</w:t>
            </w:r>
          </w:p>
          <w:p w14:paraId="11CDF470" w14:textId="77777777" w:rsidR="00553E56" w:rsidRDefault="00553E56" w:rsidP="00A665EC">
            <w:pPr>
              <w:pStyle w:val="CommentText"/>
              <w:numPr>
                <w:ilvl w:val="0"/>
                <w:numId w:val="46"/>
              </w:numPr>
              <w:spacing w:before="0" w:after="0"/>
              <w:ind w:left="317" w:hanging="284"/>
              <w:rPr>
                <w:rFonts w:cstheme="minorHAnsi"/>
              </w:rPr>
            </w:pPr>
            <w:r w:rsidRPr="009E3C7A">
              <w:rPr>
                <w:rFonts w:cstheme="minorHAnsi"/>
              </w:rPr>
              <w:lastRenderedPageBreak/>
              <w:t>Over 1,045 youth received training and amplified employment opportunitie</w:t>
            </w:r>
            <w:r w:rsidR="006B47C6" w:rsidRPr="009E3C7A">
              <w:rPr>
                <w:rFonts w:cstheme="minorHAnsi"/>
              </w:rPr>
              <w:t>s</w:t>
            </w:r>
            <w:r w:rsidR="00A665EC">
              <w:rPr>
                <w:rFonts w:cstheme="minorHAnsi"/>
              </w:rPr>
              <w:t>.</w:t>
            </w:r>
          </w:p>
          <w:p w14:paraId="2849E329" w14:textId="6C084033" w:rsidR="005A47EB" w:rsidRPr="00A665EC" w:rsidRDefault="005A47EB" w:rsidP="005A47EB">
            <w:pPr>
              <w:pStyle w:val="BodyText"/>
              <w:spacing w:before="40" w:after="40" w:line="240" w:lineRule="auto"/>
              <w:rPr>
                <w:rFonts w:eastAsiaTheme="majorEastAsia" w:cstheme="minorHAnsi"/>
                <w:sz w:val="20"/>
                <w:szCs w:val="20"/>
              </w:rPr>
            </w:pPr>
            <w:r w:rsidRPr="00A665EC">
              <w:rPr>
                <w:rFonts w:eastAsiaTheme="majorEastAsia" w:cstheme="minorHAnsi"/>
                <w:sz w:val="20"/>
                <w:szCs w:val="20"/>
              </w:rPr>
              <w:t>~ Results as follows:</w:t>
            </w:r>
            <w:r>
              <w:rPr>
                <w:rFonts w:eastAsiaTheme="majorEastAsia" w:cstheme="minorHAnsi"/>
                <w:sz w:val="20"/>
                <w:szCs w:val="20"/>
              </w:rPr>
              <w:t xml:space="preserve">  </w:t>
            </w:r>
            <w:r w:rsidRPr="00A665EC">
              <w:rPr>
                <w:rFonts w:eastAsiaTheme="majorEastAsia" w:cstheme="minorHAnsi"/>
                <w:sz w:val="20"/>
                <w:szCs w:val="20"/>
              </w:rPr>
              <w:t>WFP Balochistan Snow Emergency Response: Target of 300 households / 2,100 people achieved</w:t>
            </w:r>
          </w:p>
          <w:p w14:paraId="359C6E9E" w14:textId="77777777" w:rsidR="005A47EB" w:rsidRPr="00A665EC" w:rsidRDefault="005A47EB" w:rsidP="005A47EB">
            <w:pPr>
              <w:pStyle w:val="BodyText"/>
              <w:spacing w:before="40" w:after="40" w:line="240" w:lineRule="auto"/>
              <w:rPr>
                <w:rFonts w:eastAsiaTheme="majorEastAsia" w:cstheme="minorHAnsi"/>
                <w:sz w:val="20"/>
                <w:szCs w:val="20"/>
              </w:rPr>
            </w:pPr>
            <w:r w:rsidRPr="00A665EC">
              <w:rPr>
                <w:rFonts w:eastAsiaTheme="majorEastAsia" w:cstheme="minorHAnsi"/>
                <w:sz w:val="20"/>
                <w:szCs w:val="20"/>
              </w:rPr>
              <w:t>WFP did not reach the overall targets in its Country Strategic Plan which is funded by multiple donors including DFAT</w:t>
            </w:r>
          </w:p>
          <w:p w14:paraId="4D4C6B41" w14:textId="77777777" w:rsidR="005A47EB" w:rsidRPr="00A665EC" w:rsidRDefault="005A47EB" w:rsidP="005A47EB">
            <w:pPr>
              <w:pStyle w:val="BodyText"/>
              <w:spacing w:before="40" w:after="40" w:line="240" w:lineRule="auto"/>
              <w:rPr>
                <w:rFonts w:eastAsiaTheme="majorEastAsia" w:cstheme="minorHAnsi"/>
                <w:sz w:val="20"/>
                <w:szCs w:val="20"/>
              </w:rPr>
            </w:pPr>
            <w:r w:rsidRPr="00A665EC">
              <w:rPr>
                <w:rFonts w:eastAsiaTheme="majorEastAsia" w:cstheme="minorHAnsi"/>
                <w:sz w:val="20"/>
                <w:szCs w:val="20"/>
              </w:rPr>
              <w:t>IOM: 301,500 people</w:t>
            </w:r>
          </w:p>
          <w:p w14:paraId="5AF1271E" w14:textId="456C841B" w:rsidR="00A665EC" w:rsidRPr="009E3C7A" w:rsidRDefault="005A47EB" w:rsidP="005A47EB">
            <w:pPr>
              <w:pStyle w:val="CommentText"/>
              <w:spacing w:before="0" w:after="0"/>
              <w:ind w:left="33"/>
              <w:rPr>
                <w:rFonts w:cstheme="minorHAnsi"/>
              </w:rPr>
            </w:pPr>
            <w:r>
              <w:rPr>
                <w:rFonts w:eastAsiaTheme="majorEastAsia" w:cstheme="minorHAnsi"/>
                <w:b/>
              </w:rPr>
              <w:t xml:space="preserve">~ </w:t>
            </w:r>
            <w:r w:rsidRPr="009E3C7A">
              <w:rPr>
                <w:rFonts w:eastAsiaTheme="majorEastAsia" w:cstheme="minorHAnsi"/>
                <w:b/>
              </w:rPr>
              <w:t>Target (MDTF-BA):</w:t>
            </w:r>
            <w:r w:rsidRPr="009E3C7A">
              <w:rPr>
                <w:rFonts w:eastAsiaTheme="majorEastAsia" w:cstheme="minorHAnsi"/>
              </w:rPr>
              <w:t xml:space="preserve"> We are unable to report against this indicator for MDTF-BA because the two relevant program components were not operational during 2019-20 due to previous poor performance</w:t>
            </w:r>
            <w:r>
              <w:rPr>
                <w:rFonts w:eastAsiaTheme="majorEastAsia" w:cstheme="minorHAnsi"/>
              </w:rPr>
              <w:t>.</w:t>
            </w:r>
          </w:p>
        </w:tc>
      </w:tr>
    </w:tbl>
    <w:p w14:paraId="2B48AA7D" w14:textId="77777777" w:rsidR="006B2462" w:rsidRPr="006B2462" w:rsidRDefault="006B2462" w:rsidP="006B2462"/>
    <w:p w14:paraId="24F1F530" w14:textId="77777777" w:rsidR="00276A54" w:rsidRDefault="00276A54" w:rsidP="00276A54"/>
    <w:p w14:paraId="715803E2" w14:textId="77777777" w:rsidR="00276A54" w:rsidRDefault="00276A54" w:rsidP="00276A54">
      <w:pPr>
        <w:sectPr w:rsidR="00276A54" w:rsidSect="00494F98">
          <w:headerReference w:type="default" r:id="rId20"/>
          <w:pgSz w:w="11906" w:h="16838" w:code="9"/>
          <w:pgMar w:top="1701" w:right="1134" w:bottom="1418" w:left="1134" w:header="425" w:footer="493" w:gutter="0"/>
          <w:cols w:space="397"/>
          <w:docGrid w:linePitch="360"/>
        </w:sectPr>
      </w:pPr>
    </w:p>
    <w:p w14:paraId="5899DFF3"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22314805" w14:textId="77777777" w:rsidR="00390828" w:rsidRDefault="00B927C4" w:rsidP="00390828">
      <w:pPr>
        <w:pStyle w:val="Heading3"/>
      </w:pPr>
      <w:r>
        <w:t>Investment Monitoring Report</w:t>
      </w:r>
      <w:r w:rsidR="00390828">
        <w:t xml:space="preserve"> ratings</w:t>
      </w:r>
    </w:p>
    <w:tbl>
      <w:tblPr>
        <w:tblStyle w:val="APPR1"/>
        <w:tblW w:w="4920" w:type="pct"/>
        <w:jc w:val="center"/>
        <w:tblLook w:val="0020" w:firstRow="1" w:lastRow="0" w:firstColumn="0" w:lastColumn="0" w:noHBand="0" w:noVBand="0"/>
      </w:tblPr>
      <w:tblGrid>
        <w:gridCol w:w="5664"/>
        <w:gridCol w:w="987"/>
        <w:gridCol w:w="947"/>
        <w:gridCol w:w="624"/>
        <w:gridCol w:w="624"/>
        <w:gridCol w:w="638"/>
      </w:tblGrid>
      <w:tr w:rsidR="0072120B" w:rsidRPr="00812509" w14:paraId="38D4CAF4" w14:textId="77777777" w:rsidTr="00F10969">
        <w:trPr>
          <w:cnfStyle w:val="100000000000" w:firstRow="1" w:lastRow="0" w:firstColumn="0" w:lastColumn="0" w:oddVBand="0" w:evenVBand="0" w:oddHBand="0" w:evenHBand="0" w:firstRowFirstColumn="0" w:firstRowLastColumn="0" w:lastRowFirstColumn="0" w:lastRowLastColumn="0"/>
          <w:trHeight w:val="975"/>
          <w:jc w:val="center"/>
        </w:trPr>
        <w:tc>
          <w:tcPr>
            <w:tcW w:w="2965" w:type="pct"/>
            <w:tcBorders>
              <w:bottom w:val="single" w:sz="4" w:space="0" w:color="65C5B4" w:themeColor="accent1"/>
            </w:tcBorders>
          </w:tcPr>
          <w:p w14:paraId="57A49A04"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80768" behindDoc="0" locked="0" layoutInCell="1" allowOverlap="1" wp14:anchorId="724AC76D" wp14:editId="404FCD86">
                  <wp:simplePos x="0" y="0"/>
                  <wp:positionH relativeFrom="column">
                    <wp:posOffset>0</wp:posOffset>
                  </wp:positionH>
                  <wp:positionV relativeFrom="paragraph">
                    <wp:posOffset>0</wp:posOffset>
                  </wp:positionV>
                  <wp:extent cx="1857375" cy="228600"/>
                  <wp:effectExtent l="0" t="0" r="9525" b="0"/>
                  <wp:wrapNone/>
                  <wp:docPr id="4" name="Picture 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506" w:type="pct"/>
            <w:tcBorders>
              <w:bottom w:val="single" w:sz="4" w:space="0" w:color="65C5B4" w:themeColor="accent1"/>
            </w:tcBorders>
            <w:textDirection w:val="btLr"/>
          </w:tcPr>
          <w:p w14:paraId="60B5801D"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485" w:type="pct"/>
            <w:tcBorders>
              <w:bottom w:val="single" w:sz="4" w:space="0" w:color="65C5B4" w:themeColor="accent1"/>
            </w:tcBorders>
            <w:textDirection w:val="btLr"/>
          </w:tcPr>
          <w:p w14:paraId="2E00D19F"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14" w:type="pct"/>
            <w:tcBorders>
              <w:bottom w:val="single" w:sz="4" w:space="0" w:color="65C5B4" w:themeColor="accent1"/>
            </w:tcBorders>
            <w:textDirection w:val="btLr"/>
          </w:tcPr>
          <w:p w14:paraId="0E63F6A9"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14" w:type="pct"/>
            <w:tcBorders>
              <w:bottom w:val="single" w:sz="4" w:space="0" w:color="65C5B4" w:themeColor="accent1"/>
            </w:tcBorders>
            <w:textDirection w:val="btLr"/>
          </w:tcPr>
          <w:p w14:paraId="2BFA5C2E"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14" w:type="pct"/>
            <w:tcBorders>
              <w:bottom w:val="single" w:sz="4" w:space="0" w:color="65C5B4" w:themeColor="accent1"/>
            </w:tcBorders>
            <w:textDirection w:val="btLr"/>
          </w:tcPr>
          <w:p w14:paraId="6A18146F" w14:textId="77777777" w:rsidR="0072120B" w:rsidRPr="00812509" w:rsidRDefault="0072120B"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F10969" w:rsidRPr="00812509" w14:paraId="4A50D51B"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Pr>
          <w:p w14:paraId="567ACA4E" w14:textId="77777777" w:rsidR="00F10969" w:rsidRPr="00782EE3" w:rsidRDefault="00F10969" w:rsidP="001D6405">
            <w:pPr>
              <w:keepLines/>
              <w:spacing w:before="40" w:after="40" w:line="200" w:lineRule="atLeast"/>
              <w:rPr>
                <w:rFonts w:asciiTheme="minorHAnsi" w:eastAsia="Times New Roman" w:hAnsiTheme="minorHAnsi"/>
                <w:iCs/>
                <w:szCs w:val="17"/>
                <w:lang w:val="pt-PT" w:eastAsia="en-US"/>
              </w:rPr>
            </w:pPr>
            <w:r>
              <w:rPr>
                <w:rFonts w:asciiTheme="minorHAnsi" w:eastAsia="Times New Roman" w:hAnsiTheme="minorHAnsi"/>
                <w:iCs/>
                <w:szCs w:val="17"/>
                <w:lang w:eastAsia="en-US"/>
              </w:rPr>
              <w:t>INM104</w:t>
            </w:r>
            <w:r w:rsidRPr="00165B4E">
              <w:rPr>
                <w:rFonts w:asciiTheme="minorHAnsi" w:eastAsia="Times New Roman" w:hAnsiTheme="minorHAnsi"/>
                <w:iCs/>
                <w:szCs w:val="17"/>
                <w:lang w:eastAsia="en-US"/>
              </w:rPr>
              <w:t xml:space="preserve"> FAO </w:t>
            </w:r>
            <w:proofErr w:type="spellStart"/>
            <w:r w:rsidRPr="00165B4E">
              <w:rPr>
                <w:rFonts w:asciiTheme="minorHAnsi" w:eastAsia="Times New Roman" w:hAnsiTheme="minorHAnsi"/>
                <w:iCs/>
                <w:szCs w:val="17"/>
                <w:lang w:eastAsia="en-US"/>
              </w:rPr>
              <w:t>AusABBA</w:t>
            </w:r>
            <w:proofErr w:type="spellEnd"/>
            <w:r w:rsidRPr="00165B4E">
              <w:rPr>
                <w:rFonts w:asciiTheme="minorHAnsi" w:eastAsia="Times New Roman" w:hAnsiTheme="minorHAnsi"/>
                <w:iCs/>
                <w:szCs w:val="17"/>
                <w:lang w:eastAsia="en-US"/>
              </w:rPr>
              <w:t xml:space="preserve"> Phase II</w:t>
            </w:r>
          </w:p>
        </w:tc>
        <w:tc>
          <w:tcPr>
            <w:tcW w:w="506" w:type="pct"/>
          </w:tcPr>
          <w:p w14:paraId="5E00E99E" w14:textId="320F790B" w:rsidR="00F10969" w:rsidRPr="00812509" w:rsidRDefault="00F10969" w:rsidP="00F10969">
            <w:pPr>
              <w:keepLines/>
              <w:spacing w:before="40" w:after="40" w:line="200" w:lineRule="atLeast"/>
              <w:rPr>
                <w:rFonts w:asciiTheme="minorHAnsi" w:eastAsia="Times New Roman" w:hAnsiTheme="minorHAnsi"/>
                <w:iCs/>
                <w:szCs w:val="17"/>
                <w:lang w:eastAsia="en-US"/>
              </w:rPr>
            </w:pPr>
            <w:r w:rsidRPr="00F00531">
              <w:rPr>
                <w:rFonts w:asciiTheme="minorHAnsi" w:eastAsia="Times New Roman" w:hAnsiTheme="minorHAnsi"/>
                <w:iCs/>
                <w:szCs w:val="17"/>
                <w:lang w:eastAsia="en-US"/>
              </w:rPr>
              <w:t>$</w:t>
            </w:r>
            <w:r>
              <w:rPr>
                <w:rFonts w:asciiTheme="minorHAnsi" w:eastAsia="Times New Roman" w:hAnsiTheme="minorHAnsi"/>
                <w:iCs/>
                <w:szCs w:val="17"/>
                <w:lang w:eastAsia="en-US"/>
              </w:rPr>
              <w:t>1</w:t>
            </w:r>
            <w:r w:rsidRPr="00F00531">
              <w:rPr>
                <w:rFonts w:asciiTheme="minorHAnsi" w:eastAsia="Times New Roman" w:hAnsiTheme="minorHAnsi"/>
                <w:iCs/>
                <w:szCs w:val="17"/>
                <w:lang w:eastAsia="en-US"/>
              </w:rPr>
              <w:t>2</w:t>
            </w:r>
            <w:r>
              <w:rPr>
                <w:rFonts w:asciiTheme="minorHAnsi" w:eastAsia="Times New Roman" w:hAnsiTheme="minorHAnsi"/>
                <w:iCs/>
                <w:szCs w:val="17"/>
                <w:lang w:eastAsia="en-US"/>
              </w:rPr>
              <w:t>.65</w:t>
            </w:r>
            <w:r w:rsidRPr="00F00531">
              <w:rPr>
                <w:rFonts w:asciiTheme="minorHAnsi" w:eastAsia="Times New Roman" w:hAnsiTheme="minorHAnsi"/>
                <w:iCs/>
                <w:szCs w:val="17"/>
                <w:lang w:eastAsia="en-US"/>
              </w:rPr>
              <w:t>m</w:t>
            </w:r>
          </w:p>
        </w:tc>
        <w:tc>
          <w:tcPr>
            <w:tcW w:w="485" w:type="pct"/>
            <w:tcBorders>
              <w:bottom w:val="single" w:sz="4" w:space="0" w:color="65C5B4" w:themeColor="accent1"/>
            </w:tcBorders>
          </w:tcPr>
          <w:p w14:paraId="640F3C1F" w14:textId="77777777" w:rsidR="00F10969" w:rsidRPr="00812509" w:rsidRDefault="00F10969"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14" w:type="pct"/>
            <w:tcBorders>
              <w:bottom w:val="single" w:sz="4" w:space="0" w:color="65C5B4" w:themeColor="accent1"/>
            </w:tcBorders>
            <w:shd w:val="clear" w:color="auto" w:fill="auto"/>
            <w:noWrap/>
            <w:vAlign w:val="center"/>
          </w:tcPr>
          <w:p w14:paraId="1E3A0297"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4" w:type="pct"/>
            <w:tcBorders>
              <w:bottom w:val="single" w:sz="4" w:space="0" w:color="65C5B4" w:themeColor="accent1"/>
            </w:tcBorders>
            <w:shd w:val="clear" w:color="auto" w:fill="auto"/>
            <w:noWrap/>
            <w:vAlign w:val="center"/>
          </w:tcPr>
          <w:p w14:paraId="32822BC7"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4" w:type="pct"/>
            <w:tcBorders>
              <w:bottom w:val="single" w:sz="4" w:space="0" w:color="65C5B4" w:themeColor="accent1"/>
            </w:tcBorders>
            <w:shd w:val="clear" w:color="auto" w:fill="auto"/>
            <w:noWrap/>
            <w:vAlign w:val="center"/>
          </w:tcPr>
          <w:p w14:paraId="4A200AF2"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F10969" w:rsidRPr="00812509" w14:paraId="61CEA4A3"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Pr>
          <w:p w14:paraId="1A0C5BEE" w14:textId="77777777" w:rsidR="00F10969" w:rsidRPr="00812509" w:rsidRDefault="00F10969" w:rsidP="001D6405">
            <w:pPr>
              <w:keepLines/>
              <w:spacing w:before="40" w:after="40" w:line="200" w:lineRule="atLeast"/>
              <w:rPr>
                <w:rFonts w:asciiTheme="minorHAnsi" w:eastAsia="Times New Roman" w:hAnsiTheme="minorHAnsi"/>
                <w:iCs/>
                <w:szCs w:val="17"/>
                <w:lang w:eastAsia="en-US"/>
              </w:rPr>
            </w:pPr>
          </w:p>
        </w:tc>
        <w:tc>
          <w:tcPr>
            <w:tcW w:w="506" w:type="pct"/>
          </w:tcPr>
          <w:p w14:paraId="672F7B3F" w14:textId="062CB388" w:rsidR="00F10969" w:rsidRPr="00812509" w:rsidRDefault="00F10969"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6-22</w:t>
            </w:r>
          </w:p>
        </w:tc>
        <w:tc>
          <w:tcPr>
            <w:tcW w:w="485" w:type="pct"/>
          </w:tcPr>
          <w:p w14:paraId="23980C29" w14:textId="77777777" w:rsidR="00F10969" w:rsidRPr="00812509" w:rsidRDefault="00F10969"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14:paraId="66F5B304"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shd w:val="clear" w:color="auto" w:fill="auto"/>
            <w:noWrap/>
            <w:vAlign w:val="center"/>
          </w:tcPr>
          <w:p w14:paraId="7AE17E1C"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4" w:type="pct"/>
            <w:shd w:val="clear" w:color="auto" w:fill="auto"/>
            <w:noWrap/>
            <w:vAlign w:val="center"/>
          </w:tcPr>
          <w:p w14:paraId="5C271146" w14:textId="77777777" w:rsidR="00F10969" w:rsidRPr="00812509" w:rsidRDefault="00F10969"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r>
      <w:tr w:rsidR="0072120B" w:rsidRPr="00812509" w14:paraId="28066347"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single" w:sz="4" w:space="0" w:color="65C5B4" w:themeColor="accent1"/>
            </w:tcBorders>
          </w:tcPr>
          <w:p w14:paraId="4F8EE4DE" w14:textId="77777777" w:rsidR="0072120B" w:rsidRPr="00812509" w:rsidRDefault="0072120B" w:rsidP="00B31A23">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 xml:space="preserve">INK420 </w:t>
            </w:r>
            <w:r>
              <w:rPr>
                <w:rFonts w:asciiTheme="minorHAnsi" w:eastAsia="Times New Roman" w:hAnsiTheme="minorHAnsi"/>
                <w:iCs/>
                <w:szCs w:val="17"/>
                <w:lang w:eastAsia="en-US"/>
              </w:rPr>
              <w:t>KP</w:t>
            </w:r>
            <w:r w:rsidRPr="00165B4E">
              <w:rPr>
                <w:rFonts w:asciiTheme="minorHAnsi" w:eastAsia="Times New Roman" w:hAnsiTheme="minorHAnsi"/>
                <w:iCs/>
                <w:szCs w:val="17"/>
                <w:lang w:eastAsia="en-US"/>
              </w:rPr>
              <w:t xml:space="preserve"> Education Sector Program</w:t>
            </w:r>
          </w:p>
        </w:tc>
        <w:tc>
          <w:tcPr>
            <w:tcW w:w="506" w:type="pct"/>
            <w:tcBorders>
              <w:top w:val="single" w:sz="4" w:space="0" w:color="65C5B4" w:themeColor="accent1"/>
            </w:tcBorders>
          </w:tcPr>
          <w:p w14:paraId="6832108A" w14:textId="0A99A170" w:rsidR="0072120B" w:rsidRPr="00812509" w:rsidRDefault="0072120B" w:rsidP="00F1096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$54.45m</w:t>
            </w:r>
          </w:p>
        </w:tc>
        <w:tc>
          <w:tcPr>
            <w:tcW w:w="485" w:type="pct"/>
            <w:tcBorders>
              <w:top w:val="single" w:sz="4" w:space="0" w:color="65C5B4" w:themeColor="accent1"/>
              <w:bottom w:val="single" w:sz="4" w:space="0" w:color="65C5B4" w:themeColor="accent1"/>
            </w:tcBorders>
          </w:tcPr>
          <w:p w14:paraId="63B17D6F"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14" w:type="pct"/>
            <w:tcBorders>
              <w:top w:val="single" w:sz="4" w:space="0" w:color="65C5B4" w:themeColor="accent1"/>
              <w:bottom w:val="single" w:sz="4" w:space="0" w:color="65C5B4" w:themeColor="accent1"/>
            </w:tcBorders>
            <w:shd w:val="clear" w:color="auto" w:fill="auto"/>
            <w:noWrap/>
            <w:vAlign w:val="center"/>
          </w:tcPr>
          <w:p w14:paraId="6B5345B5"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tcBorders>
              <w:top w:val="single" w:sz="4" w:space="0" w:color="65C5B4" w:themeColor="accent1"/>
              <w:bottom w:val="single" w:sz="4" w:space="0" w:color="65C5B4" w:themeColor="accent1"/>
            </w:tcBorders>
            <w:shd w:val="clear" w:color="auto" w:fill="auto"/>
            <w:noWrap/>
            <w:vAlign w:val="center"/>
          </w:tcPr>
          <w:p w14:paraId="74A620D8"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Calibri Light"/>
                <w:color w:val="495965"/>
              </w:rPr>
              <w:t>4</w:t>
            </w:r>
          </w:p>
        </w:tc>
        <w:tc>
          <w:tcPr>
            <w:tcW w:w="314" w:type="pct"/>
            <w:tcBorders>
              <w:top w:val="single" w:sz="4" w:space="0" w:color="65C5B4" w:themeColor="accent1"/>
              <w:bottom w:val="single" w:sz="4" w:space="0" w:color="65C5B4" w:themeColor="accent1"/>
            </w:tcBorders>
            <w:shd w:val="clear" w:color="auto" w:fill="auto"/>
            <w:noWrap/>
            <w:vAlign w:val="center"/>
          </w:tcPr>
          <w:p w14:paraId="04861CAA"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r>
      <w:tr w:rsidR="0072120B" w:rsidRPr="00812509" w14:paraId="289BEF94"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Pr>
          <w:p w14:paraId="181B5324"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p>
        </w:tc>
        <w:tc>
          <w:tcPr>
            <w:tcW w:w="506" w:type="pct"/>
          </w:tcPr>
          <w:p w14:paraId="6B515654" w14:textId="5017B604" w:rsidR="0072120B" w:rsidRPr="00812509" w:rsidRDefault="00F10969"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2012 -20</w:t>
            </w:r>
          </w:p>
        </w:tc>
        <w:tc>
          <w:tcPr>
            <w:tcW w:w="485" w:type="pct"/>
          </w:tcPr>
          <w:p w14:paraId="2A69D4F2"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14:paraId="5D1966C1"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shd w:val="clear" w:color="auto" w:fill="auto"/>
            <w:noWrap/>
            <w:vAlign w:val="center"/>
          </w:tcPr>
          <w:p w14:paraId="3287E796"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c>
          <w:tcPr>
            <w:tcW w:w="314" w:type="pct"/>
            <w:shd w:val="clear" w:color="auto" w:fill="auto"/>
            <w:noWrap/>
            <w:vAlign w:val="center"/>
          </w:tcPr>
          <w:p w14:paraId="72A1147D"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r>
      <w:tr w:rsidR="0072120B" w:rsidRPr="00812509" w14:paraId="7BF99AD9"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single" w:sz="4" w:space="0" w:color="65C5B4" w:themeColor="accent1"/>
            </w:tcBorders>
          </w:tcPr>
          <w:p w14:paraId="0142D776" w14:textId="77777777" w:rsidR="0072120B" w:rsidRPr="00812509" w:rsidRDefault="0072120B" w:rsidP="00B31A23">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 xml:space="preserve">INL074 </w:t>
            </w:r>
            <w:r>
              <w:rPr>
                <w:rFonts w:asciiTheme="minorHAnsi" w:eastAsia="Times New Roman" w:hAnsiTheme="minorHAnsi"/>
                <w:iCs/>
                <w:szCs w:val="17"/>
                <w:lang w:eastAsia="en-US"/>
              </w:rPr>
              <w:t>WB</w:t>
            </w:r>
            <w:r w:rsidRPr="00165B4E">
              <w:rPr>
                <w:rFonts w:asciiTheme="minorHAnsi" w:eastAsia="Times New Roman" w:hAnsiTheme="minorHAnsi"/>
                <w:iCs/>
                <w:szCs w:val="17"/>
                <w:lang w:eastAsia="en-US"/>
              </w:rPr>
              <w:t xml:space="preserve"> MDTF Partnership for Nutrition</w:t>
            </w:r>
          </w:p>
        </w:tc>
        <w:tc>
          <w:tcPr>
            <w:tcW w:w="506" w:type="pct"/>
            <w:tcBorders>
              <w:top w:val="single" w:sz="4" w:space="0" w:color="65C5B4" w:themeColor="accent1"/>
            </w:tcBorders>
          </w:tcPr>
          <w:p w14:paraId="37CE402B" w14:textId="697A0EE0" w:rsidR="0072120B" w:rsidRPr="00812509" w:rsidRDefault="0072120B" w:rsidP="00F1096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$26.1m</w:t>
            </w:r>
          </w:p>
        </w:tc>
        <w:tc>
          <w:tcPr>
            <w:tcW w:w="485" w:type="pct"/>
            <w:tcBorders>
              <w:top w:val="single" w:sz="4" w:space="0" w:color="65C5B4" w:themeColor="accent1"/>
            </w:tcBorders>
          </w:tcPr>
          <w:p w14:paraId="7E807BB9"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14" w:type="pct"/>
            <w:tcBorders>
              <w:top w:val="single" w:sz="4" w:space="0" w:color="65C5B4" w:themeColor="accent1"/>
            </w:tcBorders>
            <w:shd w:val="clear" w:color="auto" w:fill="auto"/>
            <w:noWrap/>
            <w:vAlign w:val="center"/>
          </w:tcPr>
          <w:p w14:paraId="74FF4D7B"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3</w:t>
            </w:r>
          </w:p>
        </w:tc>
        <w:tc>
          <w:tcPr>
            <w:tcW w:w="314" w:type="pct"/>
            <w:tcBorders>
              <w:top w:val="single" w:sz="4" w:space="0" w:color="65C5B4" w:themeColor="accent1"/>
            </w:tcBorders>
            <w:shd w:val="clear" w:color="auto" w:fill="auto"/>
            <w:noWrap/>
            <w:vAlign w:val="center"/>
          </w:tcPr>
          <w:p w14:paraId="014C5A54"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2</w:t>
            </w:r>
          </w:p>
        </w:tc>
        <w:tc>
          <w:tcPr>
            <w:tcW w:w="314" w:type="pct"/>
            <w:tcBorders>
              <w:top w:val="single" w:sz="4" w:space="0" w:color="65C5B4" w:themeColor="accent1"/>
            </w:tcBorders>
            <w:shd w:val="clear" w:color="auto" w:fill="auto"/>
            <w:noWrap/>
            <w:vAlign w:val="center"/>
          </w:tcPr>
          <w:p w14:paraId="5985C594"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72120B" w:rsidRPr="00812509" w14:paraId="263C818B"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nil"/>
            </w:tcBorders>
          </w:tcPr>
          <w:p w14:paraId="31B6801A"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p>
        </w:tc>
        <w:tc>
          <w:tcPr>
            <w:tcW w:w="506" w:type="pct"/>
            <w:tcBorders>
              <w:top w:val="nil"/>
            </w:tcBorders>
          </w:tcPr>
          <w:p w14:paraId="415D364B" w14:textId="5EE1AD62" w:rsidR="0072120B" w:rsidRPr="00812509" w:rsidRDefault="00F10969"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2013-20</w:t>
            </w:r>
          </w:p>
        </w:tc>
        <w:tc>
          <w:tcPr>
            <w:tcW w:w="485" w:type="pct"/>
            <w:tcBorders>
              <w:top w:val="single" w:sz="4" w:space="0" w:color="65C5B4" w:themeColor="accent1"/>
            </w:tcBorders>
          </w:tcPr>
          <w:p w14:paraId="2FF8B4B6"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tcBorders>
              <w:top w:val="single" w:sz="4" w:space="0" w:color="65C5B4" w:themeColor="accent1"/>
            </w:tcBorders>
            <w:shd w:val="clear" w:color="auto" w:fill="auto"/>
            <w:noWrap/>
            <w:vAlign w:val="center"/>
          </w:tcPr>
          <w:p w14:paraId="7FD5E7B1"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tcBorders>
              <w:top w:val="single" w:sz="4" w:space="0" w:color="65C5B4" w:themeColor="accent1"/>
            </w:tcBorders>
            <w:shd w:val="clear" w:color="auto" w:fill="auto"/>
            <w:noWrap/>
            <w:vAlign w:val="center"/>
          </w:tcPr>
          <w:p w14:paraId="4C266404"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tcBorders>
              <w:top w:val="single" w:sz="4" w:space="0" w:color="65C5B4" w:themeColor="accent1"/>
            </w:tcBorders>
            <w:shd w:val="clear" w:color="auto" w:fill="auto"/>
            <w:noWrap/>
            <w:vAlign w:val="center"/>
          </w:tcPr>
          <w:p w14:paraId="118B40AA"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5</w:t>
            </w:r>
          </w:p>
        </w:tc>
      </w:tr>
      <w:tr w:rsidR="0072120B" w:rsidRPr="00812509" w14:paraId="65C605DF"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single" w:sz="4" w:space="0" w:color="65C5B4" w:themeColor="accent1"/>
            </w:tcBorders>
          </w:tcPr>
          <w:p w14:paraId="7A42656B" w14:textId="77777777" w:rsidR="0072120B" w:rsidRPr="00812509" w:rsidRDefault="0072120B" w:rsidP="00B31A23">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 xml:space="preserve">INK576 WB </w:t>
            </w:r>
            <w:r>
              <w:rPr>
                <w:rFonts w:asciiTheme="minorHAnsi" w:eastAsia="Times New Roman" w:hAnsiTheme="minorHAnsi"/>
                <w:iCs/>
                <w:szCs w:val="17"/>
                <w:lang w:eastAsia="en-US"/>
              </w:rPr>
              <w:t>MDTF</w:t>
            </w:r>
            <w:r w:rsidRPr="00165B4E">
              <w:rPr>
                <w:rFonts w:asciiTheme="minorHAnsi" w:eastAsia="Times New Roman" w:hAnsiTheme="minorHAnsi"/>
                <w:iCs/>
                <w:szCs w:val="17"/>
                <w:lang w:eastAsia="en-US"/>
              </w:rPr>
              <w:t xml:space="preserve"> Balochistan, FATA and KPK</w:t>
            </w:r>
          </w:p>
        </w:tc>
        <w:tc>
          <w:tcPr>
            <w:tcW w:w="506" w:type="pct"/>
            <w:tcBorders>
              <w:top w:val="single" w:sz="4" w:space="0" w:color="65C5B4" w:themeColor="accent1"/>
            </w:tcBorders>
          </w:tcPr>
          <w:p w14:paraId="20EF24B9" w14:textId="6683CDC6" w:rsidR="0072120B" w:rsidRPr="00812509" w:rsidRDefault="0072120B" w:rsidP="00F10969">
            <w:pPr>
              <w:keepLines/>
              <w:spacing w:before="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$46.74m</w:t>
            </w:r>
          </w:p>
        </w:tc>
        <w:tc>
          <w:tcPr>
            <w:tcW w:w="485" w:type="pct"/>
            <w:tcBorders>
              <w:top w:val="single" w:sz="4" w:space="0" w:color="65C5B4" w:themeColor="accent1"/>
            </w:tcBorders>
          </w:tcPr>
          <w:p w14:paraId="11609DAF"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14" w:type="pct"/>
            <w:tcBorders>
              <w:top w:val="single" w:sz="4" w:space="0" w:color="65C5B4" w:themeColor="accent1"/>
            </w:tcBorders>
            <w:shd w:val="clear" w:color="auto" w:fill="auto"/>
            <w:noWrap/>
            <w:vAlign w:val="center"/>
          </w:tcPr>
          <w:p w14:paraId="5B9DDCF6"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4" w:type="pct"/>
            <w:tcBorders>
              <w:top w:val="single" w:sz="4" w:space="0" w:color="65C5B4" w:themeColor="accent1"/>
            </w:tcBorders>
            <w:shd w:val="clear" w:color="auto" w:fill="auto"/>
            <w:noWrap/>
            <w:vAlign w:val="center"/>
          </w:tcPr>
          <w:p w14:paraId="5232B57D"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14" w:type="pct"/>
            <w:tcBorders>
              <w:top w:val="single" w:sz="4" w:space="0" w:color="65C5B4" w:themeColor="accent1"/>
            </w:tcBorders>
            <w:shd w:val="clear" w:color="auto" w:fill="auto"/>
            <w:noWrap/>
            <w:vAlign w:val="center"/>
          </w:tcPr>
          <w:p w14:paraId="26174530"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72120B" w:rsidRPr="00812509" w14:paraId="748EDC37"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nil"/>
              <w:bottom w:val="single" w:sz="4" w:space="0" w:color="65C5B4" w:themeColor="accent1"/>
            </w:tcBorders>
          </w:tcPr>
          <w:p w14:paraId="78DC2821"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p>
        </w:tc>
        <w:tc>
          <w:tcPr>
            <w:tcW w:w="506" w:type="pct"/>
            <w:tcBorders>
              <w:top w:val="nil"/>
              <w:bottom w:val="single" w:sz="4" w:space="0" w:color="65C5B4" w:themeColor="accent1"/>
            </w:tcBorders>
          </w:tcPr>
          <w:p w14:paraId="30FC7E50" w14:textId="5FEC8007" w:rsidR="0072120B" w:rsidRPr="00812509" w:rsidRDefault="00F10969"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2012-22</w:t>
            </w:r>
          </w:p>
        </w:tc>
        <w:tc>
          <w:tcPr>
            <w:tcW w:w="485" w:type="pct"/>
            <w:tcBorders>
              <w:top w:val="single" w:sz="4" w:space="0" w:color="65C5B4" w:themeColor="accent1"/>
              <w:bottom w:val="single" w:sz="4" w:space="0" w:color="65C5B4" w:themeColor="accent1"/>
            </w:tcBorders>
          </w:tcPr>
          <w:p w14:paraId="61869482"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tcBorders>
              <w:top w:val="single" w:sz="4" w:space="0" w:color="65C5B4" w:themeColor="accent1"/>
              <w:bottom w:val="single" w:sz="4" w:space="0" w:color="65C5B4" w:themeColor="accent1"/>
            </w:tcBorders>
            <w:shd w:val="clear" w:color="auto" w:fill="auto"/>
            <w:noWrap/>
            <w:vAlign w:val="center"/>
          </w:tcPr>
          <w:p w14:paraId="1EE6F57E"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tcBorders>
              <w:top w:val="single" w:sz="4" w:space="0" w:color="65C5B4" w:themeColor="accent1"/>
              <w:bottom w:val="single" w:sz="4" w:space="0" w:color="65C5B4" w:themeColor="accent1"/>
            </w:tcBorders>
            <w:shd w:val="clear" w:color="auto" w:fill="auto"/>
            <w:noWrap/>
            <w:vAlign w:val="center"/>
          </w:tcPr>
          <w:p w14:paraId="1D64AD68"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bookmarkStart w:id="0" w:name="_GoBack"/>
            <w:bookmarkEnd w:id="0"/>
          </w:p>
        </w:tc>
        <w:tc>
          <w:tcPr>
            <w:tcW w:w="314" w:type="pct"/>
            <w:tcBorders>
              <w:top w:val="single" w:sz="4" w:space="0" w:color="65C5B4" w:themeColor="accent1"/>
              <w:bottom w:val="single" w:sz="4" w:space="0" w:color="65C5B4" w:themeColor="accent1"/>
            </w:tcBorders>
            <w:shd w:val="clear" w:color="auto" w:fill="auto"/>
            <w:noWrap/>
            <w:vAlign w:val="center"/>
          </w:tcPr>
          <w:p w14:paraId="0ED3F5F1"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r>
      <w:tr w:rsidR="0072120B" w:rsidRPr="00812509" w14:paraId="74E02676"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nil"/>
            </w:tcBorders>
          </w:tcPr>
          <w:p w14:paraId="27A316A1" w14:textId="77777777" w:rsidR="0072120B" w:rsidRPr="00812509" w:rsidRDefault="0072120B" w:rsidP="00B31A23">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 xml:space="preserve">INL302 Humanitarian Assistance and </w:t>
            </w:r>
            <w:r>
              <w:rPr>
                <w:rFonts w:asciiTheme="minorHAnsi" w:eastAsia="Times New Roman" w:hAnsiTheme="minorHAnsi"/>
                <w:iCs/>
                <w:szCs w:val="17"/>
                <w:lang w:eastAsia="en-US"/>
              </w:rPr>
              <w:t>DRR</w:t>
            </w:r>
          </w:p>
        </w:tc>
        <w:tc>
          <w:tcPr>
            <w:tcW w:w="506" w:type="pct"/>
            <w:tcBorders>
              <w:top w:val="nil"/>
            </w:tcBorders>
          </w:tcPr>
          <w:p w14:paraId="6162290D" w14:textId="4C90B530" w:rsidR="0072120B" w:rsidRPr="00812509" w:rsidRDefault="0072120B" w:rsidP="00F1096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$10.5m</w:t>
            </w:r>
          </w:p>
        </w:tc>
        <w:tc>
          <w:tcPr>
            <w:tcW w:w="485" w:type="pct"/>
            <w:tcBorders>
              <w:bottom w:val="single" w:sz="4" w:space="0" w:color="65C5B4" w:themeColor="accent1"/>
            </w:tcBorders>
          </w:tcPr>
          <w:p w14:paraId="0DCDD561"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14" w:type="pct"/>
            <w:tcBorders>
              <w:bottom w:val="single" w:sz="4" w:space="0" w:color="65C5B4" w:themeColor="accent1"/>
            </w:tcBorders>
            <w:shd w:val="clear" w:color="auto" w:fill="auto"/>
            <w:noWrap/>
            <w:vAlign w:val="center"/>
          </w:tcPr>
          <w:p w14:paraId="3A55FEAD"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tcBorders>
              <w:bottom w:val="single" w:sz="4" w:space="0" w:color="65C5B4" w:themeColor="accent1"/>
            </w:tcBorders>
            <w:shd w:val="clear" w:color="auto" w:fill="auto"/>
            <w:noWrap/>
            <w:vAlign w:val="center"/>
          </w:tcPr>
          <w:p w14:paraId="1017F457"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Pr>
                <w:rFonts w:ascii="Calibri Light" w:eastAsia="Times New Roman" w:hAnsi="Calibri Light" w:cs="Calibri Light"/>
                <w:color w:val="495965"/>
              </w:rPr>
              <w:t>5</w:t>
            </w:r>
          </w:p>
        </w:tc>
        <w:tc>
          <w:tcPr>
            <w:tcW w:w="314" w:type="pct"/>
            <w:tcBorders>
              <w:bottom w:val="single" w:sz="4" w:space="0" w:color="65C5B4" w:themeColor="accent1"/>
            </w:tcBorders>
            <w:shd w:val="clear" w:color="auto" w:fill="auto"/>
            <w:noWrap/>
            <w:vAlign w:val="center"/>
          </w:tcPr>
          <w:p w14:paraId="75BD2923"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r>
      <w:tr w:rsidR="0072120B" w:rsidRPr="00812509" w14:paraId="503F7B94" w14:textId="77777777" w:rsidTr="00F10969">
        <w:trPr>
          <w:cnfStyle w:val="100000000000" w:firstRow="1" w:lastRow="0" w:firstColumn="0" w:lastColumn="0" w:oddVBand="0" w:evenVBand="0" w:oddHBand="0" w:evenHBand="0" w:firstRowFirstColumn="0" w:firstRowLastColumn="0" w:lastRowFirstColumn="0" w:lastRowLastColumn="0"/>
          <w:trHeight w:val="284"/>
          <w:jc w:val="center"/>
        </w:trPr>
        <w:tc>
          <w:tcPr>
            <w:tcW w:w="2965" w:type="pct"/>
            <w:tcBorders>
              <w:top w:val="nil"/>
            </w:tcBorders>
          </w:tcPr>
          <w:p w14:paraId="56307BB8"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p>
        </w:tc>
        <w:tc>
          <w:tcPr>
            <w:tcW w:w="506" w:type="pct"/>
            <w:tcBorders>
              <w:top w:val="nil"/>
            </w:tcBorders>
          </w:tcPr>
          <w:p w14:paraId="1D072F9E" w14:textId="13E8299A" w:rsidR="0072120B" w:rsidRPr="00812509" w:rsidRDefault="00F10969" w:rsidP="001D640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2014-21</w:t>
            </w:r>
          </w:p>
        </w:tc>
        <w:tc>
          <w:tcPr>
            <w:tcW w:w="485" w:type="pct"/>
          </w:tcPr>
          <w:p w14:paraId="37BA77D9" w14:textId="77777777" w:rsidR="0072120B" w:rsidRPr="00812509" w:rsidRDefault="0072120B"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14" w:type="pct"/>
            <w:shd w:val="clear" w:color="auto" w:fill="auto"/>
            <w:noWrap/>
            <w:vAlign w:val="center"/>
          </w:tcPr>
          <w:p w14:paraId="6779D3F4"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c>
          <w:tcPr>
            <w:tcW w:w="314" w:type="pct"/>
            <w:shd w:val="clear" w:color="auto" w:fill="auto"/>
            <w:noWrap/>
            <w:vAlign w:val="center"/>
          </w:tcPr>
          <w:p w14:paraId="47C519B9"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3</w:t>
            </w:r>
          </w:p>
        </w:tc>
        <w:tc>
          <w:tcPr>
            <w:tcW w:w="314" w:type="pct"/>
            <w:shd w:val="clear" w:color="auto" w:fill="auto"/>
            <w:noWrap/>
            <w:vAlign w:val="center"/>
          </w:tcPr>
          <w:p w14:paraId="49DA2162" w14:textId="77777777" w:rsidR="0072120B" w:rsidRPr="00812509" w:rsidRDefault="0072120B" w:rsidP="001D6405">
            <w:pPr>
              <w:keepLines/>
              <w:spacing w:before="40" w:after="40" w:line="200" w:lineRule="atLeast"/>
              <w:jc w:val="center"/>
              <w:rPr>
                <w:rFonts w:asciiTheme="minorHAnsi" w:eastAsia="Times New Roman" w:hAnsiTheme="minorHAnsi"/>
                <w:iCs/>
                <w:szCs w:val="17"/>
                <w:lang w:eastAsia="en-US"/>
              </w:rPr>
            </w:pPr>
            <w:r w:rsidRPr="001E488A">
              <w:rPr>
                <w:rFonts w:ascii="Calibri Light" w:eastAsia="Times New Roman" w:hAnsi="Calibri Light" w:cs="Calibri Light"/>
                <w:color w:val="495965"/>
              </w:rPr>
              <w:t>4</w:t>
            </w:r>
          </w:p>
        </w:tc>
      </w:tr>
    </w:tbl>
    <w:p w14:paraId="2E74ACF1" w14:textId="77777777" w:rsidR="00390828" w:rsidRDefault="00390828" w:rsidP="00390828">
      <w:pPr>
        <w:pStyle w:val="Heading3"/>
        <w:rPr>
          <w:rFonts w:eastAsia="Times New Roman"/>
        </w:rPr>
      </w:pPr>
      <w:r w:rsidRPr="00D03BF3">
        <w:rPr>
          <w:rFonts w:eastAsia="Times New Roman"/>
        </w:rPr>
        <w:t>H</w:t>
      </w:r>
      <w:r>
        <w:rPr>
          <w:rFonts w:eastAsia="Times New Roman"/>
        </w:rPr>
        <w:t xml:space="preserve">umanitarian </w:t>
      </w:r>
      <w:r w:rsidR="00B927C4">
        <w:rPr>
          <w:rFonts w:eastAsia="Times New Roman"/>
        </w:rPr>
        <w:t>Investment Monitoring Report ratings</w:t>
      </w:r>
    </w:p>
    <w:tbl>
      <w:tblPr>
        <w:tblStyle w:val="APPR"/>
        <w:tblW w:w="4971" w:type="pct"/>
        <w:jc w:val="center"/>
        <w:tblLook w:val="0020" w:firstRow="1" w:lastRow="0" w:firstColumn="0" w:lastColumn="0" w:noHBand="0" w:noVBand="0"/>
      </w:tblPr>
      <w:tblGrid>
        <w:gridCol w:w="4013"/>
        <w:gridCol w:w="942"/>
        <w:gridCol w:w="659"/>
        <w:gridCol w:w="659"/>
        <w:gridCol w:w="659"/>
        <w:gridCol w:w="659"/>
        <w:gridCol w:w="659"/>
        <w:gridCol w:w="659"/>
        <w:gridCol w:w="673"/>
      </w:tblGrid>
      <w:tr w:rsidR="004949C8" w:rsidRPr="00812509" w14:paraId="2C05375D" w14:textId="77777777" w:rsidTr="00CB7BFA">
        <w:trPr>
          <w:cnfStyle w:val="100000000000" w:firstRow="1" w:lastRow="0" w:firstColumn="0" w:lastColumn="0" w:oddVBand="0" w:evenVBand="0" w:oddHBand="0" w:evenHBand="0" w:firstRowFirstColumn="0" w:firstRowLastColumn="0" w:lastRowFirstColumn="0" w:lastRowLastColumn="0"/>
          <w:trHeight w:val="942"/>
          <w:jc w:val="center"/>
        </w:trPr>
        <w:tc>
          <w:tcPr>
            <w:tcW w:w="2072" w:type="pct"/>
          </w:tcPr>
          <w:p w14:paraId="4D1B5AAA"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2576" behindDoc="0" locked="0" layoutInCell="1" allowOverlap="1" wp14:anchorId="37412A9B" wp14:editId="508C590F">
                  <wp:simplePos x="0" y="0"/>
                  <wp:positionH relativeFrom="column">
                    <wp:posOffset>0</wp:posOffset>
                  </wp:positionH>
                  <wp:positionV relativeFrom="paragraph">
                    <wp:posOffset>0</wp:posOffset>
                  </wp:positionV>
                  <wp:extent cx="1857375" cy="228600"/>
                  <wp:effectExtent l="0" t="0" r="9525" b="0"/>
                  <wp:wrapNone/>
                  <wp:docPr id="5" name="Picture 5"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477" w:type="pct"/>
            <w:textDirection w:val="btLr"/>
          </w:tcPr>
          <w:p w14:paraId="2D71FFAE"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29" w:type="pct"/>
            <w:noWrap/>
            <w:textDirection w:val="btLr"/>
          </w:tcPr>
          <w:p w14:paraId="096A7A79"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29" w:type="pct"/>
            <w:noWrap/>
            <w:textDirection w:val="btLr"/>
          </w:tcPr>
          <w:p w14:paraId="54E939A4"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29" w:type="pct"/>
            <w:textDirection w:val="btLr"/>
          </w:tcPr>
          <w:p w14:paraId="12551F93"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29" w:type="pct"/>
            <w:textDirection w:val="btLr"/>
          </w:tcPr>
          <w:p w14:paraId="66A8F975"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29" w:type="pct"/>
            <w:noWrap/>
            <w:textDirection w:val="btLr"/>
          </w:tcPr>
          <w:p w14:paraId="7B76DA09"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29" w:type="pct"/>
            <w:noWrap/>
            <w:textDirection w:val="btLr"/>
          </w:tcPr>
          <w:p w14:paraId="199797FD"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Pr>
                <w:rFonts w:asciiTheme="minorHAnsi" w:eastAsia="Times New Roman" w:hAnsiTheme="minorHAnsi"/>
                <w:iCs/>
                <w:szCs w:val="17"/>
                <w:lang w:eastAsia="en-US"/>
              </w:rPr>
              <w:t>Connectedness</w:t>
            </w:r>
          </w:p>
        </w:tc>
        <w:tc>
          <w:tcPr>
            <w:tcW w:w="329" w:type="pct"/>
            <w:textDirection w:val="btLr"/>
          </w:tcPr>
          <w:p w14:paraId="67AE7D2E" w14:textId="77777777" w:rsidR="004949C8" w:rsidRPr="00812509" w:rsidRDefault="004949C8" w:rsidP="001D6405">
            <w:pPr>
              <w:keepLines/>
              <w:spacing w:before="80" w:after="80" w:line="200" w:lineRule="atLeast"/>
              <w:rPr>
                <w:rFonts w:eastAsia="Times New Roman"/>
                <w:b w:val="0"/>
                <w:iCs/>
                <w:szCs w:val="17"/>
              </w:rPr>
            </w:pPr>
            <w:r w:rsidRPr="00D87A89">
              <w:rPr>
                <w:rFonts w:asciiTheme="minorHAnsi" w:eastAsia="Times New Roman" w:hAnsiTheme="minorHAnsi"/>
                <w:iCs/>
                <w:szCs w:val="17"/>
                <w:lang w:eastAsia="en-US"/>
              </w:rPr>
              <w:t>Protection</w:t>
            </w:r>
          </w:p>
        </w:tc>
      </w:tr>
      <w:tr w:rsidR="004949C8" w:rsidRPr="00812509" w14:paraId="62C9F41B" w14:textId="77777777" w:rsidTr="00CB7BFA">
        <w:trPr>
          <w:cnfStyle w:val="100000000000" w:firstRow="1" w:lastRow="0" w:firstColumn="0" w:lastColumn="0" w:oddVBand="0" w:evenVBand="0" w:oddHBand="0" w:evenHBand="0" w:firstRowFirstColumn="0" w:firstRowLastColumn="0" w:lastRowFirstColumn="0" w:lastRowLastColumn="0"/>
          <w:trHeight w:val="457"/>
          <w:jc w:val="center"/>
        </w:trPr>
        <w:tc>
          <w:tcPr>
            <w:tcW w:w="2072" w:type="pct"/>
            <w:tcBorders>
              <w:top w:val="single" w:sz="2" w:space="0" w:color="65C5B4" w:themeColor="accent1"/>
            </w:tcBorders>
          </w:tcPr>
          <w:p w14:paraId="5F29A29B" w14:textId="127722B0"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1E488A">
              <w:rPr>
                <w:rFonts w:ascii="Calibri Light" w:eastAsia="Times New Roman" w:hAnsi="Calibri Light" w:cs="Calibri Light"/>
                <w:color w:val="495965"/>
              </w:rPr>
              <w:t>INM095 Pakistan Humanitarian Support WFP</w:t>
            </w:r>
            <w:r w:rsidR="006C70FA">
              <w:rPr>
                <w:rFonts w:ascii="Calibri Light" w:eastAsia="Times New Roman" w:hAnsi="Calibri Light" w:cs="Calibri Light"/>
                <w:color w:val="495965"/>
              </w:rPr>
              <w:t>, UNFPA</w:t>
            </w:r>
            <w:r w:rsidRPr="001E488A">
              <w:rPr>
                <w:rFonts w:ascii="Calibri Light" w:eastAsia="Times New Roman" w:hAnsi="Calibri Light" w:cs="Calibri Light"/>
                <w:color w:val="495965"/>
              </w:rPr>
              <w:t xml:space="preserve"> &amp; IOM</w:t>
            </w:r>
          </w:p>
        </w:tc>
        <w:tc>
          <w:tcPr>
            <w:tcW w:w="477" w:type="pct"/>
            <w:tcBorders>
              <w:top w:val="single" w:sz="2" w:space="0" w:color="65C5B4" w:themeColor="accent1"/>
            </w:tcBorders>
          </w:tcPr>
          <w:p w14:paraId="5B4FFA82" w14:textId="77777777" w:rsidR="004949C8" w:rsidRPr="0000229E" w:rsidRDefault="004949C8" w:rsidP="004C4100">
            <w:pPr>
              <w:autoSpaceDE w:val="0"/>
              <w:autoSpaceDN w:val="0"/>
              <w:adjustRightInd w:val="0"/>
              <w:spacing w:before="0"/>
              <w:rPr>
                <w:rFonts w:asciiTheme="minorHAnsi" w:hAnsiTheme="minorHAnsi" w:cs="Franklin Gothic Book"/>
                <w:color w:val="000000"/>
                <w:szCs w:val="17"/>
              </w:rPr>
            </w:pPr>
            <w:r>
              <w:rPr>
                <w:rFonts w:asciiTheme="minorHAnsi" w:eastAsia="Times New Roman" w:hAnsiTheme="minorHAnsi"/>
                <w:iCs/>
                <w:szCs w:val="17"/>
                <w:lang w:eastAsia="en-US"/>
              </w:rPr>
              <w:t>$28m</w:t>
            </w:r>
          </w:p>
          <w:p w14:paraId="264A4424" w14:textId="77777777"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7-21</w:t>
            </w:r>
            <w:r w:rsidRPr="00812509">
              <w:rPr>
                <w:rFonts w:asciiTheme="minorHAnsi" w:eastAsia="Times New Roman" w:hAnsiTheme="minorHAnsi"/>
                <w:iCs/>
                <w:szCs w:val="17"/>
                <w:lang w:eastAsia="en-US"/>
              </w:rPr>
              <w:t xml:space="preserve"> </w:t>
            </w:r>
          </w:p>
        </w:tc>
        <w:tc>
          <w:tcPr>
            <w:tcW w:w="329" w:type="pct"/>
            <w:tcBorders>
              <w:top w:val="single" w:sz="2" w:space="0" w:color="65C5B4" w:themeColor="accent1"/>
            </w:tcBorders>
            <w:shd w:val="clear" w:color="auto" w:fill="auto"/>
            <w:noWrap/>
          </w:tcPr>
          <w:p w14:paraId="0A24D6AC"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tcPr>
          <w:p w14:paraId="424C43CD"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tcPr>
          <w:p w14:paraId="02D1D59C"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tcPr>
          <w:p w14:paraId="46FC75BF"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noWrap/>
          </w:tcPr>
          <w:p w14:paraId="5E3E0371"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29" w:type="pct"/>
            <w:tcBorders>
              <w:top w:val="single" w:sz="2" w:space="0" w:color="65C5B4" w:themeColor="accent1"/>
            </w:tcBorders>
            <w:shd w:val="clear" w:color="auto" w:fill="auto"/>
            <w:noWrap/>
          </w:tcPr>
          <w:p w14:paraId="0C16FBD7"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29" w:type="pct"/>
            <w:tcBorders>
              <w:top w:val="single" w:sz="2" w:space="0" w:color="65C5B4" w:themeColor="accent1"/>
            </w:tcBorders>
            <w:shd w:val="clear" w:color="auto" w:fill="auto"/>
          </w:tcPr>
          <w:p w14:paraId="68C82F42" w14:textId="77777777" w:rsidR="004949C8" w:rsidRDefault="004949C8" w:rsidP="001D6405">
            <w:pPr>
              <w:keepLines/>
              <w:spacing w:before="40" w:after="40" w:line="200" w:lineRule="atLeast"/>
              <w:jc w:val="center"/>
              <w:rPr>
                <w:rFonts w:eastAsia="Times New Roman"/>
                <w:iCs/>
                <w:szCs w:val="17"/>
              </w:rPr>
            </w:pPr>
            <w:r>
              <w:rPr>
                <w:rFonts w:eastAsia="Times New Roman"/>
                <w:iCs/>
                <w:szCs w:val="17"/>
              </w:rPr>
              <w:t>5</w:t>
            </w:r>
          </w:p>
        </w:tc>
      </w:tr>
    </w:tbl>
    <w:p w14:paraId="78A696AF" w14:textId="77777777" w:rsidR="004949C8" w:rsidRDefault="004949C8" w:rsidP="004949C8"/>
    <w:p w14:paraId="29EFA07A" w14:textId="77777777" w:rsidR="00390828" w:rsidRDefault="00390828" w:rsidP="008C541D">
      <w:pPr>
        <w:pStyle w:val="Heading3"/>
        <w:spacing w:before="0"/>
      </w:pPr>
      <w:r w:rsidRPr="00D03BF3">
        <w:t xml:space="preserve">Final </w:t>
      </w:r>
      <w:r w:rsidR="00B927C4">
        <w:t xml:space="preserve">Investment Monitoring Report </w:t>
      </w:r>
      <w:r>
        <w:t xml:space="preserve">ratings </w:t>
      </w:r>
    </w:p>
    <w:tbl>
      <w:tblPr>
        <w:tblStyle w:val="APPR"/>
        <w:tblW w:w="5000" w:type="pct"/>
        <w:jc w:val="center"/>
        <w:tblLook w:val="0020" w:firstRow="1" w:lastRow="0" w:firstColumn="0" w:lastColumn="0" w:noHBand="0" w:noVBand="0"/>
      </w:tblPr>
      <w:tblGrid>
        <w:gridCol w:w="4055"/>
        <w:gridCol w:w="938"/>
        <w:gridCol w:w="623"/>
        <w:gridCol w:w="623"/>
        <w:gridCol w:w="623"/>
        <w:gridCol w:w="623"/>
        <w:gridCol w:w="623"/>
        <w:gridCol w:w="1530"/>
      </w:tblGrid>
      <w:tr w:rsidR="00B31A23" w:rsidRPr="00812509" w14:paraId="7710D0FD" w14:textId="77777777" w:rsidTr="00CB7BFA">
        <w:trPr>
          <w:cnfStyle w:val="100000000000" w:firstRow="1" w:lastRow="0" w:firstColumn="0" w:lastColumn="0" w:oddVBand="0" w:evenVBand="0" w:oddHBand="0" w:evenHBand="0" w:firstRowFirstColumn="0" w:firstRowLastColumn="0" w:lastRowFirstColumn="0" w:lastRowLastColumn="0"/>
          <w:trHeight w:val="1064"/>
          <w:jc w:val="center"/>
        </w:trPr>
        <w:tc>
          <w:tcPr>
            <w:tcW w:w="2096" w:type="pct"/>
          </w:tcPr>
          <w:p w14:paraId="68EC272F"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4624" behindDoc="0" locked="0" layoutInCell="1" allowOverlap="1" wp14:anchorId="2609E4B6" wp14:editId="334163F3">
                  <wp:simplePos x="0" y="0"/>
                  <wp:positionH relativeFrom="column">
                    <wp:posOffset>0</wp:posOffset>
                  </wp:positionH>
                  <wp:positionV relativeFrom="paragraph">
                    <wp:posOffset>0</wp:posOffset>
                  </wp:positionV>
                  <wp:extent cx="1857375" cy="228600"/>
                  <wp:effectExtent l="0" t="0" r="9525" b="0"/>
                  <wp:wrapNone/>
                  <wp:docPr id="6" name="Picture 6"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486" w:type="pct"/>
            <w:textDirection w:val="btLr"/>
          </w:tcPr>
          <w:p w14:paraId="46A81F20"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306" w:type="pct"/>
            <w:noWrap/>
            <w:textDirection w:val="btLr"/>
          </w:tcPr>
          <w:p w14:paraId="3ABEDB6D"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06" w:type="pct"/>
            <w:noWrap/>
            <w:textDirection w:val="btLr"/>
          </w:tcPr>
          <w:p w14:paraId="46F4C568"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06" w:type="pct"/>
            <w:textDirection w:val="btLr"/>
          </w:tcPr>
          <w:p w14:paraId="3745F455"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06" w:type="pct"/>
            <w:textDirection w:val="btLr"/>
          </w:tcPr>
          <w:p w14:paraId="11BB3AA5"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277" w:type="pct"/>
            <w:textDirection w:val="btLr"/>
          </w:tcPr>
          <w:p w14:paraId="56C596A5" w14:textId="77777777" w:rsidR="004949C8" w:rsidRPr="00812509" w:rsidRDefault="004949C8" w:rsidP="001D6405">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786" w:type="pct"/>
            <w:textDirection w:val="btLr"/>
          </w:tcPr>
          <w:p w14:paraId="75311573" w14:textId="77777777" w:rsidR="004949C8" w:rsidRPr="00812509" w:rsidRDefault="004949C8" w:rsidP="004F216E">
            <w:pPr>
              <w:keepLines/>
              <w:spacing w:before="0" w:after="0" w:line="240" w:lineRule="auto"/>
              <w:ind w:left="138"/>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r>
      <w:tr w:rsidR="00B31A23" w:rsidRPr="00812509" w14:paraId="12794014" w14:textId="77777777" w:rsidTr="00CB7BFA">
        <w:trPr>
          <w:cnfStyle w:val="100000000000" w:firstRow="1" w:lastRow="0" w:firstColumn="0" w:lastColumn="0" w:oddVBand="0" w:evenVBand="0" w:oddHBand="0" w:evenHBand="0" w:firstRowFirstColumn="0" w:firstRowLastColumn="0" w:lastRowFirstColumn="0" w:lastRowLastColumn="0"/>
          <w:trHeight w:val="391"/>
          <w:jc w:val="center"/>
        </w:trPr>
        <w:tc>
          <w:tcPr>
            <w:tcW w:w="2096" w:type="pct"/>
            <w:tcBorders>
              <w:top w:val="single" w:sz="2" w:space="0" w:color="65C5B4" w:themeColor="accent1"/>
              <w:bottom w:val="single" w:sz="2" w:space="0" w:color="65C5B4" w:themeColor="accent1"/>
            </w:tcBorders>
          </w:tcPr>
          <w:p w14:paraId="5B2E6F9F" w14:textId="77777777"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INM356 Pakistan Market Development Facility Phase II</w:t>
            </w:r>
          </w:p>
        </w:tc>
        <w:tc>
          <w:tcPr>
            <w:tcW w:w="486" w:type="pct"/>
            <w:tcBorders>
              <w:top w:val="single" w:sz="2" w:space="0" w:color="65C5B4" w:themeColor="accent1"/>
              <w:bottom w:val="single" w:sz="2" w:space="0" w:color="65C5B4" w:themeColor="accent1"/>
            </w:tcBorders>
          </w:tcPr>
          <w:p w14:paraId="1F7D0E64" w14:textId="77777777" w:rsidR="004949C8" w:rsidRPr="00165B4E"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 xml:space="preserve">$18.68m </w:t>
            </w:r>
          </w:p>
          <w:p w14:paraId="1B9DCDD3" w14:textId="77777777"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2017-20</w:t>
            </w:r>
          </w:p>
        </w:tc>
        <w:tc>
          <w:tcPr>
            <w:tcW w:w="306" w:type="pct"/>
            <w:tcBorders>
              <w:top w:val="single" w:sz="2" w:space="0" w:color="65C5B4" w:themeColor="accent1"/>
              <w:bottom w:val="single" w:sz="2" w:space="0" w:color="65C5B4" w:themeColor="accent1"/>
            </w:tcBorders>
            <w:shd w:val="clear" w:color="auto" w:fill="auto"/>
            <w:noWrap/>
          </w:tcPr>
          <w:p w14:paraId="0FEDD3AC" w14:textId="09CE61EF" w:rsidR="004949C8" w:rsidRPr="00812509" w:rsidRDefault="006C70FA"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06" w:type="pct"/>
            <w:tcBorders>
              <w:top w:val="single" w:sz="2" w:space="0" w:color="65C5B4" w:themeColor="accent1"/>
              <w:bottom w:val="single" w:sz="2" w:space="0" w:color="65C5B4" w:themeColor="accent1"/>
            </w:tcBorders>
            <w:shd w:val="clear" w:color="auto" w:fill="auto"/>
            <w:noWrap/>
          </w:tcPr>
          <w:p w14:paraId="31DE33EB" w14:textId="1D8A6912" w:rsidR="004949C8" w:rsidRPr="00812509" w:rsidRDefault="006C70FA"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06" w:type="pct"/>
            <w:tcBorders>
              <w:top w:val="single" w:sz="2" w:space="0" w:color="65C5B4" w:themeColor="accent1"/>
              <w:bottom w:val="single" w:sz="2" w:space="0" w:color="65C5B4" w:themeColor="accent1"/>
            </w:tcBorders>
            <w:shd w:val="clear" w:color="auto" w:fill="auto"/>
          </w:tcPr>
          <w:p w14:paraId="347A8E52" w14:textId="749B605A" w:rsidR="004949C8" w:rsidRPr="00812509" w:rsidRDefault="006C70FA"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06" w:type="pct"/>
            <w:tcBorders>
              <w:top w:val="single" w:sz="2" w:space="0" w:color="65C5B4" w:themeColor="accent1"/>
              <w:bottom w:val="single" w:sz="2" w:space="0" w:color="65C5B4" w:themeColor="accent1"/>
            </w:tcBorders>
            <w:shd w:val="clear" w:color="auto" w:fill="auto"/>
          </w:tcPr>
          <w:p w14:paraId="5CB2B25C" w14:textId="4201442C" w:rsidR="004949C8" w:rsidRPr="00812509" w:rsidRDefault="006C70FA"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277" w:type="pct"/>
            <w:tcBorders>
              <w:top w:val="single" w:sz="2" w:space="0" w:color="65C5B4" w:themeColor="accent1"/>
              <w:bottom w:val="single" w:sz="2" w:space="0" w:color="65C5B4" w:themeColor="accent1"/>
            </w:tcBorders>
            <w:shd w:val="clear" w:color="auto" w:fill="auto"/>
          </w:tcPr>
          <w:p w14:paraId="4E7153B4" w14:textId="521B027D" w:rsidR="004949C8" w:rsidRPr="00812509" w:rsidRDefault="006C70FA"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786" w:type="pct"/>
            <w:tcBorders>
              <w:top w:val="single" w:sz="2" w:space="0" w:color="65C5B4" w:themeColor="accent1"/>
              <w:bottom w:val="single" w:sz="2" w:space="0" w:color="65C5B4" w:themeColor="accent1"/>
            </w:tcBorders>
            <w:shd w:val="clear" w:color="auto" w:fill="auto"/>
          </w:tcPr>
          <w:p w14:paraId="6CA509E3" w14:textId="0B19FEE6" w:rsidR="004949C8" w:rsidRPr="00812509" w:rsidRDefault="006C70FA" w:rsidP="004F216E">
            <w:pPr>
              <w:keepLines/>
              <w:spacing w:before="0" w:after="0" w:line="240" w:lineRule="auto"/>
              <w:ind w:left="138"/>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B31A23" w:rsidRPr="00812509" w14:paraId="16071EAA" w14:textId="77777777" w:rsidTr="00CB7BFA">
        <w:trPr>
          <w:cnfStyle w:val="100000000000" w:firstRow="1" w:lastRow="0" w:firstColumn="0" w:lastColumn="0" w:oddVBand="0" w:evenVBand="0" w:oddHBand="0" w:evenHBand="0" w:firstRowFirstColumn="0" w:firstRowLastColumn="0" w:lastRowFirstColumn="0" w:lastRowLastColumn="0"/>
          <w:trHeight w:val="284"/>
          <w:jc w:val="center"/>
        </w:trPr>
        <w:tc>
          <w:tcPr>
            <w:tcW w:w="2096" w:type="pct"/>
          </w:tcPr>
          <w:p w14:paraId="509C076C" w14:textId="77777777"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INL236 Pakistan Ending Violence Against Women Program</w:t>
            </w:r>
          </w:p>
        </w:tc>
        <w:tc>
          <w:tcPr>
            <w:tcW w:w="486" w:type="pct"/>
          </w:tcPr>
          <w:p w14:paraId="0CD59101" w14:textId="77777777" w:rsidR="004949C8" w:rsidRPr="00165B4E"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$11.93m</w:t>
            </w:r>
          </w:p>
          <w:p w14:paraId="782893E0" w14:textId="77777777" w:rsidR="004949C8" w:rsidRPr="00812509" w:rsidRDefault="004949C8" w:rsidP="001D6405">
            <w:pPr>
              <w:keepLines/>
              <w:spacing w:before="40" w:after="40" w:line="200" w:lineRule="atLeast"/>
              <w:rPr>
                <w:rFonts w:asciiTheme="minorHAnsi" w:eastAsia="Times New Roman" w:hAnsiTheme="minorHAnsi"/>
                <w:iCs/>
                <w:szCs w:val="17"/>
                <w:lang w:eastAsia="en-US"/>
              </w:rPr>
            </w:pPr>
            <w:r w:rsidRPr="00165B4E">
              <w:rPr>
                <w:rFonts w:asciiTheme="minorHAnsi" w:eastAsia="Times New Roman" w:hAnsiTheme="minorHAnsi"/>
                <w:iCs/>
                <w:szCs w:val="17"/>
                <w:lang w:eastAsia="en-US"/>
              </w:rPr>
              <w:t>2014-19</w:t>
            </w:r>
          </w:p>
        </w:tc>
        <w:tc>
          <w:tcPr>
            <w:tcW w:w="306" w:type="pct"/>
            <w:shd w:val="clear" w:color="auto" w:fill="auto"/>
            <w:noWrap/>
          </w:tcPr>
          <w:p w14:paraId="47BDE146"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06" w:type="pct"/>
            <w:shd w:val="clear" w:color="auto" w:fill="auto"/>
            <w:noWrap/>
          </w:tcPr>
          <w:p w14:paraId="5A781FA8"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06" w:type="pct"/>
            <w:shd w:val="clear" w:color="auto" w:fill="auto"/>
          </w:tcPr>
          <w:p w14:paraId="4D635915"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06" w:type="pct"/>
            <w:shd w:val="clear" w:color="auto" w:fill="auto"/>
          </w:tcPr>
          <w:p w14:paraId="775D476D"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6</w:t>
            </w:r>
          </w:p>
        </w:tc>
        <w:tc>
          <w:tcPr>
            <w:tcW w:w="277" w:type="pct"/>
            <w:shd w:val="clear" w:color="auto" w:fill="auto"/>
          </w:tcPr>
          <w:p w14:paraId="508A27C5" w14:textId="77777777" w:rsidR="004949C8" w:rsidRPr="00812509" w:rsidRDefault="004949C8" w:rsidP="001D640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786" w:type="pct"/>
            <w:shd w:val="clear" w:color="auto" w:fill="auto"/>
          </w:tcPr>
          <w:p w14:paraId="5F247E1E" w14:textId="77777777" w:rsidR="004949C8" w:rsidRPr="00812509" w:rsidRDefault="004949C8" w:rsidP="004F216E">
            <w:pPr>
              <w:keepLines/>
              <w:spacing w:before="0" w:after="0" w:line="240" w:lineRule="auto"/>
              <w:ind w:left="138"/>
              <w:rPr>
                <w:rFonts w:asciiTheme="minorHAnsi" w:eastAsia="Times New Roman" w:hAnsiTheme="minorHAnsi"/>
                <w:iCs/>
                <w:szCs w:val="17"/>
                <w:lang w:eastAsia="en-US"/>
              </w:rPr>
            </w:pPr>
            <w:r>
              <w:rPr>
                <w:rFonts w:asciiTheme="minorHAnsi" w:eastAsia="Times New Roman" w:hAnsiTheme="minorHAnsi"/>
                <w:iCs/>
                <w:szCs w:val="17"/>
                <w:lang w:eastAsia="en-US"/>
              </w:rPr>
              <w:t>3</w:t>
            </w:r>
          </w:p>
        </w:tc>
      </w:tr>
    </w:tbl>
    <w:p w14:paraId="2A302A77" w14:textId="77777777" w:rsidR="00390828" w:rsidRPr="00812509" w:rsidRDefault="00390828" w:rsidP="00390828">
      <w:pPr>
        <w:spacing w:before="20" w:after="20" w:line="180" w:lineRule="atLeast"/>
        <w:jc w:val="both"/>
        <w:rPr>
          <w:rFonts w:eastAsia="Times New Roman"/>
          <w:b/>
          <w:sz w:val="14"/>
          <w:szCs w:val="14"/>
        </w:rPr>
      </w:pPr>
    </w:p>
    <w:p w14:paraId="14D9CE61"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02CF2D18" w14:textId="77777777" w:rsidR="00390828" w:rsidRPr="00B31A23" w:rsidRDefault="00390828" w:rsidP="00390828">
      <w:pPr>
        <w:spacing w:before="20" w:after="20" w:line="180" w:lineRule="atLeast"/>
        <w:jc w:val="both"/>
        <w:rPr>
          <w:rFonts w:eastAsia="Times New Roman"/>
          <w:sz w:val="16"/>
          <w:szCs w:val="14"/>
          <w:u w:val="single"/>
        </w:rPr>
      </w:pPr>
      <w:r w:rsidRPr="00B31A23">
        <w:rPr>
          <w:rFonts w:eastAsia="Times New Roman"/>
          <w:sz w:val="16"/>
          <w:szCs w:val="14"/>
          <w:u w:val="single"/>
        </w:rPr>
        <w:t>Satisfactory (4, 5 and 6)</w:t>
      </w:r>
    </w:p>
    <w:p w14:paraId="61019AA1" w14:textId="77777777" w:rsidR="00390828" w:rsidRPr="00B31A23" w:rsidRDefault="00390828" w:rsidP="00390828">
      <w:pPr>
        <w:spacing w:before="20" w:after="20" w:line="180" w:lineRule="atLeast"/>
        <w:rPr>
          <w:rFonts w:eastAsia="Times New Roman"/>
          <w:sz w:val="16"/>
          <w:szCs w:val="14"/>
        </w:rPr>
      </w:pPr>
      <w:r w:rsidRPr="00B31A23">
        <w:rPr>
          <w:rFonts w:eastAsia="Times New Roman"/>
          <w:sz w:val="16"/>
          <w:szCs w:val="14"/>
        </w:rPr>
        <w:t>6 = Very good; satisfies criteria in all areas.  5 = Good; satisfies criteria in almost all areas.</w:t>
      </w:r>
    </w:p>
    <w:p w14:paraId="1595F313" w14:textId="77777777" w:rsidR="00390828" w:rsidRPr="00B31A23" w:rsidRDefault="00390828" w:rsidP="00390828">
      <w:pPr>
        <w:spacing w:before="20" w:after="20" w:line="180" w:lineRule="atLeast"/>
        <w:rPr>
          <w:rFonts w:eastAsia="Times New Roman"/>
          <w:sz w:val="16"/>
          <w:szCs w:val="14"/>
        </w:rPr>
      </w:pPr>
      <w:r w:rsidRPr="00B31A23">
        <w:rPr>
          <w:rFonts w:eastAsia="Times New Roman"/>
          <w:sz w:val="16"/>
          <w:szCs w:val="14"/>
        </w:rPr>
        <w:t>4 = Adequate; on balance, satisfies criteria; does not fail in any major area.</w:t>
      </w:r>
    </w:p>
    <w:p w14:paraId="349AEF8D" w14:textId="77777777" w:rsidR="00390828" w:rsidRPr="00B31A23" w:rsidRDefault="00390828" w:rsidP="00390828">
      <w:pPr>
        <w:spacing w:before="20" w:after="20" w:line="180" w:lineRule="atLeast"/>
        <w:rPr>
          <w:rFonts w:eastAsia="Times New Roman"/>
          <w:sz w:val="16"/>
          <w:szCs w:val="14"/>
          <w:u w:val="single"/>
        </w:rPr>
      </w:pPr>
      <w:r w:rsidRPr="00B31A23">
        <w:rPr>
          <w:rFonts w:eastAsia="Times New Roman"/>
          <w:sz w:val="16"/>
          <w:szCs w:val="14"/>
          <w:u w:val="single"/>
        </w:rPr>
        <w:t>Less than satisfactory (1, 2 and 3)</w:t>
      </w:r>
    </w:p>
    <w:p w14:paraId="36E4D149" w14:textId="77777777" w:rsidR="00390828" w:rsidRPr="00B31A23" w:rsidRDefault="00390828" w:rsidP="00390828">
      <w:pPr>
        <w:spacing w:before="20" w:after="20" w:line="180" w:lineRule="atLeast"/>
        <w:rPr>
          <w:rFonts w:eastAsia="Times New Roman"/>
          <w:sz w:val="16"/>
          <w:szCs w:val="14"/>
        </w:rPr>
      </w:pPr>
      <w:r w:rsidRPr="00B31A23">
        <w:rPr>
          <w:rFonts w:eastAsia="Times New Roman"/>
          <w:color w:val="E36C0A"/>
          <w:sz w:val="16"/>
          <w:szCs w:val="14"/>
        </w:rPr>
        <w:t xml:space="preserve"> </w:t>
      </w:r>
      <w:r w:rsidRPr="00B31A23">
        <w:rPr>
          <w:rFonts w:eastAsia="Times New Roman"/>
          <w:sz w:val="16"/>
          <w:szCs w:val="14"/>
        </w:rPr>
        <w:t>3 = Less than adequate; on balance does not satisfy criteria and/or fails in at least one major area.</w:t>
      </w:r>
    </w:p>
    <w:p w14:paraId="033DA7ED" w14:textId="77777777" w:rsidR="00390828" w:rsidRPr="00B31A23" w:rsidRDefault="00390828" w:rsidP="00390828">
      <w:pPr>
        <w:spacing w:before="20" w:after="20" w:line="180" w:lineRule="atLeast"/>
        <w:rPr>
          <w:sz w:val="24"/>
        </w:rPr>
      </w:pPr>
      <w:r w:rsidRPr="00B31A23">
        <w:rPr>
          <w:rFonts w:eastAsia="Times New Roman"/>
          <w:sz w:val="16"/>
          <w:szCs w:val="14"/>
        </w:rPr>
        <w:t xml:space="preserve"> 2 = Poor; does not satisfy criteria in major areas.  1 = Very poor; does not satisfy criteria in many major area.</w:t>
      </w:r>
    </w:p>
    <w:sectPr w:rsidR="00390828" w:rsidRPr="00B31A23"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AC4A" w14:textId="77777777" w:rsidR="00553E56" w:rsidRDefault="00553E56" w:rsidP="00D37B04">
      <w:r>
        <w:separator/>
      </w:r>
    </w:p>
  </w:endnote>
  <w:endnote w:type="continuationSeparator" w:id="0">
    <w:p w14:paraId="39A61488" w14:textId="77777777" w:rsidR="00553E56" w:rsidRDefault="00553E5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EB79" w14:textId="77777777" w:rsidR="00553E56" w:rsidRPr="00FC322F" w:rsidRDefault="00553E56" w:rsidP="00FC322F">
    <w:pPr>
      <w:pStyle w:val="Footer"/>
      <w:rPr>
        <w:b/>
      </w:rPr>
    </w:pPr>
    <w:r w:rsidRPr="00FC322F">
      <w:rPr>
        <w:b/>
        <w:noProof/>
        <w:lang w:val="en-AU" w:eastAsia="en-AU"/>
      </w:rPr>
      <w:drawing>
        <wp:inline distT="0" distB="0" distL="0" distR="0" wp14:anchorId="67C16BB5" wp14:editId="024DF72B">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9259"/>
      <w:docPartObj>
        <w:docPartGallery w:val="Page Numbers (Bottom of Page)"/>
        <w:docPartUnique/>
      </w:docPartObj>
    </w:sdtPr>
    <w:sdtEndPr>
      <w:rPr>
        <w:noProof/>
      </w:rPr>
    </w:sdtEndPr>
    <w:sdtContent>
      <w:p w14:paraId="3E0FD433" w14:textId="36E00DC2" w:rsidR="00897131" w:rsidRDefault="00897131">
        <w:pPr>
          <w:pStyle w:val="Footer"/>
          <w:jc w:val="center"/>
        </w:pPr>
        <w:r>
          <w:fldChar w:fldCharType="begin"/>
        </w:r>
        <w:r>
          <w:instrText xml:space="preserve"> PAGE   \* MERGEFORMAT </w:instrText>
        </w:r>
        <w:r>
          <w:fldChar w:fldCharType="separate"/>
        </w:r>
        <w:r w:rsidR="00DA7B6A">
          <w:rPr>
            <w:noProof/>
          </w:rPr>
          <w:t>1</w:t>
        </w:r>
        <w:r>
          <w:rPr>
            <w:noProof/>
          </w:rPr>
          <w:fldChar w:fldCharType="end"/>
        </w:r>
      </w:p>
    </w:sdtContent>
  </w:sdt>
  <w:p w14:paraId="36C0AA56" w14:textId="6E689B04" w:rsidR="00553E56" w:rsidRPr="00FC322F" w:rsidRDefault="00553E56"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092468"/>
      <w:docPartObj>
        <w:docPartGallery w:val="Page Numbers (Bottom of Page)"/>
        <w:docPartUnique/>
      </w:docPartObj>
    </w:sdtPr>
    <w:sdtEndPr>
      <w:rPr>
        <w:noProof/>
      </w:rPr>
    </w:sdtEndPr>
    <w:sdtContent>
      <w:p w14:paraId="6C019F44" w14:textId="476EA734" w:rsidR="00897131" w:rsidRDefault="00897131">
        <w:pPr>
          <w:pStyle w:val="Footer"/>
          <w:jc w:val="center"/>
        </w:pPr>
        <w:r>
          <w:fldChar w:fldCharType="begin"/>
        </w:r>
        <w:r>
          <w:instrText xml:space="preserve"> PAGE   \* MERGEFORMAT </w:instrText>
        </w:r>
        <w:r>
          <w:fldChar w:fldCharType="separate"/>
        </w:r>
        <w:r w:rsidR="00DA7B6A">
          <w:rPr>
            <w:noProof/>
          </w:rPr>
          <w:t>2</w:t>
        </w:r>
        <w:r>
          <w:rPr>
            <w:noProof/>
          </w:rPr>
          <w:fldChar w:fldCharType="end"/>
        </w:r>
      </w:p>
    </w:sdtContent>
  </w:sdt>
  <w:p w14:paraId="6CF9E171" w14:textId="0975170A" w:rsidR="00553E56" w:rsidRPr="00FC322F" w:rsidRDefault="00553E56"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9A18" w14:textId="77777777" w:rsidR="00553E56" w:rsidRPr="00FC322F" w:rsidRDefault="00553E56" w:rsidP="00FC322F">
    <w:pPr>
      <w:pStyle w:val="Footer"/>
      <w:rPr>
        <w:b/>
      </w:rPr>
    </w:pPr>
    <w:r w:rsidRPr="00FC322F">
      <w:rPr>
        <w:b/>
        <w:noProof/>
        <w:lang w:val="en-AU" w:eastAsia="en-AU"/>
      </w:rPr>
      <w:drawing>
        <wp:inline distT="0" distB="0" distL="0" distR="0" wp14:anchorId="19B5314F" wp14:editId="573158E6">
          <wp:extent cx="108000" cy="87480"/>
          <wp:effectExtent l="0" t="0" r="6350" b="8255"/>
          <wp:docPr id="20" name="Picture 20"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417840"/>
      <w:docPartObj>
        <w:docPartGallery w:val="Page Numbers (Bottom of Page)"/>
        <w:docPartUnique/>
      </w:docPartObj>
    </w:sdtPr>
    <w:sdtEndPr>
      <w:rPr>
        <w:noProof/>
      </w:rPr>
    </w:sdtEndPr>
    <w:sdtContent>
      <w:p w14:paraId="1CF8AC1C" w14:textId="0A57FD7D" w:rsidR="00897131" w:rsidRDefault="00897131">
        <w:pPr>
          <w:pStyle w:val="Footer"/>
          <w:jc w:val="center"/>
        </w:pPr>
        <w:r>
          <w:fldChar w:fldCharType="begin"/>
        </w:r>
        <w:r>
          <w:instrText xml:space="preserve"> PAGE   \* MERGEFORMAT </w:instrText>
        </w:r>
        <w:r>
          <w:fldChar w:fldCharType="separate"/>
        </w:r>
        <w:r w:rsidR="00DA7B6A">
          <w:rPr>
            <w:noProof/>
          </w:rPr>
          <w:t>5</w:t>
        </w:r>
        <w:r>
          <w:rPr>
            <w:noProof/>
          </w:rPr>
          <w:fldChar w:fldCharType="end"/>
        </w:r>
      </w:p>
    </w:sdtContent>
  </w:sdt>
  <w:p w14:paraId="62112FAD" w14:textId="578B7AF3" w:rsidR="00553E56" w:rsidRPr="00EC3C2D" w:rsidRDefault="00553E56"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19A43" w14:textId="77777777" w:rsidR="00553E56" w:rsidRPr="008C5A0E" w:rsidRDefault="00553E56" w:rsidP="00D37B04">
      <w:pPr>
        <w:pStyle w:val="Footer"/>
      </w:pPr>
    </w:p>
  </w:footnote>
  <w:footnote w:type="continuationSeparator" w:id="0">
    <w:p w14:paraId="5C0427A7" w14:textId="77777777" w:rsidR="00553E56" w:rsidRDefault="00553E5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F392" w14:textId="77777777" w:rsidR="00553E56" w:rsidRPr="000854FD" w:rsidRDefault="00553E56" w:rsidP="002D5B25">
    <w:pPr>
      <w:pStyle w:val="Header"/>
    </w:pPr>
    <w:r w:rsidRPr="00943730">
      <w:rPr>
        <w:noProof/>
        <w:lang w:val="en-AU" w:eastAsia="en-AU"/>
      </w:rPr>
      <w:drawing>
        <wp:anchor distT="0" distB="0" distL="114300" distR="114300" simplePos="0" relativeHeight="251668480" behindDoc="1" locked="1" layoutInCell="1" allowOverlap="1" wp14:anchorId="2DF3C9B4" wp14:editId="6EA43066">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FCE8" w14:textId="77777777" w:rsidR="00553E56" w:rsidRPr="00943730" w:rsidRDefault="00553E56" w:rsidP="001D6405">
    <w:pPr>
      <w:pStyle w:val="Header"/>
      <w:ind w:left="0"/>
    </w:pPr>
    <w:r w:rsidRPr="00252C04">
      <w:rPr>
        <w:noProof/>
        <w:lang w:val="en-AU" w:eastAsia="en-AU"/>
      </w:rPr>
      <w:drawing>
        <wp:anchor distT="0" distB="0" distL="114300" distR="114300" simplePos="0" relativeHeight="251669504" behindDoc="1" locked="1" layoutInCell="1" allowOverlap="1" wp14:anchorId="040FDC21" wp14:editId="2BE1B211">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19D1204B" wp14:editId="0C78F724">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0D71B6AC" wp14:editId="17ADE610">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98BF" w14:textId="77777777" w:rsidR="00553E56" w:rsidRPr="000854FD" w:rsidRDefault="00553E56" w:rsidP="002D5B25">
    <w:pPr>
      <w:pStyle w:val="Header"/>
    </w:pPr>
    <w:r w:rsidRPr="00943730">
      <w:rPr>
        <w:noProof/>
        <w:lang w:val="en-AU" w:eastAsia="en-AU"/>
      </w:rPr>
      <w:drawing>
        <wp:anchor distT="0" distB="0" distL="114300" distR="114300" simplePos="0" relativeHeight="251662336" behindDoc="1" locked="1" layoutInCell="1" allowOverlap="1" wp14:anchorId="397B2BDE" wp14:editId="055FC051">
          <wp:simplePos x="0" y="0"/>
          <wp:positionH relativeFrom="page">
            <wp:posOffset>12700</wp:posOffset>
          </wp:positionH>
          <wp:positionV relativeFrom="page">
            <wp:posOffset>0</wp:posOffset>
          </wp:positionV>
          <wp:extent cx="7559040" cy="10692765"/>
          <wp:effectExtent l="0" t="0" r="381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2A66" w14:textId="4235FCAB" w:rsidR="00553E56" w:rsidRPr="00943730" w:rsidRDefault="00553E56" w:rsidP="00943730">
    <w:pPr>
      <w:pStyle w:val="Header"/>
    </w:pPr>
    <w:r w:rsidRPr="00943730">
      <w:fldChar w:fldCharType="begin"/>
    </w:r>
    <w:r w:rsidRPr="00943730">
      <w:instrText xml:space="preserve"> DATE  \@ "MMMM yyyy"  \* MERGEFORMAT </w:instrText>
    </w:r>
    <w:r w:rsidRPr="00943730">
      <w:fldChar w:fldCharType="separate"/>
    </w:r>
    <w:r w:rsidR="00F10969">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788C3D22" wp14:editId="4E84AF75">
          <wp:simplePos x="0" y="0"/>
          <wp:positionH relativeFrom="page">
            <wp:posOffset>5724525</wp:posOffset>
          </wp:positionH>
          <wp:positionV relativeFrom="page">
            <wp:posOffset>720090</wp:posOffset>
          </wp:positionV>
          <wp:extent cx="1115060" cy="512445"/>
          <wp:effectExtent l="0" t="0" r="8890" b="190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4E78C3A7" wp14:editId="4561A85C">
          <wp:simplePos x="0" y="0"/>
          <wp:positionH relativeFrom="page">
            <wp:posOffset>720090</wp:posOffset>
          </wp:positionH>
          <wp:positionV relativeFrom="page">
            <wp:posOffset>683895</wp:posOffset>
          </wp:positionV>
          <wp:extent cx="3166745" cy="554355"/>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57277C34" wp14:editId="534BF3C5">
          <wp:simplePos x="0" y="0"/>
          <wp:positionH relativeFrom="page">
            <wp:posOffset>12700</wp:posOffset>
          </wp:positionH>
          <wp:positionV relativeFrom="page">
            <wp:posOffset>-69850</wp:posOffset>
          </wp:positionV>
          <wp:extent cx="10585450" cy="1069213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4701" w14:textId="77777777" w:rsidR="00553E56" w:rsidRPr="000854FD" w:rsidRDefault="00553E56" w:rsidP="002D5B25">
    <w:pPr>
      <w:pStyle w:val="Header"/>
    </w:pPr>
    <w:r w:rsidRPr="00943730">
      <w:rPr>
        <w:noProof/>
        <w:lang w:val="en-AU" w:eastAsia="en-AU"/>
      </w:rPr>
      <w:drawing>
        <wp:anchor distT="0" distB="0" distL="114300" distR="114300" simplePos="0" relativeHeight="251674624" behindDoc="1" locked="1" layoutInCell="1" allowOverlap="1" wp14:anchorId="3FF1F992" wp14:editId="23D3A55C">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005A" w14:textId="77777777" w:rsidR="00553E56" w:rsidRDefault="00553E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3C1D" w14:textId="77777777" w:rsidR="00553E56" w:rsidRPr="00333501" w:rsidRDefault="00553E56" w:rsidP="001D64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7989C" w14:textId="77777777" w:rsidR="00553E56" w:rsidRPr="003D352D" w:rsidRDefault="00553E56" w:rsidP="001D6405">
    <w:pPr>
      <w:pStyle w:val="Header"/>
    </w:pPr>
    <w:r>
      <w:rPr>
        <w:noProof/>
        <w:lang w:val="en-AU" w:eastAsia="en-AU"/>
      </w:rPr>
      <w:drawing>
        <wp:anchor distT="0" distB="0" distL="114300" distR="114300" simplePos="0" relativeHeight="251671552" behindDoc="1" locked="1" layoutInCell="1" allowOverlap="1" wp14:anchorId="3C9EBA6A" wp14:editId="557D3B11">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402512C0"/>
    <w:multiLevelType w:val="hybridMultilevel"/>
    <w:tmpl w:val="9320A4C2"/>
    <w:lvl w:ilvl="0" w:tplc="27648DE6">
      <w:start w:val="1"/>
      <w:numFmt w:val="bullet"/>
      <w:lvlText w:val=""/>
      <w:lvlJc w:val="left"/>
      <w:pPr>
        <w:ind w:left="720" w:hanging="360"/>
      </w:pPr>
      <w:rPr>
        <w:rFonts w:ascii="Symbol" w:hAnsi="Symbol" w:hint="default"/>
        <w:color w:val="495965"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4" w15:restartNumberingAfterBreak="0">
    <w:nsid w:val="52553D9F"/>
    <w:multiLevelType w:val="multilevel"/>
    <w:tmpl w:val="A6FA45D0"/>
    <w:numStyleLink w:val="BulletsList"/>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A6FA45D0"/>
    <w:numStyleLink w:val="BulletsList"/>
  </w:abstractNum>
  <w:abstractNum w:abstractNumId="27" w15:restartNumberingAfterBreak="0">
    <w:nsid w:val="5DD165E0"/>
    <w:multiLevelType w:val="hybridMultilevel"/>
    <w:tmpl w:val="B184C54A"/>
    <w:lvl w:ilvl="0" w:tplc="01CC2AF0">
      <w:start w:val="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num>
  <w:num w:numId="23">
    <w:abstractNumId w:val="17"/>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14"/>
  </w:num>
  <w:num w:numId="32">
    <w:abstractNumId w:val="32"/>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22"/>
  </w:num>
  <w:num w:numId="38">
    <w:abstractNumId w:val="21"/>
  </w:num>
  <w:num w:numId="39">
    <w:abstractNumId w:val="16"/>
  </w:num>
  <w:num w:numId="40">
    <w:abstractNumId w:val="12"/>
  </w:num>
  <w:num w:numId="41">
    <w:abstractNumId w:val="18"/>
  </w:num>
  <w:num w:numId="42">
    <w:abstractNumId w:val="15"/>
  </w:num>
  <w:num w:numId="43">
    <w:abstractNumId w:val="23"/>
  </w:num>
  <w:num w:numId="44">
    <w:abstractNumId w:val="20"/>
  </w:num>
  <w:num w:numId="45">
    <w:abstractNumId w:val="31"/>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17C9"/>
    <w:rsid w:val="00015783"/>
    <w:rsid w:val="0002080A"/>
    <w:rsid w:val="0002303C"/>
    <w:rsid w:val="0002782F"/>
    <w:rsid w:val="00035BBF"/>
    <w:rsid w:val="00040DF1"/>
    <w:rsid w:val="00050806"/>
    <w:rsid w:val="000546D9"/>
    <w:rsid w:val="00054AAA"/>
    <w:rsid w:val="00054E4D"/>
    <w:rsid w:val="0005774F"/>
    <w:rsid w:val="00060073"/>
    <w:rsid w:val="00060AEC"/>
    <w:rsid w:val="000616C6"/>
    <w:rsid w:val="0006797C"/>
    <w:rsid w:val="00071788"/>
    <w:rsid w:val="00072F03"/>
    <w:rsid w:val="000854FD"/>
    <w:rsid w:val="0008652C"/>
    <w:rsid w:val="000A277C"/>
    <w:rsid w:val="000A3256"/>
    <w:rsid w:val="000B37F5"/>
    <w:rsid w:val="000B485C"/>
    <w:rsid w:val="000B7DA8"/>
    <w:rsid w:val="000C064E"/>
    <w:rsid w:val="000C5205"/>
    <w:rsid w:val="000D66D6"/>
    <w:rsid w:val="000E7733"/>
    <w:rsid w:val="00110C81"/>
    <w:rsid w:val="001130DD"/>
    <w:rsid w:val="00113288"/>
    <w:rsid w:val="001214BE"/>
    <w:rsid w:val="001273DE"/>
    <w:rsid w:val="0013101C"/>
    <w:rsid w:val="001461D6"/>
    <w:rsid w:val="001541EA"/>
    <w:rsid w:val="001556A2"/>
    <w:rsid w:val="001616D0"/>
    <w:rsid w:val="001704A7"/>
    <w:rsid w:val="00175508"/>
    <w:rsid w:val="001907AA"/>
    <w:rsid w:val="001962F2"/>
    <w:rsid w:val="001A7ED5"/>
    <w:rsid w:val="001B2C9F"/>
    <w:rsid w:val="001B7361"/>
    <w:rsid w:val="001C50B3"/>
    <w:rsid w:val="001C6D62"/>
    <w:rsid w:val="001D6405"/>
    <w:rsid w:val="001D663E"/>
    <w:rsid w:val="001E1DC0"/>
    <w:rsid w:val="001E42CA"/>
    <w:rsid w:val="001F3BCD"/>
    <w:rsid w:val="00203277"/>
    <w:rsid w:val="00205B2E"/>
    <w:rsid w:val="00206747"/>
    <w:rsid w:val="002068B7"/>
    <w:rsid w:val="00213A46"/>
    <w:rsid w:val="0022631C"/>
    <w:rsid w:val="00230777"/>
    <w:rsid w:val="00235EAB"/>
    <w:rsid w:val="00240FFE"/>
    <w:rsid w:val="00245961"/>
    <w:rsid w:val="00252C04"/>
    <w:rsid w:val="002646C3"/>
    <w:rsid w:val="00265DDB"/>
    <w:rsid w:val="002768FF"/>
    <w:rsid w:val="00276A54"/>
    <w:rsid w:val="00283407"/>
    <w:rsid w:val="0028602A"/>
    <w:rsid w:val="00295367"/>
    <w:rsid w:val="00296E36"/>
    <w:rsid w:val="002A7F56"/>
    <w:rsid w:val="002B5E10"/>
    <w:rsid w:val="002B74C4"/>
    <w:rsid w:val="002C793D"/>
    <w:rsid w:val="002D5B25"/>
    <w:rsid w:val="002E328D"/>
    <w:rsid w:val="002F4D7D"/>
    <w:rsid w:val="002F4F2B"/>
    <w:rsid w:val="003002C0"/>
    <w:rsid w:val="00301144"/>
    <w:rsid w:val="003031C6"/>
    <w:rsid w:val="00304984"/>
    <w:rsid w:val="00312BF8"/>
    <w:rsid w:val="003148B7"/>
    <w:rsid w:val="00315637"/>
    <w:rsid w:val="003158C3"/>
    <w:rsid w:val="00317EAC"/>
    <w:rsid w:val="00320807"/>
    <w:rsid w:val="003274CD"/>
    <w:rsid w:val="00330E12"/>
    <w:rsid w:val="00333501"/>
    <w:rsid w:val="003358EE"/>
    <w:rsid w:val="003365E4"/>
    <w:rsid w:val="003457C4"/>
    <w:rsid w:val="003500CF"/>
    <w:rsid w:val="0035119D"/>
    <w:rsid w:val="003536CC"/>
    <w:rsid w:val="00363114"/>
    <w:rsid w:val="00365569"/>
    <w:rsid w:val="0037214C"/>
    <w:rsid w:val="00372F52"/>
    <w:rsid w:val="00372FC5"/>
    <w:rsid w:val="003753EF"/>
    <w:rsid w:val="00384D40"/>
    <w:rsid w:val="0039001F"/>
    <w:rsid w:val="00390828"/>
    <w:rsid w:val="003921CC"/>
    <w:rsid w:val="0039344A"/>
    <w:rsid w:val="00395163"/>
    <w:rsid w:val="00397927"/>
    <w:rsid w:val="003B4F12"/>
    <w:rsid w:val="003D4C6F"/>
    <w:rsid w:val="003E340C"/>
    <w:rsid w:val="003F2041"/>
    <w:rsid w:val="00402ACC"/>
    <w:rsid w:val="00406BFF"/>
    <w:rsid w:val="004120EC"/>
    <w:rsid w:val="00417B78"/>
    <w:rsid w:val="00421E8C"/>
    <w:rsid w:val="00423F31"/>
    <w:rsid w:val="00424DFA"/>
    <w:rsid w:val="00431899"/>
    <w:rsid w:val="00442055"/>
    <w:rsid w:val="00452298"/>
    <w:rsid w:val="004819BB"/>
    <w:rsid w:val="00482AE8"/>
    <w:rsid w:val="0048492D"/>
    <w:rsid w:val="00486804"/>
    <w:rsid w:val="004939C4"/>
    <w:rsid w:val="004949C8"/>
    <w:rsid w:val="00494F98"/>
    <w:rsid w:val="004A258D"/>
    <w:rsid w:val="004A7C0C"/>
    <w:rsid w:val="004B04CD"/>
    <w:rsid w:val="004B1618"/>
    <w:rsid w:val="004B3775"/>
    <w:rsid w:val="004C4100"/>
    <w:rsid w:val="004C5598"/>
    <w:rsid w:val="004C6342"/>
    <w:rsid w:val="004D0BA0"/>
    <w:rsid w:val="004E058F"/>
    <w:rsid w:val="004E3B87"/>
    <w:rsid w:val="004F216E"/>
    <w:rsid w:val="004F7A36"/>
    <w:rsid w:val="0050390B"/>
    <w:rsid w:val="00505577"/>
    <w:rsid w:val="00510921"/>
    <w:rsid w:val="00510AD3"/>
    <w:rsid w:val="00513348"/>
    <w:rsid w:val="00513AD8"/>
    <w:rsid w:val="005204D2"/>
    <w:rsid w:val="00522396"/>
    <w:rsid w:val="00524501"/>
    <w:rsid w:val="00531B41"/>
    <w:rsid w:val="00533B5D"/>
    <w:rsid w:val="00542070"/>
    <w:rsid w:val="00542EAD"/>
    <w:rsid w:val="00545CBC"/>
    <w:rsid w:val="00553E56"/>
    <w:rsid w:val="00570BD8"/>
    <w:rsid w:val="00572684"/>
    <w:rsid w:val="00591B5F"/>
    <w:rsid w:val="005A20F6"/>
    <w:rsid w:val="005A47EB"/>
    <w:rsid w:val="005B55E8"/>
    <w:rsid w:val="005D3655"/>
    <w:rsid w:val="005D7781"/>
    <w:rsid w:val="005E4830"/>
    <w:rsid w:val="005F42E6"/>
    <w:rsid w:val="0061337A"/>
    <w:rsid w:val="006163E4"/>
    <w:rsid w:val="00622B86"/>
    <w:rsid w:val="00623BA1"/>
    <w:rsid w:val="006346BC"/>
    <w:rsid w:val="006414F8"/>
    <w:rsid w:val="006433B1"/>
    <w:rsid w:val="00651213"/>
    <w:rsid w:val="00660121"/>
    <w:rsid w:val="0066652A"/>
    <w:rsid w:val="00667907"/>
    <w:rsid w:val="00670DC2"/>
    <w:rsid w:val="006719C3"/>
    <w:rsid w:val="0067788C"/>
    <w:rsid w:val="00680522"/>
    <w:rsid w:val="00682167"/>
    <w:rsid w:val="00690AFF"/>
    <w:rsid w:val="006B1B94"/>
    <w:rsid w:val="006B2462"/>
    <w:rsid w:val="006B47C6"/>
    <w:rsid w:val="006C42AF"/>
    <w:rsid w:val="006C70FA"/>
    <w:rsid w:val="006D1411"/>
    <w:rsid w:val="006D2D7C"/>
    <w:rsid w:val="006E716D"/>
    <w:rsid w:val="007022F0"/>
    <w:rsid w:val="007031B5"/>
    <w:rsid w:val="00711163"/>
    <w:rsid w:val="00711D8E"/>
    <w:rsid w:val="00712672"/>
    <w:rsid w:val="00715351"/>
    <w:rsid w:val="00717149"/>
    <w:rsid w:val="00720E58"/>
    <w:rsid w:val="0072120B"/>
    <w:rsid w:val="00732B3D"/>
    <w:rsid w:val="00734E3F"/>
    <w:rsid w:val="00736985"/>
    <w:rsid w:val="007413D3"/>
    <w:rsid w:val="00745DF5"/>
    <w:rsid w:val="00753F17"/>
    <w:rsid w:val="00757AAE"/>
    <w:rsid w:val="0076250F"/>
    <w:rsid w:val="007651E0"/>
    <w:rsid w:val="007706B8"/>
    <w:rsid w:val="00772446"/>
    <w:rsid w:val="00774EE4"/>
    <w:rsid w:val="00780FA5"/>
    <w:rsid w:val="00790171"/>
    <w:rsid w:val="007A3F2F"/>
    <w:rsid w:val="007A5328"/>
    <w:rsid w:val="007A6663"/>
    <w:rsid w:val="007B06DC"/>
    <w:rsid w:val="007B59BC"/>
    <w:rsid w:val="007B6200"/>
    <w:rsid w:val="007E3FF9"/>
    <w:rsid w:val="007E4969"/>
    <w:rsid w:val="007F3395"/>
    <w:rsid w:val="007F5E75"/>
    <w:rsid w:val="00801B9F"/>
    <w:rsid w:val="0080204D"/>
    <w:rsid w:val="00805B9C"/>
    <w:rsid w:val="00807529"/>
    <w:rsid w:val="00810213"/>
    <w:rsid w:val="00817DE6"/>
    <w:rsid w:val="00823B7F"/>
    <w:rsid w:val="0083032C"/>
    <w:rsid w:val="0083052F"/>
    <w:rsid w:val="00834FB2"/>
    <w:rsid w:val="008475F0"/>
    <w:rsid w:val="00854659"/>
    <w:rsid w:val="008557A7"/>
    <w:rsid w:val="00857894"/>
    <w:rsid w:val="00870928"/>
    <w:rsid w:val="00873627"/>
    <w:rsid w:val="00880AFF"/>
    <w:rsid w:val="00885236"/>
    <w:rsid w:val="00885A62"/>
    <w:rsid w:val="0089405C"/>
    <w:rsid w:val="00897131"/>
    <w:rsid w:val="00897FA2"/>
    <w:rsid w:val="008A5AFE"/>
    <w:rsid w:val="008B72E0"/>
    <w:rsid w:val="008C48F9"/>
    <w:rsid w:val="008C541D"/>
    <w:rsid w:val="008C5A0E"/>
    <w:rsid w:val="008E5120"/>
    <w:rsid w:val="009027E6"/>
    <w:rsid w:val="00905C60"/>
    <w:rsid w:val="00907ED0"/>
    <w:rsid w:val="00925C0F"/>
    <w:rsid w:val="00927172"/>
    <w:rsid w:val="009278D2"/>
    <w:rsid w:val="00935ABC"/>
    <w:rsid w:val="00943730"/>
    <w:rsid w:val="0095053A"/>
    <w:rsid w:val="00961E72"/>
    <w:rsid w:val="00963A63"/>
    <w:rsid w:val="00963A92"/>
    <w:rsid w:val="00975C92"/>
    <w:rsid w:val="00975CA5"/>
    <w:rsid w:val="00977676"/>
    <w:rsid w:val="00980574"/>
    <w:rsid w:val="00983AED"/>
    <w:rsid w:val="00986590"/>
    <w:rsid w:val="00992C76"/>
    <w:rsid w:val="009969D6"/>
    <w:rsid w:val="009A0908"/>
    <w:rsid w:val="009A3DD2"/>
    <w:rsid w:val="009A5DF8"/>
    <w:rsid w:val="009B11A9"/>
    <w:rsid w:val="009B4D3B"/>
    <w:rsid w:val="009B7942"/>
    <w:rsid w:val="009D57C0"/>
    <w:rsid w:val="009D7407"/>
    <w:rsid w:val="009E0866"/>
    <w:rsid w:val="009E273C"/>
    <w:rsid w:val="009E3C7A"/>
    <w:rsid w:val="009F1350"/>
    <w:rsid w:val="009F4B0A"/>
    <w:rsid w:val="009F6423"/>
    <w:rsid w:val="009F713D"/>
    <w:rsid w:val="00A045E3"/>
    <w:rsid w:val="00A05037"/>
    <w:rsid w:val="00A175B3"/>
    <w:rsid w:val="00A24A62"/>
    <w:rsid w:val="00A31C9F"/>
    <w:rsid w:val="00A35285"/>
    <w:rsid w:val="00A4144F"/>
    <w:rsid w:val="00A4164F"/>
    <w:rsid w:val="00A54E6B"/>
    <w:rsid w:val="00A61B4D"/>
    <w:rsid w:val="00A63917"/>
    <w:rsid w:val="00A665EC"/>
    <w:rsid w:val="00A66DB5"/>
    <w:rsid w:val="00A701C4"/>
    <w:rsid w:val="00A80F95"/>
    <w:rsid w:val="00A91795"/>
    <w:rsid w:val="00A940CA"/>
    <w:rsid w:val="00A95DC4"/>
    <w:rsid w:val="00A97BF1"/>
    <w:rsid w:val="00AA14F8"/>
    <w:rsid w:val="00AA298A"/>
    <w:rsid w:val="00AA315B"/>
    <w:rsid w:val="00AB0EE5"/>
    <w:rsid w:val="00AB376E"/>
    <w:rsid w:val="00AB4389"/>
    <w:rsid w:val="00AC164A"/>
    <w:rsid w:val="00AC68FC"/>
    <w:rsid w:val="00AD55B0"/>
    <w:rsid w:val="00AE3596"/>
    <w:rsid w:val="00AE448A"/>
    <w:rsid w:val="00AF2050"/>
    <w:rsid w:val="00AF2CF6"/>
    <w:rsid w:val="00AF5E9A"/>
    <w:rsid w:val="00B0385D"/>
    <w:rsid w:val="00B03CA8"/>
    <w:rsid w:val="00B05089"/>
    <w:rsid w:val="00B10729"/>
    <w:rsid w:val="00B120ED"/>
    <w:rsid w:val="00B16FE3"/>
    <w:rsid w:val="00B31A23"/>
    <w:rsid w:val="00B33C0A"/>
    <w:rsid w:val="00B55E19"/>
    <w:rsid w:val="00B637DD"/>
    <w:rsid w:val="00B6495A"/>
    <w:rsid w:val="00B66722"/>
    <w:rsid w:val="00B70B50"/>
    <w:rsid w:val="00B927C4"/>
    <w:rsid w:val="00B92DE7"/>
    <w:rsid w:val="00B943B4"/>
    <w:rsid w:val="00B94758"/>
    <w:rsid w:val="00BA0538"/>
    <w:rsid w:val="00BA4B6D"/>
    <w:rsid w:val="00BB26C5"/>
    <w:rsid w:val="00BC07E1"/>
    <w:rsid w:val="00BC31BD"/>
    <w:rsid w:val="00BC4AFE"/>
    <w:rsid w:val="00BD2CB3"/>
    <w:rsid w:val="00BE38CC"/>
    <w:rsid w:val="00BF4DE6"/>
    <w:rsid w:val="00C01689"/>
    <w:rsid w:val="00C06B13"/>
    <w:rsid w:val="00C1034D"/>
    <w:rsid w:val="00C111E5"/>
    <w:rsid w:val="00C2016F"/>
    <w:rsid w:val="00C27D25"/>
    <w:rsid w:val="00C32299"/>
    <w:rsid w:val="00C42541"/>
    <w:rsid w:val="00C42CDE"/>
    <w:rsid w:val="00C5182A"/>
    <w:rsid w:val="00C559A5"/>
    <w:rsid w:val="00C62735"/>
    <w:rsid w:val="00C63EE9"/>
    <w:rsid w:val="00C647BD"/>
    <w:rsid w:val="00C92801"/>
    <w:rsid w:val="00CA16F3"/>
    <w:rsid w:val="00CA37B1"/>
    <w:rsid w:val="00CB0DE8"/>
    <w:rsid w:val="00CB1959"/>
    <w:rsid w:val="00CB272F"/>
    <w:rsid w:val="00CB7BFA"/>
    <w:rsid w:val="00CC741B"/>
    <w:rsid w:val="00CD0E4B"/>
    <w:rsid w:val="00CE4C89"/>
    <w:rsid w:val="00CF07BA"/>
    <w:rsid w:val="00CF3870"/>
    <w:rsid w:val="00CF6C83"/>
    <w:rsid w:val="00D00153"/>
    <w:rsid w:val="00D0296C"/>
    <w:rsid w:val="00D32D6F"/>
    <w:rsid w:val="00D37560"/>
    <w:rsid w:val="00D37B04"/>
    <w:rsid w:val="00D540C6"/>
    <w:rsid w:val="00D5729B"/>
    <w:rsid w:val="00D64BD1"/>
    <w:rsid w:val="00D65749"/>
    <w:rsid w:val="00D75D4C"/>
    <w:rsid w:val="00D76622"/>
    <w:rsid w:val="00D813DF"/>
    <w:rsid w:val="00D82AED"/>
    <w:rsid w:val="00D92254"/>
    <w:rsid w:val="00D93BC6"/>
    <w:rsid w:val="00DA7B6A"/>
    <w:rsid w:val="00DB0825"/>
    <w:rsid w:val="00DC753C"/>
    <w:rsid w:val="00DE084C"/>
    <w:rsid w:val="00DE79F2"/>
    <w:rsid w:val="00DF28FB"/>
    <w:rsid w:val="00DF7661"/>
    <w:rsid w:val="00E14F51"/>
    <w:rsid w:val="00E201A3"/>
    <w:rsid w:val="00E247F2"/>
    <w:rsid w:val="00E30E73"/>
    <w:rsid w:val="00E357B7"/>
    <w:rsid w:val="00E423CC"/>
    <w:rsid w:val="00E45BC2"/>
    <w:rsid w:val="00E53800"/>
    <w:rsid w:val="00E6081F"/>
    <w:rsid w:val="00E655FE"/>
    <w:rsid w:val="00E7406C"/>
    <w:rsid w:val="00E8296D"/>
    <w:rsid w:val="00E8457B"/>
    <w:rsid w:val="00E87715"/>
    <w:rsid w:val="00E94E36"/>
    <w:rsid w:val="00EA04B2"/>
    <w:rsid w:val="00EA0850"/>
    <w:rsid w:val="00EA20F3"/>
    <w:rsid w:val="00EB398C"/>
    <w:rsid w:val="00EB43D4"/>
    <w:rsid w:val="00EC3C2D"/>
    <w:rsid w:val="00EC53BA"/>
    <w:rsid w:val="00ED16F2"/>
    <w:rsid w:val="00ED2831"/>
    <w:rsid w:val="00ED43D1"/>
    <w:rsid w:val="00EE1027"/>
    <w:rsid w:val="00EE25F4"/>
    <w:rsid w:val="00EE4EE1"/>
    <w:rsid w:val="00EF4574"/>
    <w:rsid w:val="00EF5FB3"/>
    <w:rsid w:val="00F02B01"/>
    <w:rsid w:val="00F10969"/>
    <w:rsid w:val="00F15ACF"/>
    <w:rsid w:val="00F16880"/>
    <w:rsid w:val="00F25A93"/>
    <w:rsid w:val="00F2684E"/>
    <w:rsid w:val="00F30087"/>
    <w:rsid w:val="00F366DB"/>
    <w:rsid w:val="00F5404C"/>
    <w:rsid w:val="00F617F9"/>
    <w:rsid w:val="00F729EF"/>
    <w:rsid w:val="00F744A2"/>
    <w:rsid w:val="00F74546"/>
    <w:rsid w:val="00F77CAE"/>
    <w:rsid w:val="00F81A87"/>
    <w:rsid w:val="00F82271"/>
    <w:rsid w:val="00F83428"/>
    <w:rsid w:val="00F950F7"/>
    <w:rsid w:val="00F96BB9"/>
    <w:rsid w:val="00FA69AF"/>
    <w:rsid w:val="00FA7833"/>
    <w:rsid w:val="00FB2401"/>
    <w:rsid w:val="00FB6D8C"/>
    <w:rsid w:val="00FC248B"/>
    <w:rsid w:val="00FC2C38"/>
    <w:rsid w:val="00FC320F"/>
    <w:rsid w:val="00FC322F"/>
    <w:rsid w:val="00FD20F1"/>
    <w:rsid w:val="00FD5F9A"/>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2C480C"/>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B7BFA"/>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B7BFA"/>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B7BFA"/>
    <w:pPr>
      <w:spacing w:before="0" w:after="0" w:line="240" w:lineRule="exact"/>
      <w:ind w:left="284" w:right="284"/>
    </w:pPr>
    <w:rPr>
      <w:color w:val="auto"/>
    </w:rPr>
  </w:style>
  <w:style w:type="character" w:customStyle="1" w:styleId="FooterChar">
    <w:name w:val="Footer Char"/>
    <w:basedOn w:val="DefaultParagraphFont"/>
    <w:link w:val="Footer"/>
    <w:uiPriority w:val="99"/>
    <w:rsid w:val="00CB7BFA"/>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CB7BFA"/>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table" w:customStyle="1" w:styleId="APPR1">
    <w:name w:val="APPR1"/>
    <w:basedOn w:val="TableNormal"/>
    <w:uiPriority w:val="99"/>
    <w:rsid w:val="0008652C"/>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495993844">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20477896">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3967475">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4B631-7640-4A17-8550-BEE8955DE750}">
  <ds:schemaRefs>
    <ds:schemaRef ds:uri="http://schemas.microsoft.com/office/2006/documentManagement/types"/>
    <ds:schemaRef ds:uri="6b894c73-1921-4299-aefc-49f5a4cb1310"/>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E0840231-7035-42A1-8AAF-8DCA4A86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9</cp:revision>
  <cp:lastPrinted>2020-09-24T06:02:00Z</cp:lastPrinted>
  <dcterms:created xsi:type="dcterms:W3CDTF">2020-11-03T23:27:00Z</dcterms:created>
  <dcterms:modified xsi:type="dcterms:W3CDTF">2020-11-17T22:24:00Z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fb3c7815-6212-461d-baef-a220a7a3c31e</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