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9A910" w14:textId="0368C89A" w:rsidR="00673572" w:rsidRDefault="00673572" w:rsidP="00AD18C7">
      <w:pPr>
        <w:pStyle w:val="Title"/>
      </w:pPr>
      <w:bookmarkStart w:id="0" w:name="_GoBack"/>
      <w:bookmarkEnd w:id="0"/>
    </w:p>
    <w:p w14:paraId="47D78B7A" w14:textId="1C08FA6B" w:rsidR="006B6E36" w:rsidRDefault="006B6E36" w:rsidP="00673572">
      <w:pPr>
        <w:pStyle w:val="Title"/>
      </w:pPr>
      <w:r>
        <w:t>Challenging</w:t>
      </w:r>
      <w:r w:rsidR="0093665C">
        <w:t xml:space="preserve"> </w:t>
      </w:r>
      <w:r w:rsidR="002C5962">
        <w:t>Gender</w:t>
      </w:r>
      <w:r w:rsidR="0093665C">
        <w:t xml:space="preserve"> </w:t>
      </w:r>
      <w:r w:rsidR="002C5962">
        <w:t>Based Violence</w:t>
      </w:r>
      <w:r>
        <w:t xml:space="preserve"> in Pakistan Program - </w:t>
      </w:r>
    </w:p>
    <w:p w14:paraId="51E223BB" w14:textId="19483F9B" w:rsidR="00673572" w:rsidRDefault="002C5962" w:rsidP="00893175">
      <w:pPr>
        <w:pStyle w:val="Title"/>
      </w:pPr>
      <w:r>
        <w:t xml:space="preserve">Independent </w:t>
      </w:r>
      <w:r w:rsidR="00E57D84">
        <w:t xml:space="preserve">Evaluation Report </w:t>
      </w:r>
    </w:p>
    <w:p w14:paraId="3B7B9EDB" w14:textId="108A14B3" w:rsidR="00893175" w:rsidRDefault="00893175" w:rsidP="00893175"/>
    <w:p w14:paraId="1C48C20A" w14:textId="2E48B726" w:rsidR="00893175" w:rsidRDefault="00893175" w:rsidP="00893175"/>
    <w:p w14:paraId="36A70B84" w14:textId="41719135" w:rsidR="00893175" w:rsidRDefault="00893175" w:rsidP="00893175"/>
    <w:p w14:paraId="2B753CEA" w14:textId="52AD5E5C" w:rsidR="00893175" w:rsidRDefault="00893175" w:rsidP="00893175"/>
    <w:p w14:paraId="6009E0DD" w14:textId="76045845" w:rsidR="004D4C14" w:rsidRDefault="004D4C14" w:rsidP="00893175"/>
    <w:p w14:paraId="1FBB550A" w14:textId="70BA31C7" w:rsidR="004D4C14" w:rsidRDefault="004D4C14" w:rsidP="00893175"/>
    <w:p w14:paraId="5064DA0C" w14:textId="2E6F5D4F" w:rsidR="004D4C14" w:rsidRDefault="004D4C14" w:rsidP="00893175"/>
    <w:p w14:paraId="5B36C8C3" w14:textId="6FCFEEB6" w:rsidR="00673572" w:rsidRPr="00071281" w:rsidRDefault="0093665C" w:rsidP="0007576B">
      <w:pPr>
        <w:pStyle w:val="Heading2"/>
        <w:tabs>
          <w:tab w:val="left" w:pos="7830"/>
        </w:tabs>
        <w:jc w:val="center"/>
      </w:pPr>
      <w:bookmarkStart w:id="1" w:name="_Toc471379739"/>
      <w:bookmarkStart w:id="2" w:name="_Toc473463473"/>
      <w:bookmarkStart w:id="3" w:name="_Toc491355871"/>
      <w:r>
        <w:t xml:space="preserve">FINAL </w:t>
      </w:r>
      <w:r w:rsidR="0008203F">
        <w:t>REPORT</w:t>
      </w:r>
      <w:bookmarkEnd w:id="1"/>
      <w:bookmarkEnd w:id="2"/>
      <w:bookmarkEnd w:id="3"/>
    </w:p>
    <w:p w14:paraId="5FC0C3D2" w14:textId="77777777" w:rsidR="002C5962" w:rsidRPr="00673572" w:rsidRDefault="002C5962" w:rsidP="00673572">
      <w:pPr>
        <w:pStyle w:val="Heading2"/>
        <w:jc w:val="center"/>
      </w:pPr>
      <w:bookmarkStart w:id="4" w:name="_Toc471379740"/>
      <w:bookmarkStart w:id="5" w:name="_Toc473463474"/>
      <w:bookmarkStart w:id="6" w:name="_Toc491355872"/>
      <w:r w:rsidRPr="00673572">
        <w:t>Ulla Keech-Marx</w:t>
      </w:r>
      <w:r w:rsidR="00673572">
        <w:t xml:space="preserve"> and </w:t>
      </w:r>
      <w:r w:rsidRPr="00673572">
        <w:t>Rukhsana Rashid</w:t>
      </w:r>
      <w:bookmarkEnd w:id="4"/>
      <w:bookmarkEnd w:id="5"/>
      <w:bookmarkEnd w:id="6"/>
    </w:p>
    <w:p w14:paraId="0125271C" w14:textId="27B0862C" w:rsidR="00673572" w:rsidRDefault="00C514FF" w:rsidP="006F2927">
      <w:pPr>
        <w:pStyle w:val="Heading2"/>
        <w:jc w:val="center"/>
      </w:pPr>
      <w:bookmarkStart w:id="7" w:name="_Toc471379741"/>
      <w:bookmarkStart w:id="8" w:name="_Toc473463475"/>
      <w:bookmarkStart w:id="9" w:name="_Toc491355873"/>
      <w:r>
        <w:t>24</w:t>
      </w:r>
      <w:r w:rsidR="0008203F">
        <w:t xml:space="preserve"> May</w:t>
      </w:r>
      <w:r w:rsidR="00673572">
        <w:t xml:space="preserve"> 201</w:t>
      </w:r>
      <w:r w:rsidR="0007576B">
        <w:t>7</w:t>
      </w:r>
      <w:bookmarkEnd w:id="7"/>
      <w:bookmarkEnd w:id="8"/>
      <w:bookmarkEnd w:id="9"/>
    </w:p>
    <w:p w14:paraId="5E9109BC" w14:textId="77777777" w:rsidR="006F2927" w:rsidRPr="00673572" w:rsidRDefault="006F2927" w:rsidP="00893175">
      <w:pPr>
        <w:pStyle w:val="Heading2"/>
        <w:jc w:val="center"/>
      </w:pPr>
    </w:p>
    <w:p w14:paraId="04C9AC9A" w14:textId="3A0E7FB6" w:rsidR="004D4C14" w:rsidRDefault="004D4C14" w:rsidP="00893175">
      <w:pPr>
        <w:spacing w:line="240" w:lineRule="auto"/>
        <w:jc w:val="center"/>
        <w:rPr>
          <w:i/>
        </w:rPr>
      </w:pPr>
    </w:p>
    <w:p w14:paraId="59462E46" w14:textId="746A265E" w:rsidR="004D4C14" w:rsidRDefault="004D4C14" w:rsidP="00893175">
      <w:pPr>
        <w:spacing w:line="240" w:lineRule="auto"/>
        <w:jc w:val="center"/>
        <w:rPr>
          <w:i/>
        </w:rPr>
      </w:pPr>
    </w:p>
    <w:p w14:paraId="274ED66A" w14:textId="16847A80" w:rsidR="004D4C14" w:rsidRDefault="004D4C14" w:rsidP="00893175">
      <w:pPr>
        <w:spacing w:line="240" w:lineRule="auto"/>
        <w:jc w:val="center"/>
        <w:rPr>
          <w:i/>
        </w:rPr>
      </w:pPr>
    </w:p>
    <w:p w14:paraId="735C39BE" w14:textId="705CEBE0" w:rsidR="004D4C14" w:rsidRDefault="004D4C14" w:rsidP="00893175">
      <w:pPr>
        <w:spacing w:line="240" w:lineRule="auto"/>
        <w:jc w:val="center"/>
        <w:rPr>
          <w:i/>
        </w:rPr>
      </w:pPr>
    </w:p>
    <w:p w14:paraId="37D1DC46" w14:textId="2A7574A5" w:rsidR="004D4C14" w:rsidRDefault="004D4C14" w:rsidP="00893175">
      <w:pPr>
        <w:spacing w:line="240" w:lineRule="auto"/>
        <w:jc w:val="center"/>
        <w:rPr>
          <w:i/>
        </w:rPr>
      </w:pPr>
    </w:p>
    <w:p w14:paraId="7708A80B" w14:textId="19C7FDF7" w:rsidR="004D4C14" w:rsidRDefault="004D4C14" w:rsidP="00893175">
      <w:pPr>
        <w:spacing w:line="240" w:lineRule="auto"/>
        <w:jc w:val="center"/>
        <w:rPr>
          <w:i/>
        </w:rPr>
      </w:pPr>
    </w:p>
    <w:p w14:paraId="2866AA53" w14:textId="77777777" w:rsidR="004D4C14" w:rsidRDefault="004D4C14" w:rsidP="00893175">
      <w:pPr>
        <w:spacing w:line="240" w:lineRule="auto"/>
        <w:jc w:val="center"/>
        <w:rPr>
          <w:i/>
        </w:rPr>
      </w:pPr>
    </w:p>
    <w:p w14:paraId="5F334E79" w14:textId="77777777" w:rsidR="004D4C14" w:rsidRDefault="004D4C14" w:rsidP="00893175">
      <w:pPr>
        <w:spacing w:line="240" w:lineRule="auto"/>
        <w:jc w:val="center"/>
        <w:rPr>
          <w:i/>
        </w:rPr>
      </w:pPr>
    </w:p>
    <w:p w14:paraId="25E6530B" w14:textId="77777777" w:rsidR="00893175" w:rsidRDefault="00893175" w:rsidP="00893175">
      <w:pPr>
        <w:spacing w:line="240" w:lineRule="auto"/>
        <w:jc w:val="center"/>
        <w:rPr>
          <w:i/>
        </w:rPr>
      </w:pPr>
    </w:p>
    <w:p w14:paraId="4BB51076" w14:textId="4E570576" w:rsidR="00893175" w:rsidRDefault="003E33D0">
      <w:pPr>
        <w:spacing w:line="240" w:lineRule="auto"/>
        <w:jc w:val="center"/>
        <w:rPr>
          <w:i/>
          <w:sz w:val="18"/>
        </w:rPr>
      </w:pPr>
      <w:r w:rsidRPr="00893175">
        <w:rPr>
          <w:i/>
          <w:sz w:val="18"/>
        </w:rPr>
        <w:t xml:space="preserve">The views contained in this report are the views of the authors alone, they </w:t>
      </w:r>
      <w:r w:rsidR="00504B6B" w:rsidRPr="00893175">
        <w:rPr>
          <w:i/>
          <w:sz w:val="18"/>
        </w:rPr>
        <w:t>are not to be taken as representative</w:t>
      </w:r>
      <w:r w:rsidRPr="00893175">
        <w:rPr>
          <w:i/>
          <w:sz w:val="18"/>
        </w:rPr>
        <w:t xml:space="preserve"> </w:t>
      </w:r>
      <w:r w:rsidR="00504B6B" w:rsidRPr="00893175">
        <w:rPr>
          <w:i/>
          <w:sz w:val="18"/>
        </w:rPr>
        <w:t>of</w:t>
      </w:r>
      <w:r w:rsidRPr="00893175">
        <w:rPr>
          <w:i/>
          <w:sz w:val="18"/>
        </w:rPr>
        <w:t xml:space="preserve"> the views of the Australian Departme</w:t>
      </w:r>
      <w:r w:rsidR="006F2927" w:rsidRPr="00893175">
        <w:rPr>
          <w:i/>
          <w:sz w:val="18"/>
        </w:rPr>
        <w:t>nt of Foreign Affairs and Trade</w:t>
      </w:r>
      <w:r w:rsidRPr="00893175">
        <w:rPr>
          <w:i/>
          <w:sz w:val="18"/>
        </w:rPr>
        <w:t xml:space="preserve"> or</w:t>
      </w:r>
      <w:r w:rsidR="00D20C89" w:rsidRPr="00893175">
        <w:rPr>
          <w:i/>
          <w:sz w:val="18"/>
        </w:rPr>
        <w:t xml:space="preserve"> </w:t>
      </w:r>
      <w:r w:rsidR="0008203F" w:rsidRPr="00893175">
        <w:rPr>
          <w:i/>
          <w:sz w:val="18"/>
        </w:rPr>
        <w:t>Trócaire</w:t>
      </w:r>
      <w:r w:rsidRPr="00893175">
        <w:rPr>
          <w:i/>
          <w:sz w:val="18"/>
        </w:rPr>
        <w:t>.</w:t>
      </w:r>
      <w:r w:rsidR="0008203F" w:rsidRPr="00893175">
        <w:rPr>
          <w:i/>
          <w:sz w:val="18"/>
        </w:rPr>
        <w:t xml:space="preserve"> </w:t>
      </w:r>
      <w:r w:rsidR="00504B6B" w:rsidRPr="00893175">
        <w:rPr>
          <w:i/>
          <w:sz w:val="18"/>
        </w:rPr>
        <w:t>DFAT does not guarantee, and accepts no legal liability whatsoever arising from or connected to, the accuracy, reliability, currency or completeness of any material contained in this Report.</w:t>
      </w:r>
      <w:r w:rsidR="00893175">
        <w:rPr>
          <w:i/>
          <w:sz w:val="18"/>
        </w:rPr>
        <w:br w:type="page"/>
      </w:r>
    </w:p>
    <w:p w14:paraId="1E99AEDD" w14:textId="7B79532F" w:rsidR="002C5962" w:rsidRPr="00893175" w:rsidRDefault="002C5962" w:rsidP="00893175">
      <w:pPr>
        <w:spacing w:line="240" w:lineRule="auto"/>
        <w:jc w:val="center"/>
        <w:rPr>
          <w:rFonts w:eastAsia="Times New Roman" w:cs="Times New Roman"/>
          <w:i/>
          <w:sz w:val="20"/>
          <w:szCs w:val="24"/>
        </w:rPr>
      </w:pPr>
    </w:p>
    <w:p w14:paraId="08D6243D" w14:textId="7B434316" w:rsidR="00196E90" w:rsidRDefault="003E33D0" w:rsidP="00506601">
      <w:pPr>
        <w:pStyle w:val="Heading1"/>
      </w:pPr>
      <w:bookmarkStart w:id="10" w:name="_Toc473463476"/>
      <w:bookmarkStart w:id="11" w:name="_Toc491355874"/>
      <w:r w:rsidRPr="002C5962">
        <w:t>Table of Contents</w:t>
      </w:r>
      <w:bookmarkEnd w:id="10"/>
      <w:bookmarkEnd w:id="11"/>
    </w:p>
    <w:p w14:paraId="5E71909C" w14:textId="77777777" w:rsidR="00CB4D4B" w:rsidRPr="00CB4D4B" w:rsidRDefault="00CB4D4B" w:rsidP="00CB4D4B"/>
    <w:sdt>
      <w:sdtPr>
        <w:rPr>
          <w:rFonts w:eastAsiaTheme="minorHAnsi"/>
        </w:rPr>
        <w:id w:val="392174708"/>
        <w:docPartObj>
          <w:docPartGallery w:val="Table of Contents"/>
          <w:docPartUnique/>
        </w:docPartObj>
      </w:sdtPr>
      <w:sdtEndPr>
        <w:rPr>
          <w:rFonts w:eastAsiaTheme="minorEastAsia"/>
          <w:b/>
          <w:bCs/>
          <w:noProof/>
        </w:rPr>
      </w:sdtEndPr>
      <w:sdtContent>
        <w:p w14:paraId="787C450F" w14:textId="00CD4D7B" w:rsidR="008F6541" w:rsidRDefault="005369B7" w:rsidP="00CB4D4B">
          <w:pPr>
            <w:pStyle w:val="TOC2"/>
            <w:tabs>
              <w:tab w:val="right" w:leader="dot" w:pos="9016"/>
            </w:tabs>
            <w:ind w:left="0"/>
            <w:rPr>
              <w:noProof/>
            </w:rPr>
          </w:pPr>
          <w:r>
            <w:fldChar w:fldCharType="begin"/>
          </w:r>
          <w:r w:rsidR="00506601">
            <w:instrText xml:space="preserve"> TOC \o "1-3" \h \z \u </w:instrText>
          </w:r>
          <w:r>
            <w:fldChar w:fldCharType="separate"/>
          </w:r>
          <w:hyperlink w:anchor="_Toc491355875" w:history="1">
            <w:r w:rsidR="008F6541" w:rsidRPr="007F2817">
              <w:rPr>
                <w:rStyle w:val="Hyperlink"/>
                <w:noProof/>
              </w:rPr>
              <w:t>Executive Summary</w:t>
            </w:r>
            <w:r w:rsidR="008F6541">
              <w:rPr>
                <w:noProof/>
                <w:webHidden/>
              </w:rPr>
              <w:tab/>
            </w:r>
            <w:r w:rsidR="008F6541">
              <w:rPr>
                <w:noProof/>
                <w:webHidden/>
              </w:rPr>
              <w:fldChar w:fldCharType="begin"/>
            </w:r>
            <w:r w:rsidR="008F6541">
              <w:rPr>
                <w:noProof/>
                <w:webHidden/>
              </w:rPr>
              <w:instrText xml:space="preserve"> PAGEREF _Toc491355875 \h </w:instrText>
            </w:r>
            <w:r w:rsidR="008F6541">
              <w:rPr>
                <w:noProof/>
                <w:webHidden/>
              </w:rPr>
            </w:r>
            <w:r w:rsidR="008F6541">
              <w:rPr>
                <w:noProof/>
                <w:webHidden/>
              </w:rPr>
              <w:fldChar w:fldCharType="separate"/>
            </w:r>
            <w:r w:rsidR="00EA73F1">
              <w:rPr>
                <w:noProof/>
                <w:webHidden/>
              </w:rPr>
              <w:t>1</w:t>
            </w:r>
            <w:r w:rsidR="008F6541">
              <w:rPr>
                <w:noProof/>
                <w:webHidden/>
              </w:rPr>
              <w:fldChar w:fldCharType="end"/>
            </w:r>
          </w:hyperlink>
        </w:p>
        <w:p w14:paraId="527256F2" w14:textId="464B05A8" w:rsidR="008F6541" w:rsidRDefault="00EA73F1">
          <w:pPr>
            <w:pStyle w:val="TOC1"/>
            <w:tabs>
              <w:tab w:val="right" w:leader="dot" w:pos="9016"/>
            </w:tabs>
            <w:rPr>
              <w:noProof/>
            </w:rPr>
          </w:pPr>
          <w:hyperlink w:anchor="_Toc491355876" w:history="1">
            <w:r w:rsidR="008F6541" w:rsidRPr="007F2817">
              <w:rPr>
                <w:rStyle w:val="Hyperlink"/>
                <w:noProof/>
              </w:rPr>
              <w:t>Introduction</w:t>
            </w:r>
            <w:r w:rsidR="008F6541">
              <w:rPr>
                <w:noProof/>
                <w:webHidden/>
              </w:rPr>
              <w:tab/>
            </w:r>
            <w:r w:rsidR="008F6541">
              <w:rPr>
                <w:noProof/>
                <w:webHidden/>
              </w:rPr>
              <w:fldChar w:fldCharType="begin"/>
            </w:r>
            <w:r w:rsidR="008F6541">
              <w:rPr>
                <w:noProof/>
                <w:webHidden/>
              </w:rPr>
              <w:instrText xml:space="preserve"> PAGEREF _Toc491355876 \h </w:instrText>
            </w:r>
            <w:r w:rsidR="008F6541">
              <w:rPr>
                <w:noProof/>
                <w:webHidden/>
              </w:rPr>
            </w:r>
            <w:r w:rsidR="008F6541">
              <w:rPr>
                <w:noProof/>
                <w:webHidden/>
              </w:rPr>
              <w:fldChar w:fldCharType="separate"/>
            </w:r>
            <w:r>
              <w:rPr>
                <w:noProof/>
                <w:webHidden/>
              </w:rPr>
              <w:t>5</w:t>
            </w:r>
            <w:r w:rsidR="008F6541">
              <w:rPr>
                <w:noProof/>
                <w:webHidden/>
              </w:rPr>
              <w:fldChar w:fldCharType="end"/>
            </w:r>
          </w:hyperlink>
        </w:p>
        <w:p w14:paraId="077E5D8E" w14:textId="6A3E25E8" w:rsidR="008F6541" w:rsidRDefault="00EA73F1">
          <w:pPr>
            <w:pStyle w:val="TOC1"/>
            <w:tabs>
              <w:tab w:val="right" w:leader="dot" w:pos="9016"/>
            </w:tabs>
            <w:rPr>
              <w:noProof/>
            </w:rPr>
          </w:pPr>
          <w:hyperlink w:anchor="_Toc491355877" w:history="1">
            <w:r w:rsidR="008F6541" w:rsidRPr="007F2817">
              <w:rPr>
                <w:rStyle w:val="Hyperlink"/>
                <w:noProof/>
              </w:rPr>
              <w:t>Purpose and Methodology</w:t>
            </w:r>
            <w:r w:rsidR="008F6541">
              <w:rPr>
                <w:noProof/>
                <w:webHidden/>
              </w:rPr>
              <w:tab/>
            </w:r>
            <w:r w:rsidR="008F6541">
              <w:rPr>
                <w:noProof/>
                <w:webHidden/>
              </w:rPr>
              <w:fldChar w:fldCharType="begin"/>
            </w:r>
            <w:r w:rsidR="008F6541">
              <w:rPr>
                <w:noProof/>
                <w:webHidden/>
              </w:rPr>
              <w:instrText xml:space="preserve"> PAGEREF _Toc491355877 \h </w:instrText>
            </w:r>
            <w:r w:rsidR="008F6541">
              <w:rPr>
                <w:noProof/>
                <w:webHidden/>
              </w:rPr>
            </w:r>
            <w:r w:rsidR="008F6541">
              <w:rPr>
                <w:noProof/>
                <w:webHidden/>
              </w:rPr>
              <w:fldChar w:fldCharType="separate"/>
            </w:r>
            <w:r>
              <w:rPr>
                <w:noProof/>
                <w:webHidden/>
              </w:rPr>
              <w:t>5</w:t>
            </w:r>
            <w:r w:rsidR="008F6541">
              <w:rPr>
                <w:noProof/>
                <w:webHidden/>
              </w:rPr>
              <w:fldChar w:fldCharType="end"/>
            </w:r>
          </w:hyperlink>
        </w:p>
        <w:p w14:paraId="15D7C9AF" w14:textId="788E34A6" w:rsidR="008F6541" w:rsidRDefault="00EA73F1">
          <w:pPr>
            <w:pStyle w:val="TOC2"/>
            <w:tabs>
              <w:tab w:val="right" w:leader="dot" w:pos="9016"/>
            </w:tabs>
            <w:rPr>
              <w:noProof/>
            </w:rPr>
          </w:pPr>
          <w:hyperlink w:anchor="_Toc491355878" w:history="1">
            <w:r w:rsidR="008F6541" w:rsidRPr="007F2817">
              <w:rPr>
                <w:rStyle w:val="Hyperlink"/>
                <w:noProof/>
              </w:rPr>
              <w:t>Purpose</w:t>
            </w:r>
            <w:r w:rsidR="008F6541">
              <w:rPr>
                <w:noProof/>
                <w:webHidden/>
              </w:rPr>
              <w:tab/>
            </w:r>
            <w:r w:rsidR="008F6541">
              <w:rPr>
                <w:noProof/>
                <w:webHidden/>
              </w:rPr>
              <w:fldChar w:fldCharType="begin"/>
            </w:r>
            <w:r w:rsidR="008F6541">
              <w:rPr>
                <w:noProof/>
                <w:webHidden/>
              </w:rPr>
              <w:instrText xml:space="preserve"> PAGEREF _Toc491355878 \h </w:instrText>
            </w:r>
            <w:r w:rsidR="008F6541">
              <w:rPr>
                <w:noProof/>
                <w:webHidden/>
              </w:rPr>
            </w:r>
            <w:r w:rsidR="008F6541">
              <w:rPr>
                <w:noProof/>
                <w:webHidden/>
              </w:rPr>
              <w:fldChar w:fldCharType="separate"/>
            </w:r>
            <w:r>
              <w:rPr>
                <w:noProof/>
                <w:webHidden/>
              </w:rPr>
              <w:t>5</w:t>
            </w:r>
            <w:r w:rsidR="008F6541">
              <w:rPr>
                <w:noProof/>
                <w:webHidden/>
              </w:rPr>
              <w:fldChar w:fldCharType="end"/>
            </w:r>
          </w:hyperlink>
        </w:p>
        <w:p w14:paraId="126101CA" w14:textId="05A69291" w:rsidR="008F6541" w:rsidRDefault="00EA73F1">
          <w:pPr>
            <w:pStyle w:val="TOC2"/>
            <w:tabs>
              <w:tab w:val="right" w:leader="dot" w:pos="9016"/>
            </w:tabs>
            <w:rPr>
              <w:noProof/>
            </w:rPr>
          </w:pPr>
          <w:hyperlink w:anchor="_Toc491355879" w:history="1">
            <w:r w:rsidR="008F6541" w:rsidRPr="007F2817">
              <w:rPr>
                <w:rStyle w:val="Hyperlink"/>
                <w:noProof/>
              </w:rPr>
              <w:t>Evaluation Questions</w:t>
            </w:r>
            <w:r w:rsidR="008F6541">
              <w:rPr>
                <w:noProof/>
                <w:webHidden/>
              </w:rPr>
              <w:tab/>
            </w:r>
            <w:r w:rsidR="008F6541">
              <w:rPr>
                <w:noProof/>
                <w:webHidden/>
              </w:rPr>
              <w:fldChar w:fldCharType="begin"/>
            </w:r>
            <w:r w:rsidR="008F6541">
              <w:rPr>
                <w:noProof/>
                <w:webHidden/>
              </w:rPr>
              <w:instrText xml:space="preserve"> PAGEREF _Toc491355879 \h </w:instrText>
            </w:r>
            <w:r w:rsidR="008F6541">
              <w:rPr>
                <w:noProof/>
                <w:webHidden/>
              </w:rPr>
            </w:r>
            <w:r w:rsidR="008F6541">
              <w:rPr>
                <w:noProof/>
                <w:webHidden/>
              </w:rPr>
              <w:fldChar w:fldCharType="separate"/>
            </w:r>
            <w:r>
              <w:rPr>
                <w:noProof/>
                <w:webHidden/>
              </w:rPr>
              <w:t>5</w:t>
            </w:r>
            <w:r w:rsidR="008F6541">
              <w:rPr>
                <w:noProof/>
                <w:webHidden/>
              </w:rPr>
              <w:fldChar w:fldCharType="end"/>
            </w:r>
          </w:hyperlink>
        </w:p>
        <w:p w14:paraId="2E8E533D" w14:textId="69368772" w:rsidR="008F6541" w:rsidRDefault="00EA73F1">
          <w:pPr>
            <w:pStyle w:val="TOC2"/>
            <w:tabs>
              <w:tab w:val="right" w:leader="dot" w:pos="9016"/>
            </w:tabs>
            <w:rPr>
              <w:noProof/>
            </w:rPr>
          </w:pPr>
          <w:hyperlink w:anchor="_Toc491355880" w:history="1">
            <w:r w:rsidR="008F6541" w:rsidRPr="007F2817">
              <w:rPr>
                <w:rStyle w:val="Hyperlink"/>
                <w:noProof/>
              </w:rPr>
              <w:t>Methodology and Limitations</w:t>
            </w:r>
            <w:r w:rsidR="008F6541">
              <w:rPr>
                <w:noProof/>
                <w:webHidden/>
              </w:rPr>
              <w:tab/>
            </w:r>
            <w:r w:rsidR="008F6541">
              <w:rPr>
                <w:noProof/>
                <w:webHidden/>
              </w:rPr>
              <w:fldChar w:fldCharType="begin"/>
            </w:r>
            <w:r w:rsidR="008F6541">
              <w:rPr>
                <w:noProof/>
                <w:webHidden/>
              </w:rPr>
              <w:instrText xml:space="preserve"> PAGEREF _Toc491355880 \h </w:instrText>
            </w:r>
            <w:r w:rsidR="008F6541">
              <w:rPr>
                <w:noProof/>
                <w:webHidden/>
              </w:rPr>
            </w:r>
            <w:r w:rsidR="008F6541">
              <w:rPr>
                <w:noProof/>
                <w:webHidden/>
              </w:rPr>
              <w:fldChar w:fldCharType="separate"/>
            </w:r>
            <w:r>
              <w:rPr>
                <w:noProof/>
                <w:webHidden/>
              </w:rPr>
              <w:t>5</w:t>
            </w:r>
            <w:r w:rsidR="008F6541">
              <w:rPr>
                <w:noProof/>
                <w:webHidden/>
              </w:rPr>
              <w:fldChar w:fldCharType="end"/>
            </w:r>
          </w:hyperlink>
        </w:p>
        <w:p w14:paraId="251C0F1F" w14:textId="7FBFC0B1" w:rsidR="008F6541" w:rsidRDefault="00EA73F1">
          <w:pPr>
            <w:pStyle w:val="TOC1"/>
            <w:tabs>
              <w:tab w:val="right" w:leader="dot" w:pos="9016"/>
            </w:tabs>
            <w:rPr>
              <w:noProof/>
            </w:rPr>
          </w:pPr>
          <w:hyperlink w:anchor="_Toc491355881" w:history="1">
            <w:r w:rsidR="008F6541" w:rsidRPr="007F2817">
              <w:rPr>
                <w:rStyle w:val="Hyperlink"/>
                <w:noProof/>
              </w:rPr>
              <w:t>Context</w:t>
            </w:r>
            <w:r w:rsidR="008F6541">
              <w:rPr>
                <w:noProof/>
                <w:webHidden/>
              </w:rPr>
              <w:tab/>
            </w:r>
            <w:r w:rsidR="008F6541">
              <w:rPr>
                <w:noProof/>
                <w:webHidden/>
              </w:rPr>
              <w:fldChar w:fldCharType="begin"/>
            </w:r>
            <w:r w:rsidR="008F6541">
              <w:rPr>
                <w:noProof/>
                <w:webHidden/>
              </w:rPr>
              <w:instrText xml:space="preserve"> PAGEREF _Toc491355881 \h </w:instrText>
            </w:r>
            <w:r w:rsidR="008F6541">
              <w:rPr>
                <w:noProof/>
                <w:webHidden/>
              </w:rPr>
            </w:r>
            <w:r w:rsidR="008F6541">
              <w:rPr>
                <w:noProof/>
                <w:webHidden/>
              </w:rPr>
              <w:fldChar w:fldCharType="separate"/>
            </w:r>
            <w:r>
              <w:rPr>
                <w:noProof/>
                <w:webHidden/>
              </w:rPr>
              <w:t>7</w:t>
            </w:r>
            <w:r w:rsidR="008F6541">
              <w:rPr>
                <w:noProof/>
                <w:webHidden/>
              </w:rPr>
              <w:fldChar w:fldCharType="end"/>
            </w:r>
          </w:hyperlink>
        </w:p>
        <w:p w14:paraId="407CE86F" w14:textId="743A99C8" w:rsidR="008F6541" w:rsidRDefault="00EA73F1">
          <w:pPr>
            <w:pStyle w:val="TOC2"/>
            <w:tabs>
              <w:tab w:val="right" w:leader="dot" w:pos="9016"/>
            </w:tabs>
            <w:rPr>
              <w:noProof/>
            </w:rPr>
          </w:pPr>
          <w:hyperlink w:anchor="_Toc491355882" w:history="1">
            <w:r w:rsidR="008F6541" w:rsidRPr="007F2817">
              <w:rPr>
                <w:rStyle w:val="Hyperlink"/>
                <w:noProof/>
              </w:rPr>
              <w:t>Violence Against Women and Girls in Pakistan</w:t>
            </w:r>
            <w:r w:rsidR="008F6541">
              <w:rPr>
                <w:noProof/>
                <w:webHidden/>
              </w:rPr>
              <w:tab/>
            </w:r>
            <w:r w:rsidR="008F6541">
              <w:rPr>
                <w:noProof/>
                <w:webHidden/>
              </w:rPr>
              <w:fldChar w:fldCharType="begin"/>
            </w:r>
            <w:r w:rsidR="008F6541">
              <w:rPr>
                <w:noProof/>
                <w:webHidden/>
              </w:rPr>
              <w:instrText xml:space="preserve"> PAGEREF _Toc491355882 \h </w:instrText>
            </w:r>
            <w:r w:rsidR="008F6541">
              <w:rPr>
                <w:noProof/>
                <w:webHidden/>
              </w:rPr>
            </w:r>
            <w:r w:rsidR="008F6541">
              <w:rPr>
                <w:noProof/>
                <w:webHidden/>
              </w:rPr>
              <w:fldChar w:fldCharType="separate"/>
            </w:r>
            <w:r>
              <w:rPr>
                <w:noProof/>
                <w:webHidden/>
              </w:rPr>
              <w:t>7</w:t>
            </w:r>
            <w:r w:rsidR="008F6541">
              <w:rPr>
                <w:noProof/>
                <w:webHidden/>
              </w:rPr>
              <w:fldChar w:fldCharType="end"/>
            </w:r>
          </w:hyperlink>
        </w:p>
        <w:p w14:paraId="12EDD1CE" w14:textId="038325D9" w:rsidR="008F6541" w:rsidRDefault="00EA73F1">
          <w:pPr>
            <w:pStyle w:val="TOC3"/>
            <w:tabs>
              <w:tab w:val="right" w:leader="dot" w:pos="9016"/>
            </w:tabs>
            <w:rPr>
              <w:noProof/>
            </w:rPr>
          </w:pPr>
          <w:hyperlink w:anchor="_Toc491355883" w:history="1">
            <w:r w:rsidR="008F6541" w:rsidRPr="007F2817">
              <w:rPr>
                <w:rStyle w:val="Hyperlink"/>
                <w:noProof/>
              </w:rPr>
              <w:t>Sindh</w:t>
            </w:r>
            <w:r w:rsidR="008F6541">
              <w:rPr>
                <w:noProof/>
                <w:webHidden/>
              </w:rPr>
              <w:tab/>
            </w:r>
            <w:r w:rsidR="008F6541">
              <w:rPr>
                <w:noProof/>
                <w:webHidden/>
              </w:rPr>
              <w:fldChar w:fldCharType="begin"/>
            </w:r>
            <w:r w:rsidR="008F6541">
              <w:rPr>
                <w:noProof/>
                <w:webHidden/>
              </w:rPr>
              <w:instrText xml:space="preserve"> PAGEREF _Toc491355883 \h </w:instrText>
            </w:r>
            <w:r w:rsidR="008F6541">
              <w:rPr>
                <w:noProof/>
                <w:webHidden/>
              </w:rPr>
            </w:r>
            <w:r w:rsidR="008F6541">
              <w:rPr>
                <w:noProof/>
                <w:webHidden/>
              </w:rPr>
              <w:fldChar w:fldCharType="separate"/>
            </w:r>
            <w:r>
              <w:rPr>
                <w:noProof/>
                <w:webHidden/>
              </w:rPr>
              <w:t>8</w:t>
            </w:r>
            <w:r w:rsidR="008F6541">
              <w:rPr>
                <w:noProof/>
                <w:webHidden/>
              </w:rPr>
              <w:fldChar w:fldCharType="end"/>
            </w:r>
          </w:hyperlink>
        </w:p>
        <w:p w14:paraId="48967964" w14:textId="625B13A2" w:rsidR="008F6541" w:rsidRDefault="00EA73F1">
          <w:pPr>
            <w:pStyle w:val="TOC3"/>
            <w:tabs>
              <w:tab w:val="right" w:leader="dot" w:pos="9016"/>
            </w:tabs>
            <w:rPr>
              <w:noProof/>
            </w:rPr>
          </w:pPr>
          <w:hyperlink w:anchor="_Toc491355884" w:history="1">
            <w:r w:rsidR="008F6541" w:rsidRPr="007F2817">
              <w:rPr>
                <w:rStyle w:val="Hyperlink"/>
                <w:noProof/>
              </w:rPr>
              <w:t>Khyber Pakhtunkhwa</w:t>
            </w:r>
            <w:r w:rsidR="008F6541">
              <w:rPr>
                <w:noProof/>
                <w:webHidden/>
              </w:rPr>
              <w:tab/>
            </w:r>
            <w:r w:rsidR="008F6541">
              <w:rPr>
                <w:noProof/>
                <w:webHidden/>
              </w:rPr>
              <w:fldChar w:fldCharType="begin"/>
            </w:r>
            <w:r w:rsidR="008F6541">
              <w:rPr>
                <w:noProof/>
                <w:webHidden/>
              </w:rPr>
              <w:instrText xml:space="preserve"> PAGEREF _Toc491355884 \h </w:instrText>
            </w:r>
            <w:r w:rsidR="008F6541">
              <w:rPr>
                <w:noProof/>
                <w:webHidden/>
              </w:rPr>
            </w:r>
            <w:r w:rsidR="008F6541">
              <w:rPr>
                <w:noProof/>
                <w:webHidden/>
              </w:rPr>
              <w:fldChar w:fldCharType="separate"/>
            </w:r>
            <w:r>
              <w:rPr>
                <w:noProof/>
                <w:webHidden/>
              </w:rPr>
              <w:t>9</w:t>
            </w:r>
            <w:r w:rsidR="008F6541">
              <w:rPr>
                <w:noProof/>
                <w:webHidden/>
              </w:rPr>
              <w:fldChar w:fldCharType="end"/>
            </w:r>
          </w:hyperlink>
        </w:p>
        <w:p w14:paraId="4FBBDBF3" w14:textId="21709A7F" w:rsidR="008F6541" w:rsidRDefault="00EA73F1">
          <w:pPr>
            <w:pStyle w:val="TOC2"/>
            <w:tabs>
              <w:tab w:val="right" w:leader="dot" w:pos="9016"/>
            </w:tabs>
            <w:rPr>
              <w:noProof/>
            </w:rPr>
          </w:pPr>
          <w:hyperlink w:anchor="_Toc491355885" w:history="1">
            <w:r w:rsidR="008F6541" w:rsidRPr="007F2817">
              <w:rPr>
                <w:rStyle w:val="Hyperlink"/>
                <w:noProof/>
              </w:rPr>
              <w:t>Overview of the Challenging GBV in Pakistan Program</w:t>
            </w:r>
            <w:r w:rsidR="008F6541">
              <w:rPr>
                <w:noProof/>
                <w:webHidden/>
              </w:rPr>
              <w:tab/>
            </w:r>
            <w:r w:rsidR="008F6541">
              <w:rPr>
                <w:noProof/>
                <w:webHidden/>
              </w:rPr>
              <w:fldChar w:fldCharType="begin"/>
            </w:r>
            <w:r w:rsidR="008F6541">
              <w:rPr>
                <w:noProof/>
                <w:webHidden/>
              </w:rPr>
              <w:instrText xml:space="preserve"> PAGEREF _Toc491355885 \h </w:instrText>
            </w:r>
            <w:r w:rsidR="008F6541">
              <w:rPr>
                <w:noProof/>
                <w:webHidden/>
              </w:rPr>
            </w:r>
            <w:r w:rsidR="008F6541">
              <w:rPr>
                <w:noProof/>
                <w:webHidden/>
              </w:rPr>
              <w:fldChar w:fldCharType="separate"/>
            </w:r>
            <w:r>
              <w:rPr>
                <w:noProof/>
                <w:webHidden/>
              </w:rPr>
              <w:t>10</w:t>
            </w:r>
            <w:r w:rsidR="008F6541">
              <w:rPr>
                <w:noProof/>
                <w:webHidden/>
              </w:rPr>
              <w:fldChar w:fldCharType="end"/>
            </w:r>
          </w:hyperlink>
        </w:p>
        <w:p w14:paraId="74F1E552" w14:textId="76A1B985" w:rsidR="008F6541" w:rsidRDefault="00EA73F1">
          <w:pPr>
            <w:pStyle w:val="TOC1"/>
            <w:tabs>
              <w:tab w:val="right" w:leader="dot" w:pos="9016"/>
            </w:tabs>
            <w:rPr>
              <w:noProof/>
            </w:rPr>
          </w:pPr>
          <w:hyperlink w:anchor="_Toc491355886" w:history="1">
            <w:r w:rsidR="008F6541" w:rsidRPr="007F2817">
              <w:rPr>
                <w:rStyle w:val="Hyperlink"/>
                <w:noProof/>
              </w:rPr>
              <w:t>Evaluation Findings</w:t>
            </w:r>
            <w:r w:rsidR="008F6541">
              <w:rPr>
                <w:noProof/>
                <w:webHidden/>
              </w:rPr>
              <w:tab/>
            </w:r>
            <w:r w:rsidR="008F6541">
              <w:rPr>
                <w:noProof/>
                <w:webHidden/>
              </w:rPr>
              <w:fldChar w:fldCharType="begin"/>
            </w:r>
            <w:r w:rsidR="008F6541">
              <w:rPr>
                <w:noProof/>
                <w:webHidden/>
              </w:rPr>
              <w:instrText xml:space="preserve"> PAGEREF _Toc491355886 \h </w:instrText>
            </w:r>
            <w:r w:rsidR="008F6541">
              <w:rPr>
                <w:noProof/>
                <w:webHidden/>
              </w:rPr>
            </w:r>
            <w:r w:rsidR="008F6541">
              <w:rPr>
                <w:noProof/>
                <w:webHidden/>
              </w:rPr>
              <w:fldChar w:fldCharType="separate"/>
            </w:r>
            <w:r>
              <w:rPr>
                <w:noProof/>
                <w:webHidden/>
              </w:rPr>
              <w:t>12</w:t>
            </w:r>
            <w:r w:rsidR="008F6541">
              <w:rPr>
                <w:noProof/>
                <w:webHidden/>
              </w:rPr>
              <w:fldChar w:fldCharType="end"/>
            </w:r>
          </w:hyperlink>
        </w:p>
        <w:p w14:paraId="7EF77824" w14:textId="6A6ABD87" w:rsidR="008F6541" w:rsidRDefault="00EA73F1">
          <w:pPr>
            <w:pStyle w:val="TOC2"/>
            <w:tabs>
              <w:tab w:val="right" w:leader="dot" w:pos="9016"/>
            </w:tabs>
            <w:rPr>
              <w:noProof/>
            </w:rPr>
          </w:pPr>
          <w:hyperlink w:anchor="_Toc491355887" w:history="1">
            <w:r w:rsidR="008F6541" w:rsidRPr="007F2817">
              <w:rPr>
                <w:rStyle w:val="Hyperlink"/>
                <w:noProof/>
              </w:rPr>
              <w:t>Implementation Progress</w:t>
            </w:r>
            <w:r w:rsidR="008F6541">
              <w:rPr>
                <w:noProof/>
                <w:webHidden/>
              </w:rPr>
              <w:tab/>
            </w:r>
            <w:r w:rsidR="008F6541">
              <w:rPr>
                <w:noProof/>
                <w:webHidden/>
              </w:rPr>
              <w:fldChar w:fldCharType="begin"/>
            </w:r>
            <w:r w:rsidR="008F6541">
              <w:rPr>
                <w:noProof/>
                <w:webHidden/>
              </w:rPr>
              <w:instrText xml:space="preserve"> PAGEREF _Toc491355887 \h </w:instrText>
            </w:r>
            <w:r w:rsidR="008F6541">
              <w:rPr>
                <w:noProof/>
                <w:webHidden/>
              </w:rPr>
            </w:r>
            <w:r w:rsidR="008F6541">
              <w:rPr>
                <w:noProof/>
                <w:webHidden/>
              </w:rPr>
              <w:fldChar w:fldCharType="separate"/>
            </w:r>
            <w:r>
              <w:rPr>
                <w:noProof/>
                <w:webHidden/>
              </w:rPr>
              <w:t>12</w:t>
            </w:r>
            <w:r w:rsidR="008F6541">
              <w:rPr>
                <w:noProof/>
                <w:webHidden/>
              </w:rPr>
              <w:fldChar w:fldCharType="end"/>
            </w:r>
          </w:hyperlink>
        </w:p>
        <w:p w14:paraId="76C8F8EE" w14:textId="409E94F3" w:rsidR="008F6541" w:rsidRDefault="00EA73F1">
          <w:pPr>
            <w:pStyle w:val="TOC3"/>
            <w:tabs>
              <w:tab w:val="right" w:leader="dot" w:pos="9016"/>
            </w:tabs>
            <w:rPr>
              <w:noProof/>
            </w:rPr>
          </w:pPr>
          <w:hyperlink w:anchor="_Toc491355888" w:history="1">
            <w:r w:rsidR="008F6541" w:rsidRPr="007F2817">
              <w:rPr>
                <w:rStyle w:val="Hyperlink"/>
                <w:noProof/>
              </w:rPr>
              <w:t>Outcome Area 1: Quality Support Services</w:t>
            </w:r>
            <w:r w:rsidR="008F6541">
              <w:rPr>
                <w:noProof/>
                <w:webHidden/>
              </w:rPr>
              <w:tab/>
            </w:r>
            <w:r w:rsidR="008F6541">
              <w:rPr>
                <w:noProof/>
                <w:webHidden/>
              </w:rPr>
              <w:fldChar w:fldCharType="begin"/>
            </w:r>
            <w:r w:rsidR="008F6541">
              <w:rPr>
                <w:noProof/>
                <w:webHidden/>
              </w:rPr>
              <w:instrText xml:space="preserve"> PAGEREF _Toc491355888 \h </w:instrText>
            </w:r>
            <w:r w:rsidR="008F6541">
              <w:rPr>
                <w:noProof/>
                <w:webHidden/>
              </w:rPr>
            </w:r>
            <w:r w:rsidR="008F6541">
              <w:rPr>
                <w:noProof/>
                <w:webHidden/>
              </w:rPr>
              <w:fldChar w:fldCharType="separate"/>
            </w:r>
            <w:r>
              <w:rPr>
                <w:noProof/>
                <w:webHidden/>
              </w:rPr>
              <w:t>12</w:t>
            </w:r>
            <w:r w:rsidR="008F6541">
              <w:rPr>
                <w:noProof/>
                <w:webHidden/>
              </w:rPr>
              <w:fldChar w:fldCharType="end"/>
            </w:r>
          </w:hyperlink>
        </w:p>
        <w:p w14:paraId="1702CC68" w14:textId="092B492F" w:rsidR="008F6541" w:rsidRDefault="00EA73F1">
          <w:pPr>
            <w:pStyle w:val="TOC3"/>
            <w:tabs>
              <w:tab w:val="right" w:leader="dot" w:pos="9016"/>
            </w:tabs>
            <w:rPr>
              <w:noProof/>
            </w:rPr>
          </w:pPr>
          <w:hyperlink w:anchor="_Toc491355889" w:history="1">
            <w:r w:rsidR="008F6541" w:rsidRPr="007F2817">
              <w:rPr>
                <w:rStyle w:val="Hyperlink"/>
                <w:noProof/>
              </w:rPr>
              <w:t>Outcome Area 2: Prevention and Community Mobilisation</w:t>
            </w:r>
            <w:r w:rsidR="008F6541">
              <w:rPr>
                <w:noProof/>
                <w:webHidden/>
              </w:rPr>
              <w:tab/>
            </w:r>
            <w:r w:rsidR="008F6541">
              <w:rPr>
                <w:noProof/>
                <w:webHidden/>
              </w:rPr>
              <w:fldChar w:fldCharType="begin"/>
            </w:r>
            <w:r w:rsidR="008F6541">
              <w:rPr>
                <w:noProof/>
                <w:webHidden/>
              </w:rPr>
              <w:instrText xml:space="preserve"> PAGEREF _Toc491355889 \h </w:instrText>
            </w:r>
            <w:r w:rsidR="008F6541">
              <w:rPr>
                <w:noProof/>
                <w:webHidden/>
              </w:rPr>
            </w:r>
            <w:r w:rsidR="008F6541">
              <w:rPr>
                <w:noProof/>
                <w:webHidden/>
              </w:rPr>
              <w:fldChar w:fldCharType="separate"/>
            </w:r>
            <w:r>
              <w:rPr>
                <w:noProof/>
                <w:webHidden/>
              </w:rPr>
              <w:t>17</w:t>
            </w:r>
            <w:r w:rsidR="008F6541">
              <w:rPr>
                <w:noProof/>
                <w:webHidden/>
              </w:rPr>
              <w:fldChar w:fldCharType="end"/>
            </w:r>
          </w:hyperlink>
        </w:p>
        <w:p w14:paraId="616874B1" w14:textId="7F911C50" w:rsidR="008F6541" w:rsidRDefault="00EA73F1">
          <w:pPr>
            <w:pStyle w:val="TOC3"/>
            <w:tabs>
              <w:tab w:val="right" w:leader="dot" w:pos="9016"/>
            </w:tabs>
            <w:rPr>
              <w:noProof/>
            </w:rPr>
          </w:pPr>
          <w:hyperlink w:anchor="_Toc491355890" w:history="1">
            <w:r w:rsidR="008F6541" w:rsidRPr="007F2817">
              <w:rPr>
                <w:rStyle w:val="Hyperlink"/>
                <w:noProof/>
              </w:rPr>
              <w:t>Outcome Area 3: Advocacy</w:t>
            </w:r>
            <w:r w:rsidR="008F6541">
              <w:rPr>
                <w:noProof/>
                <w:webHidden/>
              </w:rPr>
              <w:tab/>
            </w:r>
            <w:r w:rsidR="008F6541">
              <w:rPr>
                <w:noProof/>
                <w:webHidden/>
              </w:rPr>
              <w:fldChar w:fldCharType="begin"/>
            </w:r>
            <w:r w:rsidR="008F6541">
              <w:rPr>
                <w:noProof/>
                <w:webHidden/>
              </w:rPr>
              <w:instrText xml:space="preserve"> PAGEREF _Toc491355890 \h </w:instrText>
            </w:r>
            <w:r w:rsidR="008F6541">
              <w:rPr>
                <w:noProof/>
                <w:webHidden/>
              </w:rPr>
            </w:r>
            <w:r w:rsidR="008F6541">
              <w:rPr>
                <w:noProof/>
                <w:webHidden/>
              </w:rPr>
              <w:fldChar w:fldCharType="separate"/>
            </w:r>
            <w:r>
              <w:rPr>
                <w:noProof/>
                <w:webHidden/>
              </w:rPr>
              <w:t>20</w:t>
            </w:r>
            <w:r w:rsidR="008F6541">
              <w:rPr>
                <w:noProof/>
                <w:webHidden/>
              </w:rPr>
              <w:fldChar w:fldCharType="end"/>
            </w:r>
          </w:hyperlink>
        </w:p>
        <w:p w14:paraId="7F518C01" w14:textId="55A79ACB" w:rsidR="008F6541" w:rsidRDefault="00EA73F1">
          <w:pPr>
            <w:pStyle w:val="TOC3"/>
            <w:tabs>
              <w:tab w:val="right" w:leader="dot" w:pos="9016"/>
            </w:tabs>
            <w:rPr>
              <w:noProof/>
            </w:rPr>
          </w:pPr>
          <w:hyperlink w:anchor="_Toc491355891" w:history="1">
            <w:r w:rsidR="008F6541" w:rsidRPr="007F2817">
              <w:rPr>
                <w:rStyle w:val="Hyperlink"/>
                <w:noProof/>
              </w:rPr>
              <w:t>Outcome Area 4: Partner Capacity</w:t>
            </w:r>
            <w:r w:rsidR="008F6541">
              <w:rPr>
                <w:noProof/>
                <w:webHidden/>
              </w:rPr>
              <w:tab/>
            </w:r>
            <w:r w:rsidR="008F6541">
              <w:rPr>
                <w:noProof/>
                <w:webHidden/>
              </w:rPr>
              <w:fldChar w:fldCharType="begin"/>
            </w:r>
            <w:r w:rsidR="008F6541">
              <w:rPr>
                <w:noProof/>
                <w:webHidden/>
              </w:rPr>
              <w:instrText xml:space="preserve"> PAGEREF _Toc491355891 \h </w:instrText>
            </w:r>
            <w:r w:rsidR="008F6541">
              <w:rPr>
                <w:noProof/>
                <w:webHidden/>
              </w:rPr>
            </w:r>
            <w:r w:rsidR="008F6541">
              <w:rPr>
                <w:noProof/>
                <w:webHidden/>
              </w:rPr>
              <w:fldChar w:fldCharType="separate"/>
            </w:r>
            <w:r>
              <w:rPr>
                <w:noProof/>
                <w:webHidden/>
              </w:rPr>
              <w:t>22</w:t>
            </w:r>
            <w:r w:rsidR="008F6541">
              <w:rPr>
                <w:noProof/>
                <w:webHidden/>
              </w:rPr>
              <w:fldChar w:fldCharType="end"/>
            </w:r>
          </w:hyperlink>
        </w:p>
        <w:p w14:paraId="7674FD2B" w14:textId="4B742F5E" w:rsidR="008F6541" w:rsidRDefault="00EA73F1">
          <w:pPr>
            <w:pStyle w:val="TOC3"/>
            <w:tabs>
              <w:tab w:val="right" w:leader="dot" w:pos="9016"/>
            </w:tabs>
            <w:rPr>
              <w:noProof/>
            </w:rPr>
          </w:pPr>
          <w:hyperlink w:anchor="_Toc491355892" w:history="1">
            <w:r w:rsidR="008F6541" w:rsidRPr="007F2817">
              <w:rPr>
                <w:rStyle w:val="Hyperlink"/>
                <w:noProof/>
              </w:rPr>
              <w:t>Cross-Cutting Issues</w:t>
            </w:r>
            <w:r w:rsidR="008F6541">
              <w:rPr>
                <w:noProof/>
                <w:webHidden/>
              </w:rPr>
              <w:tab/>
            </w:r>
            <w:r w:rsidR="008F6541">
              <w:rPr>
                <w:noProof/>
                <w:webHidden/>
              </w:rPr>
              <w:fldChar w:fldCharType="begin"/>
            </w:r>
            <w:r w:rsidR="008F6541">
              <w:rPr>
                <w:noProof/>
                <w:webHidden/>
              </w:rPr>
              <w:instrText xml:space="preserve"> PAGEREF _Toc491355892 \h </w:instrText>
            </w:r>
            <w:r w:rsidR="008F6541">
              <w:rPr>
                <w:noProof/>
                <w:webHidden/>
              </w:rPr>
            </w:r>
            <w:r w:rsidR="008F6541">
              <w:rPr>
                <w:noProof/>
                <w:webHidden/>
              </w:rPr>
              <w:fldChar w:fldCharType="separate"/>
            </w:r>
            <w:r>
              <w:rPr>
                <w:noProof/>
                <w:webHidden/>
              </w:rPr>
              <w:t>23</w:t>
            </w:r>
            <w:r w:rsidR="008F6541">
              <w:rPr>
                <w:noProof/>
                <w:webHidden/>
              </w:rPr>
              <w:fldChar w:fldCharType="end"/>
            </w:r>
          </w:hyperlink>
        </w:p>
        <w:p w14:paraId="01214FBD" w14:textId="0AA926D8" w:rsidR="008F6541" w:rsidRDefault="00EA73F1">
          <w:pPr>
            <w:pStyle w:val="TOC2"/>
            <w:tabs>
              <w:tab w:val="right" w:leader="dot" w:pos="9016"/>
            </w:tabs>
            <w:rPr>
              <w:noProof/>
            </w:rPr>
          </w:pPr>
          <w:hyperlink w:anchor="_Toc491355893" w:history="1">
            <w:r w:rsidR="008F6541" w:rsidRPr="007F2817">
              <w:rPr>
                <w:rStyle w:val="Hyperlink"/>
                <w:noProof/>
              </w:rPr>
              <w:t>Governance and Management Arrangements</w:t>
            </w:r>
            <w:r w:rsidR="008F6541">
              <w:rPr>
                <w:noProof/>
                <w:webHidden/>
              </w:rPr>
              <w:tab/>
            </w:r>
            <w:r w:rsidR="008F6541">
              <w:rPr>
                <w:noProof/>
                <w:webHidden/>
              </w:rPr>
              <w:fldChar w:fldCharType="begin"/>
            </w:r>
            <w:r w:rsidR="008F6541">
              <w:rPr>
                <w:noProof/>
                <w:webHidden/>
              </w:rPr>
              <w:instrText xml:space="preserve"> PAGEREF _Toc491355893 \h </w:instrText>
            </w:r>
            <w:r w:rsidR="008F6541">
              <w:rPr>
                <w:noProof/>
                <w:webHidden/>
              </w:rPr>
            </w:r>
            <w:r w:rsidR="008F6541">
              <w:rPr>
                <w:noProof/>
                <w:webHidden/>
              </w:rPr>
              <w:fldChar w:fldCharType="separate"/>
            </w:r>
            <w:r>
              <w:rPr>
                <w:noProof/>
                <w:webHidden/>
              </w:rPr>
              <w:t>24</w:t>
            </w:r>
            <w:r w:rsidR="008F6541">
              <w:rPr>
                <w:noProof/>
                <w:webHidden/>
              </w:rPr>
              <w:fldChar w:fldCharType="end"/>
            </w:r>
          </w:hyperlink>
        </w:p>
        <w:p w14:paraId="75FCB589" w14:textId="4377A9A8" w:rsidR="008F6541" w:rsidRDefault="00EA73F1">
          <w:pPr>
            <w:pStyle w:val="TOC3"/>
            <w:tabs>
              <w:tab w:val="right" w:leader="dot" w:pos="9016"/>
            </w:tabs>
            <w:rPr>
              <w:noProof/>
            </w:rPr>
          </w:pPr>
          <w:hyperlink w:anchor="_Toc491355894" w:history="1">
            <w:r w:rsidR="008F6541" w:rsidRPr="007F2817">
              <w:rPr>
                <w:rStyle w:val="Hyperlink"/>
                <w:noProof/>
              </w:rPr>
              <w:t>Financial Management, Efficiency and Value for Money</w:t>
            </w:r>
            <w:r w:rsidR="008F6541">
              <w:rPr>
                <w:noProof/>
                <w:webHidden/>
              </w:rPr>
              <w:tab/>
            </w:r>
            <w:r w:rsidR="008F6541">
              <w:rPr>
                <w:noProof/>
                <w:webHidden/>
              </w:rPr>
              <w:fldChar w:fldCharType="begin"/>
            </w:r>
            <w:r w:rsidR="008F6541">
              <w:rPr>
                <w:noProof/>
                <w:webHidden/>
              </w:rPr>
              <w:instrText xml:space="preserve"> PAGEREF _Toc491355894 \h </w:instrText>
            </w:r>
            <w:r w:rsidR="008F6541">
              <w:rPr>
                <w:noProof/>
                <w:webHidden/>
              </w:rPr>
            </w:r>
            <w:r w:rsidR="008F6541">
              <w:rPr>
                <w:noProof/>
                <w:webHidden/>
              </w:rPr>
              <w:fldChar w:fldCharType="separate"/>
            </w:r>
            <w:r>
              <w:rPr>
                <w:noProof/>
                <w:webHidden/>
              </w:rPr>
              <w:t>24</w:t>
            </w:r>
            <w:r w:rsidR="008F6541">
              <w:rPr>
                <w:noProof/>
                <w:webHidden/>
              </w:rPr>
              <w:fldChar w:fldCharType="end"/>
            </w:r>
          </w:hyperlink>
        </w:p>
        <w:p w14:paraId="7ACD4B98" w14:textId="05925091" w:rsidR="008F6541" w:rsidRDefault="00EA73F1">
          <w:pPr>
            <w:pStyle w:val="TOC3"/>
            <w:tabs>
              <w:tab w:val="right" w:leader="dot" w:pos="9016"/>
            </w:tabs>
            <w:rPr>
              <w:noProof/>
            </w:rPr>
          </w:pPr>
          <w:hyperlink w:anchor="_Toc491355895" w:history="1">
            <w:r w:rsidR="008F6541" w:rsidRPr="007F2817">
              <w:rPr>
                <w:rStyle w:val="Hyperlink"/>
                <w:noProof/>
              </w:rPr>
              <w:t>Risk Management</w:t>
            </w:r>
            <w:r w:rsidR="008F6541">
              <w:rPr>
                <w:noProof/>
                <w:webHidden/>
              </w:rPr>
              <w:tab/>
            </w:r>
            <w:r w:rsidR="008F6541">
              <w:rPr>
                <w:noProof/>
                <w:webHidden/>
              </w:rPr>
              <w:fldChar w:fldCharType="begin"/>
            </w:r>
            <w:r w:rsidR="008F6541">
              <w:rPr>
                <w:noProof/>
                <w:webHidden/>
              </w:rPr>
              <w:instrText xml:space="preserve"> PAGEREF _Toc491355895 \h </w:instrText>
            </w:r>
            <w:r w:rsidR="008F6541">
              <w:rPr>
                <w:noProof/>
                <w:webHidden/>
              </w:rPr>
            </w:r>
            <w:r w:rsidR="008F6541">
              <w:rPr>
                <w:noProof/>
                <w:webHidden/>
              </w:rPr>
              <w:fldChar w:fldCharType="separate"/>
            </w:r>
            <w:r>
              <w:rPr>
                <w:noProof/>
                <w:webHidden/>
              </w:rPr>
              <w:t>24</w:t>
            </w:r>
            <w:r w:rsidR="008F6541">
              <w:rPr>
                <w:noProof/>
                <w:webHidden/>
              </w:rPr>
              <w:fldChar w:fldCharType="end"/>
            </w:r>
          </w:hyperlink>
        </w:p>
        <w:p w14:paraId="30D9F125" w14:textId="26698065" w:rsidR="008F6541" w:rsidRDefault="00EA73F1">
          <w:pPr>
            <w:pStyle w:val="TOC3"/>
            <w:tabs>
              <w:tab w:val="right" w:leader="dot" w:pos="9016"/>
            </w:tabs>
            <w:rPr>
              <w:noProof/>
            </w:rPr>
          </w:pPr>
          <w:hyperlink w:anchor="_Toc491355896" w:history="1">
            <w:r w:rsidR="008F6541" w:rsidRPr="007F2817">
              <w:rPr>
                <w:rStyle w:val="Hyperlink"/>
                <w:noProof/>
              </w:rPr>
              <w:t>Partnerships</w:t>
            </w:r>
            <w:r w:rsidR="008F6541">
              <w:rPr>
                <w:noProof/>
                <w:webHidden/>
              </w:rPr>
              <w:tab/>
            </w:r>
            <w:r w:rsidR="008F6541">
              <w:rPr>
                <w:noProof/>
                <w:webHidden/>
              </w:rPr>
              <w:fldChar w:fldCharType="begin"/>
            </w:r>
            <w:r w:rsidR="008F6541">
              <w:rPr>
                <w:noProof/>
                <w:webHidden/>
              </w:rPr>
              <w:instrText xml:space="preserve"> PAGEREF _Toc491355896 \h </w:instrText>
            </w:r>
            <w:r w:rsidR="008F6541">
              <w:rPr>
                <w:noProof/>
                <w:webHidden/>
              </w:rPr>
            </w:r>
            <w:r w:rsidR="008F6541">
              <w:rPr>
                <w:noProof/>
                <w:webHidden/>
              </w:rPr>
              <w:fldChar w:fldCharType="separate"/>
            </w:r>
            <w:r>
              <w:rPr>
                <w:noProof/>
                <w:webHidden/>
              </w:rPr>
              <w:t>25</w:t>
            </w:r>
            <w:r w:rsidR="008F6541">
              <w:rPr>
                <w:noProof/>
                <w:webHidden/>
              </w:rPr>
              <w:fldChar w:fldCharType="end"/>
            </w:r>
          </w:hyperlink>
        </w:p>
        <w:p w14:paraId="3404D3B6" w14:textId="26881069" w:rsidR="008F6541" w:rsidRDefault="00EA73F1">
          <w:pPr>
            <w:pStyle w:val="TOC3"/>
            <w:tabs>
              <w:tab w:val="right" w:leader="dot" w:pos="9016"/>
            </w:tabs>
            <w:rPr>
              <w:noProof/>
            </w:rPr>
          </w:pPr>
          <w:hyperlink w:anchor="_Toc491355897" w:history="1">
            <w:r w:rsidR="008F6541" w:rsidRPr="007F2817">
              <w:rPr>
                <w:rStyle w:val="Hyperlink"/>
                <w:noProof/>
              </w:rPr>
              <w:t>Linkages between partners and stakeholders</w:t>
            </w:r>
            <w:r w:rsidR="008F6541">
              <w:rPr>
                <w:noProof/>
                <w:webHidden/>
              </w:rPr>
              <w:tab/>
            </w:r>
            <w:r w:rsidR="008F6541">
              <w:rPr>
                <w:noProof/>
                <w:webHidden/>
              </w:rPr>
              <w:fldChar w:fldCharType="begin"/>
            </w:r>
            <w:r w:rsidR="008F6541">
              <w:rPr>
                <w:noProof/>
                <w:webHidden/>
              </w:rPr>
              <w:instrText xml:space="preserve"> PAGEREF _Toc491355897 \h </w:instrText>
            </w:r>
            <w:r w:rsidR="008F6541">
              <w:rPr>
                <w:noProof/>
                <w:webHidden/>
              </w:rPr>
            </w:r>
            <w:r w:rsidR="008F6541">
              <w:rPr>
                <w:noProof/>
                <w:webHidden/>
              </w:rPr>
              <w:fldChar w:fldCharType="separate"/>
            </w:r>
            <w:r>
              <w:rPr>
                <w:noProof/>
                <w:webHidden/>
              </w:rPr>
              <w:t>25</w:t>
            </w:r>
            <w:r w:rsidR="008F6541">
              <w:rPr>
                <w:noProof/>
                <w:webHidden/>
              </w:rPr>
              <w:fldChar w:fldCharType="end"/>
            </w:r>
          </w:hyperlink>
        </w:p>
        <w:p w14:paraId="383ABA98" w14:textId="53CAEF16" w:rsidR="008F6541" w:rsidRDefault="00EA73F1">
          <w:pPr>
            <w:pStyle w:val="TOC3"/>
            <w:tabs>
              <w:tab w:val="right" w:leader="dot" w:pos="9016"/>
            </w:tabs>
            <w:rPr>
              <w:noProof/>
            </w:rPr>
          </w:pPr>
          <w:hyperlink w:anchor="_Toc491355898" w:history="1">
            <w:r w:rsidR="008F6541" w:rsidRPr="007F2817">
              <w:rPr>
                <w:rStyle w:val="Hyperlink"/>
                <w:noProof/>
              </w:rPr>
              <w:t>Role of the Australian High Commission</w:t>
            </w:r>
            <w:r w:rsidR="008F6541">
              <w:rPr>
                <w:noProof/>
                <w:webHidden/>
              </w:rPr>
              <w:tab/>
            </w:r>
            <w:r w:rsidR="008F6541">
              <w:rPr>
                <w:noProof/>
                <w:webHidden/>
              </w:rPr>
              <w:fldChar w:fldCharType="begin"/>
            </w:r>
            <w:r w:rsidR="008F6541">
              <w:rPr>
                <w:noProof/>
                <w:webHidden/>
              </w:rPr>
              <w:instrText xml:space="preserve"> PAGEREF _Toc491355898 \h </w:instrText>
            </w:r>
            <w:r w:rsidR="008F6541">
              <w:rPr>
                <w:noProof/>
                <w:webHidden/>
              </w:rPr>
            </w:r>
            <w:r w:rsidR="008F6541">
              <w:rPr>
                <w:noProof/>
                <w:webHidden/>
              </w:rPr>
              <w:fldChar w:fldCharType="separate"/>
            </w:r>
            <w:r>
              <w:rPr>
                <w:noProof/>
                <w:webHidden/>
              </w:rPr>
              <w:t>26</w:t>
            </w:r>
            <w:r w:rsidR="008F6541">
              <w:rPr>
                <w:noProof/>
                <w:webHidden/>
              </w:rPr>
              <w:fldChar w:fldCharType="end"/>
            </w:r>
          </w:hyperlink>
        </w:p>
        <w:p w14:paraId="40152C04" w14:textId="42EF1973" w:rsidR="008F6541" w:rsidRDefault="00EA73F1">
          <w:pPr>
            <w:pStyle w:val="TOC2"/>
            <w:tabs>
              <w:tab w:val="right" w:leader="dot" w:pos="9016"/>
            </w:tabs>
            <w:rPr>
              <w:noProof/>
            </w:rPr>
          </w:pPr>
          <w:hyperlink w:anchor="_Toc491355899" w:history="1">
            <w:r w:rsidR="008F6541" w:rsidRPr="007F2817">
              <w:rPr>
                <w:rStyle w:val="Hyperlink"/>
                <w:noProof/>
              </w:rPr>
              <w:t>Monitoring, Evaluation and Learning (MEL)</w:t>
            </w:r>
            <w:r w:rsidR="008F6541">
              <w:rPr>
                <w:noProof/>
                <w:webHidden/>
              </w:rPr>
              <w:tab/>
            </w:r>
            <w:r w:rsidR="008F6541">
              <w:rPr>
                <w:noProof/>
                <w:webHidden/>
              </w:rPr>
              <w:fldChar w:fldCharType="begin"/>
            </w:r>
            <w:r w:rsidR="008F6541">
              <w:rPr>
                <w:noProof/>
                <w:webHidden/>
              </w:rPr>
              <w:instrText xml:space="preserve"> PAGEREF _Toc491355899 \h </w:instrText>
            </w:r>
            <w:r w:rsidR="008F6541">
              <w:rPr>
                <w:noProof/>
                <w:webHidden/>
              </w:rPr>
            </w:r>
            <w:r w:rsidR="008F6541">
              <w:rPr>
                <w:noProof/>
                <w:webHidden/>
              </w:rPr>
              <w:fldChar w:fldCharType="separate"/>
            </w:r>
            <w:r>
              <w:rPr>
                <w:noProof/>
                <w:webHidden/>
              </w:rPr>
              <w:t>26</w:t>
            </w:r>
            <w:r w:rsidR="008F6541">
              <w:rPr>
                <w:noProof/>
                <w:webHidden/>
              </w:rPr>
              <w:fldChar w:fldCharType="end"/>
            </w:r>
          </w:hyperlink>
        </w:p>
        <w:p w14:paraId="07466448" w14:textId="244ED8DE" w:rsidR="008F6541" w:rsidRDefault="00EA73F1">
          <w:pPr>
            <w:pStyle w:val="TOC3"/>
            <w:tabs>
              <w:tab w:val="right" w:leader="dot" w:pos="9016"/>
            </w:tabs>
            <w:rPr>
              <w:noProof/>
            </w:rPr>
          </w:pPr>
          <w:hyperlink w:anchor="_Toc491355900" w:history="1">
            <w:r w:rsidR="008F6541" w:rsidRPr="007F2817">
              <w:rPr>
                <w:rStyle w:val="Hyperlink"/>
                <w:noProof/>
              </w:rPr>
              <w:t>Theory of Change / Program Logic</w:t>
            </w:r>
            <w:r w:rsidR="008F6541">
              <w:rPr>
                <w:noProof/>
                <w:webHidden/>
              </w:rPr>
              <w:tab/>
            </w:r>
            <w:r w:rsidR="008F6541">
              <w:rPr>
                <w:noProof/>
                <w:webHidden/>
              </w:rPr>
              <w:fldChar w:fldCharType="begin"/>
            </w:r>
            <w:r w:rsidR="008F6541">
              <w:rPr>
                <w:noProof/>
                <w:webHidden/>
              </w:rPr>
              <w:instrText xml:space="preserve"> PAGEREF _Toc491355900 \h </w:instrText>
            </w:r>
            <w:r w:rsidR="008F6541">
              <w:rPr>
                <w:noProof/>
                <w:webHidden/>
              </w:rPr>
            </w:r>
            <w:r w:rsidR="008F6541">
              <w:rPr>
                <w:noProof/>
                <w:webHidden/>
              </w:rPr>
              <w:fldChar w:fldCharType="separate"/>
            </w:r>
            <w:r>
              <w:rPr>
                <w:noProof/>
                <w:webHidden/>
              </w:rPr>
              <w:t>26</w:t>
            </w:r>
            <w:r w:rsidR="008F6541">
              <w:rPr>
                <w:noProof/>
                <w:webHidden/>
              </w:rPr>
              <w:fldChar w:fldCharType="end"/>
            </w:r>
          </w:hyperlink>
        </w:p>
        <w:p w14:paraId="3281D4EE" w14:textId="3149DB61" w:rsidR="008F6541" w:rsidRDefault="00EA73F1">
          <w:pPr>
            <w:pStyle w:val="TOC3"/>
            <w:tabs>
              <w:tab w:val="right" w:leader="dot" w:pos="9016"/>
            </w:tabs>
            <w:rPr>
              <w:noProof/>
            </w:rPr>
          </w:pPr>
          <w:hyperlink w:anchor="_Toc491355901" w:history="1">
            <w:r w:rsidR="008F6541" w:rsidRPr="007F2817">
              <w:rPr>
                <w:rStyle w:val="Hyperlink"/>
                <w:noProof/>
              </w:rPr>
              <w:t>Monitoring and Evaluation Strategy and Results Framework</w:t>
            </w:r>
            <w:r w:rsidR="008F6541">
              <w:rPr>
                <w:noProof/>
                <w:webHidden/>
              </w:rPr>
              <w:tab/>
            </w:r>
            <w:r w:rsidR="008F6541">
              <w:rPr>
                <w:noProof/>
                <w:webHidden/>
              </w:rPr>
              <w:fldChar w:fldCharType="begin"/>
            </w:r>
            <w:r w:rsidR="008F6541">
              <w:rPr>
                <w:noProof/>
                <w:webHidden/>
              </w:rPr>
              <w:instrText xml:space="preserve"> PAGEREF _Toc491355901 \h </w:instrText>
            </w:r>
            <w:r w:rsidR="008F6541">
              <w:rPr>
                <w:noProof/>
                <w:webHidden/>
              </w:rPr>
            </w:r>
            <w:r w:rsidR="008F6541">
              <w:rPr>
                <w:noProof/>
                <w:webHidden/>
              </w:rPr>
              <w:fldChar w:fldCharType="separate"/>
            </w:r>
            <w:r>
              <w:rPr>
                <w:noProof/>
                <w:webHidden/>
              </w:rPr>
              <w:t>27</w:t>
            </w:r>
            <w:r w:rsidR="008F6541">
              <w:rPr>
                <w:noProof/>
                <w:webHidden/>
              </w:rPr>
              <w:fldChar w:fldCharType="end"/>
            </w:r>
          </w:hyperlink>
        </w:p>
        <w:p w14:paraId="39D27FD5" w14:textId="20A35A7F" w:rsidR="008F6541" w:rsidRDefault="00EA73F1">
          <w:pPr>
            <w:pStyle w:val="TOC2"/>
            <w:tabs>
              <w:tab w:val="right" w:leader="dot" w:pos="9016"/>
            </w:tabs>
            <w:rPr>
              <w:noProof/>
            </w:rPr>
          </w:pPr>
          <w:hyperlink w:anchor="_Toc491355902" w:history="1">
            <w:r w:rsidR="008F6541" w:rsidRPr="007F2817">
              <w:rPr>
                <w:rStyle w:val="Hyperlink"/>
                <w:noProof/>
              </w:rPr>
              <w:t>Sustainability</w:t>
            </w:r>
            <w:r w:rsidR="008F6541">
              <w:rPr>
                <w:noProof/>
                <w:webHidden/>
              </w:rPr>
              <w:tab/>
            </w:r>
            <w:r w:rsidR="008F6541">
              <w:rPr>
                <w:noProof/>
                <w:webHidden/>
              </w:rPr>
              <w:fldChar w:fldCharType="begin"/>
            </w:r>
            <w:r w:rsidR="008F6541">
              <w:rPr>
                <w:noProof/>
                <w:webHidden/>
              </w:rPr>
              <w:instrText xml:space="preserve"> PAGEREF _Toc491355902 \h </w:instrText>
            </w:r>
            <w:r w:rsidR="008F6541">
              <w:rPr>
                <w:noProof/>
                <w:webHidden/>
              </w:rPr>
            </w:r>
            <w:r w:rsidR="008F6541">
              <w:rPr>
                <w:noProof/>
                <w:webHidden/>
              </w:rPr>
              <w:fldChar w:fldCharType="separate"/>
            </w:r>
            <w:r>
              <w:rPr>
                <w:noProof/>
                <w:webHidden/>
              </w:rPr>
              <w:t>27</w:t>
            </w:r>
            <w:r w:rsidR="008F6541">
              <w:rPr>
                <w:noProof/>
                <w:webHidden/>
              </w:rPr>
              <w:fldChar w:fldCharType="end"/>
            </w:r>
          </w:hyperlink>
        </w:p>
        <w:p w14:paraId="5B7EF242" w14:textId="0C4BE443" w:rsidR="008F6541" w:rsidRDefault="00EA73F1">
          <w:pPr>
            <w:pStyle w:val="TOC3"/>
            <w:tabs>
              <w:tab w:val="right" w:leader="dot" w:pos="9016"/>
            </w:tabs>
            <w:rPr>
              <w:noProof/>
            </w:rPr>
          </w:pPr>
          <w:hyperlink w:anchor="_Toc491355903" w:history="1">
            <w:r w:rsidR="008F6541" w:rsidRPr="007F2817">
              <w:rPr>
                <w:rStyle w:val="Hyperlink"/>
                <w:noProof/>
              </w:rPr>
              <w:t>Partner Capacity and Sustainability Plans</w:t>
            </w:r>
            <w:r w:rsidR="008F6541">
              <w:rPr>
                <w:noProof/>
                <w:webHidden/>
              </w:rPr>
              <w:tab/>
            </w:r>
            <w:r w:rsidR="008F6541">
              <w:rPr>
                <w:noProof/>
                <w:webHidden/>
              </w:rPr>
              <w:fldChar w:fldCharType="begin"/>
            </w:r>
            <w:r w:rsidR="008F6541">
              <w:rPr>
                <w:noProof/>
                <w:webHidden/>
              </w:rPr>
              <w:instrText xml:space="preserve"> PAGEREF _Toc491355903 \h </w:instrText>
            </w:r>
            <w:r w:rsidR="008F6541">
              <w:rPr>
                <w:noProof/>
                <w:webHidden/>
              </w:rPr>
            </w:r>
            <w:r w:rsidR="008F6541">
              <w:rPr>
                <w:noProof/>
                <w:webHidden/>
              </w:rPr>
              <w:fldChar w:fldCharType="separate"/>
            </w:r>
            <w:r>
              <w:rPr>
                <w:noProof/>
                <w:webHidden/>
              </w:rPr>
              <w:t>27</w:t>
            </w:r>
            <w:r w:rsidR="008F6541">
              <w:rPr>
                <w:noProof/>
                <w:webHidden/>
              </w:rPr>
              <w:fldChar w:fldCharType="end"/>
            </w:r>
          </w:hyperlink>
        </w:p>
        <w:p w14:paraId="3020ACB0" w14:textId="1C589CC2" w:rsidR="008F6541" w:rsidRDefault="00EA73F1">
          <w:pPr>
            <w:pStyle w:val="TOC3"/>
            <w:tabs>
              <w:tab w:val="right" w:leader="dot" w:pos="9016"/>
            </w:tabs>
            <w:rPr>
              <w:noProof/>
            </w:rPr>
          </w:pPr>
          <w:hyperlink w:anchor="_Toc491355904" w:history="1">
            <w:r w:rsidR="008F6541" w:rsidRPr="007F2817">
              <w:rPr>
                <w:rStyle w:val="Hyperlink"/>
                <w:noProof/>
              </w:rPr>
              <w:t>Private Sector / Corporate Social Responsibility (CSR) / Philanthropy</w:t>
            </w:r>
            <w:r w:rsidR="008F6541">
              <w:rPr>
                <w:noProof/>
                <w:webHidden/>
              </w:rPr>
              <w:tab/>
            </w:r>
            <w:r w:rsidR="008F6541">
              <w:rPr>
                <w:noProof/>
                <w:webHidden/>
              </w:rPr>
              <w:fldChar w:fldCharType="begin"/>
            </w:r>
            <w:r w:rsidR="008F6541">
              <w:rPr>
                <w:noProof/>
                <w:webHidden/>
              </w:rPr>
              <w:instrText xml:space="preserve"> PAGEREF _Toc491355904 \h </w:instrText>
            </w:r>
            <w:r w:rsidR="008F6541">
              <w:rPr>
                <w:noProof/>
                <w:webHidden/>
              </w:rPr>
            </w:r>
            <w:r w:rsidR="008F6541">
              <w:rPr>
                <w:noProof/>
                <w:webHidden/>
              </w:rPr>
              <w:fldChar w:fldCharType="separate"/>
            </w:r>
            <w:r>
              <w:rPr>
                <w:noProof/>
                <w:webHidden/>
              </w:rPr>
              <w:t>27</w:t>
            </w:r>
            <w:r w:rsidR="008F6541">
              <w:rPr>
                <w:noProof/>
                <w:webHidden/>
              </w:rPr>
              <w:fldChar w:fldCharType="end"/>
            </w:r>
          </w:hyperlink>
        </w:p>
        <w:p w14:paraId="708DA630" w14:textId="3DD8E99F" w:rsidR="008F6541" w:rsidRDefault="00EA73F1">
          <w:pPr>
            <w:pStyle w:val="TOC3"/>
            <w:tabs>
              <w:tab w:val="right" w:leader="dot" w:pos="9016"/>
            </w:tabs>
            <w:rPr>
              <w:noProof/>
            </w:rPr>
          </w:pPr>
          <w:hyperlink w:anchor="_Toc491355905" w:history="1">
            <w:r w:rsidR="008F6541" w:rsidRPr="007F2817">
              <w:rPr>
                <w:rStyle w:val="Hyperlink"/>
                <w:noProof/>
              </w:rPr>
              <w:t>Linkages with Government, especially provincial Government</w:t>
            </w:r>
            <w:r w:rsidR="008F6541">
              <w:rPr>
                <w:noProof/>
                <w:webHidden/>
              </w:rPr>
              <w:tab/>
            </w:r>
            <w:r w:rsidR="008F6541">
              <w:rPr>
                <w:noProof/>
                <w:webHidden/>
              </w:rPr>
              <w:fldChar w:fldCharType="begin"/>
            </w:r>
            <w:r w:rsidR="008F6541">
              <w:rPr>
                <w:noProof/>
                <w:webHidden/>
              </w:rPr>
              <w:instrText xml:space="preserve"> PAGEREF _Toc491355905 \h </w:instrText>
            </w:r>
            <w:r w:rsidR="008F6541">
              <w:rPr>
                <w:noProof/>
                <w:webHidden/>
              </w:rPr>
            </w:r>
            <w:r w:rsidR="008F6541">
              <w:rPr>
                <w:noProof/>
                <w:webHidden/>
              </w:rPr>
              <w:fldChar w:fldCharType="separate"/>
            </w:r>
            <w:r>
              <w:rPr>
                <w:noProof/>
                <w:webHidden/>
              </w:rPr>
              <w:t>28</w:t>
            </w:r>
            <w:r w:rsidR="008F6541">
              <w:rPr>
                <w:noProof/>
                <w:webHidden/>
              </w:rPr>
              <w:fldChar w:fldCharType="end"/>
            </w:r>
          </w:hyperlink>
        </w:p>
        <w:p w14:paraId="052D7FDE" w14:textId="74F9DE49" w:rsidR="008F6541" w:rsidRDefault="00EA73F1">
          <w:pPr>
            <w:pStyle w:val="TOC1"/>
            <w:tabs>
              <w:tab w:val="right" w:leader="dot" w:pos="9016"/>
            </w:tabs>
            <w:rPr>
              <w:noProof/>
            </w:rPr>
          </w:pPr>
          <w:hyperlink w:anchor="_Toc491355906" w:history="1">
            <w:r w:rsidR="008F6541" w:rsidRPr="007F2817">
              <w:rPr>
                <w:rStyle w:val="Hyperlink"/>
                <w:noProof/>
              </w:rPr>
              <w:t>Key Lessons Learnt</w:t>
            </w:r>
            <w:r w:rsidR="008F6541">
              <w:rPr>
                <w:noProof/>
                <w:webHidden/>
              </w:rPr>
              <w:tab/>
            </w:r>
            <w:r w:rsidR="008F6541">
              <w:rPr>
                <w:noProof/>
                <w:webHidden/>
              </w:rPr>
              <w:fldChar w:fldCharType="begin"/>
            </w:r>
            <w:r w:rsidR="008F6541">
              <w:rPr>
                <w:noProof/>
                <w:webHidden/>
              </w:rPr>
              <w:instrText xml:space="preserve"> PAGEREF _Toc491355906 \h </w:instrText>
            </w:r>
            <w:r w:rsidR="008F6541">
              <w:rPr>
                <w:noProof/>
                <w:webHidden/>
              </w:rPr>
            </w:r>
            <w:r w:rsidR="008F6541">
              <w:rPr>
                <w:noProof/>
                <w:webHidden/>
              </w:rPr>
              <w:fldChar w:fldCharType="separate"/>
            </w:r>
            <w:r>
              <w:rPr>
                <w:noProof/>
                <w:webHidden/>
              </w:rPr>
              <w:t>28</w:t>
            </w:r>
            <w:r w:rsidR="008F6541">
              <w:rPr>
                <w:noProof/>
                <w:webHidden/>
              </w:rPr>
              <w:fldChar w:fldCharType="end"/>
            </w:r>
          </w:hyperlink>
        </w:p>
        <w:p w14:paraId="3D8F2803" w14:textId="713A23DA" w:rsidR="008F6541" w:rsidRDefault="00EA73F1">
          <w:pPr>
            <w:pStyle w:val="TOC1"/>
            <w:tabs>
              <w:tab w:val="right" w:leader="dot" w:pos="9016"/>
            </w:tabs>
            <w:rPr>
              <w:noProof/>
            </w:rPr>
          </w:pPr>
          <w:hyperlink w:anchor="_Toc491355907" w:history="1">
            <w:r w:rsidR="008F6541" w:rsidRPr="007F2817">
              <w:rPr>
                <w:rStyle w:val="Hyperlink"/>
                <w:noProof/>
              </w:rPr>
              <w:t>Summary of Key Recommendations</w:t>
            </w:r>
            <w:r w:rsidR="008F6541">
              <w:rPr>
                <w:noProof/>
                <w:webHidden/>
              </w:rPr>
              <w:tab/>
            </w:r>
            <w:r w:rsidR="008F6541">
              <w:rPr>
                <w:noProof/>
                <w:webHidden/>
              </w:rPr>
              <w:fldChar w:fldCharType="begin"/>
            </w:r>
            <w:r w:rsidR="008F6541">
              <w:rPr>
                <w:noProof/>
                <w:webHidden/>
              </w:rPr>
              <w:instrText xml:space="preserve"> PAGEREF _Toc491355907 \h </w:instrText>
            </w:r>
            <w:r w:rsidR="008F6541">
              <w:rPr>
                <w:noProof/>
                <w:webHidden/>
              </w:rPr>
            </w:r>
            <w:r w:rsidR="008F6541">
              <w:rPr>
                <w:noProof/>
                <w:webHidden/>
              </w:rPr>
              <w:fldChar w:fldCharType="separate"/>
            </w:r>
            <w:r>
              <w:rPr>
                <w:noProof/>
                <w:webHidden/>
              </w:rPr>
              <w:t>29</w:t>
            </w:r>
            <w:r w:rsidR="008F6541">
              <w:rPr>
                <w:noProof/>
                <w:webHidden/>
              </w:rPr>
              <w:fldChar w:fldCharType="end"/>
            </w:r>
          </w:hyperlink>
        </w:p>
        <w:p w14:paraId="37FED60E" w14:textId="2EC5F514" w:rsidR="008F6541" w:rsidRDefault="00EA73F1">
          <w:pPr>
            <w:pStyle w:val="TOC2"/>
            <w:tabs>
              <w:tab w:val="right" w:leader="dot" w:pos="9016"/>
            </w:tabs>
            <w:rPr>
              <w:noProof/>
            </w:rPr>
          </w:pPr>
          <w:hyperlink w:anchor="_Toc491355908" w:history="1">
            <w:r w:rsidR="008F6541" w:rsidRPr="007F2817">
              <w:rPr>
                <w:rStyle w:val="Hyperlink"/>
                <w:noProof/>
              </w:rPr>
              <w:t>For Trócaire and Implementing Partners</w:t>
            </w:r>
            <w:r w:rsidR="008F6541">
              <w:rPr>
                <w:noProof/>
                <w:webHidden/>
              </w:rPr>
              <w:tab/>
            </w:r>
            <w:r w:rsidR="008F6541">
              <w:rPr>
                <w:noProof/>
                <w:webHidden/>
              </w:rPr>
              <w:fldChar w:fldCharType="begin"/>
            </w:r>
            <w:r w:rsidR="008F6541">
              <w:rPr>
                <w:noProof/>
                <w:webHidden/>
              </w:rPr>
              <w:instrText xml:space="preserve"> PAGEREF _Toc491355908 \h </w:instrText>
            </w:r>
            <w:r w:rsidR="008F6541">
              <w:rPr>
                <w:noProof/>
                <w:webHidden/>
              </w:rPr>
            </w:r>
            <w:r w:rsidR="008F6541">
              <w:rPr>
                <w:noProof/>
                <w:webHidden/>
              </w:rPr>
              <w:fldChar w:fldCharType="separate"/>
            </w:r>
            <w:r>
              <w:rPr>
                <w:noProof/>
                <w:webHidden/>
              </w:rPr>
              <w:t>29</w:t>
            </w:r>
            <w:r w:rsidR="008F6541">
              <w:rPr>
                <w:noProof/>
                <w:webHidden/>
              </w:rPr>
              <w:fldChar w:fldCharType="end"/>
            </w:r>
          </w:hyperlink>
        </w:p>
        <w:p w14:paraId="46669E31" w14:textId="74E9A8E2" w:rsidR="008F6541" w:rsidRDefault="00EA73F1">
          <w:pPr>
            <w:pStyle w:val="TOC2"/>
            <w:tabs>
              <w:tab w:val="right" w:leader="dot" w:pos="9016"/>
            </w:tabs>
            <w:rPr>
              <w:noProof/>
            </w:rPr>
          </w:pPr>
          <w:hyperlink w:anchor="_Toc491355909" w:history="1">
            <w:r w:rsidR="008F6541" w:rsidRPr="007F2817">
              <w:rPr>
                <w:rStyle w:val="Hyperlink"/>
                <w:noProof/>
              </w:rPr>
              <w:t>For the Australian High Commission / DFAT</w:t>
            </w:r>
            <w:r w:rsidR="008F6541">
              <w:rPr>
                <w:noProof/>
                <w:webHidden/>
              </w:rPr>
              <w:tab/>
            </w:r>
            <w:r w:rsidR="008F6541">
              <w:rPr>
                <w:noProof/>
                <w:webHidden/>
              </w:rPr>
              <w:fldChar w:fldCharType="begin"/>
            </w:r>
            <w:r w:rsidR="008F6541">
              <w:rPr>
                <w:noProof/>
                <w:webHidden/>
              </w:rPr>
              <w:instrText xml:space="preserve"> PAGEREF _Toc491355909 \h </w:instrText>
            </w:r>
            <w:r w:rsidR="008F6541">
              <w:rPr>
                <w:noProof/>
                <w:webHidden/>
              </w:rPr>
            </w:r>
            <w:r w:rsidR="008F6541">
              <w:rPr>
                <w:noProof/>
                <w:webHidden/>
              </w:rPr>
              <w:fldChar w:fldCharType="separate"/>
            </w:r>
            <w:r>
              <w:rPr>
                <w:noProof/>
                <w:webHidden/>
              </w:rPr>
              <w:t>30</w:t>
            </w:r>
            <w:r w:rsidR="008F6541">
              <w:rPr>
                <w:noProof/>
                <w:webHidden/>
              </w:rPr>
              <w:fldChar w:fldCharType="end"/>
            </w:r>
          </w:hyperlink>
        </w:p>
        <w:p w14:paraId="78527A82" w14:textId="14A1783F" w:rsidR="00506601" w:rsidRDefault="005369B7">
          <w:r>
            <w:rPr>
              <w:b/>
              <w:bCs/>
              <w:noProof/>
            </w:rPr>
            <w:fldChar w:fldCharType="end"/>
          </w:r>
        </w:p>
      </w:sdtContent>
    </w:sdt>
    <w:p w14:paraId="0F32B41B" w14:textId="19F72EEA" w:rsidR="00F72C46" w:rsidRDefault="00F72C46" w:rsidP="00196E90">
      <w:r>
        <w:t>A</w:t>
      </w:r>
      <w:r w:rsidR="00196E90">
        <w:t>NNEXES</w:t>
      </w:r>
    </w:p>
    <w:p w14:paraId="1499F27F" w14:textId="294B489E" w:rsidR="00CB4D4B" w:rsidRDefault="00D57E97" w:rsidP="00D57E97">
      <w:pPr>
        <w:rPr>
          <w:rFonts w:cstheme="minorHAnsi"/>
        </w:rPr>
      </w:pPr>
      <w:r w:rsidRPr="006831A7">
        <w:rPr>
          <w:rFonts w:cstheme="minorHAnsi"/>
        </w:rPr>
        <w:t>Annex A – Terms of Reference</w:t>
      </w:r>
      <w:r w:rsidR="00CB4D4B">
        <w:rPr>
          <w:rFonts w:cstheme="minorHAnsi"/>
        </w:rPr>
        <w:t>………………………………………………………………………………………......……….…… 1</w:t>
      </w:r>
    </w:p>
    <w:p w14:paraId="187F1F12" w14:textId="0B5DDBA7" w:rsidR="00D57E97" w:rsidRPr="006831A7" w:rsidRDefault="00D57E97" w:rsidP="00D57E97">
      <w:pPr>
        <w:rPr>
          <w:rFonts w:cstheme="minorHAnsi"/>
        </w:rPr>
      </w:pPr>
      <w:r w:rsidRPr="006831A7">
        <w:rPr>
          <w:rFonts w:cstheme="minorHAnsi"/>
        </w:rPr>
        <w:t>Annex B – Evaluation Plan</w:t>
      </w:r>
      <w:r w:rsidR="00CB4D4B">
        <w:rPr>
          <w:rFonts w:cstheme="minorHAnsi"/>
        </w:rPr>
        <w:t>………………………………………………………………………………………………….…………….. 8</w:t>
      </w:r>
    </w:p>
    <w:p w14:paraId="5FD7B41A" w14:textId="325A0CF7" w:rsidR="00D57E97" w:rsidRPr="006831A7" w:rsidRDefault="00D57E97" w:rsidP="00D57E97">
      <w:pPr>
        <w:rPr>
          <w:rFonts w:cstheme="minorHAnsi"/>
        </w:rPr>
      </w:pPr>
      <w:r w:rsidRPr="006831A7">
        <w:rPr>
          <w:rFonts w:cstheme="minorHAnsi"/>
        </w:rPr>
        <w:t>Annex C – Itinerary</w:t>
      </w:r>
      <w:r w:rsidR="00CB4D4B">
        <w:rPr>
          <w:rFonts w:cstheme="minorHAnsi"/>
        </w:rPr>
        <w:t>…………………………………………………………………………………………………………………………. 16</w:t>
      </w:r>
    </w:p>
    <w:p w14:paraId="71253CFB" w14:textId="47FB53C5" w:rsidR="00D57E97" w:rsidRPr="006831A7" w:rsidRDefault="00D57E97" w:rsidP="00D57E97">
      <w:pPr>
        <w:rPr>
          <w:rFonts w:cstheme="minorHAnsi"/>
        </w:rPr>
      </w:pPr>
      <w:r w:rsidRPr="006831A7">
        <w:rPr>
          <w:rFonts w:cstheme="minorHAnsi"/>
        </w:rPr>
        <w:t>Annex D – List of References and Documents Consulted</w:t>
      </w:r>
      <w:r w:rsidR="00CB4D4B">
        <w:rPr>
          <w:rFonts w:cstheme="minorHAnsi"/>
        </w:rPr>
        <w:t>………………………………………………………………… 21</w:t>
      </w:r>
    </w:p>
    <w:p w14:paraId="3CA16CD5" w14:textId="1E7A855E" w:rsidR="00D57E97" w:rsidRPr="006831A7" w:rsidRDefault="00D57E97" w:rsidP="00D57E97">
      <w:pPr>
        <w:rPr>
          <w:rFonts w:cstheme="minorHAnsi"/>
        </w:rPr>
      </w:pPr>
      <w:r w:rsidRPr="006831A7">
        <w:rPr>
          <w:rFonts w:cstheme="minorHAnsi"/>
        </w:rPr>
        <w:t>Annex E –</w:t>
      </w:r>
      <w:r w:rsidR="00D20C89">
        <w:rPr>
          <w:rFonts w:cstheme="minorHAnsi"/>
        </w:rPr>
        <w:t xml:space="preserve"> </w:t>
      </w:r>
      <w:r w:rsidR="00D20C89" w:rsidRPr="006831A7">
        <w:rPr>
          <w:rFonts w:cstheme="minorHAnsi"/>
        </w:rPr>
        <w:t>Aide Memoire</w:t>
      </w:r>
      <w:r w:rsidR="00CB4D4B">
        <w:rPr>
          <w:rFonts w:cstheme="minorHAnsi"/>
        </w:rPr>
        <w:t>………………………………………………………………………………………………………………… 24</w:t>
      </w:r>
    </w:p>
    <w:p w14:paraId="17D906C4" w14:textId="44BF9C8B" w:rsidR="00D57E97" w:rsidRPr="006831A7" w:rsidRDefault="00D57E97" w:rsidP="00D57E97">
      <w:pPr>
        <w:rPr>
          <w:rFonts w:cstheme="minorHAnsi"/>
        </w:rPr>
      </w:pPr>
      <w:r w:rsidRPr="006831A7">
        <w:rPr>
          <w:rFonts w:cstheme="minorHAnsi"/>
        </w:rPr>
        <w:t xml:space="preserve">Annex F – </w:t>
      </w:r>
      <w:r w:rsidR="00D20C89" w:rsidRPr="006831A7">
        <w:rPr>
          <w:rFonts w:cstheme="minorHAnsi"/>
        </w:rPr>
        <w:t xml:space="preserve">National, Sindh and Khyber Pakhtunkhwa Laws Related to Women and </w:t>
      </w:r>
      <w:r w:rsidR="00D20C89">
        <w:rPr>
          <w:rFonts w:cstheme="minorHAnsi"/>
        </w:rPr>
        <w:t>GBV</w:t>
      </w:r>
      <w:r w:rsidR="00CB4D4B">
        <w:rPr>
          <w:rFonts w:cstheme="minorHAnsi"/>
        </w:rPr>
        <w:t>………………… 27</w:t>
      </w:r>
    </w:p>
    <w:p w14:paraId="7BE54971" w14:textId="6185E3FB" w:rsidR="00D57E97" w:rsidRPr="006831A7" w:rsidRDefault="00D57E97" w:rsidP="00D57E97">
      <w:pPr>
        <w:rPr>
          <w:rFonts w:cstheme="minorHAnsi"/>
        </w:rPr>
      </w:pPr>
      <w:r w:rsidRPr="006831A7">
        <w:rPr>
          <w:rFonts w:cstheme="minorHAnsi"/>
        </w:rPr>
        <w:t xml:space="preserve">Annex G – </w:t>
      </w:r>
      <w:r w:rsidR="00D20C89">
        <w:rPr>
          <w:rFonts w:cstheme="minorHAnsi"/>
        </w:rPr>
        <w:t>Budget Allocation and Expenditure – Pakistan GBV Program</w:t>
      </w:r>
      <w:r w:rsidR="00CB4D4B">
        <w:rPr>
          <w:rFonts w:cstheme="minorHAnsi"/>
        </w:rPr>
        <w:t>……………………………………..…. 29</w:t>
      </w:r>
    </w:p>
    <w:p w14:paraId="557CF698" w14:textId="77777777" w:rsidR="002C5962" w:rsidRDefault="002C5962">
      <w:pPr>
        <w:rPr>
          <w:rFonts w:eastAsia="Times New Roman" w:cs="Times New Roman"/>
          <w:sz w:val="24"/>
          <w:szCs w:val="24"/>
        </w:rPr>
      </w:pPr>
      <w:r>
        <w:br w:type="page"/>
      </w:r>
    </w:p>
    <w:p w14:paraId="360CF6F7" w14:textId="77777777" w:rsidR="003E33D0" w:rsidRDefault="003E33D0" w:rsidP="003E33D0">
      <w:pPr>
        <w:pStyle w:val="ListParagraph"/>
        <w:ind w:left="360"/>
        <w:rPr>
          <w:rFonts w:asciiTheme="minorHAnsi" w:hAnsiTheme="minorHAnsi"/>
        </w:rPr>
      </w:pPr>
    </w:p>
    <w:p w14:paraId="2A6B4217" w14:textId="77777777" w:rsidR="0056559D" w:rsidRPr="002C5962" w:rsidRDefault="0056559D" w:rsidP="003E33D0">
      <w:pPr>
        <w:rPr>
          <w:rFonts w:asciiTheme="majorHAnsi" w:hAnsiTheme="majorHAnsi"/>
          <w:b/>
          <w:color w:val="1F497D" w:themeColor="text2"/>
          <w:sz w:val="28"/>
          <w:szCs w:val="28"/>
        </w:rPr>
      </w:pPr>
      <w:r w:rsidRPr="002C5962">
        <w:rPr>
          <w:rFonts w:asciiTheme="majorHAnsi" w:hAnsiTheme="majorHAnsi"/>
          <w:b/>
          <w:color w:val="1F497D" w:themeColor="text2"/>
          <w:sz w:val="28"/>
          <w:szCs w:val="28"/>
        </w:rPr>
        <w:t>Acronyms</w:t>
      </w:r>
    </w:p>
    <w:p w14:paraId="6FD33675"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ABAD</w:t>
      </w:r>
      <w:r w:rsidRPr="00893175">
        <w:rPr>
          <w:rFonts w:asciiTheme="minorHAnsi" w:hAnsiTheme="minorHAnsi"/>
          <w:sz w:val="22"/>
        </w:rPr>
        <w:tab/>
      </w:r>
      <w:r w:rsidRPr="00893175">
        <w:rPr>
          <w:rFonts w:asciiTheme="minorHAnsi" w:hAnsiTheme="minorHAnsi"/>
          <w:sz w:val="22"/>
        </w:rPr>
        <w:tab/>
      </w:r>
      <w:r w:rsidR="006B6E36" w:rsidRPr="00893175">
        <w:rPr>
          <w:rFonts w:asciiTheme="minorHAnsi" w:hAnsiTheme="minorHAnsi"/>
          <w:sz w:val="22"/>
        </w:rPr>
        <w:t xml:space="preserve">Association for Betterment </w:t>
      </w:r>
      <w:r w:rsidR="001179C2" w:rsidRPr="00893175">
        <w:rPr>
          <w:rFonts w:asciiTheme="minorHAnsi" w:hAnsiTheme="minorHAnsi"/>
          <w:sz w:val="22"/>
        </w:rPr>
        <w:t>A</w:t>
      </w:r>
      <w:r w:rsidRPr="00893175">
        <w:rPr>
          <w:rFonts w:asciiTheme="minorHAnsi" w:hAnsiTheme="minorHAnsi"/>
          <w:sz w:val="22"/>
        </w:rPr>
        <w:t>nd Development of Human Beings</w:t>
      </w:r>
    </w:p>
    <w:p w14:paraId="14DD18FF"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ACT</w:t>
      </w:r>
      <w:r w:rsidRPr="00893175">
        <w:rPr>
          <w:rFonts w:asciiTheme="minorHAnsi" w:hAnsiTheme="minorHAnsi"/>
          <w:sz w:val="22"/>
        </w:rPr>
        <w:tab/>
      </w:r>
      <w:r w:rsidRPr="00893175">
        <w:rPr>
          <w:rFonts w:asciiTheme="minorHAnsi" w:hAnsiTheme="minorHAnsi"/>
          <w:sz w:val="22"/>
        </w:rPr>
        <w:tab/>
        <w:t>Aiming Change for Tomorrow</w:t>
      </w:r>
    </w:p>
    <w:p w14:paraId="0114B719"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AHC</w:t>
      </w:r>
      <w:r w:rsidRPr="00893175">
        <w:rPr>
          <w:rFonts w:asciiTheme="minorHAnsi" w:hAnsiTheme="minorHAnsi"/>
          <w:sz w:val="22"/>
        </w:rPr>
        <w:tab/>
      </w:r>
      <w:r w:rsidRPr="00893175">
        <w:rPr>
          <w:rFonts w:asciiTheme="minorHAnsi" w:hAnsiTheme="minorHAnsi"/>
          <w:sz w:val="22"/>
        </w:rPr>
        <w:tab/>
        <w:t>Australian High Commission</w:t>
      </w:r>
    </w:p>
    <w:p w14:paraId="12C0E000"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AF</w:t>
      </w:r>
      <w:r w:rsidRPr="00893175">
        <w:rPr>
          <w:rFonts w:asciiTheme="minorHAnsi" w:hAnsiTheme="minorHAnsi"/>
          <w:sz w:val="22"/>
        </w:rPr>
        <w:tab/>
      </w:r>
      <w:r w:rsidRPr="00893175">
        <w:rPr>
          <w:rFonts w:asciiTheme="minorHAnsi" w:hAnsiTheme="minorHAnsi"/>
          <w:sz w:val="22"/>
        </w:rPr>
        <w:tab/>
        <w:t>Aurat Foundation</w:t>
      </w:r>
    </w:p>
    <w:p w14:paraId="0C5E1009" w14:textId="77777777" w:rsidR="00484EE4" w:rsidRPr="00893175" w:rsidRDefault="00484EE4" w:rsidP="00F463E5">
      <w:pPr>
        <w:pStyle w:val="ListParagraph"/>
        <w:ind w:hanging="720"/>
        <w:rPr>
          <w:rFonts w:asciiTheme="minorHAnsi" w:hAnsiTheme="minorHAnsi"/>
          <w:sz w:val="22"/>
        </w:rPr>
      </w:pPr>
      <w:r w:rsidRPr="00893175">
        <w:rPr>
          <w:rFonts w:asciiTheme="minorHAnsi" w:hAnsiTheme="minorHAnsi"/>
          <w:sz w:val="22"/>
        </w:rPr>
        <w:t>AFP</w:t>
      </w:r>
      <w:r w:rsidRPr="00893175">
        <w:rPr>
          <w:rFonts w:asciiTheme="minorHAnsi" w:hAnsiTheme="minorHAnsi"/>
          <w:sz w:val="22"/>
        </w:rPr>
        <w:tab/>
      </w:r>
      <w:r w:rsidRPr="00893175">
        <w:rPr>
          <w:rFonts w:asciiTheme="minorHAnsi" w:hAnsiTheme="minorHAnsi"/>
          <w:sz w:val="22"/>
        </w:rPr>
        <w:tab/>
        <w:t>Australian Federal Police</w:t>
      </w:r>
    </w:p>
    <w:p w14:paraId="0F99D272"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CA</w:t>
      </w:r>
      <w:r w:rsidRPr="00893175">
        <w:rPr>
          <w:rFonts w:asciiTheme="minorHAnsi" w:hAnsiTheme="minorHAnsi"/>
          <w:sz w:val="22"/>
        </w:rPr>
        <w:tab/>
      </w:r>
      <w:r w:rsidRPr="00893175">
        <w:rPr>
          <w:rFonts w:asciiTheme="minorHAnsi" w:hAnsiTheme="minorHAnsi"/>
          <w:sz w:val="22"/>
        </w:rPr>
        <w:tab/>
        <w:t>Community Activist</w:t>
      </w:r>
    </w:p>
    <w:p w14:paraId="1B2B1ED8"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CSR</w:t>
      </w:r>
      <w:r w:rsidRPr="00893175">
        <w:rPr>
          <w:rFonts w:asciiTheme="minorHAnsi" w:hAnsiTheme="minorHAnsi"/>
          <w:sz w:val="22"/>
        </w:rPr>
        <w:tab/>
      </w:r>
      <w:r w:rsidRPr="00893175">
        <w:rPr>
          <w:rFonts w:asciiTheme="minorHAnsi" w:hAnsiTheme="minorHAnsi"/>
          <w:sz w:val="22"/>
        </w:rPr>
        <w:tab/>
        <w:t>Corporate Social Responsibility</w:t>
      </w:r>
    </w:p>
    <w:p w14:paraId="604B01DF"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DFAT</w:t>
      </w:r>
      <w:r w:rsidRPr="00893175">
        <w:rPr>
          <w:rFonts w:asciiTheme="minorHAnsi" w:hAnsiTheme="minorHAnsi"/>
          <w:sz w:val="22"/>
        </w:rPr>
        <w:tab/>
      </w:r>
      <w:r w:rsidRPr="00893175">
        <w:rPr>
          <w:rFonts w:asciiTheme="minorHAnsi" w:hAnsiTheme="minorHAnsi"/>
          <w:sz w:val="22"/>
        </w:rPr>
        <w:tab/>
        <w:t>Department of Foreign Affairs and Trade</w:t>
      </w:r>
    </w:p>
    <w:p w14:paraId="3893AF73"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DID</w:t>
      </w:r>
      <w:r w:rsidRPr="00893175">
        <w:rPr>
          <w:rFonts w:asciiTheme="minorHAnsi" w:hAnsiTheme="minorHAnsi"/>
          <w:sz w:val="22"/>
        </w:rPr>
        <w:tab/>
      </w:r>
      <w:r w:rsidRPr="00893175">
        <w:rPr>
          <w:rFonts w:asciiTheme="minorHAnsi" w:hAnsiTheme="minorHAnsi"/>
          <w:sz w:val="22"/>
        </w:rPr>
        <w:tab/>
        <w:t>Disability Inclusive Development</w:t>
      </w:r>
    </w:p>
    <w:p w14:paraId="14BEB26F"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DIG</w:t>
      </w:r>
      <w:r w:rsidRPr="00893175">
        <w:rPr>
          <w:rFonts w:asciiTheme="minorHAnsi" w:hAnsiTheme="minorHAnsi"/>
          <w:sz w:val="22"/>
        </w:rPr>
        <w:tab/>
      </w:r>
      <w:r w:rsidRPr="00893175">
        <w:rPr>
          <w:rFonts w:asciiTheme="minorHAnsi" w:hAnsiTheme="minorHAnsi"/>
          <w:sz w:val="22"/>
        </w:rPr>
        <w:tab/>
        <w:t>Deputy Inspector General</w:t>
      </w:r>
    </w:p>
    <w:p w14:paraId="72D01620"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DNH</w:t>
      </w:r>
      <w:r w:rsidRPr="00893175">
        <w:rPr>
          <w:rFonts w:asciiTheme="minorHAnsi" w:hAnsiTheme="minorHAnsi"/>
          <w:sz w:val="22"/>
        </w:rPr>
        <w:tab/>
      </w:r>
      <w:r w:rsidRPr="00893175">
        <w:rPr>
          <w:rFonts w:asciiTheme="minorHAnsi" w:hAnsiTheme="minorHAnsi"/>
          <w:sz w:val="22"/>
        </w:rPr>
        <w:tab/>
        <w:t>Do No Harm</w:t>
      </w:r>
    </w:p>
    <w:p w14:paraId="33EDC69B" w14:textId="77777777" w:rsidR="005B14CC" w:rsidRPr="00893175" w:rsidRDefault="005B14CC" w:rsidP="00F463E5">
      <w:pPr>
        <w:pStyle w:val="ListParagraph"/>
        <w:ind w:hanging="720"/>
        <w:rPr>
          <w:rFonts w:asciiTheme="minorHAnsi" w:hAnsiTheme="minorHAnsi"/>
          <w:sz w:val="22"/>
        </w:rPr>
      </w:pPr>
      <w:r w:rsidRPr="00893175">
        <w:rPr>
          <w:rFonts w:asciiTheme="minorHAnsi" w:hAnsiTheme="minorHAnsi"/>
          <w:sz w:val="22"/>
        </w:rPr>
        <w:t>DPO</w:t>
      </w:r>
      <w:r w:rsidRPr="00893175">
        <w:rPr>
          <w:rFonts w:asciiTheme="minorHAnsi" w:hAnsiTheme="minorHAnsi"/>
          <w:sz w:val="22"/>
        </w:rPr>
        <w:tab/>
      </w:r>
      <w:r w:rsidRPr="00893175">
        <w:rPr>
          <w:rFonts w:asciiTheme="minorHAnsi" w:hAnsiTheme="minorHAnsi"/>
          <w:sz w:val="22"/>
        </w:rPr>
        <w:tab/>
        <w:t>Disabled People’s Organisation</w:t>
      </w:r>
    </w:p>
    <w:p w14:paraId="43E90140" w14:textId="77777777" w:rsidR="006605BE" w:rsidRPr="00893175" w:rsidRDefault="006605BE" w:rsidP="00F463E5">
      <w:pPr>
        <w:pStyle w:val="ListParagraph"/>
        <w:ind w:hanging="720"/>
        <w:rPr>
          <w:rFonts w:asciiTheme="minorHAnsi" w:hAnsiTheme="minorHAnsi"/>
          <w:sz w:val="22"/>
        </w:rPr>
      </w:pPr>
      <w:r w:rsidRPr="00893175">
        <w:rPr>
          <w:rFonts w:asciiTheme="minorHAnsi" w:hAnsiTheme="minorHAnsi"/>
          <w:sz w:val="22"/>
        </w:rPr>
        <w:t>EVAW</w:t>
      </w:r>
      <w:r w:rsidRPr="00893175">
        <w:rPr>
          <w:rFonts w:asciiTheme="minorHAnsi" w:hAnsiTheme="minorHAnsi"/>
          <w:sz w:val="22"/>
        </w:rPr>
        <w:tab/>
      </w:r>
      <w:r w:rsidRPr="00893175">
        <w:rPr>
          <w:rFonts w:asciiTheme="minorHAnsi" w:hAnsiTheme="minorHAnsi"/>
          <w:sz w:val="22"/>
        </w:rPr>
        <w:tab/>
        <w:t>Ending Violence Against Women</w:t>
      </w:r>
    </w:p>
    <w:p w14:paraId="5CE1BF07" w14:textId="77777777" w:rsidR="00F463E5" w:rsidRPr="00893175" w:rsidRDefault="002C5962" w:rsidP="00F463E5">
      <w:pPr>
        <w:pStyle w:val="ListParagraph"/>
        <w:ind w:hanging="720"/>
        <w:rPr>
          <w:rFonts w:asciiTheme="minorHAnsi" w:hAnsiTheme="minorHAnsi"/>
          <w:sz w:val="22"/>
        </w:rPr>
      </w:pPr>
      <w:r w:rsidRPr="00893175">
        <w:rPr>
          <w:rFonts w:asciiTheme="minorHAnsi" w:hAnsiTheme="minorHAnsi"/>
          <w:sz w:val="22"/>
        </w:rPr>
        <w:t>EVAW</w:t>
      </w:r>
      <w:r w:rsidR="00F463E5" w:rsidRPr="00893175">
        <w:rPr>
          <w:rFonts w:asciiTheme="minorHAnsi" w:hAnsiTheme="minorHAnsi"/>
          <w:sz w:val="22"/>
        </w:rPr>
        <w:t>G</w:t>
      </w:r>
      <w:r w:rsidR="00F463E5" w:rsidRPr="00893175">
        <w:rPr>
          <w:rFonts w:asciiTheme="minorHAnsi" w:hAnsiTheme="minorHAnsi"/>
          <w:sz w:val="22"/>
        </w:rPr>
        <w:tab/>
        <w:t>Ending Violence Against Women and Girls</w:t>
      </w:r>
    </w:p>
    <w:p w14:paraId="6CF1F0B7" w14:textId="2148F762" w:rsidR="002F548D" w:rsidRPr="00893175" w:rsidRDefault="00F463E5" w:rsidP="002F548D">
      <w:pPr>
        <w:pStyle w:val="ListParagraph"/>
        <w:ind w:hanging="720"/>
        <w:rPr>
          <w:rFonts w:asciiTheme="minorHAnsi" w:hAnsiTheme="minorHAnsi"/>
          <w:sz w:val="22"/>
        </w:rPr>
      </w:pPr>
      <w:r w:rsidRPr="00893175">
        <w:rPr>
          <w:sz w:val="22"/>
        </w:rPr>
        <w:t>GBV</w:t>
      </w:r>
      <w:r w:rsidRPr="00893175">
        <w:rPr>
          <w:sz w:val="22"/>
        </w:rPr>
        <w:tab/>
      </w:r>
      <w:r w:rsidRPr="00893175">
        <w:rPr>
          <w:sz w:val="22"/>
        </w:rPr>
        <w:tab/>
        <w:t>Gender Based Violence</w:t>
      </w:r>
    </w:p>
    <w:p w14:paraId="192633E9" w14:textId="2433A948"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GRC</w:t>
      </w:r>
      <w:r w:rsidRPr="00893175">
        <w:rPr>
          <w:rFonts w:asciiTheme="minorHAnsi" w:hAnsiTheme="minorHAnsi"/>
          <w:sz w:val="22"/>
        </w:rPr>
        <w:tab/>
      </w:r>
      <w:r w:rsidRPr="00893175">
        <w:rPr>
          <w:rFonts w:asciiTheme="minorHAnsi" w:hAnsiTheme="minorHAnsi"/>
          <w:sz w:val="22"/>
        </w:rPr>
        <w:tab/>
        <w:t xml:space="preserve">Gender Resource </w:t>
      </w:r>
      <w:r w:rsidR="006F2927" w:rsidRPr="00893175">
        <w:rPr>
          <w:rFonts w:asciiTheme="minorHAnsi" w:hAnsiTheme="minorHAnsi"/>
          <w:sz w:val="22"/>
        </w:rPr>
        <w:t>Centre</w:t>
      </w:r>
    </w:p>
    <w:p w14:paraId="69A2414B" w14:textId="77777777" w:rsidR="00BB00AE" w:rsidRPr="00893175" w:rsidRDefault="00BB00AE" w:rsidP="00F463E5">
      <w:pPr>
        <w:pStyle w:val="ListParagraph"/>
        <w:ind w:hanging="720"/>
        <w:rPr>
          <w:rFonts w:asciiTheme="minorHAnsi" w:hAnsiTheme="minorHAnsi"/>
          <w:sz w:val="22"/>
        </w:rPr>
      </w:pPr>
      <w:r w:rsidRPr="00893175">
        <w:rPr>
          <w:rFonts w:asciiTheme="minorHAnsi" w:hAnsiTheme="minorHAnsi"/>
          <w:sz w:val="22"/>
        </w:rPr>
        <w:t>HRCP</w:t>
      </w:r>
      <w:r w:rsidRPr="00893175">
        <w:rPr>
          <w:rFonts w:asciiTheme="minorHAnsi" w:hAnsiTheme="minorHAnsi"/>
          <w:sz w:val="22"/>
        </w:rPr>
        <w:tab/>
      </w:r>
      <w:r w:rsidRPr="00893175">
        <w:rPr>
          <w:rFonts w:asciiTheme="minorHAnsi" w:hAnsiTheme="minorHAnsi"/>
          <w:sz w:val="22"/>
        </w:rPr>
        <w:tab/>
        <w:t>Human Rights Commission of Pakistan</w:t>
      </w:r>
    </w:p>
    <w:p w14:paraId="10AFB74F" w14:textId="77777777" w:rsidR="008B07AE" w:rsidRPr="00893175" w:rsidRDefault="008B07AE" w:rsidP="00F463E5">
      <w:pPr>
        <w:pStyle w:val="ListParagraph"/>
        <w:ind w:hanging="720"/>
        <w:rPr>
          <w:rFonts w:asciiTheme="minorHAnsi" w:hAnsiTheme="minorHAnsi"/>
          <w:sz w:val="22"/>
        </w:rPr>
      </w:pPr>
      <w:r w:rsidRPr="00893175">
        <w:rPr>
          <w:rFonts w:asciiTheme="minorHAnsi" w:hAnsiTheme="minorHAnsi"/>
          <w:sz w:val="22"/>
        </w:rPr>
        <w:t>ICT</w:t>
      </w:r>
      <w:r w:rsidRPr="00893175">
        <w:rPr>
          <w:rFonts w:asciiTheme="minorHAnsi" w:hAnsiTheme="minorHAnsi"/>
          <w:sz w:val="22"/>
        </w:rPr>
        <w:tab/>
      </w:r>
      <w:r w:rsidRPr="00893175">
        <w:rPr>
          <w:rFonts w:asciiTheme="minorHAnsi" w:hAnsiTheme="minorHAnsi"/>
          <w:sz w:val="22"/>
        </w:rPr>
        <w:tab/>
        <w:t>Islamabad Capital Territory</w:t>
      </w:r>
    </w:p>
    <w:p w14:paraId="40181C1A"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KP</w:t>
      </w:r>
      <w:r w:rsidRPr="00893175">
        <w:rPr>
          <w:rFonts w:asciiTheme="minorHAnsi" w:hAnsiTheme="minorHAnsi"/>
          <w:sz w:val="22"/>
        </w:rPr>
        <w:tab/>
      </w:r>
      <w:r w:rsidRPr="00893175">
        <w:rPr>
          <w:rFonts w:asciiTheme="minorHAnsi" w:hAnsiTheme="minorHAnsi"/>
          <w:sz w:val="22"/>
        </w:rPr>
        <w:tab/>
        <w:t>Khyber Pakhtunkhwa</w:t>
      </w:r>
    </w:p>
    <w:p w14:paraId="77FAF971"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LRC</w:t>
      </w:r>
      <w:r w:rsidRPr="00893175">
        <w:rPr>
          <w:rFonts w:asciiTheme="minorHAnsi" w:hAnsiTheme="minorHAnsi"/>
          <w:sz w:val="22"/>
        </w:rPr>
        <w:tab/>
      </w:r>
      <w:r w:rsidRPr="00893175">
        <w:rPr>
          <w:rFonts w:asciiTheme="minorHAnsi" w:hAnsiTheme="minorHAnsi"/>
          <w:sz w:val="22"/>
        </w:rPr>
        <w:tab/>
        <w:t xml:space="preserve">Learning Resource </w:t>
      </w:r>
      <w:r w:rsidR="006F2927" w:rsidRPr="00893175">
        <w:rPr>
          <w:rFonts w:asciiTheme="minorHAnsi" w:hAnsiTheme="minorHAnsi"/>
          <w:sz w:val="22"/>
        </w:rPr>
        <w:t>Centre</w:t>
      </w:r>
    </w:p>
    <w:p w14:paraId="724068BF"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M&amp;E</w:t>
      </w:r>
      <w:r w:rsidRPr="00893175">
        <w:rPr>
          <w:rFonts w:asciiTheme="minorHAnsi" w:hAnsiTheme="minorHAnsi"/>
          <w:sz w:val="22"/>
        </w:rPr>
        <w:tab/>
      </w:r>
      <w:r w:rsidRPr="00893175">
        <w:rPr>
          <w:rFonts w:asciiTheme="minorHAnsi" w:hAnsiTheme="minorHAnsi"/>
          <w:sz w:val="22"/>
        </w:rPr>
        <w:tab/>
        <w:t>Monitoring and Evaluation</w:t>
      </w:r>
    </w:p>
    <w:p w14:paraId="2BFF5B9A"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MEL</w:t>
      </w:r>
      <w:r w:rsidRPr="00893175">
        <w:rPr>
          <w:rFonts w:asciiTheme="minorHAnsi" w:hAnsiTheme="minorHAnsi"/>
          <w:sz w:val="22"/>
        </w:rPr>
        <w:tab/>
      </w:r>
      <w:r w:rsidRPr="00893175">
        <w:rPr>
          <w:rFonts w:asciiTheme="minorHAnsi" w:hAnsiTheme="minorHAnsi"/>
          <w:sz w:val="22"/>
        </w:rPr>
        <w:tab/>
        <w:t>Monitoring, Evaluation and Learning</w:t>
      </w:r>
    </w:p>
    <w:p w14:paraId="7E69F24A" w14:textId="77777777" w:rsidR="00EB46F2" w:rsidRPr="00893175" w:rsidRDefault="00EB46F2" w:rsidP="00F463E5">
      <w:pPr>
        <w:pStyle w:val="ListParagraph"/>
        <w:ind w:hanging="720"/>
        <w:rPr>
          <w:rFonts w:asciiTheme="minorHAnsi" w:hAnsiTheme="minorHAnsi"/>
          <w:sz w:val="22"/>
        </w:rPr>
      </w:pPr>
      <w:r w:rsidRPr="00893175">
        <w:rPr>
          <w:rFonts w:asciiTheme="minorHAnsi" w:hAnsiTheme="minorHAnsi"/>
          <w:sz w:val="22"/>
        </w:rPr>
        <w:t>MOU</w:t>
      </w:r>
      <w:r w:rsidRPr="00893175">
        <w:rPr>
          <w:rFonts w:asciiTheme="minorHAnsi" w:hAnsiTheme="minorHAnsi"/>
          <w:sz w:val="22"/>
        </w:rPr>
        <w:tab/>
      </w:r>
      <w:r w:rsidRPr="00893175">
        <w:rPr>
          <w:rFonts w:asciiTheme="minorHAnsi" w:hAnsiTheme="minorHAnsi"/>
          <w:sz w:val="22"/>
        </w:rPr>
        <w:tab/>
        <w:t>Memorandum Of Understanding</w:t>
      </w:r>
    </w:p>
    <w:p w14:paraId="41810ECC" w14:textId="53935804"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NCSW</w:t>
      </w:r>
      <w:r w:rsidRPr="00893175">
        <w:rPr>
          <w:rFonts w:asciiTheme="minorHAnsi" w:hAnsiTheme="minorHAnsi"/>
          <w:sz w:val="22"/>
        </w:rPr>
        <w:tab/>
      </w:r>
      <w:r w:rsidRPr="00893175">
        <w:rPr>
          <w:rFonts w:asciiTheme="minorHAnsi" w:hAnsiTheme="minorHAnsi"/>
          <w:sz w:val="22"/>
        </w:rPr>
        <w:tab/>
        <w:t>National Commission on the Status of Women</w:t>
      </w:r>
    </w:p>
    <w:p w14:paraId="56A483DE" w14:textId="3363FE81" w:rsidR="00D100B5" w:rsidRPr="00893175" w:rsidRDefault="00D100B5" w:rsidP="00F463E5">
      <w:pPr>
        <w:pStyle w:val="ListParagraph"/>
        <w:ind w:hanging="720"/>
        <w:rPr>
          <w:rFonts w:asciiTheme="minorHAnsi" w:hAnsiTheme="minorHAnsi"/>
          <w:sz w:val="22"/>
        </w:rPr>
      </w:pPr>
      <w:r w:rsidRPr="00893175">
        <w:rPr>
          <w:rFonts w:asciiTheme="minorHAnsi" w:hAnsiTheme="minorHAnsi"/>
          <w:sz w:val="22"/>
        </w:rPr>
        <w:t>NWFP</w:t>
      </w:r>
      <w:r w:rsidRPr="00893175">
        <w:rPr>
          <w:rFonts w:asciiTheme="minorHAnsi" w:hAnsiTheme="minorHAnsi"/>
          <w:sz w:val="22"/>
        </w:rPr>
        <w:tab/>
      </w:r>
      <w:r w:rsidRPr="00893175">
        <w:rPr>
          <w:rFonts w:asciiTheme="minorHAnsi" w:hAnsiTheme="minorHAnsi"/>
          <w:sz w:val="22"/>
        </w:rPr>
        <w:tab/>
        <w:t>North-West Frontier Province</w:t>
      </w:r>
    </w:p>
    <w:p w14:paraId="0F218327"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NET</w:t>
      </w:r>
      <w:r w:rsidRPr="00893175">
        <w:rPr>
          <w:rFonts w:asciiTheme="minorHAnsi" w:hAnsiTheme="minorHAnsi"/>
          <w:sz w:val="22"/>
        </w:rPr>
        <w:tab/>
      </w:r>
      <w:r w:rsidRPr="00893175">
        <w:rPr>
          <w:rFonts w:asciiTheme="minorHAnsi" w:hAnsiTheme="minorHAnsi"/>
          <w:sz w:val="22"/>
        </w:rPr>
        <w:tab/>
        <w:t>Noor Education Trust</w:t>
      </w:r>
    </w:p>
    <w:p w14:paraId="13B116E2"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NGO</w:t>
      </w:r>
      <w:r w:rsidRPr="00893175">
        <w:rPr>
          <w:rFonts w:asciiTheme="minorHAnsi" w:hAnsiTheme="minorHAnsi"/>
          <w:sz w:val="22"/>
        </w:rPr>
        <w:tab/>
      </w:r>
      <w:r w:rsidRPr="00893175">
        <w:rPr>
          <w:rFonts w:asciiTheme="minorHAnsi" w:hAnsiTheme="minorHAnsi"/>
          <w:sz w:val="22"/>
        </w:rPr>
        <w:tab/>
        <w:t>Non Governmental Organisation</w:t>
      </w:r>
    </w:p>
    <w:p w14:paraId="0BC799EC"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NOWPDP</w:t>
      </w:r>
      <w:r w:rsidRPr="00893175">
        <w:rPr>
          <w:rFonts w:asciiTheme="minorHAnsi" w:hAnsiTheme="minorHAnsi"/>
          <w:sz w:val="22"/>
        </w:rPr>
        <w:tab/>
        <w:t>National Organisation Working with People with Disabilities in Pakistan</w:t>
      </w:r>
    </w:p>
    <w:p w14:paraId="0368A098"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NPB</w:t>
      </w:r>
      <w:r w:rsidRPr="00893175">
        <w:rPr>
          <w:rFonts w:asciiTheme="minorHAnsi" w:hAnsiTheme="minorHAnsi"/>
          <w:sz w:val="22"/>
        </w:rPr>
        <w:tab/>
      </w:r>
      <w:r w:rsidRPr="00893175">
        <w:rPr>
          <w:rFonts w:asciiTheme="minorHAnsi" w:hAnsiTheme="minorHAnsi"/>
          <w:sz w:val="22"/>
        </w:rPr>
        <w:tab/>
        <w:t>National Police Bureau</w:t>
      </w:r>
    </w:p>
    <w:p w14:paraId="5FE5A0FD"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PCSW</w:t>
      </w:r>
      <w:r w:rsidRPr="00893175">
        <w:rPr>
          <w:rFonts w:asciiTheme="minorHAnsi" w:hAnsiTheme="minorHAnsi"/>
          <w:sz w:val="22"/>
        </w:rPr>
        <w:tab/>
      </w:r>
      <w:r w:rsidRPr="00893175">
        <w:rPr>
          <w:rFonts w:asciiTheme="minorHAnsi" w:hAnsiTheme="minorHAnsi"/>
          <w:sz w:val="22"/>
        </w:rPr>
        <w:tab/>
        <w:t>Provincial Commission on the Status of Women</w:t>
      </w:r>
    </w:p>
    <w:p w14:paraId="075DE57A"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PDHS</w:t>
      </w:r>
      <w:r w:rsidRPr="00893175">
        <w:rPr>
          <w:rFonts w:asciiTheme="minorHAnsi" w:hAnsiTheme="minorHAnsi"/>
          <w:sz w:val="22"/>
        </w:rPr>
        <w:tab/>
      </w:r>
      <w:r w:rsidRPr="00893175">
        <w:rPr>
          <w:rFonts w:asciiTheme="minorHAnsi" w:hAnsiTheme="minorHAnsi"/>
          <w:sz w:val="22"/>
        </w:rPr>
        <w:tab/>
        <w:t>Pakistan Demographic and Health Survey</w:t>
      </w:r>
    </w:p>
    <w:p w14:paraId="110F9526" w14:textId="56514109" w:rsidR="00770FD6" w:rsidRPr="00893175" w:rsidRDefault="00770FD6" w:rsidP="00F463E5">
      <w:pPr>
        <w:pStyle w:val="ListParagraph"/>
        <w:ind w:hanging="720"/>
        <w:rPr>
          <w:rFonts w:asciiTheme="minorHAnsi" w:hAnsiTheme="minorHAnsi"/>
          <w:sz w:val="22"/>
        </w:rPr>
      </w:pPr>
      <w:r w:rsidRPr="00893175">
        <w:rPr>
          <w:rFonts w:asciiTheme="minorHAnsi" w:hAnsiTheme="minorHAnsi"/>
          <w:sz w:val="22"/>
        </w:rPr>
        <w:t>PKR</w:t>
      </w:r>
      <w:r w:rsidRPr="00893175">
        <w:rPr>
          <w:rFonts w:asciiTheme="minorHAnsi" w:hAnsiTheme="minorHAnsi"/>
          <w:sz w:val="22"/>
        </w:rPr>
        <w:tab/>
      </w:r>
      <w:r w:rsidRPr="00893175">
        <w:rPr>
          <w:rFonts w:asciiTheme="minorHAnsi" w:hAnsiTheme="minorHAnsi"/>
          <w:sz w:val="22"/>
        </w:rPr>
        <w:tab/>
        <w:t>Pakistani Rupees</w:t>
      </w:r>
    </w:p>
    <w:p w14:paraId="38392B73" w14:textId="346B3CFD"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PVDP</w:t>
      </w:r>
      <w:r w:rsidRPr="00893175">
        <w:rPr>
          <w:rFonts w:asciiTheme="minorHAnsi" w:hAnsiTheme="minorHAnsi"/>
          <w:sz w:val="22"/>
        </w:rPr>
        <w:tab/>
      </w:r>
      <w:r w:rsidRPr="00893175">
        <w:rPr>
          <w:rFonts w:asciiTheme="minorHAnsi" w:hAnsiTheme="minorHAnsi"/>
          <w:sz w:val="22"/>
        </w:rPr>
        <w:tab/>
        <w:t>Pakistan Village Development Program</w:t>
      </w:r>
    </w:p>
    <w:p w14:paraId="0444A21D" w14:textId="37A678FB"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SAC</w:t>
      </w:r>
      <w:r w:rsidRPr="00893175">
        <w:rPr>
          <w:rFonts w:asciiTheme="minorHAnsi" w:hAnsiTheme="minorHAnsi"/>
          <w:sz w:val="22"/>
        </w:rPr>
        <w:tab/>
      </w:r>
      <w:r w:rsidRPr="00893175">
        <w:rPr>
          <w:rFonts w:asciiTheme="minorHAnsi" w:hAnsiTheme="minorHAnsi"/>
          <w:sz w:val="22"/>
        </w:rPr>
        <w:tab/>
        <w:t>Shazia</w:t>
      </w:r>
      <w:r w:rsidR="003B29F7" w:rsidRPr="00893175">
        <w:rPr>
          <w:rFonts w:asciiTheme="minorHAnsi" w:hAnsiTheme="minorHAnsi"/>
          <w:sz w:val="22"/>
        </w:rPr>
        <w:t xml:space="preserve"> </w:t>
      </w:r>
      <w:r w:rsidRPr="00893175">
        <w:rPr>
          <w:rFonts w:asciiTheme="minorHAnsi" w:hAnsiTheme="minorHAnsi"/>
          <w:sz w:val="22"/>
        </w:rPr>
        <w:t>Abbasi Consulting</w:t>
      </w:r>
    </w:p>
    <w:p w14:paraId="580BE303" w14:textId="4C5C283C"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SASA!</w:t>
      </w:r>
      <w:r w:rsidRPr="00893175">
        <w:rPr>
          <w:rFonts w:asciiTheme="minorHAnsi" w:hAnsiTheme="minorHAnsi"/>
          <w:sz w:val="22"/>
        </w:rPr>
        <w:tab/>
      </w:r>
      <w:r w:rsidRPr="00893175">
        <w:rPr>
          <w:rFonts w:asciiTheme="minorHAnsi" w:hAnsiTheme="minorHAnsi"/>
          <w:sz w:val="22"/>
        </w:rPr>
        <w:tab/>
        <w:t>Start Awareness Support Action</w:t>
      </w:r>
      <w:r w:rsidR="00042B53" w:rsidRPr="00893175">
        <w:rPr>
          <w:rFonts w:asciiTheme="minorHAnsi" w:hAnsiTheme="minorHAnsi"/>
          <w:sz w:val="22"/>
        </w:rPr>
        <w:t xml:space="preserve"> (Behaviour Change Methodology)</w:t>
      </w:r>
    </w:p>
    <w:p w14:paraId="5B10D7EF"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SDS</w:t>
      </w:r>
      <w:r w:rsidRPr="00893175">
        <w:rPr>
          <w:rFonts w:asciiTheme="minorHAnsi" w:hAnsiTheme="minorHAnsi"/>
          <w:sz w:val="22"/>
        </w:rPr>
        <w:tab/>
      </w:r>
      <w:r w:rsidRPr="00893175">
        <w:rPr>
          <w:rFonts w:asciiTheme="minorHAnsi" w:hAnsiTheme="minorHAnsi"/>
          <w:sz w:val="22"/>
        </w:rPr>
        <w:tab/>
        <w:t>Sindh Development Society</w:t>
      </w:r>
    </w:p>
    <w:p w14:paraId="3038D09B" w14:textId="77777777" w:rsidR="00D723C7" w:rsidRPr="00893175" w:rsidRDefault="00D723C7" w:rsidP="00F463E5">
      <w:pPr>
        <w:pStyle w:val="ListParagraph"/>
        <w:ind w:hanging="720"/>
        <w:rPr>
          <w:rFonts w:asciiTheme="minorHAnsi" w:hAnsiTheme="minorHAnsi"/>
          <w:sz w:val="22"/>
        </w:rPr>
      </w:pPr>
      <w:r w:rsidRPr="00893175">
        <w:rPr>
          <w:rFonts w:asciiTheme="minorHAnsi" w:hAnsiTheme="minorHAnsi"/>
          <w:sz w:val="22"/>
        </w:rPr>
        <w:t>SOP</w:t>
      </w:r>
      <w:r w:rsidRPr="00893175">
        <w:rPr>
          <w:rFonts w:asciiTheme="minorHAnsi" w:hAnsiTheme="minorHAnsi"/>
          <w:sz w:val="22"/>
        </w:rPr>
        <w:tab/>
      </w:r>
      <w:r w:rsidRPr="00893175">
        <w:rPr>
          <w:rFonts w:asciiTheme="minorHAnsi" w:hAnsiTheme="minorHAnsi"/>
          <w:sz w:val="22"/>
        </w:rPr>
        <w:tab/>
        <w:t>Standard Operating Procedure</w:t>
      </w:r>
    </w:p>
    <w:p w14:paraId="0EA7898D"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SPO</w:t>
      </w:r>
      <w:r w:rsidRPr="00893175">
        <w:rPr>
          <w:rFonts w:asciiTheme="minorHAnsi" w:hAnsiTheme="minorHAnsi"/>
          <w:sz w:val="22"/>
        </w:rPr>
        <w:tab/>
      </w:r>
      <w:r w:rsidRPr="00893175">
        <w:rPr>
          <w:rFonts w:asciiTheme="minorHAnsi" w:hAnsiTheme="minorHAnsi"/>
          <w:sz w:val="22"/>
        </w:rPr>
        <w:tab/>
        <w:t>Strengthening Participatory Organisation</w:t>
      </w:r>
    </w:p>
    <w:p w14:paraId="4C54A563" w14:textId="074722BA" w:rsidR="00602478" w:rsidRPr="00893175" w:rsidRDefault="00602478" w:rsidP="00F463E5">
      <w:pPr>
        <w:pStyle w:val="ListParagraph"/>
        <w:ind w:hanging="720"/>
        <w:rPr>
          <w:rFonts w:asciiTheme="minorHAnsi" w:hAnsiTheme="minorHAnsi"/>
          <w:sz w:val="22"/>
        </w:rPr>
      </w:pPr>
      <w:r w:rsidRPr="00893175">
        <w:rPr>
          <w:rFonts w:asciiTheme="minorHAnsi" w:hAnsiTheme="minorHAnsi"/>
          <w:sz w:val="22"/>
        </w:rPr>
        <w:t>TOC</w:t>
      </w:r>
      <w:r w:rsidRPr="00893175">
        <w:rPr>
          <w:rFonts w:asciiTheme="minorHAnsi" w:hAnsiTheme="minorHAnsi"/>
          <w:sz w:val="22"/>
        </w:rPr>
        <w:tab/>
      </w:r>
      <w:r w:rsidRPr="00893175">
        <w:rPr>
          <w:rFonts w:asciiTheme="minorHAnsi" w:hAnsiTheme="minorHAnsi"/>
          <w:sz w:val="22"/>
        </w:rPr>
        <w:tab/>
        <w:t xml:space="preserve">Theory </w:t>
      </w:r>
      <w:r w:rsidR="00F50E30" w:rsidRPr="00893175">
        <w:rPr>
          <w:rFonts w:asciiTheme="minorHAnsi" w:hAnsiTheme="minorHAnsi"/>
          <w:sz w:val="22"/>
        </w:rPr>
        <w:t>o</w:t>
      </w:r>
      <w:r w:rsidRPr="00893175">
        <w:rPr>
          <w:rFonts w:asciiTheme="minorHAnsi" w:hAnsiTheme="minorHAnsi"/>
          <w:sz w:val="22"/>
        </w:rPr>
        <w:t>f Change</w:t>
      </w:r>
    </w:p>
    <w:p w14:paraId="2DEB6C9A" w14:textId="5F9B83A8" w:rsidR="00F50E30" w:rsidRPr="00893175" w:rsidRDefault="00F50E30" w:rsidP="00F463E5">
      <w:pPr>
        <w:pStyle w:val="ListParagraph"/>
        <w:ind w:hanging="720"/>
        <w:rPr>
          <w:rFonts w:asciiTheme="minorHAnsi" w:hAnsiTheme="minorHAnsi"/>
          <w:sz w:val="22"/>
        </w:rPr>
      </w:pPr>
      <w:r w:rsidRPr="00893175">
        <w:rPr>
          <w:rFonts w:asciiTheme="minorHAnsi" w:hAnsiTheme="minorHAnsi"/>
          <w:sz w:val="22"/>
        </w:rPr>
        <w:t>UNHCR</w:t>
      </w:r>
      <w:r w:rsidRPr="00893175">
        <w:rPr>
          <w:rFonts w:asciiTheme="minorHAnsi" w:hAnsiTheme="minorHAnsi"/>
          <w:sz w:val="22"/>
        </w:rPr>
        <w:tab/>
      </w:r>
      <w:r w:rsidRPr="00893175">
        <w:rPr>
          <w:rFonts w:asciiTheme="minorHAnsi" w:hAnsiTheme="minorHAnsi"/>
          <w:sz w:val="22"/>
        </w:rPr>
        <w:tab/>
        <w:t>United Nations High Commissioner for Refugees</w:t>
      </w:r>
    </w:p>
    <w:p w14:paraId="6659A586" w14:textId="4C71342C"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WISE</w:t>
      </w:r>
      <w:r w:rsidRPr="00893175">
        <w:rPr>
          <w:rFonts w:asciiTheme="minorHAnsi" w:hAnsiTheme="minorHAnsi"/>
          <w:sz w:val="22"/>
        </w:rPr>
        <w:tab/>
      </w:r>
      <w:r w:rsidRPr="00893175">
        <w:rPr>
          <w:rFonts w:asciiTheme="minorHAnsi" w:hAnsiTheme="minorHAnsi"/>
          <w:sz w:val="22"/>
        </w:rPr>
        <w:tab/>
        <w:t>Willful Initiative for Social Empowerment</w:t>
      </w:r>
    </w:p>
    <w:p w14:paraId="182FE85D" w14:textId="77777777" w:rsidR="00F463E5" w:rsidRPr="00893175" w:rsidRDefault="00F463E5" w:rsidP="00F463E5">
      <w:pPr>
        <w:pStyle w:val="ListParagraph"/>
        <w:ind w:hanging="720"/>
        <w:rPr>
          <w:rFonts w:asciiTheme="minorHAnsi" w:hAnsiTheme="minorHAnsi"/>
          <w:sz w:val="22"/>
        </w:rPr>
      </w:pPr>
      <w:r w:rsidRPr="00893175">
        <w:rPr>
          <w:rFonts w:asciiTheme="minorHAnsi" w:hAnsiTheme="minorHAnsi"/>
          <w:sz w:val="22"/>
        </w:rPr>
        <w:t>WPC</w:t>
      </w:r>
      <w:r w:rsidRPr="00893175">
        <w:rPr>
          <w:rFonts w:asciiTheme="minorHAnsi" w:hAnsiTheme="minorHAnsi"/>
          <w:sz w:val="22"/>
        </w:rPr>
        <w:tab/>
      </w:r>
      <w:r w:rsidRPr="00893175">
        <w:rPr>
          <w:rFonts w:asciiTheme="minorHAnsi" w:hAnsiTheme="minorHAnsi"/>
          <w:sz w:val="22"/>
        </w:rPr>
        <w:tab/>
        <w:t>Women’s Parliamentary Caucus</w:t>
      </w:r>
    </w:p>
    <w:p w14:paraId="00F1F3BB" w14:textId="0D1B3CC0" w:rsidR="00190D90" w:rsidRPr="00893175" w:rsidRDefault="00F463E5" w:rsidP="00F463E5">
      <w:pPr>
        <w:pStyle w:val="ListParagraph"/>
        <w:ind w:hanging="720"/>
        <w:rPr>
          <w:rFonts w:asciiTheme="minorHAnsi" w:hAnsiTheme="minorHAnsi"/>
          <w:sz w:val="22"/>
        </w:rPr>
      </w:pPr>
      <w:r w:rsidRPr="00893175">
        <w:rPr>
          <w:rFonts w:asciiTheme="minorHAnsi" w:hAnsiTheme="minorHAnsi"/>
          <w:sz w:val="22"/>
        </w:rPr>
        <w:t>WWC</w:t>
      </w:r>
      <w:r w:rsidRPr="00893175">
        <w:rPr>
          <w:rFonts w:asciiTheme="minorHAnsi" w:hAnsiTheme="minorHAnsi"/>
          <w:sz w:val="22"/>
        </w:rPr>
        <w:tab/>
      </w:r>
      <w:r w:rsidRPr="00893175">
        <w:rPr>
          <w:rFonts w:asciiTheme="minorHAnsi" w:hAnsiTheme="minorHAnsi"/>
          <w:sz w:val="22"/>
        </w:rPr>
        <w:tab/>
        <w:t>Women Welfare Centre</w:t>
      </w:r>
    </w:p>
    <w:p w14:paraId="00F7AB98" w14:textId="1EC0C482" w:rsidR="00893175" w:rsidRPr="00893175" w:rsidRDefault="00910702" w:rsidP="00893175">
      <w:pPr>
        <w:rPr>
          <w:sz w:val="20"/>
        </w:rPr>
        <w:sectPr w:rsidR="00893175" w:rsidRPr="00893175" w:rsidSect="0050660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sidRPr="00893175">
        <w:rPr>
          <w:rFonts w:eastAsia="Times New Roman" w:cs="Times New Roman"/>
          <w:szCs w:val="24"/>
        </w:rPr>
        <w:t xml:space="preserve">VAW </w:t>
      </w:r>
      <w:r w:rsidRPr="00893175">
        <w:rPr>
          <w:rFonts w:eastAsia="Times New Roman" w:cs="Times New Roman"/>
          <w:szCs w:val="24"/>
        </w:rPr>
        <w:tab/>
      </w:r>
      <w:r>
        <w:rPr>
          <w:rFonts w:eastAsia="Times New Roman" w:cs="Times New Roman"/>
          <w:szCs w:val="24"/>
        </w:rPr>
        <w:tab/>
      </w:r>
      <w:r w:rsidRPr="00893175">
        <w:rPr>
          <w:rFonts w:eastAsia="Times New Roman" w:cs="Times New Roman"/>
          <w:szCs w:val="24"/>
        </w:rPr>
        <w:t>Violence against women</w:t>
      </w:r>
    </w:p>
    <w:p w14:paraId="5D200C65" w14:textId="77777777" w:rsidR="00A12D80" w:rsidRPr="003E33D0" w:rsidRDefault="00505F58" w:rsidP="003E33D0">
      <w:bookmarkStart w:id="12" w:name="_Toc491355875"/>
      <w:r w:rsidRPr="003E33D0">
        <w:rPr>
          <w:rStyle w:val="Heading1Char"/>
        </w:rPr>
        <w:lastRenderedPageBreak/>
        <w:t>Executive Summary</w:t>
      </w:r>
      <w:bookmarkEnd w:id="12"/>
    </w:p>
    <w:p w14:paraId="31887920" w14:textId="279CAF43" w:rsidR="00FE1148" w:rsidRDefault="00FE1148" w:rsidP="00FE1148">
      <w:r>
        <w:t xml:space="preserve">The </w:t>
      </w:r>
      <w:r w:rsidRPr="00893175">
        <w:rPr>
          <w:i/>
        </w:rPr>
        <w:t>Challenging Gender</w:t>
      </w:r>
      <w:r w:rsidR="00CB5DC0" w:rsidRPr="00893175">
        <w:rPr>
          <w:i/>
        </w:rPr>
        <w:t>-</w:t>
      </w:r>
      <w:r w:rsidRPr="00893175">
        <w:rPr>
          <w:i/>
        </w:rPr>
        <w:t>Based Violence in Pakistan program</w:t>
      </w:r>
      <w:r>
        <w:t xml:space="preserve"> (</w:t>
      </w:r>
      <w:r w:rsidR="00CB5DC0">
        <w:t xml:space="preserve">‘the </w:t>
      </w:r>
      <w:r>
        <w:t xml:space="preserve">GBV </w:t>
      </w:r>
      <w:r w:rsidR="00CB5DC0">
        <w:t>P</w:t>
      </w:r>
      <w:r>
        <w:t>rogram</w:t>
      </w:r>
      <w:r w:rsidR="00CB5DC0">
        <w:t>’</w:t>
      </w:r>
      <w:r>
        <w:t xml:space="preserve">) is a four-year </w:t>
      </w:r>
      <w:r w:rsidR="00CB5DC0">
        <w:t xml:space="preserve">Australian Government </w:t>
      </w:r>
      <w:r w:rsidR="00342DF3">
        <w:t xml:space="preserve">aid </w:t>
      </w:r>
      <w:r>
        <w:t>investment (2014-18, AUD 7.</w:t>
      </w:r>
      <w:r w:rsidR="0093665C">
        <w:t>5</w:t>
      </w:r>
      <w:r>
        <w:t>m) to reduce violence against women and girls</w:t>
      </w:r>
      <w:r w:rsidR="0093665C">
        <w:t xml:space="preserve"> </w:t>
      </w:r>
      <w:r>
        <w:t xml:space="preserve">in targeted districts of </w:t>
      </w:r>
      <w:r w:rsidR="00CB5DC0">
        <w:t>the</w:t>
      </w:r>
      <w:r>
        <w:t xml:space="preserve"> Sindh and </w:t>
      </w:r>
      <w:r>
        <w:rPr>
          <w:color w:val="000000" w:themeColor="text1"/>
        </w:rPr>
        <w:t>Khyber Pakhtunkhwa (</w:t>
      </w:r>
      <w:r>
        <w:t>KP)</w:t>
      </w:r>
      <w:r w:rsidR="00CB5DC0">
        <w:t xml:space="preserve"> provinces</w:t>
      </w:r>
      <w:r>
        <w:t xml:space="preserve">. The investment, managed by Irish </w:t>
      </w:r>
      <w:r w:rsidR="00CB5DC0">
        <w:t>non-government organisation (NGO)</w:t>
      </w:r>
      <w:r>
        <w:t xml:space="preserve"> </w:t>
      </w:r>
      <w:r w:rsidR="0008203F">
        <w:t>Trócaire</w:t>
      </w:r>
      <w:r>
        <w:t xml:space="preserve">, takes a </w:t>
      </w:r>
      <w:r w:rsidR="00FB0FA4">
        <w:t>comprehensive, holistic and</w:t>
      </w:r>
      <w:r>
        <w:t xml:space="preserve"> integrated approach </w:t>
      </w:r>
      <w:r w:rsidR="00FB0FA4">
        <w:t>covering</w:t>
      </w:r>
      <w:r w:rsidR="0093665C">
        <w:t xml:space="preserve"> quality </w:t>
      </w:r>
      <w:r w:rsidR="00FB0FA4">
        <w:t>services</w:t>
      </w:r>
      <w:r>
        <w:t xml:space="preserve">, prevention, advocacy and capacity building of </w:t>
      </w:r>
      <w:r w:rsidR="00FB0FA4">
        <w:t xml:space="preserve">local </w:t>
      </w:r>
      <w:r>
        <w:t xml:space="preserve">partners. </w:t>
      </w:r>
      <w:r w:rsidR="00342DF3">
        <w:t>Ending violence against women</w:t>
      </w:r>
      <w:r w:rsidR="00B54953">
        <w:t xml:space="preserve"> (EVAW) </w:t>
      </w:r>
      <w:r w:rsidR="00342DF3">
        <w:t xml:space="preserve">is one of the three priority areas under DFAT’s </w:t>
      </w:r>
      <w:r w:rsidR="00CB5DC0">
        <w:t xml:space="preserve"> </w:t>
      </w:r>
      <w:r w:rsidR="00342DF3" w:rsidRPr="00893175">
        <w:rPr>
          <w:i/>
        </w:rPr>
        <w:t>Gender Equality and Women’s Empowerment Strategy</w:t>
      </w:r>
      <w:r w:rsidR="00CB5DC0">
        <w:rPr>
          <w:i/>
        </w:rPr>
        <w:t xml:space="preserve"> (2016)</w:t>
      </w:r>
      <w:r w:rsidR="00342DF3">
        <w:t>, and the Pakistan GBV Program is one of a series of EVAW investments under the Australian Aid Program.</w:t>
      </w:r>
      <w:r w:rsidR="00342DF3">
        <w:rPr>
          <w:rStyle w:val="FootnoteReference"/>
        </w:rPr>
        <w:footnoteReference w:id="1"/>
      </w:r>
      <w:r w:rsidR="00DB47B0">
        <w:t xml:space="preserve"> </w:t>
      </w:r>
    </w:p>
    <w:p w14:paraId="7C14324E" w14:textId="79DB6BA5" w:rsidR="00FE1148" w:rsidRDefault="00FE1148" w:rsidP="00FE1148">
      <w:r>
        <w:t>This independent evaluation was undertaken in November – December 2016 to assess progress to date, identify lessons learnt and provide recommendations for the remainder of the investment to improve outcomes and sustainability.</w:t>
      </w:r>
      <w:r>
        <w:rPr>
          <w:rStyle w:val="FootnoteReference"/>
        </w:rPr>
        <w:footnoteReference w:id="2"/>
      </w:r>
      <w:r>
        <w:t xml:space="preserve"> </w:t>
      </w:r>
      <w:r w:rsidR="00342DF3">
        <w:rPr>
          <w:b/>
        </w:rPr>
        <w:t>Overall, the GBV P</w:t>
      </w:r>
      <w:r>
        <w:rPr>
          <w:b/>
        </w:rPr>
        <w:t xml:space="preserve">rogram is progressing well against objectives. </w:t>
      </w:r>
      <w:r>
        <w:t xml:space="preserve">It is supporting critical services for </w:t>
      </w:r>
      <w:r w:rsidR="00CB5DC0">
        <w:t xml:space="preserve">female </w:t>
      </w:r>
      <w:r>
        <w:t xml:space="preserve">survivors of violence and there is evidence of both attitudinal and behavioural change at the community level in targeted areas. Two aspects of the program </w:t>
      </w:r>
      <w:r w:rsidR="0093665C">
        <w:t>are particularly challenging - t</w:t>
      </w:r>
      <w:r>
        <w:t>he advocacy component and efforts to re</w:t>
      </w:r>
      <w:r w:rsidR="00CB5DC0">
        <w:t>-</w:t>
      </w:r>
      <w:r>
        <w:t xml:space="preserve">integrate survivors back into the community through the provision of vocational training and </w:t>
      </w:r>
      <w:r w:rsidR="001777BF">
        <w:t>‘</w:t>
      </w:r>
      <w:r>
        <w:t>hand-holding</w:t>
      </w:r>
      <w:r w:rsidR="001777BF">
        <w:t>’</w:t>
      </w:r>
      <w:r>
        <w:t xml:space="preserve"> support. In both cases </w:t>
      </w:r>
      <w:r w:rsidR="00B07B2A">
        <w:t>the issues are</w:t>
      </w:r>
      <w:r>
        <w:t xml:space="preserve"> primarily </w:t>
      </w:r>
      <w:r w:rsidR="00B07B2A">
        <w:t>due to</w:t>
      </w:r>
      <w:r>
        <w:t xml:space="preserve"> an unrealistic jump in logic in the design of the investment, rather than </w:t>
      </w:r>
      <w:r w:rsidR="00B07B2A">
        <w:t xml:space="preserve">weaknesses </w:t>
      </w:r>
      <w:r>
        <w:t>in implementation.</w:t>
      </w:r>
    </w:p>
    <w:p w14:paraId="2DDAC7BC" w14:textId="2545C8AF" w:rsidR="00FE1148" w:rsidRDefault="00FE1148" w:rsidP="00FE1148">
      <w:r>
        <w:t xml:space="preserve">In 2016, based on lessons learnt, </w:t>
      </w:r>
      <w:r w:rsidR="0008203F">
        <w:t>Trócaire</w:t>
      </w:r>
      <w:r>
        <w:t xml:space="preserve"> made significant changes to</w:t>
      </w:r>
      <w:r w:rsidR="00F50E30">
        <w:t xml:space="preserve"> its</w:t>
      </w:r>
      <w:r>
        <w:t xml:space="preserve"> partners and strategy to refine the program for the remaining two years. In particular, the program has shifted emphasis to provincial level advocacy partners, invested resources in adapting and implementing the </w:t>
      </w:r>
      <w:r w:rsidR="00CB5DC0" w:rsidRPr="002C5962">
        <w:t>Start Awareness Support Action</w:t>
      </w:r>
      <w:r w:rsidR="00CB5DC0">
        <w:t xml:space="preserve"> (‘</w:t>
      </w:r>
      <w:r>
        <w:t>SASA!</w:t>
      </w:r>
      <w:r w:rsidR="00CB5DC0">
        <w:t>’)</w:t>
      </w:r>
      <w:r>
        <w:t xml:space="preserve"> </w:t>
      </w:r>
      <w:r w:rsidR="00CB5DC0">
        <w:t xml:space="preserve">behaviour change </w:t>
      </w:r>
      <w:r>
        <w:t xml:space="preserve">model for </w:t>
      </w:r>
      <w:r w:rsidR="00342DF3">
        <w:t xml:space="preserve">community mobilisation for </w:t>
      </w:r>
      <w:r>
        <w:t xml:space="preserve">violence prevention, and made changes to the vocational training component. It is recommended that </w:t>
      </w:r>
      <w:r w:rsidR="0008203F">
        <w:t>Trócaire</w:t>
      </w:r>
      <w:r>
        <w:t xml:space="preserve"> document the revised theory of change </w:t>
      </w:r>
      <w:r w:rsidR="00342DF3">
        <w:t xml:space="preserve">(program logic), </w:t>
      </w:r>
      <w:r>
        <w:t>including</w:t>
      </w:r>
      <w:r w:rsidR="00342DF3">
        <w:t xml:space="preserve"> lessons learnt and assumptions,</w:t>
      </w:r>
      <w:r>
        <w:t xml:space="preserve"> that now underpin the remainder of the investment. </w:t>
      </w:r>
      <w:r w:rsidRPr="000708EE">
        <w:t xml:space="preserve">This document should include a more sophisticated understanding of the linkages between disability and violence and </w:t>
      </w:r>
      <w:r w:rsidR="001777BF">
        <w:t xml:space="preserve">strategies </w:t>
      </w:r>
      <w:r w:rsidRPr="000708EE">
        <w:t>to</w:t>
      </w:r>
      <w:r w:rsidR="00B07B2A">
        <w:t xml:space="preserve"> </w:t>
      </w:r>
      <w:r w:rsidR="001777BF">
        <w:t>address this</w:t>
      </w:r>
      <w:r w:rsidR="00B07B2A">
        <w:t>.</w:t>
      </w:r>
      <w:r w:rsidRPr="000708EE">
        <w:t xml:space="preserve"> Furthermore, with only 18 months remaining there are risks to efficiency and ef</w:t>
      </w:r>
      <w:r w:rsidR="00342DF3" w:rsidRPr="000708EE">
        <w:t>fectiveness of further changes -</w:t>
      </w:r>
      <w:r w:rsidRPr="000708EE">
        <w:t xml:space="preserve"> additional changes in partners, strategies and other GBV program components should therefore now be left for a potential next phase.</w:t>
      </w:r>
      <w:r w:rsidR="00F91612">
        <w:t xml:space="preserve"> The M</w:t>
      </w:r>
      <w:r w:rsidR="00A6370F">
        <w:t>onitoring and Evalu</w:t>
      </w:r>
      <w:r w:rsidR="00CB5DC0">
        <w:t>ation (M&amp;E)</w:t>
      </w:r>
      <w:r w:rsidR="00F91612">
        <w:t xml:space="preserve"> Strategy is sound and delivering timely progress data. A greater emphasis on outcome reporting in progress reports is recommended, along with ensuring unint</w:t>
      </w:r>
      <w:r w:rsidR="00813502">
        <w:t xml:space="preserve">ended consequences are captured </w:t>
      </w:r>
      <w:r w:rsidR="00F91612">
        <w:t>under the Results Framework.</w:t>
      </w:r>
    </w:p>
    <w:p w14:paraId="35357795" w14:textId="0EC13F1A" w:rsidR="00F50E30" w:rsidRDefault="00FE1148" w:rsidP="00FE1148">
      <w:r w:rsidRPr="000708EE">
        <w:rPr>
          <w:b/>
        </w:rPr>
        <w:t>Objective One</w:t>
      </w:r>
      <w:r w:rsidRPr="000708EE">
        <w:t xml:space="preserve"> (</w:t>
      </w:r>
      <w:r w:rsidR="00F50E30" w:rsidRPr="00F50E30">
        <w:t>To strengthen GBV survivor</w:t>
      </w:r>
      <w:r w:rsidR="00CF76F1">
        <w:t>’</w:t>
      </w:r>
      <w:r w:rsidR="00F50E30" w:rsidRPr="00F50E30">
        <w:t>s access to quality support services from selected partners in KP and Sindh</w:t>
      </w:r>
      <w:r w:rsidRPr="000708EE">
        <w:t>)</w:t>
      </w:r>
      <w:r w:rsidR="00F50E30">
        <w:t>.</w:t>
      </w:r>
    </w:p>
    <w:p w14:paraId="3D2D3244" w14:textId="26596882" w:rsidR="00FE1148" w:rsidRDefault="00F50E30" w:rsidP="00FE1148">
      <w:r>
        <w:t xml:space="preserve">This Objective </w:t>
      </w:r>
      <w:r w:rsidR="00FE1148">
        <w:t xml:space="preserve">involves support for private and government women’s shelters, assists survivors of violence to access legal, counselling and medical support as well as vocational training, and provides </w:t>
      </w:r>
      <w:r w:rsidR="00FE1148">
        <w:lastRenderedPageBreak/>
        <w:t>training for police</w:t>
      </w:r>
      <w:r w:rsidR="00342DF3">
        <w:t>,</w:t>
      </w:r>
      <w:r w:rsidR="00FE1148">
        <w:t xml:space="preserve"> judiciary</w:t>
      </w:r>
      <w:r w:rsidR="00342DF3">
        <w:t xml:space="preserve"> and medico-legal officers</w:t>
      </w:r>
      <w:r w:rsidR="00FE1148">
        <w:t xml:space="preserve"> to improve understanding of Gender Based Violence (GBV) and how best to respond. The private shelters (the</w:t>
      </w:r>
      <w:r>
        <w:t xml:space="preserve"> </w:t>
      </w:r>
      <w:r w:rsidRPr="00F50E30">
        <w:t>Association for Betterment And Development of Human Beings</w:t>
      </w:r>
      <w:r w:rsidR="00FE1148">
        <w:t xml:space="preserve"> </w:t>
      </w:r>
      <w:r>
        <w:t>(</w:t>
      </w:r>
      <w:r w:rsidR="00FE1148">
        <w:t>ABAD</w:t>
      </w:r>
      <w:r>
        <w:t>)</w:t>
      </w:r>
      <w:r w:rsidR="00FE1148">
        <w:t xml:space="preserve"> shelter in Hyderabad and the</w:t>
      </w:r>
      <w:r>
        <w:t xml:space="preserve"> </w:t>
      </w:r>
      <w:r w:rsidRPr="002C5962">
        <w:t>Noor Education Trust</w:t>
      </w:r>
      <w:r w:rsidR="00FE1148">
        <w:t xml:space="preserve"> </w:t>
      </w:r>
      <w:r>
        <w:t>(</w:t>
      </w:r>
      <w:r w:rsidR="00FE1148">
        <w:t>NET</w:t>
      </w:r>
      <w:r>
        <w:t>)</w:t>
      </w:r>
      <w:r w:rsidR="00FE1148">
        <w:t xml:space="preserve"> shelter in Peshawar) are providing much needed and high quality services, although ongoing efforts are required to improve referral networks and access, and both shelters currently rely on Australian Government funding to operate, ra</w:t>
      </w:r>
      <w:r w:rsidR="003738F9">
        <w:t xml:space="preserve">ising sustainability concerns. </w:t>
      </w:r>
      <w:r w:rsidR="00FE1148">
        <w:t>Close collaboration with the Pakistan Government-run</w:t>
      </w:r>
      <w:r>
        <w:t xml:space="preserve"> shelters known as</w:t>
      </w:r>
      <w:r w:rsidR="00FE1148">
        <w:t xml:space="preserve"> </w:t>
      </w:r>
      <w:r w:rsidR="00FE1148">
        <w:rPr>
          <w:i/>
        </w:rPr>
        <w:t>Darul</w:t>
      </w:r>
      <w:r w:rsidR="00B07B2A">
        <w:rPr>
          <w:i/>
        </w:rPr>
        <w:t xml:space="preserve"> </w:t>
      </w:r>
      <w:r w:rsidR="00FE1148">
        <w:rPr>
          <w:i/>
        </w:rPr>
        <w:t>Amans</w:t>
      </w:r>
      <w:r w:rsidR="00B07B2A">
        <w:rPr>
          <w:i/>
        </w:rPr>
        <w:t xml:space="preserve"> </w:t>
      </w:r>
      <w:r w:rsidR="00FE1148">
        <w:t xml:space="preserve">and </w:t>
      </w:r>
      <w:r>
        <w:t xml:space="preserve">privately run </w:t>
      </w:r>
      <w:r w:rsidR="009B5796">
        <w:t>Women’s Crises Centres (WCCs)</w:t>
      </w:r>
      <w:r w:rsidR="00FE1148">
        <w:t xml:space="preserve"> is important to ensure </w:t>
      </w:r>
      <w:r w:rsidR="00B07B2A">
        <w:t xml:space="preserve">more </w:t>
      </w:r>
      <w:r w:rsidR="00FE1148">
        <w:t>survivors have access to quality support services</w:t>
      </w:r>
      <w:r w:rsidR="003738F9">
        <w:t>, and to improve sustainability of th</w:t>
      </w:r>
      <w:r w:rsidR="001777BF">
        <w:t>is</w:t>
      </w:r>
      <w:r w:rsidR="003738F9">
        <w:t xml:space="preserve"> investment. </w:t>
      </w:r>
    </w:p>
    <w:p w14:paraId="09EE32AC" w14:textId="302188C4" w:rsidR="00FE1148" w:rsidRDefault="00FE1148" w:rsidP="00FE1148">
      <w:r>
        <w:t xml:space="preserve">There is very little evidence that providing vocational training to survivors is assisting </w:t>
      </w:r>
      <w:r w:rsidR="00B07B2A">
        <w:t xml:space="preserve">them </w:t>
      </w:r>
      <w:r>
        <w:t>to re</w:t>
      </w:r>
      <w:r w:rsidR="00F50E30">
        <w:t>-</w:t>
      </w:r>
      <w:r>
        <w:t>integrate</w:t>
      </w:r>
      <w:r w:rsidR="003738F9">
        <w:t xml:space="preserve"> in</w:t>
      </w:r>
      <w:r w:rsidR="00B07B2A">
        <w:t>to</w:t>
      </w:r>
      <w:r w:rsidR="003738F9">
        <w:t xml:space="preserve"> society</w:t>
      </w:r>
      <w:r>
        <w:t xml:space="preserve"> following their stay at a shelter. Avicenna Consulting</w:t>
      </w:r>
      <w:r w:rsidR="00F50E30">
        <w:t xml:space="preserve"> (‘Avicenna’)</w:t>
      </w:r>
      <w:r>
        <w:t xml:space="preserve"> has delivered quality training services, but it is unrealistic to expect a few training sessions to lead to economic independence and re</w:t>
      </w:r>
      <w:r w:rsidR="00F50E30">
        <w:t>-</w:t>
      </w:r>
      <w:r>
        <w:t>integration of survivors of violence</w:t>
      </w:r>
      <w:r w:rsidR="003738F9">
        <w:t xml:space="preserve"> into the community</w:t>
      </w:r>
      <w:r w:rsidR="00B07B2A">
        <w:t>, even with the ‘hand-holding’ element</w:t>
      </w:r>
      <w:r>
        <w:t xml:space="preserve">. Most women in the shelters are in greater need of counselling and basic literacy rather than vocational training (particularly in Peshawar, where half of the shelter residents are </w:t>
      </w:r>
      <w:r w:rsidR="00B07B2A">
        <w:t xml:space="preserve">registered </w:t>
      </w:r>
      <w:r>
        <w:t>Afghan refugees, referred by</w:t>
      </w:r>
      <w:r w:rsidR="00F50E30">
        <w:t xml:space="preserve"> the</w:t>
      </w:r>
      <w:r>
        <w:t xml:space="preserve"> </w:t>
      </w:r>
      <w:r w:rsidR="00F50E30">
        <w:t>United Nations High Commissioner for Refugees (</w:t>
      </w:r>
      <w:r>
        <w:t>UNHCR). Survivors should continue to have access to vocational training if desired (see Objective 2), but emphasis should remain on counselling and literacy/life skills. Small grants should continue on a needs basis. Capacity building of police and judiciary should continue, with an emphasis on police at the district level.</w:t>
      </w:r>
    </w:p>
    <w:p w14:paraId="2543E435" w14:textId="6A59509F" w:rsidR="00F50E30" w:rsidRDefault="00FE1148" w:rsidP="00FE1148">
      <w:r w:rsidRPr="003936EA">
        <w:rPr>
          <w:b/>
        </w:rPr>
        <w:t xml:space="preserve">Objective Two </w:t>
      </w:r>
      <w:r w:rsidRPr="003936EA">
        <w:t>(</w:t>
      </w:r>
      <w:r w:rsidR="00F50E30" w:rsidRPr="00F50E30">
        <w:t>To promote reduced tol</w:t>
      </w:r>
      <w:r w:rsidR="00CF76F1">
        <w:t>erance to Gender-</w:t>
      </w:r>
      <w:r w:rsidR="00F50E30">
        <w:t>Based Violence</w:t>
      </w:r>
      <w:r w:rsidR="00A6370F">
        <w:t xml:space="preserve"> and </w:t>
      </w:r>
      <w:r w:rsidR="00F50E30" w:rsidRPr="00F50E30">
        <w:t>actions to address violence against women among women, men and community leaders</w:t>
      </w:r>
      <w:r w:rsidR="00F50E30">
        <w:t>)</w:t>
      </w:r>
      <w:r w:rsidR="00F50E30" w:rsidRPr="00F50E30">
        <w:t>.</w:t>
      </w:r>
      <w:r w:rsidR="00F50E30" w:rsidRPr="00F50E30" w:rsidDel="00F50E30">
        <w:t xml:space="preserve"> </w:t>
      </w:r>
    </w:p>
    <w:p w14:paraId="121AAD67" w14:textId="7478D41C" w:rsidR="00FE1148" w:rsidRDefault="00F50E30" w:rsidP="00FE1148">
      <w:r>
        <w:t xml:space="preserve">This Objective </w:t>
      </w:r>
      <w:r w:rsidR="00FE1148">
        <w:t xml:space="preserve">involves support to local NGO partners to work with community groups and leaders to reduce tolerance of GBV. The three NGOs involved in the prevention work (SDS, ACT and PVDP) are skilled at community mobilisation, and there is significant evidence of both attitudinal and behavioural change among men, women and girls in </w:t>
      </w:r>
      <w:r w:rsidR="00B07B2A">
        <w:t xml:space="preserve">the </w:t>
      </w:r>
      <w:r w:rsidR="00FE1148">
        <w:t>communities visited (</w:t>
      </w:r>
      <w:r w:rsidR="00B07B2A">
        <w:t>noting this was only</w:t>
      </w:r>
      <w:r w:rsidR="00FE1148">
        <w:t xml:space="preserve"> a small sample</w:t>
      </w:r>
      <w:r w:rsidR="00B07B2A">
        <w:t xml:space="preserve">). </w:t>
      </w:r>
      <w:r w:rsidR="00FE1148">
        <w:t xml:space="preserve"> As the team was unable to meet with boys involved in the Program, attitudinal and behavioural change among boys should be addressed in the next progress report and verified through monitoring visits. Women and girls are being empowered through this program, but close attention needs to be paid to monitoring and mitigating the risks associated with their greater mobility and speaking out about their rights. The current approach of involving men and boys, including religious and community leaders, is appropriate, but it is recommended that a specific qualitative indicator be included in the </w:t>
      </w:r>
      <w:r w:rsidR="00F91612">
        <w:t>Results Framework</w:t>
      </w:r>
      <w:r w:rsidR="00FE1148">
        <w:t xml:space="preserve"> to track unintended consequences such as potential increases in violence from altered power dynamics at the household level.</w:t>
      </w:r>
    </w:p>
    <w:p w14:paraId="247B15BF" w14:textId="50A760AB" w:rsidR="00FE1148" w:rsidRDefault="00FE1148" w:rsidP="00FE1148">
      <w:r>
        <w:t xml:space="preserve">The SASA! </w:t>
      </w:r>
      <w:r w:rsidR="0008203F">
        <w:t>behaviour change methodology</w:t>
      </w:r>
      <w:r>
        <w:t>, which involves recruiting voluntary male and female Community Activists from each community</w:t>
      </w:r>
      <w:r w:rsidR="00F50E30">
        <w:t>,</w:t>
      </w:r>
      <w:r>
        <w:t xml:space="preserve"> only began implementation in June 2016. </w:t>
      </w:r>
      <w:r w:rsidR="0008203F">
        <w:t>Trócaire</w:t>
      </w:r>
      <w:r>
        <w:t xml:space="preserve"> is investing significant resources into this approach and all stakeholders interviewed are very optimistic about it, but this evaluation is unable to make an assessment of its effectiveness. Given this is the first time SASA! has been implemented in Pakistan, a review of effectiveness is recommended at the end of the four stages, noting that this will be after the completion of the current phase of Australian Government funding. </w:t>
      </w:r>
    </w:p>
    <w:p w14:paraId="20FE053F" w14:textId="3B72F95F" w:rsidR="00FE1148" w:rsidRDefault="00FE1148" w:rsidP="00FE1148">
      <w:r>
        <w:lastRenderedPageBreak/>
        <w:t>All prevention partners expressed the need for a ‘tangible hook’ to encourage community members to be active participants in meetings on GBV. Providing some vocational training in communities is endorsed by this evaluation (particularly as an incentive for female Community Activists), but active monitoring is required to ensure that the GBV program does not move too far towards a livelihoods program and lose its focus on GBV. SDS is at particular risk of losing focus. Survivors in shelters should have access to this training if desired.  With</w:t>
      </w:r>
      <w:r w:rsidR="00305115">
        <w:t xml:space="preserve"> </w:t>
      </w:r>
      <w:r w:rsidR="003738F9">
        <w:t>different</w:t>
      </w:r>
      <w:r>
        <w:t xml:space="preserve"> NGOs trialling different models, this is a prime opportunity to bring partners together before the end of the program to discuss lessons learnt in this area. A specific lessons learnt workshop on the vocational training/women’s economic empowerment component of the investment would be a valuable contribution to this discussion both within Pakistan and internationally, and is highly recommended.</w:t>
      </w:r>
    </w:p>
    <w:p w14:paraId="04F0E09A" w14:textId="44D58A27" w:rsidR="00CF76F1" w:rsidRDefault="00FE1148" w:rsidP="00966BA5">
      <w:r w:rsidRPr="003936EA">
        <w:rPr>
          <w:b/>
        </w:rPr>
        <w:t>Objective Three</w:t>
      </w:r>
      <w:r w:rsidRPr="003936EA">
        <w:t xml:space="preserve"> (</w:t>
      </w:r>
      <w:r w:rsidR="00F50E30" w:rsidRPr="00F50E30">
        <w:t>To support advocacy efforts with key stakeholders to enable passage and full implementation of key legislations related to addressing GBV</w:t>
      </w:r>
      <w:r w:rsidRPr="003936EA">
        <w:t>)</w:t>
      </w:r>
      <w:r w:rsidR="00CF76F1">
        <w:t>.</w:t>
      </w:r>
    </w:p>
    <w:p w14:paraId="4C1C18F4" w14:textId="4F21CF70" w:rsidR="00FE1148" w:rsidRDefault="00CF76F1" w:rsidP="00966BA5">
      <w:r>
        <w:t>This Objective</w:t>
      </w:r>
      <w:r w:rsidR="00FE1148">
        <w:t xml:space="preserve"> aims to bring about legislative and policy change in the area of GBV.</w:t>
      </w:r>
      <w:r w:rsidR="00966BA5">
        <w:t xml:space="preserve"> </w:t>
      </w:r>
      <w:r w:rsidR="00FE1148">
        <w:t>Advocacy work is a long</w:t>
      </w:r>
      <w:r>
        <w:t>-</w:t>
      </w:r>
      <w:r w:rsidR="00FE1148">
        <w:t xml:space="preserve">term endeavour that requires persistence and flexibility, and outcomes are often unpredictable and non-linear. </w:t>
      </w:r>
      <w:r w:rsidR="003738F9">
        <w:t>As c</w:t>
      </w:r>
      <w:r w:rsidR="00FE1148">
        <w:t>urrently</w:t>
      </w:r>
      <w:r w:rsidR="003738F9">
        <w:t xml:space="preserve"> stated</w:t>
      </w:r>
      <w:r w:rsidR="00FE1148">
        <w:t xml:space="preserve">, this objective is both unrealistic and unachievable within the timeframe of the investment. In 2016, based on lessons learnt from the first two years, </w:t>
      </w:r>
      <w:r w:rsidR="0008203F">
        <w:t>Trócaire</w:t>
      </w:r>
      <w:r w:rsidR="00FE1148">
        <w:t xml:space="preserve"> made a decision to engage provincial level advocacy partners, moving away from the national level approach. </w:t>
      </w:r>
      <w:r w:rsidR="003738F9">
        <w:t>Greater emphasis on the provincial level is endorsed given the decentralised environment, but</w:t>
      </w:r>
      <w:r w:rsidR="00FE1148">
        <w:t xml:space="preserve"> there have been significant delays identifying partners and this has affected performance in this area. </w:t>
      </w:r>
      <w:r w:rsidR="0008203F">
        <w:t>Trócaire</w:t>
      </w:r>
      <w:r w:rsidR="00FE1148">
        <w:t xml:space="preserve"> has just identified a new partner in Sindh, and there is now an urgent need to engage a partner in KP. It is important to ensure that advocacy and media partners at the various levels link up and leverage o</w:t>
      </w:r>
      <w:r w:rsidR="003738F9">
        <w:t>f</w:t>
      </w:r>
      <w:r w:rsidR="00FE1148">
        <w:t xml:space="preserve">f each other’s work for maximum impact. </w:t>
      </w:r>
      <w:r w:rsidR="00FE1148" w:rsidRPr="003936EA">
        <w:t xml:space="preserve">Overall, realistic expectations are required, along with a long-term partnership approach that builds capacity, networks and </w:t>
      </w:r>
      <w:r>
        <w:t xml:space="preserve">the </w:t>
      </w:r>
      <w:r w:rsidR="00FE1148" w:rsidRPr="003936EA">
        <w:t>ability to respond quickly to windows of opportunity that may arise.</w:t>
      </w:r>
      <w:r w:rsidR="00966BA5" w:rsidRPr="00966BA5">
        <w:t xml:space="preserve"> </w:t>
      </w:r>
      <w:r w:rsidR="00966BA5">
        <w:t>It is a challenging area of work, but outcomes in this area are critical if the investment is to have broader impact</w:t>
      </w:r>
      <w:r>
        <w:t>s</w:t>
      </w:r>
      <w:r w:rsidR="00966BA5">
        <w:t xml:space="preserve"> beyond the target districts.</w:t>
      </w:r>
    </w:p>
    <w:p w14:paraId="613DCC96" w14:textId="5F1FCA49" w:rsidR="00CF76F1" w:rsidRDefault="00FE1148" w:rsidP="00FE1148">
      <w:r w:rsidRPr="003936EA">
        <w:rPr>
          <w:b/>
        </w:rPr>
        <w:t>Objective Four</w:t>
      </w:r>
      <w:r w:rsidRPr="003936EA">
        <w:t xml:space="preserve"> (</w:t>
      </w:r>
      <w:r w:rsidR="00CF76F1" w:rsidRPr="00CF76F1">
        <w:t>To improve partners</w:t>
      </w:r>
      <w:r w:rsidR="00CF76F1">
        <w:t>’</w:t>
      </w:r>
      <w:r w:rsidR="00CF76F1" w:rsidRPr="00CF76F1">
        <w:t xml:space="preserve"> capacity to support sustainable change in target communities</w:t>
      </w:r>
      <w:r w:rsidRPr="003936EA">
        <w:t>)</w:t>
      </w:r>
      <w:r w:rsidR="00CF76F1">
        <w:t>.</w:t>
      </w:r>
    </w:p>
    <w:p w14:paraId="6CF62506" w14:textId="61A0411D" w:rsidR="00FE1148" w:rsidRDefault="00CF76F1" w:rsidP="00FE1148">
      <w:r>
        <w:t>This Objective</w:t>
      </w:r>
      <w:r w:rsidR="00FE1148">
        <w:t xml:space="preserve"> involves working closely with the five implementing partners (ABAD, </w:t>
      </w:r>
      <w:r w:rsidRPr="002C5962">
        <w:t>Sindh Development Society</w:t>
      </w:r>
      <w:r>
        <w:t xml:space="preserve"> (</w:t>
      </w:r>
      <w:r w:rsidR="00FE1148">
        <w:t>SDS</w:t>
      </w:r>
      <w:r>
        <w:t>)</w:t>
      </w:r>
      <w:r w:rsidR="00FE1148">
        <w:t xml:space="preserve">, NET, </w:t>
      </w:r>
      <w:r w:rsidRPr="002C5962">
        <w:t>Aiming Change for Tomorrow</w:t>
      </w:r>
      <w:r>
        <w:t xml:space="preserve"> (</w:t>
      </w:r>
      <w:r w:rsidR="00FE1148">
        <w:t>ACT</w:t>
      </w:r>
      <w:r>
        <w:t>)</w:t>
      </w:r>
      <w:r w:rsidR="00FE1148">
        <w:t xml:space="preserve"> and</w:t>
      </w:r>
      <w:r>
        <w:t xml:space="preserve"> the </w:t>
      </w:r>
      <w:r w:rsidRPr="002C5962">
        <w:t>Pakistan Village Development Program</w:t>
      </w:r>
      <w:r w:rsidR="00FE1148">
        <w:t xml:space="preserve"> </w:t>
      </w:r>
      <w:r>
        <w:t>(</w:t>
      </w:r>
      <w:r w:rsidR="00FE1148">
        <w:t xml:space="preserve">PVDP) to build their capacity to improve effectiveness and sustainability. All partners have strong ownership of the GBV agenda and are very committed. </w:t>
      </w:r>
      <w:r w:rsidR="003738F9">
        <w:t>This component</w:t>
      </w:r>
      <w:r w:rsidR="00FE1148">
        <w:t xml:space="preserve"> is progressing well, with the partners receiving relevant, targeted training and mentoring in areas such as financial management, disability inclusion, monitoring and evaluation, security and risk management. </w:t>
      </w:r>
      <w:r w:rsidR="0008203F">
        <w:t>Trócaire</w:t>
      </w:r>
      <w:r w:rsidR="00FE1148">
        <w:t xml:space="preserve"> has been very responsive to partners’ capacity needs and there is strong evidence that partners are using the skills gained. For example, partners are implementing disability action plans</w:t>
      </w:r>
      <w:r w:rsidR="003738F9">
        <w:t>,</w:t>
      </w:r>
      <w:r w:rsidR="00FE1148">
        <w:t xml:space="preserve"> but ongoing messaging is required from the Australian High Commission (AHC) and </w:t>
      </w:r>
      <w:r w:rsidR="0008203F">
        <w:t>Trócaire</w:t>
      </w:r>
      <w:r w:rsidR="00FE1148">
        <w:t xml:space="preserve"> to ensure </w:t>
      </w:r>
      <w:r w:rsidR="00966BA5">
        <w:t xml:space="preserve">disability inclusiveness </w:t>
      </w:r>
      <w:r w:rsidR="00FE1148">
        <w:t xml:space="preserve">remains a priority. Furthermore, there is significant scope for implementing partners to learn from each other and </w:t>
      </w:r>
      <w:r w:rsidR="0008203F">
        <w:t>Trócaire</w:t>
      </w:r>
      <w:r w:rsidR="00FE1148">
        <w:t xml:space="preserve"> should actively identify opportunities to bring partners together for this purpose. There are ongoing issues with NET senior </w:t>
      </w:r>
      <w:r w:rsidR="006629CD">
        <w:t>management, which</w:t>
      </w:r>
      <w:r w:rsidR="00FE1148">
        <w:t xml:space="preserve"> need to be actively managed.</w:t>
      </w:r>
    </w:p>
    <w:p w14:paraId="39F755F6" w14:textId="2613C6C6" w:rsidR="00FE1148" w:rsidRDefault="0008203F" w:rsidP="00FE1148">
      <w:r>
        <w:t>Trócaire</w:t>
      </w:r>
      <w:r w:rsidR="00FE1148" w:rsidRPr="003936EA">
        <w:t xml:space="preserve"> and partners all have sustainability action plans and are actively taking measures to improve sustainability. Significant opportunities exist to partner with philanthropists and the private sector </w:t>
      </w:r>
      <w:r w:rsidR="003738F9" w:rsidRPr="003936EA">
        <w:lastRenderedPageBreak/>
        <w:t>(</w:t>
      </w:r>
      <w:r w:rsidR="006629CD" w:rsidRPr="003936EA">
        <w:t>e.g.</w:t>
      </w:r>
      <w:r w:rsidR="00305115">
        <w:t xml:space="preserve"> </w:t>
      </w:r>
      <w:r w:rsidR="00FE1148" w:rsidRPr="003936EA">
        <w:t xml:space="preserve">through </w:t>
      </w:r>
      <w:r w:rsidR="00CF76F1">
        <w:t>c</w:t>
      </w:r>
      <w:r w:rsidR="00FE1148" w:rsidRPr="003936EA">
        <w:t xml:space="preserve">orporate </w:t>
      </w:r>
      <w:r w:rsidR="00CF76F1">
        <w:t>s</w:t>
      </w:r>
      <w:r w:rsidR="00FE1148" w:rsidRPr="003936EA">
        <w:t xml:space="preserve">ocial </w:t>
      </w:r>
      <w:r w:rsidR="00CF76F1">
        <w:t>r</w:t>
      </w:r>
      <w:r w:rsidR="00FE1148" w:rsidRPr="003936EA">
        <w:t>esponsibility</w:t>
      </w:r>
      <w:r w:rsidR="00CF76F1">
        <w:t xml:space="preserve"> (CSR)</w:t>
      </w:r>
      <w:r w:rsidR="00FE1148" w:rsidRPr="003936EA">
        <w:t xml:space="preserve"> funds</w:t>
      </w:r>
      <w:r w:rsidR="003738F9" w:rsidRPr="003936EA">
        <w:t>)</w:t>
      </w:r>
      <w:r w:rsidR="00FE1148" w:rsidRPr="003936EA">
        <w:t xml:space="preserve"> to leverage greater impact and sustainability.</w:t>
      </w:r>
      <w:r w:rsidR="00FE1148">
        <w:t xml:space="preserve"> For example, </w:t>
      </w:r>
      <w:r>
        <w:t>Trócaire</w:t>
      </w:r>
      <w:r w:rsidR="00FE1148">
        <w:t xml:space="preserve"> should explore opportunities to partner with telecommunications company Zong to fund</w:t>
      </w:r>
      <w:r w:rsidR="003738F9">
        <w:t xml:space="preserve"> operating costs of</w:t>
      </w:r>
      <w:r w:rsidR="00FE1148">
        <w:t xml:space="preserve"> the Hyderabad helpline. </w:t>
      </w:r>
      <w:r w:rsidR="00FE1148" w:rsidRPr="003936EA">
        <w:t>Overall, risks are managed well, but an ongoing emphasis on security and Do No Harm is required.</w:t>
      </w:r>
      <w:r w:rsidR="00966BA5">
        <w:t xml:space="preserve"> Regular communication with the AHC on management of risks is also required.</w:t>
      </w:r>
    </w:p>
    <w:p w14:paraId="60A97EBB" w14:textId="5FBD6A40" w:rsidR="00FE1148" w:rsidRDefault="00FE1148" w:rsidP="00FE1148">
      <w:r>
        <w:t xml:space="preserve">There are some strong linkages with </w:t>
      </w:r>
      <w:r w:rsidR="00CF76F1">
        <w:t>g</w:t>
      </w:r>
      <w:r>
        <w:t>overnment at different levels, but there are also significant gaps at federal, provincial and district levels. Greater effort is required overall to build linkages with government and for greater coordination and leverag</w:t>
      </w:r>
      <w:r w:rsidR="00F91612">
        <w:t>ing</w:t>
      </w:r>
      <w:r>
        <w:t>. The Program Manager at the A</w:t>
      </w:r>
      <w:r w:rsidR="00CF76F1">
        <w:t xml:space="preserve">ustralian </w:t>
      </w:r>
      <w:r>
        <w:t>H</w:t>
      </w:r>
      <w:r w:rsidR="00CF76F1">
        <w:t xml:space="preserve">igh </w:t>
      </w:r>
      <w:r>
        <w:t>C</w:t>
      </w:r>
      <w:r w:rsidR="00CF76F1">
        <w:t>ommission (AHC)</w:t>
      </w:r>
      <w:r>
        <w:t xml:space="preserve"> requires dedicated time to play this role, as do</w:t>
      </w:r>
      <w:r w:rsidR="00305115">
        <w:t xml:space="preserve"> </w:t>
      </w:r>
      <w:r w:rsidR="0008203F">
        <w:t>Trócaire</w:t>
      </w:r>
      <w:r>
        <w:t xml:space="preserve"> staff, to ensure maximum value-add. There is a general need to increase sharing of information between </w:t>
      </w:r>
      <w:r w:rsidR="0008203F">
        <w:t>Trócaire</w:t>
      </w:r>
      <w:r>
        <w:t xml:space="preserve"> and the AHC, as well as between the different program partners/contractors</w:t>
      </w:r>
      <w:r w:rsidR="00365DD3">
        <w:t xml:space="preserve"> and stakeholders in the sector</w:t>
      </w:r>
      <w:r>
        <w:t>.</w:t>
      </w:r>
      <w:r w:rsidR="00365DD3">
        <w:t xml:space="preserve"> Improving linkages at all levels and leveraging partnerships and influence for greater impact are key recommendations of this evaluation.</w:t>
      </w:r>
    </w:p>
    <w:p w14:paraId="616FA6E5" w14:textId="78696265" w:rsidR="00FE1148" w:rsidRDefault="0008203F" w:rsidP="00FE1148">
      <w:r>
        <w:t>Trócaire</w:t>
      </w:r>
      <w:r w:rsidR="00FE1148">
        <w:t xml:space="preserve"> is clearly a valued partner – it is delivering results, and is receptive to partner needs. The organisation has attracted high quality staff and has a strong performance-based management culture. It has strong systems that deliver accountability, efficiency and value for money. There are </w:t>
      </w:r>
      <w:r w:rsidR="006629CD">
        <w:t>many</w:t>
      </w:r>
      <w:r w:rsidR="00FE1148">
        <w:t xml:space="preserve"> short-term technical </w:t>
      </w:r>
      <w:r w:rsidR="006629CD">
        <w:t>contracts, which</w:t>
      </w:r>
      <w:r w:rsidR="00FE1148">
        <w:t xml:space="preserve"> create a management burden for </w:t>
      </w:r>
      <w:r>
        <w:t>Trócaire</w:t>
      </w:r>
      <w:r w:rsidR="00FE1148">
        <w:t xml:space="preserve"> staff. While delivering on short-term targets, these contracts have arguably affected longer-term outcomes by weakening the partnership approach. Longer-term partnership approach</w:t>
      </w:r>
      <w:r w:rsidR="0047156E">
        <w:t>es are often preferable in EVAW</w:t>
      </w:r>
      <w:r w:rsidR="00FE1148">
        <w:t xml:space="preserve"> programs, given the long timeframes and transformati</w:t>
      </w:r>
      <w:r w:rsidR="00305115">
        <w:t>ve</w:t>
      </w:r>
      <w:r w:rsidR="00FE1148">
        <w:t xml:space="preserve"> goals. A longer-term partnership approach should be taken with the new provincial advocacy partners, but also potentially </w:t>
      </w:r>
      <w:r w:rsidR="0047156E">
        <w:t xml:space="preserve">with </w:t>
      </w:r>
      <w:r w:rsidR="00CF76F1">
        <w:t>organisations advocating for people with disability</w:t>
      </w:r>
      <w:r w:rsidR="00FE1148">
        <w:t xml:space="preserve"> and other advocacy </w:t>
      </w:r>
      <w:r w:rsidR="00966BA5">
        <w:t>bodies</w:t>
      </w:r>
      <w:r w:rsidR="00FE1148">
        <w:t xml:space="preserve">. </w:t>
      </w:r>
    </w:p>
    <w:p w14:paraId="13628CAA" w14:textId="3CE8DA98" w:rsidR="0047156E" w:rsidRDefault="00FE1148" w:rsidP="00FE1148">
      <w:pPr>
        <w:rPr>
          <w:b/>
        </w:rPr>
      </w:pPr>
      <w:r w:rsidRPr="0047156E">
        <w:rPr>
          <w:b/>
        </w:rPr>
        <w:t xml:space="preserve">The contexts of Sindh and KP are significantly different, but in both </w:t>
      </w:r>
      <w:r w:rsidR="006629CD" w:rsidRPr="0047156E">
        <w:rPr>
          <w:b/>
        </w:rPr>
        <w:t>provinces,</w:t>
      </w:r>
      <w:r w:rsidRPr="0047156E">
        <w:rPr>
          <w:b/>
        </w:rPr>
        <w:t xml:space="preserve"> there are male and female champions in government, civil society and private </w:t>
      </w:r>
      <w:r w:rsidR="006629CD" w:rsidRPr="0047156E">
        <w:rPr>
          <w:b/>
        </w:rPr>
        <w:t>sector</w:t>
      </w:r>
      <w:r w:rsidRPr="0047156E">
        <w:rPr>
          <w:b/>
        </w:rPr>
        <w:t xml:space="preserve"> and with time community members appear to be receptive to gender equality and anti-</w:t>
      </w:r>
      <w:r w:rsidR="0047156E" w:rsidRPr="0047156E">
        <w:rPr>
          <w:b/>
        </w:rPr>
        <w:t xml:space="preserve">GBV </w:t>
      </w:r>
      <w:r w:rsidRPr="0047156E">
        <w:rPr>
          <w:b/>
        </w:rPr>
        <w:t>messages.</w:t>
      </w:r>
      <w:r w:rsidR="00305115">
        <w:rPr>
          <w:b/>
        </w:rPr>
        <w:t xml:space="preserve"> </w:t>
      </w:r>
      <w:r w:rsidRPr="00FB0FA4">
        <w:rPr>
          <w:b/>
        </w:rPr>
        <w:t xml:space="preserve">While numerous barriers exist to </w:t>
      </w:r>
      <w:r w:rsidR="00FB0FA4">
        <w:rPr>
          <w:b/>
        </w:rPr>
        <w:t xml:space="preserve">quality service provision and </w:t>
      </w:r>
      <w:r w:rsidRPr="00FB0FA4">
        <w:rPr>
          <w:b/>
        </w:rPr>
        <w:t>the full implementation of laws across the country, there is momentum in Pakistan to address violence against women and girls. Against this backdrop, the Cha</w:t>
      </w:r>
      <w:r w:rsidR="0047156E">
        <w:rPr>
          <w:b/>
        </w:rPr>
        <w:t xml:space="preserve">llenging </w:t>
      </w:r>
      <w:r w:rsidR="00AA69CF">
        <w:rPr>
          <w:b/>
        </w:rPr>
        <w:t>GBV Program</w:t>
      </w:r>
      <w:r w:rsidRPr="00FB0FA4">
        <w:rPr>
          <w:b/>
        </w:rPr>
        <w:t xml:space="preserve"> in Pakistan is highly relevant, is delivering </w:t>
      </w:r>
      <w:r w:rsidR="0047156E">
        <w:rPr>
          <w:b/>
        </w:rPr>
        <w:t>results</w:t>
      </w:r>
      <w:r w:rsidRPr="00FB0FA4">
        <w:rPr>
          <w:b/>
        </w:rPr>
        <w:t>, and has significant potential for impact and scale up.</w:t>
      </w:r>
    </w:p>
    <w:p w14:paraId="46BB17B2" w14:textId="77777777" w:rsidR="00F87FC6" w:rsidRDefault="00F87FC6">
      <w:pPr>
        <w:rPr>
          <w:b/>
        </w:rPr>
      </w:pPr>
      <w:r>
        <w:rPr>
          <w:b/>
        </w:rPr>
        <w:br w:type="page"/>
      </w:r>
    </w:p>
    <w:p w14:paraId="1288DB83" w14:textId="77777777" w:rsidR="00622F87" w:rsidRPr="003E33D0" w:rsidRDefault="00A12D80" w:rsidP="003E33D0">
      <w:bookmarkStart w:id="13" w:name="_Toc491355876"/>
      <w:r w:rsidRPr="003E33D0">
        <w:rPr>
          <w:rStyle w:val="Heading1Char"/>
        </w:rPr>
        <w:lastRenderedPageBreak/>
        <w:t>Introduction</w:t>
      </w:r>
      <w:bookmarkEnd w:id="13"/>
    </w:p>
    <w:p w14:paraId="2759EDE2" w14:textId="013868A4" w:rsidR="00AC5786" w:rsidRDefault="002603D2" w:rsidP="003E33D0">
      <w:r>
        <w:t xml:space="preserve">In </w:t>
      </w:r>
      <w:r w:rsidR="00BA089B">
        <w:t xml:space="preserve">late </w:t>
      </w:r>
      <w:r>
        <w:t>2016</w:t>
      </w:r>
      <w:r w:rsidR="00297942">
        <w:t>,</w:t>
      </w:r>
      <w:r>
        <w:t xml:space="preserve"> the </w:t>
      </w:r>
      <w:r w:rsidRPr="00767B54">
        <w:t>Australian Government</w:t>
      </w:r>
      <w:r>
        <w:t xml:space="preserve"> undertook an evaluation mission to assess progress of </w:t>
      </w:r>
      <w:r w:rsidR="00881A9B">
        <w:t xml:space="preserve">the </w:t>
      </w:r>
      <w:r w:rsidR="00297942">
        <w:t>GBH Program</w:t>
      </w:r>
      <w:r w:rsidR="00AC5786">
        <w:t xml:space="preserve"> </w:t>
      </w:r>
      <w:r w:rsidR="006B6E36">
        <w:t>(see Annex A</w:t>
      </w:r>
      <w:r w:rsidR="007756F0">
        <w:t xml:space="preserve"> for deta</w:t>
      </w:r>
      <w:r w:rsidR="0047156E">
        <w:t>iled Terms of R</w:t>
      </w:r>
      <w:r w:rsidR="007756F0">
        <w:t>eference)</w:t>
      </w:r>
      <w:r>
        <w:t xml:space="preserve">. </w:t>
      </w:r>
      <w:r w:rsidR="00881A9B">
        <w:t>An i</w:t>
      </w:r>
      <w:r>
        <w:t xml:space="preserve">n-country data collection </w:t>
      </w:r>
      <w:r w:rsidR="00881A9B">
        <w:t xml:space="preserve">mission </w:t>
      </w:r>
      <w:r>
        <w:t>was undertaken from 20 November to 2 December 2016</w:t>
      </w:r>
      <w:r w:rsidR="006B6E36">
        <w:t xml:space="preserve"> (see Annex </w:t>
      </w:r>
      <w:r w:rsidR="00AC5786">
        <w:t>B for Evaluation Plan</w:t>
      </w:r>
      <w:r w:rsidR="007029F0">
        <w:t>,</w:t>
      </w:r>
      <w:r w:rsidR="00AC5786">
        <w:t xml:space="preserve"> Annex </w:t>
      </w:r>
      <w:r w:rsidR="006B6E36">
        <w:t>C</w:t>
      </w:r>
      <w:r w:rsidR="007756F0">
        <w:t xml:space="preserve"> for </w:t>
      </w:r>
      <w:r w:rsidR="00297942">
        <w:t>i</w:t>
      </w:r>
      <w:r w:rsidR="007756F0">
        <w:t>tinerary</w:t>
      </w:r>
      <w:r w:rsidR="007029F0">
        <w:t xml:space="preserve"> and Annex D for list of do</w:t>
      </w:r>
      <w:r w:rsidR="00C52D51">
        <w:t>c</w:t>
      </w:r>
      <w:r w:rsidR="007029F0">
        <w:t>uments</w:t>
      </w:r>
      <w:r w:rsidR="007756F0">
        <w:t>)</w:t>
      </w:r>
      <w:r>
        <w:t xml:space="preserve">. During this </w:t>
      </w:r>
      <w:r w:rsidR="00297942">
        <w:t>period,</w:t>
      </w:r>
      <w:r>
        <w:t xml:space="preserve"> the </w:t>
      </w:r>
      <w:r w:rsidR="00297942">
        <w:t>two-member</w:t>
      </w:r>
      <w:r w:rsidR="00881A9B">
        <w:t xml:space="preserve"> evaluation </w:t>
      </w:r>
      <w:r>
        <w:t>team</w:t>
      </w:r>
      <w:r w:rsidRPr="00767B54">
        <w:rPr>
          <w:rStyle w:val="FootnoteReference"/>
          <w:rFonts w:cs="Arial"/>
          <w:color w:val="000000" w:themeColor="text1"/>
        </w:rPr>
        <w:footnoteReference w:id="3"/>
      </w:r>
      <w:r w:rsidR="00881A9B">
        <w:t>, accompanied by staff from the Australian High Commission</w:t>
      </w:r>
      <w:r w:rsidR="007756F0">
        <w:t xml:space="preserve"> (AHC)</w:t>
      </w:r>
      <w:r w:rsidR="00881A9B">
        <w:t>,</w:t>
      </w:r>
      <w:r w:rsidR="00305115">
        <w:t xml:space="preserve"> </w:t>
      </w:r>
      <w:r w:rsidRPr="00767B54">
        <w:t xml:space="preserve">met with a range of stakeholders in </w:t>
      </w:r>
      <w:r>
        <w:t xml:space="preserve">Islamabad, Sindh and </w:t>
      </w:r>
      <w:r w:rsidR="00297942">
        <w:t>KP.</w:t>
      </w:r>
      <w:r>
        <w:t xml:space="preserve"> </w:t>
      </w:r>
      <w:r w:rsidR="00AC5786">
        <w:t>An Aide Memoire</w:t>
      </w:r>
      <w:r w:rsidR="0047156E">
        <w:t xml:space="preserve"> </w:t>
      </w:r>
      <w:r w:rsidR="00BA089B">
        <w:t xml:space="preserve">prepared </w:t>
      </w:r>
      <w:r w:rsidR="00AC5786">
        <w:t>for Government of Pakistan stakeholders</w:t>
      </w:r>
      <w:r w:rsidR="00BA089B">
        <w:t xml:space="preserve"> in December 2016</w:t>
      </w:r>
      <w:r w:rsidR="00AC5786">
        <w:t xml:space="preserve"> is at Annex </w:t>
      </w:r>
      <w:r w:rsidR="00D20C89">
        <w:t>E</w:t>
      </w:r>
      <w:r w:rsidR="00081BB3">
        <w:t>.</w:t>
      </w:r>
    </w:p>
    <w:p w14:paraId="73921010" w14:textId="6C13168B" w:rsidR="00BA089B" w:rsidRDefault="0047156E" w:rsidP="00AC5786">
      <w:r>
        <w:t>The evaluation findings, recommendations and lessons learned presented in this report will be used to improve the Program in the remaining period of the investment. Throughout the</w:t>
      </w:r>
      <w:r w:rsidR="00AC5786" w:rsidRPr="003E33D0">
        <w:t xml:space="preserve"> report, recommendations have been highlighted in bold; they are also summarised in the Recommendations </w:t>
      </w:r>
      <w:r w:rsidR="007029F0">
        <w:t>chapter</w:t>
      </w:r>
      <w:r w:rsidR="00AC5786" w:rsidRPr="003E33D0">
        <w:t xml:space="preserve"> at the end of the </w:t>
      </w:r>
      <w:r w:rsidR="007029F0">
        <w:t>report</w:t>
      </w:r>
      <w:r w:rsidR="00AC5786" w:rsidRPr="003E33D0">
        <w:t>. Lessons learnt are integ</w:t>
      </w:r>
      <w:r w:rsidR="00AC5786">
        <w:t xml:space="preserve">rated in the text </w:t>
      </w:r>
      <w:r w:rsidR="007029F0">
        <w:t xml:space="preserve">and </w:t>
      </w:r>
      <w:r w:rsidR="00305115">
        <w:t>summarised in a list at the end of the report. A</w:t>
      </w:r>
      <w:r w:rsidR="00AC5786">
        <w:t xml:space="preserve">reas </w:t>
      </w:r>
      <w:r w:rsidR="007029F0">
        <w:t xml:space="preserve">recommended </w:t>
      </w:r>
      <w:r w:rsidR="006F2927">
        <w:t>for additional follow up are</w:t>
      </w:r>
      <w:r w:rsidR="00AC5786">
        <w:t xml:space="preserve"> highlighted</w:t>
      </w:r>
      <w:r w:rsidR="00305115">
        <w:t xml:space="preserve"> throughout the report</w:t>
      </w:r>
      <w:r w:rsidR="00AC5786">
        <w:t>.</w:t>
      </w:r>
      <w:r w:rsidR="005543F4">
        <w:t xml:space="preserve"> </w:t>
      </w:r>
    </w:p>
    <w:p w14:paraId="04805AE7" w14:textId="77777777" w:rsidR="00A12D80" w:rsidRPr="003218A0" w:rsidRDefault="00A12D80" w:rsidP="003E33D0">
      <w:pPr>
        <w:rPr>
          <w:rFonts w:eastAsia="Times New Roman" w:cs="Times New Roman"/>
          <w:sz w:val="24"/>
          <w:szCs w:val="24"/>
        </w:rPr>
      </w:pPr>
      <w:bookmarkStart w:id="14" w:name="_Toc491355877"/>
      <w:r w:rsidRPr="003E33D0">
        <w:rPr>
          <w:rStyle w:val="Heading1Char"/>
        </w:rPr>
        <w:t>Purpose and Methodology</w:t>
      </w:r>
      <w:bookmarkEnd w:id="14"/>
    </w:p>
    <w:p w14:paraId="4B2C027F" w14:textId="77777777" w:rsidR="00A5067F" w:rsidRPr="003E33D0" w:rsidRDefault="00A12D80" w:rsidP="003E33D0">
      <w:pPr>
        <w:pStyle w:val="Heading2"/>
      </w:pPr>
      <w:bookmarkStart w:id="15" w:name="_Toc491355878"/>
      <w:r w:rsidRPr="003E33D0">
        <w:t>Purpose</w:t>
      </w:r>
      <w:bookmarkEnd w:id="15"/>
    </w:p>
    <w:p w14:paraId="72688CEA" w14:textId="09C9D39B" w:rsidR="00E57D84" w:rsidRPr="009D1E94" w:rsidRDefault="007A0969" w:rsidP="00E57D84">
      <w:pPr>
        <w:pStyle w:val="ListParagraph"/>
        <w:numPr>
          <w:ilvl w:val="0"/>
          <w:numId w:val="14"/>
        </w:numPr>
        <w:rPr>
          <w:rFonts w:asciiTheme="minorHAnsi" w:hAnsiTheme="minorHAnsi"/>
          <w:sz w:val="22"/>
          <w:szCs w:val="22"/>
        </w:rPr>
      </w:pPr>
      <w:r w:rsidRPr="009D1E94">
        <w:rPr>
          <w:rFonts w:asciiTheme="minorHAnsi" w:hAnsiTheme="minorHAnsi"/>
          <w:sz w:val="22"/>
          <w:szCs w:val="22"/>
        </w:rPr>
        <w:t>To assess progress against objectives</w:t>
      </w:r>
    </w:p>
    <w:p w14:paraId="2FF2D17D" w14:textId="3354D0D4" w:rsidR="00E57D84" w:rsidRPr="009D1E94" w:rsidRDefault="00297942" w:rsidP="00E57D84">
      <w:pPr>
        <w:pStyle w:val="ListParagraph"/>
        <w:numPr>
          <w:ilvl w:val="0"/>
          <w:numId w:val="14"/>
        </w:numPr>
        <w:rPr>
          <w:rFonts w:asciiTheme="minorHAnsi" w:hAnsiTheme="minorHAnsi"/>
          <w:sz w:val="22"/>
          <w:szCs w:val="22"/>
        </w:rPr>
      </w:pPr>
      <w:r>
        <w:rPr>
          <w:rFonts w:asciiTheme="minorHAnsi" w:hAnsiTheme="minorHAnsi"/>
          <w:sz w:val="22"/>
          <w:szCs w:val="22"/>
        </w:rPr>
        <w:t>T</w:t>
      </w:r>
      <w:r w:rsidR="00594A43" w:rsidRPr="009D1E94">
        <w:rPr>
          <w:rFonts w:asciiTheme="minorHAnsi" w:hAnsiTheme="minorHAnsi"/>
          <w:sz w:val="22"/>
          <w:szCs w:val="22"/>
        </w:rPr>
        <w:t xml:space="preserve">o identify lessons learnt and </w:t>
      </w:r>
      <w:r w:rsidR="007A0969" w:rsidRPr="009D1E94">
        <w:rPr>
          <w:rFonts w:asciiTheme="minorHAnsi" w:hAnsiTheme="minorHAnsi"/>
          <w:sz w:val="22"/>
          <w:szCs w:val="22"/>
        </w:rPr>
        <w:t>recommendations to inform the remainder of the investment</w:t>
      </w:r>
      <w:r>
        <w:rPr>
          <w:rFonts w:asciiTheme="minorHAnsi" w:hAnsiTheme="minorHAnsi"/>
          <w:sz w:val="22"/>
          <w:szCs w:val="22"/>
        </w:rPr>
        <w:t>, and</w:t>
      </w:r>
    </w:p>
    <w:p w14:paraId="115B7238" w14:textId="57DC1D78" w:rsidR="00E57D84" w:rsidRPr="009D1E94" w:rsidRDefault="00297942" w:rsidP="00E57D84">
      <w:pPr>
        <w:pStyle w:val="ListParagraph"/>
        <w:numPr>
          <w:ilvl w:val="0"/>
          <w:numId w:val="14"/>
        </w:numPr>
        <w:rPr>
          <w:rFonts w:asciiTheme="minorHAnsi" w:hAnsiTheme="minorHAnsi"/>
          <w:sz w:val="22"/>
          <w:szCs w:val="22"/>
        </w:rPr>
      </w:pPr>
      <w:r>
        <w:rPr>
          <w:rFonts w:asciiTheme="minorHAnsi" w:hAnsiTheme="minorHAnsi"/>
          <w:sz w:val="22"/>
          <w:szCs w:val="22"/>
        </w:rPr>
        <w:t>T</w:t>
      </w:r>
      <w:r w:rsidR="007A0969" w:rsidRPr="009D1E94">
        <w:rPr>
          <w:rFonts w:asciiTheme="minorHAnsi" w:hAnsiTheme="minorHAnsi"/>
          <w:sz w:val="22"/>
          <w:szCs w:val="22"/>
        </w:rPr>
        <w:t>o begin scoping for a potential next phase of Australian support for EVAW in Pakistan</w:t>
      </w:r>
      <w:r>
        <w:rPr>
          <w:rFonts w:asciiTheme="minorHAnsi" w:hAnsiTheme="minorHAnsi"/>
          <w:sz w:val="22"/>
          <w:szCs w:val="22"/>
        </w:rPr>
        <w:t>.</w:t>
      </w:r>
    </w:p>
    <w:p w14:paraId="7C397E98" w14:textId="77777777" w:rsidR="00E57D84" w:rsidRDefault="00E57D84" w:rsidP="00E57D84">
      <w:pPr>
        <w:pStyle w:val="ListParagraph"/>
      </w:pPr>
    </w:p>
    <w:p w14:paraId="44BA8C86" w14:textId="3263773C" w:rsidR="003E33D0" w:rsidRPr="00E57D84" w:rsidRDefault="00594A43" w:rsidP="00E57D84">
      <w:r w:rsidRPr="00E57D84">
        <w:t>This report focuses on the first two p</w:t>
      </w:r>
      <w:r w:rsidR="00C52D51">
        <w:t>urposes</w:t>
      </w:r>
      <w:r w:rsidR="00933CA9">
        <w:t xml:space="preserve"> of the evaluation</w:t>
      </w:r>
      <w:r w:rsidR="00C52D51">
        <w:t xml:space="preserve">. </w:t>
      </w:r>
      <w:r w:rsidRPr="00E57D84">
        <w:t xml:space="preserve"> A</w:t>
      </w:r>
      <w:r w:rsidR="00BA089B">
        <w:t>s agreed with the AHC, a</w:t>
      </w:r>
      <w:r w:rsidRPr="00E57D84">
        <w:t xml:space="preserve"> separate internal paper has been developed to inform a potential next phase of Australian support </w:t>
      </w:r>
      <w:r w:rsidR="00297942">
        <w:t>following program completion</w:t>
      </w:r>
      <w:r w:rsidRPr="00E57D84">
        <w:t>.</w:t>
      </w:r>
    </w:p>
    <w:p w14:paraId="43ADBB88" w14:textId="77777777" w:rsidR="00A12D80" w:rsidRPr="003E33D0" w:rsidRDefault="007032B9" w:rsidP="003E33D0">
      <w:pPr>
        <w:pStyle w:val="Heading2"/>
      </w:pPr>
      <w:bookmarkStart w:id="16" w:name="_Toc491355879"/>
      <w:r w:rsidRPr="003E33D0">
        <w:t xml:space="preserve">Evaluation </w:t>
      </w:r>
      <w:r w:rsidR="00A12D80" w:rsidRPr="003E33D0">
        <w:t>Questions</w:t>
      </w:r>
      <w:bookmarkEnd w:id="16"/>
    </w:p>
    <w:p w14:paraId="7B003BDA" w14:textId="6A074E19" w:rsidR="00A5067F" w:rsidRPr="00E57D84" w:rsidRDefault="00786FD6" w:rsidP="00E57D84">
      <w:r w:rsidRPr="00E57D84">
        <w:t>Findings have been structured based on th</w:t>
      </w:r>
      <w:r w:rsidR="003E3F0D">
        <w:t xml:space="preserve">e four </w:t>
      </w:r>
      <w:r w:rsidR="00C52D51">
        <w:t>P</w:t>
      </w:r>
      <w:r w:rsidR="003E3F0D">
        <w:t>rogram objectives, plus</w:t>
      </w:r>
      <w:r w:rsidRPr="00E57D84">
        <w:t xml:space="preserve"> additional section</w:t>
      </w:r>
      <w:r w:rsidR="00BA04AA" w:rsidRPr="00E57D84">
        <w:t>s</w:t>
      </w:r>
      <w:r w:rsidRPr="00E57D84">
        <w:t xml:space="preserve"> on </w:t>
      </w:r>
      <w:r w:rsidR="00297942">
        <w:t>c</w:t>
      </w:r>
      <w:r w:rsidR="00BA089B">
        <w:t>ross-</w:t>
      </w:r>
      <w:r w:rsidR="00297942">
        <w:t>c</w:t>
      </w:r>
      <w:r w:rsidR="00BA089B">
        <w:t xml:space="preserve">utting </w:t>
      </w:r>
      <w:r w:rsidR="00297942">
        <w:t>i</w:t>
      </w:r>
      <w:r w:rsidR="00BA089B">
        <w:t xml:space="preserve">ssues and </w:t>
      </w:r>
      <w:r w:rsidR="00297942">
        <w:t>g</w:t>
      </w:r>
      <w:r w:rsidR="003E3F0D">
        <w:t>overnance and</w:t>
      </w:r>
      <w:r w:rsidRPr="00E57D84">
        <w:t xml:space="preserve"> </w:t>
      </w:r>
      <w:r w:rsidR="00297942">
        <w:t>m</w:t>
      </w:r>
      <w:r w:rsidRPr="00E57D84">
        <w:t>anagement</w:t>
      </w:r>
      <w:r w:rsidR="007032B9" w:rsidRPr="00E57D84">
        <w:t xml:space="preserve"> </w:t>
      </w:r>
      <w:r w:rsidR="00297942">
        <w:t>a</w:t>
      </w:r>
      <w:r w:rsidR="007032B9" w:rsidRPr="00E57D84">
        <w:t>rrangements</w:t>
      </w:r>
      <w:r w:rsidRPr="00E57D84">
        <w:t>, focuss</w:t>
      </w:r>
      <w:r w:rsidR="00BA04AA" w:rsidRPr="00E57D84">
        <w:t>ing</w:t>
      </w:r>
      <w:r w:rsidRPr="00E57D84">
        <w:t xml:space="preserve"> on </w:t>
      </w:r>
      <w:r w:rsidR="0008203F">
        <w:t>Trócaire</w:t>
      </w:r>
      <w:r w:rsidRPr="00E57D84">
        <w:t>’</w:t>
      </w:r>
      <w:r w:rsidR="00C344B7" w:rsidRPr="00E57D84">
        <w:t>s management of the program</w:t>
      </w:r>
      <w:r w:rsidR="00BA04AA" w:rsidRPr="00E57D84">
        <w:t>,</w:t>
      </w:r>
      <w:r w:rsidR="00AC00DF">
        <w:t xml:space="preserve"> </w:t>
      </w:r>
      <w:r w:rsidR="00C344B7" w:rsidRPr="00E57D84">
        <w:t>disability inclusiveness</w:t>
      </w:r>
      <w:r w:rsidR="0047156E">
        <w:t>, and the role of the AHC</w:t>
      </w:r>
      <w:r w:rsidRPr="00E57D84">
        <w:t xml:space="preserve">. </w:t>
      </w:r>
      <w:r w:rsidR="007714D1" w:rsidRPr="00E57D84">
        <w:t>In each section, the evaluation questions</w:t>
      </w:r>
      <w:r w:rsidR="007756F0" w:rsidRPr="00E57D84">
        <w:t>,</w:t>
      </w:r>
      <w:r w:rsidR="007714D1" w:rsidRPr="00E57D84">
        <w:t xml:space="preserve"> covering efficiency, effectiveness, </w:t>
      </w:r>
      <w:r w:rsidR="003E3F0D">
        <w:t>monitoring and evaluation</w:t>
      </w:r>
      <w:r w:rsidR="007714D1" w:rsidRPr="00E57D84">
        <w:t>, risk management, gender equality and sustainability</w:t>
      </w:r>
      <w:r w:rsidR="007756F0" w:rsidRPr="00E57D84">
        <w:t>,</w:t>
      </w:r>
      <w:r w:rsidR="007714D1" w:rsidRPr="00E57D84">
        <w:t xml:space="preserve"> have been addressed</w:t>
      </w:r>
      <w:r w:rsidR="007756F0" w:rsidRPr="00E57D84">
        <w:t xml:space="preserve"> (see </w:t>
      </w:r>
      <w:r w:rsidR="003E3F0D">
        <w:t>Annex B</w:t>
      </w:r>
      <w:r w:rsidR="007756F0" w:rsidRPr="00E57D84">
        <w:t xml:space="preserve"> Evaluation Plan</w:t>
      </w:r>
      <w:r w:rsidR="00E77EE9" w:rsidRPr="00E57D84">
        <w:t xml:space="preserve"> for</w:t>
      </w:r>
      <w:r w:rsidR="000D5B50">
        <w:t xml:space="preserve"> evaluation</w:t>
      </w:r>
      <w:r w:rsidR="00E77EE9" w:rsidRPr="00E57D84">
        <w:t xml:space="preserve"> questions</w:t>
      </w:r>
      <w:r w:rsidR="007756F0" w:rsidRPr="00E57D84">
        <w:t>)</w:t>
      </w:r>
      <w:r w:rsidR="007714D1" w:rsidRPr="00E57D84">
        <w:t>. Findings have been structured in this way to aid utilisation</w:t>
      </w:r>
      <w:r w:rsidR="00BA089B">
        <w:t xml:space="preserve">, </w:t>
      </w:r>
      <w:r w:rsidR="007756F0" w:rsidRPr="00E57D84">
        <w:t>and</w:t>
      </w:r>
      <w:r w:rsidR="00AC00DF">
        <w:t xml:space="preserve"> </w:t>
      </w:r>
      <w:r w:rsidR="00C344B7" w:rsidRPr="00E57D84">
        <w:t xml:space="preserve">both </w:t>
      </w:r>
      <w:r w:rsidR="007714D1" w:rsidRPr="00E57D84">
        <w:t xml:space="preserve">the AHC and </w:t>
      </w:r>
      <w:r w:rsidR="0008203F">
        <w:t>Trócaire</w:t>
      </w:r>
      <w:r w:rsidR="007714D1" w:rsidRPr="00E57D84">
        <w:t xml:space="preserve"> have endorsed this approach.</w:t>
      </w:r>
    </w:p>
    <w:p w14:paraId="5305062B" w14:textId="77777777" w:rsidR="00622F87" w:rsidRPr="003E33D0" w:rsidRDefault="00A12D80" w:rsidP="003E33D0">
      <w:pPr>
        <w:pStyle w:val="Heading2"/>
      </w:pPr>
      <w:bookmarkStart w:id="17" w:name="_Toc491355880"/>
      <w:r w:rsidRPr="003E33D0">
        <w:t>Methodology</w:t>
      </w:r>
      <w:r w:rsidR="00594A43" w:rsidRPr="003E33D0">
        <w:t xml:space="preserve"> and Limitations</w:t>
      </w:r>
      <w:bookmarkEnd w:id="17"/>
    </w:p>
    <w:p w14:paraId="02CA6FB9" w14:textId="354C1356" w:rsidR="004B1618" w:rsidRDefault="00E77EE9" w:rsidP="00E57D84">
      <w:r w:rsidRPr="00E57D84">
        <w:t>The e</w:t>
      </w:r>
      <w:r w:rsidR="004B1618" w:rsidRPr="00E57D84">
        <w:t>valuation methodology involved desk review and document analysis</w:t>
      </w:r>
      <w:r w:rsidR="00C52D51">
        <w:t xml:space="preserve"> (see Annex D for a complete list of all reference documents)</w:t>
      </w:r>
      <w:r w:rsidR="004B1618" w:rsidRPr="00E57D84">
        <w:t xml:space="preserve">, together with meetings, interviews and small group </w:t>
      </w:r>
      <w:r w:rsidR="004B1618" w:rsidRPr="00E57D84">
        <w:lastRenderedPageBreak/>
        <w:t>discussion</w:t>
      </w:r>
      <w:r w:rsidR="00AC00DF">
        <w:t>s</w:t>
      </w:r>
      <w:r w:rsidR="004B1618" w:rsidRPr="00E57D84">
        <w:t xml:space="preserve"> with program partners, beneficiaries and stakeholders in Islamabad, Sindh and KP over a two</w:t>
      </w:r>
      <w:r w:rsidR="00297942">
        <w:t xml:space="preserve"> </w:t>
      </w:r>
      <w:r w:rsidR="004B1618" w:rsidRPr="00E57D84">
        <w:t xml:space="preserve">week period. The evaluation was conducted by a DFAT Performance and Gender Specialist (team leader) and a Pakistani Gender Specialist consultant. </w:t>
      </w:r>
      <w:r w:rsidR="005D1199">
        <w:t>The team utilised a strength</w:t>
      </w:r>
      <w:r w:rsidR="00AC00DF">
        <w:t>-</w:t>
      </w:r>
      <w:r w:rsidR="005D1199">
        <w:t>based approach, where</w:t>
      </w:r>
      <w:r w:rsidR="0047156E">
        <w:t>by</w:t>
      </w:r>
      <w:r w:rsidR="005D1199">
        <w:t xml:space="preserve"> the evaluation team provided opportunities for stakeholders to reflect upon and discuss progress, lessons, </w:t>
      </w:r>
      <w:r w:rsidR="000F4FAB">
        <w:t xml:space="preserve">challenges </w:t>
      </w:r>
      <w:r w:rsidR="005D1199">
        <w:t>and strategies going forward.</w:t>
      </w:r>
    </w:p>
    <w:p w14:paraId="2B2CC65A" w14:textId="5E86EDB0" w:rsidR="00594A43" w:rsidRPr="00E57D84" w:rsidRDefault="00594A43" w:rsidP="00E57D84">
      <w:r w:rsidRPr="00E57D84">
        <w:t>The key limitation of the evaluation was the short time frame for in-country meeti</w:t>
      </w:r>
      <w:r w:rsidR="00E83F17" w:rsidRPr="00E57D84">
        <w:t>ngs and</w:t>
      </w:r>
      <w:r w:rsidR="00AC00DF">
        <w:t xml:space="preserve"> </w:t>
      </w:r>
      <w:r w:rsidR="001715FE" w:rsidRPr="00E57D84">
        <w:t xml:space="preserve">field </w:t>
      </w:r>
      <w:r w:rsidR="00253B40">
        <w:t>visits. Over the two-</w:t>
      </w:r>
      <w:r w:rsidRPr="00E57D84">
        <w:t xml:space="preserve">week period, the evaluation </w:t>
      </w:r>
      <w:r w:rsidR="00C65C5B" w:rsidRPr="00E57D84">
        <w:t>team travelled to Islamabad (</w:t>
      </w:r>
      <w:r w:rsidR="00A60076">
        <w:t>three</w:t>
      </w:r>
      <w:r w:rsidR="00C65C5B" w:rsidRPr="00E57D84">
        <w:t xml:space="preserve"> days), Sindh (</w:t>
      </w:r>
      <w:r w:rsidR="00A60076">
        <w:t>three</w:t>
      </w:r>
      <w:r w:rsidR="00C65C5B" w:rsidRPr="00E57D84">
        <w:t xml:space="preserve"> days) and KP (</w:t>
      </w:r>
      <w:r w:rsidR="00A60076">
        <w:t>two and a half</w:t>
      </w:r>
      <w:r w:rsidR="00C65C5B" w:rsidRPr="00E57D84">
        <w:t xml:space="preserve"> days). Security considerations limited the time available for discussion with</w:t>
      </w:r>
      <w:r w:rsidR="00AC00DF">
        <w:t xml:space="preserve"> </w:t>
      </w:r>
      <w:r w:rsidR="00123D29" w:rsidRPr="00E57D84">
        <w:t>partners and beneficiaries.</w:t>
      </w:r>
      <w:r w:rsidR="00C65C5B" w:rsidRPr="00E57D84">
        <w:t xml:space="preserve"> Due to both logistical and</w:t>
      </w:r>
      <w:r w:rsidR="000D5B50">
        <w:t xml:space="preserve"> security restrictions</w:t>
      </w:r>
      <w:r w:rsidR="00C65C5B" w:rsidRPr="00E57D84">
        <w:t xml:space="preserve">, the team </w:t>
      </w:r>
      <w:r w:rsidR="0047156E">
        <w:t>did</w:t>
      </w:r>
      <w:r w:rsidR="00C65C5B" w:rsidRPr="00E57D84">
        <w:t xml:space="preserve"> not travel to Swat district in KP</w:t>
      </w:r>
      <w:r w:rsidR="0047156E">
        <w:t>. It met instead</w:t>
      </w:r>
      <w:r w:rsidR="00C65C5B" w:rsidRPr="00E57D84">
        <w:t xml:space="preserve"> with PVDP staff and </w:t>
      </w:r>
      <w:r w:rsidR="00123D29" w:rsidRPr="00E57D84">
        <w:t xml:space="preserve">male </w:t>
      </w:r>
      <w:r w:rsidR="00C65C5B" w:rsidRPr="00E57D84">
        <w:t>program beneficiaries in Islamabad</w:t>
      </w:r>
      <w:r w:rsidR="00E77EE9" w:rsidRPr="00E57D84">
        <w:t xml:space="preserve">, </w:t>
      </w:r>
      <w:r w:rsidR="0047156E">
        <w:t xml:space="preserve">but </w:t>
      </w:r>
      <w:r w:rsidR="00E77EE9" w:rsidRPr="00E57D84">
        <w:t>as a result the team was unable to</w:t>
      </w:r>
      <w:r w:rsidR="00123D29" w:rsidRPr="00E57D84">
        <w:t xml:space="preserve"> meet with any female beneficiaries from Swat</w:t>
      </w:r>
      <w:r w:rsidR="00C65C5B" w:rsidRPr="00E57D84">
        <w:t>.</w:t>
      </w:r>
      <w:r w:rsidR="001715FE" w:rsidRPr="00E57D84">
        <w:t xml:space="preserve"> The team</w:t>
      </w:r>
      <w:r w:rsidR="00123D29" w:rsidRPr="00E57D84">
        <w:t xml:space="preserve"> did not have </w:t>
      </w:r>
      <w:r w:rsidR="005D1199">
        <w:t>sufficient time</w:t>
      </w:r>
      <w:r w:rsidR="00123D29" w:rsidRPr="00E57D84">
        <w:t xml:space="preserve"> to meet with some of th</w:t>
      </w:r>
      <w:r w:rsidR="00AB2500" w:rsidRPr="00E57D84">
        <w:t>e technical partners (Rozan</w:t>
      </w:r>
      <w:r w:rsidR="00123D29" w:rsidRPr="00E57D84">
        <w:t>) or previous partners (AMAL, SEHER) and some stakeholders (</w:t>
      </w:r>
      <w:r w:rsidR="00A60076" w:rsidRPr="002C5962">
        <w:t>National Commission on the Status of Women</w:t>
      </w:r>
      <w:r w:rsidR="00A60076" w:rsidRPr="00E57D84">
        <w:t xml:space="preserve"> </w:t>
      </w:r>
      <w:r w:rsidR="00A60076">
        <w:t>(</w:t>
      </w:r>
      <w:r w:rsidR="00123D29" w:rsidRPr="00E57D84">
        <w:t>NCSW</w:t>
      </w:r>
      <w:r w:rsidR="00A60076">
        <w:t>)</w:t>
      </w:r>
      <w:r w:rsidR="00123D29" w:rsidRPr="00E57D84">
        <w:t xml:space="preserve">, KP </w:t>
      </w:r>
      <w:r w:rsidR="00A60076" w:rsidRPr="002C5962">
        <w:t>Provincial Commission on the Status of Women</w:t>
      </w:r>
      <w:r w:rsidR="00A60076" w:rsidRPr="00E57D84">
        <w:t xml:space="preserve"> </w:t>
      </w:r>
      <w:r w:rsidR="00A60076">
        <w:t>(</w:t>
      </w:r>
      <w:r w:rsidR="00123D29" w:rsidRPr="00E57D84">
        <w:t>PCSW</w:t>
      </w:r>
      <w:r w:rsidR="00A60076">
        <w:t>)</w:t>
      </w:r>
      <w:r w:rsidR="00123D29" w:rsidRPr="00E57D84">
        <w:t>, KP Police</w:t>
      </w:r>
      <w:r w:rsidR="006F2927">
        <w:t>,</w:t>
      </w:r>
      <w:r w:rsidR="00CE1DF0">
        <w:t xml:space="preserve"> </w:t>
      </w:r>
      <w:r w:rsidR="006629CD" w:rsidRPr="00E57D84">
        <w:t>etc.</w:t>
      </w:r>
      <w:r w:rsidR="00123D29" w:rsidRPr="00E57D84">
        <w:t>).</w:t>
      </w:r>
      <w:r w:rsidR="004B1618" w:rsidRPr="00E57D84">
        <w:t xml:space="preserve"> Additional days were included in the contract of the Pakistani consultant following the </w:t>
      </w:r>
      <w:r w:rsidR="00A60076">
        <w:t>two</w:t>
      </w:r>
      <w:r w:rsidR="006629CD">
        <w:t>-</w:t>
      </w:r>
      <w:r w:rsidR="004B1618" w:rsidRPr="00E57D84">
        <w:t xml:space="preserve">week in-country </w:t>
      </w:r>
      <w:r w:rsidR="001715FE" w:rsidRPr="00E57D84">
        <w:t>mission</w:t>
      </w:r>
      <w:r w:rsidR="004B1618" w:rsidRPr="00E57D84">
        <w:t xml:space="preserve">, to allow for follow-up </w:t>
      </w:r>
      <w:r w:rsidR="001715FE" w:rsidRPr="00E57D84">
        <w:t>meetings</w:t>
      </w:r>
      <w:r w:rsidR="004B1618" w:rsidRPr="00E57D84">
        <w:t xml:space="preserve"> to fill information gaps and for</w:t>
      </w:r>
      <w:r w:rsidR="00A60076">
        <w:t xml:space="preserve"> data</w:t>
      </w:r>
      <w:r w:rsidR="004B1618" w:rsidRPr="00E57D84">
        <w:t xml:space="preserve"> triangulation.</w:t>
      </w:r>
      <w:r w:rsidR="00BA089B" w:rsidRPr="00BA089B">
        <w:t xml:space="preserve"> </w:t>
      </w:r>
      <w:r w:rsidR="00BA089B">
        <w:t>Any areas that could not be comprehensively assessed during the timeframe are flagged in this report for further follow up.</w:t>
      </w:r>
    </w:p>
    <w:p w14:paraId="6FC242BC" w14:textId="10FE86D4" w:rsidR="005D1199" w:rsidRPr="00E57D84" w:rsidRDefault="00C65C5B" w:rsidP="002D514F">
      <w:r w:rsidRPr="00E57D84">
        <w:t xml:space="preserve">The other key limitation was that the evaluation team </w:t>
      </w:r>
      <w:r w:rsidR="00BA089B">
        <w:t>mainly</w:t>
      </w:r>
      <w:r w:rsidR="00BA089B" w:rsidRPr="00E57D84">
        <w:t xml:space="preserve"> </w:t>
      </w:r>
      <w:r w:rsidRPr="00E57D84">
        <w:t>met with people associated with the investment,</w:t>
      </w:r>
      <w:r w:rsidR="00AC00DF">
        <w:t xml:space="preserve"> meaning there was</w:t>
      </w:r>
      <w:r w:rsidRPr="00E57D84">
        <w:t xml:space="preserve"> no ‘control group’ included in the sample. While not ideal, this was unavoidable given the short timeframe of the evaluation. Positive bias has </w:t>
      </w:r>
      <w:r w:rsidR="00AC00DF">
        <w:t>also</w:t>
      </w:r>
      <w:r w:rsidR="00CE1DF0">
        <w:t xml:space="preserve"> </w:t>
      </w:r>
      <w:r w:rsidRPr="00E57D84">
        <w:t>been factored into the evaluation findings</w:t>
      </w:r>
      <w:r w:rsidR="00CE1DF0">
        <w:t>,</w:t>
      </w:r>
      <w:r w:rsidR="00AC00DF">
        <w:t xml:space="preserve"> given most respondents were </w:t>
      </w:r>
      <w:r w:rsidR="00813502">
        <w:t xml:space="preserve">identified </w:t>
      </w:r>
      <w:r w:rsidR="00AC00DF">
        <w:t xml:space="preserve">by </w:t>
      </w:r>
      <w:r w:rsidR="0008203F">
        <w:t>Trócaire</w:t>
      </w:r>
      <w:r w:rsidR="00AC00DF">
        <w:t xml:space="preserve"> and program implementing partners</w:t>
      </w:r>
      <w:r w:rsidR="00813502">
        <w:t xml:space="preserve"> ahead of the evaluation visit</w:t>
      </w:r>
      <w:r w:rsidRPr="00E57D84">
        <w:t>.</w:t>
      </w:r>
      <w:r w:rsidR="00CE1DF0">
        <w:t xml:space="preserve"> </w:t>
      </w:r>
    </w:p>
    <w:p w14:paraId="0A87278D" w14:textId="77777777" w:rsidR="004B1618" w:rsidRPr="00E57D84" w:rsidRDefault="00C65C5B" w:rsidP="00E57D84">
      <w:pPr>
        <w:jc w:val="both"/>
      </w:pPr>
      <w:r w:rsidRPr="00E57D84">
        <w:t>Significant attention was given to Do No Harm considerations to ensure the evaluation team’s visit did not increase the risks for program staff and beneficiaries</w:t>
      </w:r>
      <w:r w:rsidR="001715FE" w:rsidRPr="00E57D84">
        <w:t>, particularly when visiting the two shelters</w:t>
      </w:r>
      <w:r w:rsidRPr="00E57D84">
        <w:t xml:space="preserve">. </w:t>
      </w:r>
      <w:r w:rsidR="004B1618" w:rsidRPr="00E57D84">
        <w:t>Actions taken included</w:t>
      </w:r>
      <w:r w:rsidR="001715FE" w:rsidRPr="00E57D84">
        <w:t>:</w:t>
      </w:r>
    </w:p>
    <w:p w14:paraId="7E050C6F" w14:textId="79596787" w:rsidR="00E57D84" w:rsidRPr="002C5962" w:rsidRDefault="00A60076" w:rsidP="00E57D84">
      <w:pPr>
        <w:pStyle w:val="ListParagraph"/>
        <w:numPr>
          <w:ilvl w:val="0"/>
          <w:numId w:val="15"/>
        </w:numPr>
        <w:rPr>
          <w:rFonts w:asciiTheme="minorHAnsi" w:hAnsiTheme="minorHAnsi"/>
          <w:sz w:val="22"/>
          <w:szCs w:val="22"/>
        </w:rPr>
      </w:pPr>
      <w:r>
        <w:rPr>
          <w:rFonts w:asciiTheme="minorHAnsi" w:hAnsiTheme="minorHAnsi"/>
          <w:sz w:val="22"/>
          <w:szCs w:val="22"/>
        </w:rPr>
        <w:t>c</w:t>
      </w:r>
      <w:r w:rsidR="0047156E">
        <w:rPr>
          <w:rFonts w:asciiTheme="minorHAnsi" w:hAnsiTheme="minorHAnsi"/>
          <w:sz w:val="22"/>
          <w:szCs w:val="22"/>
        </w:rPr>
        <w:t>lose consultation</w:t>
      </w:r>
      <w:r w:rsidR="004B1618" w:rsidRPr="002C5962">
        <w:rPr>
          <w:rFonts w:asciiTheme="minorHAnsi" w:hAnsiTheme="minorHAnsi"/>
          <w:sz w:val="22"/>
          <w:szCs w:val="22"/>
        </w:rPr>
        <w:t xml:space="preserve"> with NGO partners and survivors living in shelters regarding their level of comfort around the evaluation team visit</w:t>
      </w:r>
      <w:r w:rsidR="003E1970" w:rsidRPr="002C5962">
        <w:rPr>
          <w:rFonts w:asciiTheme="minorHAnsi" w:hAnsiTheme="minorHAnsi"/>
          <w:sz w:val="22"/>
          <w:szCs w:val="22"/>
        </w:rPr>
        <w:t>; and</w:t>
      </w:r>
    </w:p>
    <w:p w14:paraId="22BAF1B7" w14:textId="75E5AA23" w:rsidR="00E57D84" w:rsidRPr="002C5962" w:rsidRDefault="00A60076" w:rsidP="00E57D84">
      <w:pPr>
        <w:pStyle w:val="ListParagraph"/>
        <w:numPr>
          <w:ilvl w:val="0"/>
          <w:numId w:val="15"/>
        </w:numPr>
        <w:rPr>
          <w:rFonts w:asciiTheme="minorHAnsi" w:hAnsiTheme="minorHAnsi"/>
          <w:sz w:val="22"/>
          <w:szCs w:val="22"/>
        </w:rPr>
      </w:pPr>
      <w:r>
        <w:rPr>
          <w:rFonts w:asciiTheme="minorHAnsi" w:hAnsiTheme="minorHAnsi"/>
          <w:sz w:val="22"/>
          <w:szCs w:val="22"/>
        </w:rPr>
        <w:t>r</w:t>
      </w:r>
      <w:r w:rsidR="003E1970" w:rsidRPr="002C5962">
        <w:rPr>
          <w:rFonts w:asciiTheme="minorHAnsi" w:hAnsiTheme="minorHAnsi"/>
          <w:sz w:val="22"/>
          <w:szCs w:val="22"/>
        </w:rPr>
        <w:t xml:space="preserve">educing </w:t>
      </w:r>
      <w:r w:rsidR="004B1618" w:rsidRPr="002C5962">
        <w:rPr>
          <w:rFonts w:asciiTheme="minorHAnsi" w:hAnsiTheme="minorHAnsi"/>
          <w:sz w:val="22"/>
          <w:szCs w:val="22"/>
        </w:rPr>
        <w:t>the size of the evaluation team and police escorts to minimise the profile of the team while not compromising on security</w:t>
      </w:r>
      <w:r w:rsidR="0047156E">
        <w:rPr>
          <w:rFonts w:asciiTheme="minorHAnsi" w:hAnsiTheme="minorHAnsi"/>
          <w:sz w:val="22"/>
          <w:szCs w:val="22"/>
        </w:rPr>
        <w:t>.</w:t>
      </w:r>
    </w:p>
    <w:p w14:paraId="78D7C8D4" w14:textId="77777777" w:rsidR="00E57D84" w:rsidRPr="00E57D84" w:rsidRDefault="00E57D84" w:rsidP="00E57D84">
      <w:pPr>
        <w:pStyle w:val="ListParagraph"/>
      </w:pPr>
    </w:p>
    <w:p w14:paraId="09405492" w14:textId="7916135B" w:rsidR="007D78C1" w:rsidRDefault="00312C18" w:rsidP="00E57D84">
      <w:r w:rsidRPr="00744D21">
        <w:t xml:space="preserve">It should be noted that although Australian Government funding commenced in </w:t>
      </w:r>
      <w:r w:rsidR="003E1970">
        <w:t>May</w:t>
      </w:r>
      <w:r w:rsidRPr="00744D21">
        <w:t xml:space="preserve"> 2014,</w:t>
      </w:r>
      <w:r w:rsidR="00AC00DF">
        <w:t xml:space="preserve"> </w:t>
      </w:r>
      <w:r w:rsidR="0008203F">
        <w:t>Trócaire</w:t>
      </w:r>
      <w:r w:rsidRPr="00744D21">
        <w:t xml:space="preserve"> had already been implementing the </w:t>
      </w:r>
      <w:r w:rsidR="000F4FAB">
        <w:t>P</w:t>
      </w:r>
      <w:r w:rsidRPr="00744D21">
        <w:t xml:space="preserve">rogram since </w:t>
      </w:r>
      <w:r w:rsidR="00155B29">
        <w:t>2008</w:t>
      </w:r>
      <w:r w:rsidRPr="00744D21">
        <w:t xml:space="preserve"> with funding from Irish Aid</w:t>
      </w:r>
      <w:r w:rsidR="003752F6">
        <w:t xml:space="preserve"> (with a strong focus on GBV since 2012)</w:t>
      </w:r>
      <w:r w:rsidRPr="00744D21">
        <w:t xml:space="preserve">. </w:t>
      </w:r>
      <w:r w:rsidR="00F51593">
        <w:t xml:space="preserve">A scoping mission undertaken by the Australian Government in 2013 shortlisted </w:t>
      </w:r>
      <w:r w:rsidR="0008203F">
        <w:t>Trócaire</w:t>
      </w:r>
      <w:r w:rsidR="00F51593">
        <w:t xml:space="preserve"> as it had a strong existing GBV program. </w:t>
      </w:r>
      <w:r w:rsidR="002C5962">
        <w:t>In some cases t</w:t>
      </w:r>
      <w:r w:rsidRPr="00744D21">
        <w:t xml:space="preserve">he outcomes </w:t>
      </w:r>
      <w:r w:rsidR="005D1199">
        <w:t xml:space="preserve">achieved </w:t>
      </w:r>
      <w:r w:rsidR="00C36314">
        <w:t xml:space="preserve">by the program to date </w:t>
      </w:r>
      <w:r w:rsidR="005D1199">
        <w:t xml:space="preserve">and </w:t>
      </w:r>
      <w:r w:rsidRPr="00744D21">
        <w:t>outlined in this report are</w:t>
      </w:r>
      <w:r w:rsidR="00C36314">
        <w:t xml:space="preserve"> therefore</w:t>
      </w:r>
      <w:r w:rsidRPr="00744D21">
        <w:t xml:space="preserve"> the result of a</w:t>
      </w:r>
      <w:r w:rsidR="007F586B">
        <w:t>n eight</w:t>
      </w:r>
      <w:r w:rsidR="00A60076">
        <w:t>-</w:t>
      </w:r>
      <w:r w:rsidRPr="00744D21">
        <w:t>year intervention</w:t>
      </w:r>
      <w:r w:rsidR="006F2927">
        <w:t xml:space="preserve"> (</w:t>
      </w:r>
      <w:r w:rsidR="007F586B">
        <w:t xml:space="preserve">six </w:t>
      </w:r>
      <w:r w:rsidR="006F2927">
        <w:t>years funded by Irish Aid, and two</w:t>
      </w:r>
      <w:r w:rsidR="005D1199">
        <w:t xml:space="preserve"> years funded by </w:t>
      </w:r>
      <w:r w:rsidR="00C36314">
        <w:t>Australian Government</w:t>
      </w:r>
      <w:r w:rsidR="005D1199">
        <w:t>)</w:t>
      </w:r>
      <w:r w:rsidRPr="00744D21">
        <w:t>.</w:t>
      </w:r>
    </w:p>
    <w:p w14:paraId="03F919B8" w14:textId="21414723" w:rsidR="00C34941" w:rsidRDefault="005D1199" w:rsidP="003E33D0">
      <w:r>
        <w:t>Furthermore, this i</w:t>
      </w:r>
      <w:r w:rsidRPr="00E57D84">
        <w:t xml:space="preserve">ndependent evaluation was originally planned to occur </w:t>
      </w:r>
      <w:r w:rsidR="00A60076">
        <w:t>between late</w:t>
      </w:r>
      <w:r w:rsidR="000F4FAB">
        <w:t xml:space="preserve"> </w:t>
      </w:r>
      <w:r w:rsidRPr="00E57D84">
        <w:t>2015</w:t>
      </w:r>
      <w:r w:rsidR="00A60076">
        <w:t xml:space="preserve"> and </w:t>
      </w:r>
      <w:r w:rsidR="000F4FAB">
        <w:t>early 2016</w:t>
      </w:r>
      <w:r w:rsidRPr="00E57D84">
        <w:t xml:space="preserve"> as a mid-term review to inform the last two years of the investment. However, due to unforeseeable circumstances</w:t>
      </w:r>
      <w:r w:rsidR="00A60076">
        <w:t>,</w:t>
      </w:r>
      <w:r w:rsidRPr="00E57D84">
        <w:t xml:space="preserve"> the evaluation was delayed and the implementing partner </w:t>
      </w:r>
      <w:r w:rsidR="0008203F">
        <w:t>Trócaire</w:t>
      </w:r>
      <w:r w:rsidRPr="00E57D84">
        <w:t xml:space="preserve"> had to make programming decisions about the remainder of the investment without the evaluation </w:t>
      </w:r>
      <w:r w:rsidRPr="00E57D84">
        <w:lastRenderedPageBreak/>
        <w:t>findings to guide these decisions. New contracts and partnerships were therefore put in place in 2016</w:t>
      </w:r>
      <w:r w:rsidR="00C36314">
        <w:t>,</w:t>
      </w:r>
      <w:r w:rsidR="00CE1DF0">
        <w:t xml:space="preserve"> </w:t>
      </w:r>
      <w:r w:rsidR="00C36314">
        <w:t xml:space="preserve">under what </w:t>
      </w:r>
      <w:r w:rsidR="0008203F">
        <w:t>Trócaire</w:t>
      </w:r>
      <w:r w:rsidR="00C36314">
        <w:t xml:space="preserve"> </w:t>
      </w:r>
      <w:r w:rsidR="00BA089B">
        <w:t xml:space="preserve">refers to as </w:t>
      </w:r>
      <w:r w:rsidR="00C36314">
        <w:t xml:space="preserve">‘Phase </w:t>
      </w:r>
      <w:r w:rsidR="00A60076">
        <w:t>Two</w:t>
      </w:r>
      <w:r w:rsidR="00C36314">
        <w:t>’</w:t>
      </w:r>
      <w:r w:rsidRPr="00E57D84">
        <w:t>.</w:t>
      </w:r>
    </w:p>
    <w:p w14:paraId="065C4F8F" w14:textId="77777777" w:rsidR="00A12D80" w:rsidRPr="003E33D0" w:rsidRDefault="00A12D80" w:rsidP="003E33D0">
      <w:bookmarkStart w:id="18" w:name="_Toc491355881"/>
      <w:r w:rsidRPr="003E33D0">
        <w:rPr>
          <w:rStyle w:val="Heading1Char"/>
        </w:rPr>
        <w:t>Context</w:t>
      </w:r>
      <w:bookmarkEnd w:id="18"/>
    </w:p>
    <w:p w14:paraId="1E64DEC4" w14:textId="2B7DF409" w:rsidR="00137B73" w:rsidRPr="003E33D0" w:rsidRDefault="00493E5F" w:rsidP="003E33D0">
      <w:pPr>
        <w:pStyle w:val="Heading2"/>
      </w:pPr>
      <w:bookmarkStart w:id="19" w:name="_Toc491355882"/>
      <w:r w:rsidRPr="003E33D0">
        <w:t xml:space="preserve">Violence </w:t>
      </w:r>
      <w:r w:rsidR="00A60076">
        <w:t>a</w:t>
      </w:r>
      <w:r w:rsidRPr="003E33D0">
        <w:t xml:space="preserve">gainst </w:t>
      </w:r>
      <w:r w:rsidR="00A60076">
        <w:t>w</w:t>
      </w:r>
      <w:r w:rsidRPr="003E33D0">
        <w:t xml:space="preserve">omen and </w:t>
      </w:r>
      <w:r w:rsidR="00A60076">
        <w:t>g</w:t>
      </w:r>
      <w:r w:rsidRPr="003E33D0">
        <w:t>irls</w:t>
      </w:r>
      <w:r w:rsidR="00A12D80" w:rsidRPr="003E33D0">
        <w:t xml:space="preserve"> in Pakistan</w:t>
      </w:r>
      <w:bookmarkEnd w:id="19"/>
    </w:p>
    <w:p w14:paraId="1EC2D96D" w14:textId="0DE43AC1" w:rsidR="00C915C3" w:rsidRDefault="00C915C3" w:rsidP="00C915C3">
      <w:pPr>
        <w:pStyle w:val="Quote"/>
      </w:pPr>
      <w:r>
        <w:t>“93 percent of all women in Pakistan face violence. What is the payment for a Jirga? It is a woman.” – DIG Police, Hyderabad</w:t>
      </w:r>
    </w:p>
    <w:p w14:paraId="341BE45E" w14:textId="4D68CA6A" w:rsidR="0059066C" w:rsidRDefault="005473F9" w:rsidP="00673572">
      <w:r>
        <w:t xml:space="preserve">The Government of </w:t>
      </w:r>
      <w:r w:rsidRPr="00F60B97">
        <w:t xml:space="preserve">Pakistan has adopted a number of key international commitments on gender equality and women’s human rights. Despite these </w:t>
      </w:r>
      <w:r>
        <w:t xml:space="preserve">and its own national </w:t>
      </w:r>
      <w:r w:rsidRPr="00F60B97">
        <w:t>commitments, Pakistan’s ranking on gender equality remains one of the lowest in the world</w:t>
      </w:r>
      <w:r w:rsidR="00AF21E1">
        <w:t>,</w:t>
      </w:r>
      <w:r w:rsidRPr="00F60B97">
        <w:t xml:space="preserve"> with the Global Gender Gap Report 2016</w:t>
      </w:r>
      <w:r w:rsidRPr="00F60B97">
        <w:rPr>
          <w:rStyle w:val="FootnoteReference"/>
          <w:rFonts w:ascii="Times New Roman" w:hAnsi="Times New Roman" w:cs="Times New Roman"/>
          <w:sz w:val="24"/>
          <w:szCs w:val="24"/>
        </w:rPr>
        <w:footnoteReference w:id="4"/>
      </w:r>
      <w:r w:rsidRPr="00F60B97">
        <w:t xml:space="preserve"> ranking Pakistan 143 out of 144 countries </w:t>
      </w:r>
      <w:r w:rsidRPr="00F60B97">
        <w:rPr>
          <w:rFonts w:eastAsia="Times New Roman"/>
          <w:color w:val="252525"/>
        </w:rPr>
        <w:t>in its gender inequality index.</w:t>
      </w:r>
      <w:r w:rsidR="00AF21E1">
        <w:rPr>
          <w:rFonts w:eastAsia="Times New Roman"/>
          <w:color w:val="252525"/>
        </w:rPr>
        <w:t xml:space="preserve"> </w:t>
      </w:r>
      <w:r w:rsidR="00D12CAE">
        <w:t>Compounding</w:t>
      </w:r>
      <w:r>
        <w:t xml:space="preserve"> the </w:t>
      </w:r>
      <w:r w:rsidRPr="00F60B97">
        <w:t xml:space="preserve">extremely poor gender equality indicators are social norms and customs that relegate women to a second-rate status in society. Pakistan is also one of the few countries in the world </w:t>
      </w:r>
      <w:r w:rsidR="00A60076">
        <w:t>with a greater proportion of males to female</w:t>
      </w:r>
      <w:r w:rsidR="00893175">
        <w:t>.</w:t>
      </w:r>
      <w:r w:rsidRPr="00F60B97">
        <w:t xml:space="preserve"> </w:t>
      </w:r>
    </w:p>
    <w:p w14:paraId="28B085CC" w14:textId="18AE43AA" w:rsidR="00413C75" w:rsidRDefault="005473F9" w:rsidP="00413C75">
      <w:r w:rsidRPr="00AB46F8">
        <w:t xml:space="preserve">The </w:t>
      </w:r>
      <w:r w:rsidR="00A60076" w:rsidRPr="00893175">
        <w:rPr>
          <w:i/>
        </w:rPr>
        <w:t>2012-2013</w:t>
      </w:r>
      <w:r w:rsidR="00A60076">
        <w:t xml:space="preserve"> </w:t>
      </w:r>
      <w:r w:rsidRPr="00893175">
        <w:rPr>
          <w:i/>
        </w:rPr>
        <w:t>Pakistan Demographic and Health Survey</w:t>
      </w:r>
      <w:r>
        <w:t xml:space="preserve"> (PDHS)</w:t>
      </w:r>
      <w:r w:rsidRPr="00AB46F8">
        <w:rPr>
          <w:rStyle w:val="FootnoteReference"/>
          <w:rFonts w:ascii="Times New Roman" w:hAnsi="Times New Roman" w:cs="Times New Roman"/>
          <w:sz w:val="24"/>
          <w:szCs w:val="24"/>
        </w:rPr>
        <w:footnoteReference w:id="5"/>
      </w:r>
      <w:r w:rsidRPr="00AB46F8">
        <w:t xml:space="preserve"> found that approximately one-third of</w:t>
      </w:r>
      <w:r w:rsidR="00A60076">
        <w:t xml:space="preserve"> women </w:t>
      </w:r>
      <w:r w:rsidRPr="00AB46F8">
        <w:t>aged 15 to 49 had experienced physical violence at least once and 19 percent had experienced physical violence within the 12 months prior to the survey. Approximately 40 percent of women were subject to spousal abuse at some point in their life and the most common form of violence was emotional violence, reported by about 32 percent of women. It was reported that 52 percent of the women who experienced violence never sought help or ever told anyone about the violence they had experienced.</w:t>
      </w:r>
      <w:r>
        <w:t xml:space="preserve"> Overall 34 percent of rural women experienced physical violence as compared to 28 percent of urban women.</w:t>
      </w:r>
      <w:r w:rsidR="00413C75" w:rsidRPr="00413C75">
        <w:t xml:space="preserve"> </w:t>
      </w:r>
    </w:p>
    <w:p w14:paraId="10F1AF9C" w14:textId="774948C2" w:rsidR="00364C47" w:rsidRDefault="00413C75" w:rsidP="00E57D84">
      <w:r>
        <w:t xml:space="preserve">The </w:t>
      </w:r>
      <w:r w:rsidRPr="00893175">
        <w:rPr>
          <w:i/>
        </w:rPr>
        <w:t xml:space="preserve">2015 </w:t>
      </w:r>
      <w:r w:rsidR="00D83A59" w:rsidRPr="00893175">
        <w:rPr>
          <w:i/>
        </w:rPr>
        <w:t>A</w:t>
      </w:r>
      <w:r w:rsidRPr="00893175">
        <w:rPr>
          <w:i/>
        </w:rPr>
        <w:t xml:space="preserve">nnual </w:t>
      </w:r>
      <w:r w:rsidR="00D83A59" w:rsidRPr="00893175">
        <w:rPr>
          <w:i/>
        </w:rPr>
        <w:t>R</w:t>
      </w:r>
      <w:r w:rsidRPr="00893175">
        <w:rPr>
          <w:i/>
        </w:rPr>
        <w:t>eport of the Human Rights Commission of Pakistan</w:t>
      </w:r>
      <w:r>
        <w:t xml:space="preserve"> (HRCP)</w:t>
      </w:r>
      <w:r>
        <w:rPr>
          <w:rStyle w:val="FootnoteReference"/>
          <w:rFonts w:ascii="Times New Roman" w:hAnsi="Times New Roman" w:cs="Times New Roman"/>
          <w:sz w:val="24"/>
          <w:szCs w:val="24"/>
        </w:rPr>
        <w:footnoteReference w:id="6"/>
      </w:r>
      <w:r>
        <w:t xml:space="preserve"> cites that</w:t>
      </w:r>
      <w:r w:rsidR="00D12CAE">
        <w:t>:</w:t>
      </w:r>
      <w:r>
        <w:t xml:space="preserve"> </w:t>
      </w:r>
      <w:r w:rsidRPr="00CD79D0">
        <w:t xml:space="preserve">939 women </w:t>
      </w:r>
      <w:r>
        <w:t>were</w:t>
      </w:r>
      <w:r w:rsidRPr="00CD79D0">
        <w:t xml:space="preserve"> victims of sexual violence</w:t>
      </w:r>
      <w:r>
        <w:t>;</w:t>
      </w:r>
      <w:r w:rsidRPr="00CD79D0">
        <w:t xml:space="preserve"> 279 of domestic violence</w:t>
      </w:r>
      <w:r>
        <w:t xml:space="preserve">; </w:t>
      </w:r>
      <w:r w:rsidRPr="00CD79D0">
        <w:t>143 women were attacked with acid or were set on fire</w:t>
      </w:r>
      <w:r>
        <w:t>;</w:t>
      </w:r>
      <w:r w:rsidRPr="00CD79D0">
        <w:t xml:space="preserve"> 833 women were kidnapped</w:t>
      </w:r>
      <w:r>
        <w:t xml:space="preserve">; </w:t>
      </w:r>
      <w:r w:rsidR="00D12CAE">
        <w:t xml:space="preserve">and </w:t>
      </w:r>
      <w:r>
        <w:t xml:space="preserve">987 </w:t>
      </w:r>
      <w:r w:rsidR="00D12CAE">
        <w:t>were victims</w:t>
      </w:r>
      <w:r>
        <w:t xml:space="preserve"> of ‘honour crimes’</w:t>
      </w:r>
      <w:r w:rsidRPr="00CD79D0">
        <w:t xml:space="preserve">. </w:t>
      </w:r>
      <w:r>
        <w:t>The report further states that</w:t>
      </w:r>
      <w:r w:rsidR="00D12CAE">
        <w:t>,</w:t>
      </w:r>
      <w:r>
        <w:t xml:space="preserve"> d</w:t>
      </w:r>
      <w:r w:rsidRPr="00CD79D0">
        <w:t xml:space="preserve">espite the </w:t>
      </w:r>
      <w:r w:rsidR="00D12CAE">
        <w:t>number</w:t>
      </w:r>
      <w:r w:rsidRPr="00CD79D0">
        <w:t xml:space="preserve"> of cases, th</w:t>
      </w:r>
      <w:r>
        <w:t>e rate of prosecution remains</w:t>
      </w:r>
      <w:r w:rsidRPr="00CD79D0">
        <w:t xml:space="preserve"> low.</w:t>
      </w:r>
    </w:p>
    <w:p w14:paraId="22EABB01" w14:textId="450BB7FE" w:rsidR="0018780D" w:rsidRDefault="00364C47" w:rsidP="00E57D84">
      <w:pPr>
        <w:rPr>
          <w:color w:val="212121"/>
          <w:spacing w:val="2"/>
        </w:rPr>
      </w:pPr>
      <w:r>
        <w:t>It is expected that these prevalence rates</w:t>
      </w:r>
      <w:r w:rsidR="00AF21E1">
        <w:t xml:space="preserve"> </w:t>
      </w:r>
      <w:r>
        <w:t>are</w:t>
      </w:r>
      <w:r w:rsidR="00AF21E1">
        <w:t xml:space="preserve"> </w:t>
      </w:r>
      <w:r w:rsidR="0018780D">
        <w:t>severely underestimated. Pakistani newspaper reports often cite</w:t>
      </w:r>
      <w:r w:rsidR="00493E5F">
        <w:t xml:space="preserve"> 92</w:t>
      </w:r>
      <w:r w:rsidR="00AF21E1">
        <w:t xml:space="preserve"> </w:t>
      </w:r>
      <w:r w:rsidR="00BB00AE">
        <w:t>percent</w:t>
      </w:r>
      <w:r w:rsidR="0018780D">
        <w:t xml:space="preserve">. </w:t>
      </w:r>
      <w:r w:rsidR="0018780D" w:rsidRPr="009502D7">
        <w:t>According to Thomas Reuters Foundation around 90 percent of Pakistani women face domestic abuse while thousands of women get killed in the name of honour each year.</w:t>
      </w:r>
      <w:r w:rsidR="0018780D">
        <w:rPr>
          <w:rStyle w:val="FootnoteReference"/>
        </w:rPr>
        <w:footnoteReference w:id="7"/>
      </w:r>
      <w:r w:rsidR="00AF21E1">
        <w:t xml:space="preserve"> </w:t>
      </w:r>
    </w:p>
    <w:p w14:paraId="2214EC35" w14:textId="0188339E" w:rsidR="00FA26C0" w:rsidRPr="00E57D84" w:rsidRDefault="00FA26C0" w:rsidP="00FE5D44">
      <w:r w:rsidRPr="00281392">
        <w:t xml:space="preserve">The </w:t>
      </w:r>
      <w:r w:rsidR="00D83A59">
        <w:t>NCSW</w:t>
      </w:r>
      <w:r w:rsidR="00413C75">
        <w:t xml:space="preserve"> </w:t>
      </w:r>
      <w:r>
        <w:t xml:space="preserve">in collaboration with the </w:t>
      </w:r>
      <w:r w:rsidR="00865D52">
        <w:t>Pakistan</w:t>
      </w:r>
      <w:r>
        <w:t xml:space="preserve"> Bureau of Statistics</w:t>
      </w:r>
      <w:r w:rsidR="00413C75">
        <w:t>,</w:t>
      </w:r>
      <w:r>
        <w:t xml:space="preserve"> was to undertake a</w:t>
      </w:r>
      <w:r w:rsidRPr="00281392">
        <w:t xml:space="preserve"> national survey on violence against women</w:t>
      </w:r>
      <w:r>
        <w:t xml:space="preserve"> in 2016</w:t>
      </w:r>
      <w:r w:rsidR="00413C75">
        <w:t xml:space="preserve"> but </w:t>
      </w:r>
      <w:r>
        <w:t>this was delayed and is now expected to be undertaken in 2017.</w:t>
      </w:r>
      <w:r w:rsidR="00413C75">
        <w:t xml:space="preserve"> </w:t>
      </w:r>
      <w:r w:rsidR="00FE5D44" w:rsidRPr="00FE5D44">
        <w:rPr>
          <w:b/>
        </w:rPr>
        <w:t xml:space="preserve">It is recommended that </w:t>
      </w:r>
      <w:r w:rsidR="0008203F">
        <w:rPr>
          <w:b/>
        </w:rPr>
        <w:t>Trócaire</w:t>
      </w:r>
      <w:r w:rsidR="00FE5D44" w:rsidRPr="00FE5D44">
        <w:rPr>
          <w:b/>
        </w:rPr>
        <w:t xml:space="preserve"> be part of the NCSW national survey on violence against </w:t>
      </w:r>
      <w:r w:rsidR="00FE5D44" w:rsidRPr="00FE5D44">
        <w:rPr>
          <w:b/>
        </w:rPr>
        <w:lastRenderedPageBreak/>
        <w:t>women through collaboration with the implementing agencies, where it can provide technical input, as well as provide access to data from its implementing partners, particularly the shelters.</w:t>
      </w:r>
    </w:p>
    <w:p w14:paraId="17B674BD" w14:textId="434C5D93" w:rsidR="005473F9" w:rsidRPr="00E57D84" w:rsidRDefault="005473F9" w:rsidP="00E57D84">
      <w:pPr>
        <w:rPr>
          <w:color w:val="000000"/>
        </w:rPr>
      </w:pPr>
      <w:r w:rsidRPr="00281392">
        <w:t>Despite efforts in recent years to enact legislation protecting women from violence</w:t>
      </w:r>
      <w:r w:rsidR="00413C75">
        <w:t xml:space="preserve"> </w:t>
      </w:r>
      <w:r w:rsidR="00D20C89">
        <w:t>(refer to Annex F</w:t>
      </w:r>
      <w:r w:rsidR="00C60AD8">
        <w:t xml:space="preserve"> for </w:t>
      </w:r>
      <w:r w:rsidR="00D12CAE">
        <w:t xml:space="preserve">a </w:t>
      </w:r>
      <w:r w:rsidR="00C60AD8">
        <w:t xml:space="preserve">listing of national </w:t>
      </w:r>
      <w:r w:rsidR="004D5A21">
        <w:t xml:space="preserve">and provincial </w:t>
      </w:r>
      <w:r w:rsidR="00C60AD8">
        <w:t>laws related to women and GBV)</w:t>
      </w:r>
      <w:r w:rsidR="00C60AD8" w:rsidRPr="00281392">
        <w:t xml:space="preserve">, </w:t>
      </w:r>
      <w:r w:rsidR="00413C75">
        <w:t>women and girls</w:t>
      </w:r>
      <w:r w:rsidR="00413C75" w:rsidRPr="00281392">
        <w:t xml:space="preserve"> </w:t>
      </w:r>
      <w:r w:rsidRPr="00281392">
        <w:t xml:space="preserve">continue to be denied equality and protection </w:t>
      </w:r>
      <w:r w:rsidR="004D5A21">
        <w:t>under the</w:t>
      </w:r>
      <w:r w:rsidR="004D5A21" w:rsidRPr="00281392">
        <w:t xml:space="preserve"> </w:t>
      </w:r>
      <w:r w:rsidRPr="00281392">
        <w:t>law.</w:t>
      </w:r>
      <w:r w:rsidR="00712BB9">
        <w:rPr>
          <w:rStyle w:val="FootnoteReference"/>
        </w:rPr>
        <w:footnoteReference w:id="8"/>
      </w:r>
      <w:r w:rsidR="00413C75">
        <w:t xml:space="preserve"> </w:t>
      </w:r>
      <w:r w:rsidR="004D5A21">
        <w:rPr>
          <w:bCs/>
          <w:color w:val="000000"/>
          <w:shd w:val="clear" w:color="auto" w:fill="FFFFFF"/>
        </w:rPr>
        <w:t>Alongside the criminal justice system,</w:t>
      </w:r>
      <w:r w:rsidRPr="004B224C">
        <w:rPr>
          <w:bCs/>
          <w:color w:val="000000"/>
          <w:shd w:val="clear" w:color="auto" w:fill="FFFFFF"/>
        </w:rPr>
        <w:t xml:space="preserve"> there is </w:t>
      </w:r>
      <w:r w:rsidR="004D5A21">
        <w:rPr>
          <w:bCs/>
          <w:color w:val="000000"/>
          <w:shd w:val="clear" w:color="auto" w:fill="FFFFFF"/>
        </w:rPr>
        <w:t xml:space="preserve">also </w:t>
      </w:r>
      <w:r>
        <w:rPr>
          <w:bCs/>
          <w:color w:val="000000"/>
          <w:shd w:val="clear" w:color="auto" w:fill="FFFFFF"/>
        </w:rPr>
        <w:t>the</w:t>
      </w:r>
      <w:r w:rsidR="00413C75">
        <w:rPr>
          <w:bCs/>
          <w:color w:val="000000"/>
          <w:shd w:val="clear" w:color="auto" w:fill="FFFFFF"/>
        </w:rPr>
        <w:t xml:space="preserve"> </w:t>
      </w:r>
      <w:r w:rsidRPr="004B224C">
        <w:rPr>
          <w:bCs/>
          <w:shd w:val="clear" w:color="auto" w:fill="FFFFFF"/>
        </w:rPr>
        <w:t>Council of Islamic Ideology,</w:t>
      </w:r>
      <w:r w:rsidRPr="004B224C">
        <w:rPr>
          <w:bCs/>
          <w:color w:val="000000"/>
          <w:shd w:val="clear" w:color="auto" w:fill="FFFFFF"/>
        </w:rPr>
        <w:t xml:space="preserve"> a constitutional body</w:t>
      </w:r>
      <w:r w:rsidR="006B482C">
        <w:rPr>
          <w:bCs/>
          <w:color w:val="000000"/>
          <w:shd w:val="clear" w:color="auto" w:fill="FFFFFF"/>
        </w:rPr>
        <w:t xml:space="preserve"> established in 1962 that</w:t>
      </w:r>
      <w:r w:rsidRPr="004B224C">
        <w:rPr>
          <w:bCs/>
          <w:color w:val="000000"/>
          <w:shd w:val="clear" w:color="auto" w:fill="FFFFFF"/>
        </w:rPr>
        <w:t xml:space="preserve"> </w:t>
      </w:r>
      <w:r w:rsidR="006B482C">
        <w:rPr>
          <w:bCs/>
          <w:color w:val="000000"/>
          <w:shd w:val="clear" w:color="auto" w:fill="FFFFFF"/>
        </w:rPr>
        <w:t xml:space="preserve">provides non-binding </w:t>
      </w:r>
      <w:r w:rsidRPr="004B224C">
        <w:rPr>
          <w:bCs/>
          <w:color w:val="000000"/>
          <w:shd w:val="clear" w:color="auto" w:fill="FFFFFF"/>
        </w:rPr>
        <w:t>advi</w:t>
      </w:r>
      <w:r w:rsidR="006B482C">
        <w:rPr>
          <w:bCs/>
          <w:color w:val="000000"/>
          <w:shd w:val="clear" w:color="auto" w:fill="FFFFFF"/>
        </w:rPr>
        <w:t>ce to</w:t>
      </w:r>
      <w:r w:rsidRPr="004B224C">
        <w:rPr>
          <w:bCs/>
          <w:color w:val="000000"/>
          <w:shd w:val="clear" w:color="auto" w:fill="FFFFFF"/>
        </w:rPr>
        <w:t xml:space="preserve"> the Parliament on whether or not a certain law is </w:t>
      </w:r>
      <w:r w:rsidR="00364C47">
        <w:rPr>
          <w:bCs/>
          <w:color w:val="000000"/>
          <w:shd w:val="clear" w:color="auto" w:fill="FFFFFF"/>
        </w:rPr>
        <w:t>in accordance with Islam</w:t>
      </w:r>
      <w:r w:rsidR="004D5A21">
        <w:rPr>
          <w:bCs/>
          <w:color w:val="000000"/>
          <w:shd w:val="clear" w:color="auto" w:fill="FFFFFF"/>
        </w:rPr>
        <w:t xml:space="preserve">. </w:t>
      </w:r>
      <w:r w:rsidR="006B482C">
        <w:rPr>
          <w:bCs/>
          <w:color w:val="000000"/>
          <w:shd w:val="clear" w:color="auto" w:fill="FFFFFF"/>
        </w:rPr>
        <w:t>Whilst its decisions are non-binding the</w:t>
      </w:r>
      <w:r w:rsidRPr="004B224C">
        <w:rPr>
          <w:bCs/>
          <w:color w:val="000000"/>
          <w:shd w:val="clear" w:color="auto" w:fill="FFFFFF"/>
        </w:rPr>
        <w:t xml:space="preserve"> </w:t>
      </w:r>
      <w:r w:rsidRPr="004B224C">
        <w:t xml:space="preserve">Federal </w:t>
      </w:r>
      <w:r w:rsidR="00BA4573" w:rsidRPr="006F2927">
        <w:rPr>
          <w:i/>
        </w:rPr>
        <w:t>Shariat</w:t>
      </w:r>
      <w:r w:rsidR="00413C75">
        <w:rPr>
          <w:i/>
        </w:rPr>
        <w:t xml:space="preserve"> </w:t>
      </w:r>
      <w:r w:rsidRPr="004B224C">
        <w:t>Court</w:t>
      </w:r>
      <w:r w:rsidR="006B482C">
        <w:t xml:space="preserve"> established in 1982</w:t>
      </w:r>
      <w:r w:rsidR="004D5A21">
        <w:t xml:space="preserve"> under the Pakistan Constitution</w:t>
      </w:r>
      <w:r w:rsidRPr="004B224C">
        <w:rPr>
          <w:color w:val="000000"/>
        </w:rPr>
        <w:t xml:space="preserve"> has the power to examine and determine whether Pakistani laws</w:t>
      </w:r>
      <w:r w:rsidR="006B482C">
        <w:rPr>
          <w:color w:val="000000"/>
        </w:rPr>
        <w:t xml:space="preserve"> against god (including those that provide for women’s protection from rape) </w:t>
      </w:r>
      <w:r w:rsidRPr="004B224C">
        <w:rPr>
          <w:color w:val="000000"/>
        </w:rPr>
        <w:t xml:space="preserve">comply with </w:t>
      </w:r>
      <w:r w:rsidRPr="005110B4">
        <w:rPr>
          <w:i/>
          <w:color w:val="000000"/>
        </w:rPr>
        <w:t>Sharia</w:t>
      </w:r>
      <w:r w:rsidR="0007576B">
        <w:rPr>
          <w:color w:val="000000"/>
        </w:rPr>
        <w:t xml:space="preserve"> l</w:t>
      </w:r>
      <w:r w:rsidRPr="004B224C">
        <w:rPr>
          <w:color w:val="000000"/>
        </w:rPr>
        <w:t>aws.</w:t>
      </w:r>
      <w:r w:rsidR="004D5A21">
        <w:rPr>
          <w:color w:val="000000"/>
        </w:rPr>
        <w:t xml:space="preserve"> </w:t>
      </w:r>
      <w:r w:rsidR="006B482C">
        <w:rPr>
          <w:color w:val="000000"/>
        </w:rPr>
        <w:t xml:space="preserve">The greatest power remains with </w:t>
      </w:r>
      <w:r w:rsidR="004D5A21">
        <w:rPr>
          <w:color w:val="000000"/>
        </w:rPr>
        <w:t>t</w:t>
      </w:r>
      <w:r w:rsidR="00413C75">
        <w:rPr>
          <w:color w:val="000000"/>
        </w:rPr>
        <w:t xml:space="preserve">he </w:t>
      </w:r>
      <w:r w:rsidR="00413C75" w:rsidRPr="002D514F">
        <w:rPr>
          <w:i/>
          <w:color w:val="000000"/>
        </w:rPr>
        <w:t>Jirga</w:t>
      </w:r>
      <w:r w:rsidR="00413C75">
        <w:rPr>
          <w:color w:val="000000"/>
        </w:rPr>
        <w:t xml:space="preserve"> system, a</w:t>
      </w:r>
      <w:r w:rsidR="00282A6E">
        <w:rPr>
          <w:color w:val="000000"/>
        </w:rPr>
        <w:t>n</w:t>
      </w:r>
      <w:r w:rsidR="00413C75">
        <w:rPr>
          <w:color w:val="000000"/>
        </w:rPr>
        <w:t xml:space="preserve"> </w:t>
      </w:r>
      <w:r w:rsidR="00282A6E">
        <w:rPr>
          <w:color w:val="000000"/>
        </w:rPr>
        <w:t>informal</w:t>
      </w:r>
      <w:r w:rsidR="00D12CAE">
        <w:rPr>
          <w:color w:val="000000"/>
        </w:rPr>
        <w:t>, local</w:t>
      </w:r>
      <w:r w:rsidR="00282A6E">
        <w:rPr>
          <w:color w:val="000000"/>
        </w:rPr>
        <w:t xml:space="preserve"> decision-</w:t>
      </w:r>
      <w:r w:rsidR="00413C75">
        <w:rPr>
          <w:color w:val="000000"/>
        </w:rPr>
        <w:t xml:space="preserve">making body </w:t>
      </w:r>
      <w:r w:rsidR="00AE4A13">
        <w:rPr>
          <w:color w:val="000000"/>
        </w:rPr>
        <w:t xml:space="preserve">at the community level </w:t>
      </w:r>
      <w:r w:rsidR="00282A6E">
        <w:rPr>
          <w:color w:val="000000"/>
        </w:rPr>
        <w:t>comprised of male elders</w:t>
      </w:r>
      <w:r w:rsidR="006B482C">
        <w:rPr>
          <w:color w:val="000000"/>
        </w:rPr>
        <w:t>. This</w:t>
      </w:r>
      <w:r w:rsidR="00282A6E">
        <w:rPr>
          <w:color w:val="000000"/>
        </w:rPr>
        <w:t xml:space="preserve"> is stronger than the formal justice system </w:t>
      </w:r>
      <w:r w:rsidR="006B482C">
        <w:rPr>
          <w:color w:val="000000"/>
        </w:rPr>
        <w:t>throughout</w:t>
      </w:r>
      <w:r w:rsidR="00282A6E">
        <w:rPr>
          <w:color w:val="000000"/>
        </w:rPr>
        <w:t xml:space="preserve"> much of the country</w:t>
      </w:r>
      <w:r w:rsidR="00712BB9">
        <w:rPr>
          <w:color w:val="000000"/>
        </w:rPr>
        <w:t xml:space="preserve">, </w:t>
      </w:r>
      <w:r w:rsidR="00413C75">
        <w:rPr>
          <w:color w:val="000000"/>
        </w:rPr>
        <w:t>but it of</w:t>
      </w:r>
      <w:r w:rsidR="004D5A21">
        <w:rPr>
          <w:color w:val="000000"/>
        </w:rPr>
        <w:t>ten rules against the interests of women.</w:t>
      </w:r>
      <w:r w:rsidR="00413C75">
        <w:rPr>
          <w:color w:val="000000"/>
        </w:rPr>
        <w:t xml:space="preserve"> </w:t>
      </w:r>
    </w:p>
    <w:p w14:paraId="4DA93513" w14:textId="586C98D4" w:rsidR="00673572" w:rsidRDefault="009B5796" w:rsidP="008A37E7">
      <w:pPr>
        <w:rPr>
          <w:lang w:val="en-GB"/>
        </w:rPr>
      </w:pPr>
      <w:r>
        <w:rPr>
          <w:bCs/>
        </w:rPr>
        <w:t>WCCs</w:t>
      </w:r>
      <w:r w:rsidR="004D5A21">
        <w:rPr>
          <w:bCs/>
          <w:i/>
        </w:rPr>
        <w:t xml:space="preserve"> </w:t>
      </w:r>
      <w:r w:rsidR="00673572" w:rsidRPr="009502D7">
        <w:t xml:space="preserve">were established by the government in 1997 to provide support services for women and girl </w:t>
      </w:r>
      <w:r w:rsidR="0059066C">
        <w:t>survivors of</w:t>
      </w:r>
      <w:r w:rsidR="00673572" w:rsidRPr="009502D7">
        <w:t xml:space="preserve"> violence. The </w:t>
      </w:r>
      <w:r w:rsidR="00D12CAE">
        <w:t>purpose</w:t>
      </w:r>
      <w:r w:rsidR="00673572" w:rsidRPr="009502D7">
        <w:t xml:space="preserve"> of the </w:t>
      </w:r>
      <w:r w:rsidR="006F2927">
        <w:t>centre</w:t>
      </w:r>
      <w:r w:rsidR="00673572" w:rsidRPr="009502D7">
        <w:t xml:space="preserve">s is to operate as a first stop drop-in referral facility offering immediate and independent </w:t>
      </w:r>
      <w:r w:rsidR="00673572" w:rsidRPr="009502D7">
        <w:rPr>
          <w:bCs/>
        </w:rPr>
        <w:t>legal aid, medical aid, temporary shelter in the case of emergencies, social and psychological counse</w:t>
      </w:r>
      <w:r w:rsidR="0007576B">
        <w:rPr>
          <w:bCs/>
        </w:rPr>
        <w:t>l</w:t>
      </w:r>
      <w:r w:rsidR="00673572" w:rsidRPr="009502D7">
        <w:rPr>
          <w:bCs/>
        </w:rPr>
        <w:t xml:space="preserve">ling, </w:t>
      </w:r>
      <w:r w:rsidR="0007576B">
        <w:rPr>
          <w:bCs/>
        </w:rPr>
        <w:t xml:space="preserve">and </w:t>
      </w:r>
      <w:r w:rsidR="00673572" w:rsidRPr="009502D7">
        <w:rPr>
          <w:bCs/>
        </w:rPr>
        <w:t>linkage</w:t>
      </w:r>
      <w:r w:rsidR="00D12CAE">
        <w:rPr>
          <w:bCs/>
        </w:rPr>
        <w:t>s</w:t>
      </w:r>
      <w:r w:rsidR="00673572" w:rsidRPr="009502D7">
        <w:rPr>
          <w:bCs/>
        </w:rPr>
        <w:t xml:space="preserve"> with law enfor</w:t>
      </w:r>
      <w:r w:rsidR="004D5A21">
        <w:rPr>
          <w:bCs/>
        </w:rPr>
        <w:t>cement</w:t>
      </w:r>
      <w:r w:rsidR="00673572" w:rsidRPr="009502D7">
        <w:rPr>
          <w:bCs/>
        </w:rPr>
        <w:t xml:space="preserve"> agencies and telephone helplines. </w:t>
      </w:r>
      <w:r w:rsidR="004D5A21">
        <w:rPr>
          <w:bCs/>
        </w:rPr>
        <w:t>Most are only open Monday to Friday, 9am – 5pm.</w:t>
      </w:r>
    </w:p>
    <w:p w14:paraId="6F65FF81" w14:textId="4C37588C" w:rsidR="00673572" w:rsidRPr="008A37E7" w:rsidRDefault="00673572" w:rsidP="008A37E7">
      <w:pPr>
        <w:rPr>
          <w:lang w:val="en-GB"/>
        </w:rPr>
      </w:pPr>
      <w:r w:rsidRPr="009502D7">
        <w:rPr>
          <w:rFonts w:eastAsia="Calibri"/>
        </w:rPr>
        <w:t>GBV survivors requiring shelter can also access g</w:t>
      </w:r>
      <w:r w:rsidRPr="009502D7">
        <w:t>overnment run shelters for women known as</w:t>
      </w:r>
      <w:r w:rsidR="004D5A21">
        <w:t xml:space="preserve"> </w:t>
      </w:r>
      <w:r w:rsidRPr="00775C7A">
        <w:rPr>
          <w:rFonts w:eastAsia="Calibri"/>
          <w:i/>
        </w:rPr>
        <w:t>Darul</w:t>
      </w:r>
      <w:r w:rsidR="004D5A21">
        <w:rPr>
          <w:rFonts w:eastAsia="Calibri"/>
          <w:i/>
        </w:rPr>
        <w:t xml:space="preserve"> </w:t>
      </w:r>
      <w:r w:rsidRPr="00775C7A">
        <w:rPr>
          <w:rFonts w:eastAsia="Calibri"/>
          <w:i/>
        </w:rPr>
        <w:t>Aman</w:t>
      </w:r>
      <w:r w:rsidR="004D5A21">
        <w:rPr>
          <w:rFonts w:eastAsia="Calibri"/>
        </w:rPr>
        <w:t>.</w:t>
      </w:r>
      <w:r w:rsidRPr="009502D7">
        <w:rPr>
          <w:rFonts w:eastAsia="Calibri"/>
        </w:rPr>
        <w:t xml:space="preserve"> </w:t>
      </w:r>
      <w:r w:rsidR="00282A6E">
        <w:rPr>
          <w:rFonts w:eastAsia="Calibri"/>
        </w:rPr>
        <w:t xml:space="preserve">Admission to these shelters, and permission to leave, </w:t>
      </w:r>
      <w:r w:rsidR="004D5A21">
        <w:rPr>
          <w:rFonts w:eastAsia="Calibri"/>
        </w:rPr>
        <w:t xml:space="preserve">is through court order. </w:t>
      </w:r>
      <w:r w:rsidRPr="009502D7">
        <w:rPr>
          <w:lang w:val="en-GB"/>
        </w:rPr>
        <w:t xml:space="preserve">There are multiple concerns and issues surrounding </w:t>
      </w:r>
      <w:r w:rsidRPr="00775C7A">
        <w:rPr>
          <w:i/>
          <w:lang w:val="en-GB"/>
        </w:rPr>
        <w:t>Darul</w:t>
      </w:r>
      <w:r w:rsidR="00712BB9">
        <w:rPr>
          <w:i/>
          <w:lang w:val="en-GB"/>
        </w:rPr>
        <w:t xml:space="preserve"> </w:t>
      </w:r>
      <w:r w:rsidRPr="00775C7A">
        <w:rPr>
          <w:i/>
          <w:lang w:val="en-GB"/>
        </w:rPr>
        <w:t>Amans</w:t>
      </w:r>
      <w:r w:rsidRPr="009502D7">
        <w:rPr>
          <w:lang w:val="en-GB"/>
        </w:rPr>
        <w:t xml:space="preserve"> </w:t>
      </w:r>
      <w:r w:rsidR="00712BB9">
        <w:rPr>
          <w:lang w:val="en-GB"/>
        </w:rPr>
        <w:t xml:space="preserve">- </w:t>
      </w:r>
      <w:r w:rsidRPr="009502D7">
        <w:rPr>
          <w:lang w:val="en-GB"/>
        </w:rPr>
        <w:t>some of these have been documented in a 2007 survey</w:t>
      </w:r>
      <w:r w:rsidR="00712BB9">
        <w:rPr>
          <w:rFonts w:eastAsia="Times New Roman"/>
          <w:color w:val="222222"/>
        </w:rPr>
        <w:t>.</w:t>
      </w:r>
      <w:r w:rsidRPr="009502D7">
        <w:rPr>
          <w:rStyle w:val="FootnoteReference"/>
          <w:rFonts w:ascii="Times New Roman" w:eastAsia="Times New Roman" w:hAnsi="Times New Roman" w:cs="Times New Roman"/>
          <w:color w:val="222222"/>
          <w:sz w:val="24"/>
          <w:szCs w:val="24"/>
        </w:rPr>
        <w:footnoteReference w:id="9"/>
      </w:r>
      <w:r w:rsidRPr="009502D7">
        <w:rPr>
          <w:rFonts w:eastAsia="Times New Roman"/>
          <w:color w:val="222222"/>
        </w:rPr>
        <w:t xml:space="preserve"> Most provincial</w:t>
      </w:r>
      <w:r w:rsidRPr="009502D7">
        <w:t xml:space="preserve"> governments have revised the </w:t>
      </w:r>
      <w:r w:rsidR="00712BB9">
        <w:t>Standard Operating Procedures (</w:t>
      </w:r>
      <w:r w:rsidR="007C2948">
        <w:t>SOPs</w:t>
      </w:r>
      <w:r w:rsidR="00712BB9">
        <w:t>)</w:t>
      </w:r>
      <w:r w:rsidRPr="009502D7">
        <w:t xml:space="preserve"> for the </w:t>
      </w:r>
      <w:r w:rsidRPr="00775C7A">
        <w:rPr>
          <w:i/>
        </w:rPr>
        <w:t>Darul</w:t>
      </w:r>
      <w:r w:rsidR="00712BB9">
        <w:rPr>
          <w:i/>
        </w:rPr>
        <w:t xml:space="preserve"> </w:t>
      </w:r>
      <w:r w:rsidRPr="00775C7A">
        <w:rPr>
          <w:i/>
        </w:rPr>
        <w:t>Amans</w:t>
      </w:r>
      <w:r w:rsidRPr="009502D7">
        <w:t xml:space="preserve"> </w:t>
      </w:r>
      <w:r w:rsidR="00D83A59">
        <w:t>to</w:t>
      </w:r>
      <w:r w:rsidRPr="009502D7">
        <w:t xml:space="preserve"> focus on improving working relations between law enforc</w:t>
      </w:r>
      <w:r w:rsidR="00D12CAE">
        <w:t>ement</w:t>
      </w:r>
      <w:r w:rsidRPr="009502D7">
        <w:t xml:space="preserve"> agencies and </w:t>
      </w:r>
      <w:r w:rsidR="004545BA">
        <w:t xml:space="preserve">relevant </w:t>
      </w:r>
      <w:r w:rsidRPr="009502D7">
        <w:t xml:space="preserve">government </w:t>
      </w:r>
      <w:r w:rsidR="004545BA">
        <w:t xml:space="preserve">line </w:t>
      </w:r>
      <w:r w:rsidRPr="009502D7">
        <w:t>departments</w:t>
      </w:r>
      <w:r w:rsidRPr="009502D7">
        <w:rPr>
          <w:lang w:val="en-GB"/>
        </w:rPr>
        <w:t>. However</w:t>
      </w:r>
      <w:r w:rsidR="00775C7A">
        <w:rPr>
          <w:lang w:val="en-GB"/>
        </w:rPr>
        <w:t>,</w:t>
      </w:r>
      <w:r w:rsidRPr="009502D7">
        <w:rPr>
          <w:lang w:val="en-GB"/>
        </w:rPr>
        <w:t xml:space="preserve"> there </w:t>
      </w:r>
      <w:r w:rsidR="00775C7A">
        <w:rPr>
          <w:lang w:val="en-GB"/>
        </w:rPr>
        <w:t>is</w:t>
      </w:r>
      <w:r w:rsidRPr="009502D7">
        <w:rPr>
          <w:lang w:val="en-GB"/>
        </w:rPr>
        <w:t xml:space="preserve"> considerable need to reform and integrate the existing </w:t>
      </w:r>
      <w:r w:rsidR="009B5796">
        <w:rPr>
          <w:lang w:val="en-GB"/>
        </w:rPr>
        <w:t xml:space="preserve">WCCs </w:t>
      </w:r>
      <w:r w:rsidR="00775C7A">
        <w:rPr>
          <w:lang w:val="en-GB"/>
        </w:rPr>
        <w:t>with the</w:t>
      </w:r>
      <w:r w:rsidR="00712BB9">
        <w:rPr>
          <w:lang w:val="en-GB"/>
        </w:rPr>
        <w:t xml:space="preserve"> </w:t>
      </w:r>
      <w:r w:rsidRPr="00775C7A">
        <w:rPr>
          <w:i/>
          <w:lang w:val="en-GB"/>
        </w:rPr>
        <w:t>Darul</w:t>
      </w:r>
      <w:r w:rsidR="00712BB9">
        <w:rPr>
          <w:i/>
          <w:lang w:val="en-GB"/>
        </w:rPr>
        <w:t xml:space="preserve"> </w:t>
      </w:r>
      <w:r w:rsidRPr="00775C7A">
        <w:rPr>
          <w:i/>
          <w:lang w:val="en-GB"/>
        </w:rPr>
        <w:t>Amans</w:t>
      </w:r>
      <w:r w:rsidR="00712BB9">
        <w:rPr>
          <w:i/>
          <w:lang w:val="en-GB"/>
        </w:rPr>
        <w:t>,</w:t>
      </w:r>
      <w:r w:rsidRPr="009502D7">
        <w:rPr>
          <w:lang w:val="en-GB"/>
        </w:rPr>
        <w:t xml:space="preserve"> linking them with other services provided by provincial governments, particularly police, hospitals and judicial court systems. </w:t>
      </w:r>
    </w:p>
    <w:p w14:paraId="3707DD64" w14:textId="57606B31" w:rsidR="00673572" w:rsidRPr="00081BB3" w:rsidRDefault="00673572" w:rsidP="008A37E7">
      <w:pPr>
        <w:rPr>
          <w:color w:val="231F20"/>
        </w:rPr>
      </w:pPr>
      <w:r w:rsidRPr="009502D7">
        <w:rPr>
          <w:lang w:val="en-GB"/>
        </w:rPr>
        <w:t>Overall</w:t>
      </w:r>
      <w:r w:rsidR="00282A6E">
        <w:rPr>
          <w:lang w:val="en-GB"/>
        </w:rPr>
        <w:t>,</w:t>
      </w:r>
      <w:r w:rsidRPr="009502D7">
        <w:rPr>
          <w:lang w:val="en-GB"/>
        </w:rPr>
        <w:t xml:space="preserve"> t</w:t>
      </w:r>
      <w:r w:rsidRPr="009502D7">
        <w:t xml:space="preserve">here are structural, procedural and capacity gaps in government support services for the protection of GBV survivors compounded by a </w:t>
      </w:r>
      <w:r w:rsidRPr="009502D7">
        <w:rPr>
          <w:color w:val="231F20"/>
        </w:rPr>
        <w:t xml:space="preserve">shortage of </w:t>
      </w:r>
      <w:r w:rsidR="008F034C">
        <w:rPr>
          <w:color w:val="231F20"/>
        </w:rPr>
        <w:t>financial and human resources.</w:t>
      </w:r>
      <w:r w:rsidR="00712BB9">
        <w:rPr>
          <w:color w:val="231F20"/>
        </w:rPr>
        <w:t xml:space="preserve"> </w:t>
      </w:r>
      <w:r w:rsidRPr="009502D7">
        <w:rPr>
          <w:lang w:val="en-GB"/>
        </w:rPr>
        <w:t>Private</w:t>
      </w:r>
      <w:r w:rsidR="00D12CAE">
        <w:rPr>
          <w:lang w:val="en-GB"/>
        </w:rPr>
        <w:t xml:space="preserve"> (</w:t>
      </w:r>
      <w:r w:rsidRPr="009502D7">
        <w:rPr>
          <w:lang w:val="en-GB"/>
        </w:rPr>
        <w:t>NGO</w:t>
      </w:r>
      <w:r w:rsidR="00D12CAE">
        <w:rPr>
          <w:lang w:val="en-GB"/>
        </w:rPr>
        <w:t>)</w:t>
      </w:r>
      <w:r w:rsidRPr="009502D7">
        <w:rPr>
          <w:lang w:val="en-GB"/>
        </w:rPr>
        <w:t xml:space="preserve"> shelters are few in number and</w:t>
      </w:r>
      <w:r w:rsidR="008B7F81">
        <w:rPr>
          <w:lang w:val="en-GB"/>
        </w:rPr>
        <w:t xml:space="preserve"> their funding streams are </w:t>
      </w:r>
      <w:r w:rsidR="006629CD">
        <w:rPr>
          <w:lang w:val="en-GB"/>
        </w:rPr>
        <w:t>unreliable,</w:t>
      </w:r>
      <w:r w:rsidR="007F586B">
        <w:rPr>
          <w:lang w:val="en-GB"/>
        </w:rPr>
        <w:t xml:space="preserve"> as they do not receive</w:t>
      </w:r>
      <w:r w:rsidR="00813502">
        <w:rPr>
          <w:lang w:val="en-GB"/>
        </w:rPr>
        <w:t xml:space="preserve"> annual</w:t>
      </w:r>
      <w:r w:rsidR="007F586B">
        <w:rPr>
          <w:lang w:val="en-GB"/>
        </w:rPr>
        <w:t xml:space="preserve"> </w:t>
      </w:r>
      <w:r w:rsidR="00813502">
        <w:rPr>
          <w:lang w:val="en-GB"/>
        </w:rPr>
        <w:t xml:space="preserve">Government </w:t>
      </w:r>
      <w:r w:rsidR="007F586B">
        <w:rPr>
          <w:lang w:val="en-GB"/>
        </w:rPr>
        <w:t>funding</w:t>
      </w:r>
      <w:r w:rsidR="008B7F81">
        <w:rPr>
          <w:lang w:val="en-GB"/>
        </w:rPr>
        <w:t xml:space="preserve">. </w:t>
      </w:r>
      <w:r w:rsidR="00712BB9">
        <w:rPr>
          <w:lang w:val="en-GB"/>
        </w:rPr>
        <w:t>Given the prevalence of GBV i</w:t>
      </w:r>
      <w:r w:rsidR="00D100B5">
        <w:rPr>
          <w:lang w:val="en-GB"/>
        </w:rPr>
        <w:t>n</w:t>
      </w:r>
      <w:r w:rsidR="00712BB9">
        <w:rPr>
          <w:lang w:val="en-GB"/>
        </w:rPr>
        <w:t xml:space="preserve"> Pakistan, there are a number of donors and international NGOs working in this space, including</w:t>
      </w:r>
      <w:r w:rsidR="00282A6E">
        <w:rPr>
          <w:lang w:val="en-GB"/>
        </w:rPr>
        <w:t xml:space="preserve"> </w:t>
      </w:r>
      <w:r w:rsidR="00712BB9">
        <w:rPr>
          <w:lang w:val="en-GB"/>
        </w:rPr>
        <w:t xml:space="preserve">UN Women, Oxfam, </w:t>
      </w:r>
      <w:r w:rsidR="00D100B5">
        <w:rPr>
          <w:lang w:val="en-GB"/>
        </w:rPr>
        <w:t>the United States Agency for International Development (US</w:t>
      </w:r>
      <w:r w:rsidR="00712BB9">
        <w:rPr>
          <w:lang w:val="en-GB"/>
        </w:rPr>
        <w:t>AID</w:t>
      </w:r>
      <w:r w:rsidR="00D100B5">
        <w:rPr>
          <w:lang w:val="en-GB"/>
        </w:rPr>
        <w:t>)</w:t>
      </w:r>
      <w:r w:rsidR="00712BB9">
        <w:rPr>
          <w:lang w:val="en-GB"/>
        </w:rPr>
        <w:t xml:space="preserve"> and the Asia Foundation.</w:t>
      </w:r>
    </w:p>
    <w:p w14:paraId="43C523F6" w14:textId="77777777" w:rsidR="00A7469C" w:rsidRDefault="00A12D80" w:rsidP="00E57D84">
      <w:pPr>
        <w:pStyle w:val="Heading3"/>
      </w:pPr>
      <w:bookmarkStart w:id="20" w:name="_Toc491355883"/>
      <w:r w:rsidRPr="00E57D84">
        <w:t>Sindh</w:t>
      </w:r>
      <w:bookmarkEnd w:id="20"/>
    </w:p>
    <w:p w14:paraId="3D4C3DA3" w14:textId="7EB0B535" w:rsidR="002D5ED4" w:rsidRPr="00E57D84" w:rsidRDefault="002D5ED4" w:rsidP="00E57D84">
      <w:r>
        <w:t>Compared to the rest of Pakistan, Sindh province has a more open and enabling environment with less resistance from the community to working with women</w:t>
      </w:r>
      <w:r w:rsidR="00D12CAE">
        <w:t>,</w:t>
      </w:r>
      <w:r>
        <w:t xml:space="preserve"> and this is coupled with a more p</w:t>
      </w:r>
      <w:r w:rsidRPr="00281392">
        <w:t>rogressive provincial government</w:t>
      </w:r>
      <w:r>
        <w:t xml:space="preserve">.  Sindh prides itself </w:t>
      </w:r>
      <w:r w:rsidR="00282A6E">
        <w:t xml:space="preserve">on </w:t>
      </w:r>
      <w:r>
        <w:t>a s</w:t>
      </w:r>
      <w:r w:rsidRPr="00281392">
        <w:t xml:space="preserve">trong </w:t>
      </w:r>
      <w:r>
        <w:t xml:space="preserve">policy and </w:t>
      </w:r>
      <w:r w:rsidRPr="00281392">
        <w:t xml:space="preserve">legislative environment </w:t>
      </w:r>
      <w:r>
        <w:lastRenderedPageBreak/>
        <w:t xml:space="preserve">where a </w:t>
      </w:r>
      <w:r w:rsidRPr="00281392">
        <w:t>number of pro-women laws exist such as</w:t>
      </w:r>
      <w:r>
        <w:t xml:space="preserve"> the</w:t>
      </w:r>
      <w:r w:rsidRPr="00281392">
        <w:t xml:space="preserve"> </w:t>
      </w:r>
      <w:r w:rsidRPr="004D4C14">
        <w:rPr>
          <w:i/>
        </w:rPr>
        <w:t>Domestic Violence (Prevention and Protection) Bill 2013</w:t>
      </w:r>
      <w:r w:rsidR="00282A6E">
        <w:rPr>
          <w:color w:val="222222"/>
        </w:rPr>
        <w:t>.</w:t>
      </w:r>
      <w:r w:rsidRPr="00776651">
        <w:rPr>
          <w:color w:val="222222"/>
        </w:rPr>
        <w:t xml:space="preserve"> </w:t>
      </w:r>
      <w:r>
        <w:rPr>
          <w:color w:val="222222"/>
        </w:rPr>
        <w:t xml:space="preserve">There is also the </w:t>
      </w:r>
      <w:r w:rsidRPr="004D4C14">
        <w:rPr>
          <w:i/>
        </w:rPr>
        <w:t xml:space="preserve">Sindh Child Marriage Restraint </w:t>
      </w:r>
      <w:r w:rsidR="00D100B5" w:rsidRPr="004D4C14">
        <w:rPr>
          <w:i/>
        </w:rPr>
        <w:t>Act (2014)</w:t>
      </w:r>
      <w:r w:rsidRPr="004D4C14">
        <w:rPr>
          <w:i/>
        </w:rPr>
        <w:t>,</w:t>
      </w:r>
      <w:r w:rsidRPr="00281392">
        <w:t xml:space="preserve"> </w:t>
      </w:r>
      <w:r>
        <w:t xml:space="preserve">and an </w:t>
      </w:r>
      <w:r w:rsidRPr="00281392">
        <w:t xml:space="preserve">Anti-Harassment </w:t>
      </w:r>
      <w:r>
        <w:t>law</w:t>
      </w:r>
      <w:r w:rsidR="00C60AD8" w:rsidRPr="00281392">
        <w:t xml:space="preserve"> </w:t>
      </w:r>
      <w:r>
        <w:t>(</w:t>
      </w:r>
      <w:r w:rsidR="00282A6E">
        <w:t xml:space="preserve">see </w:t>
      </w:r>
      <w:r>
        <w:t>Annex</w:t>
      </w:r>
      <w:r w:rsidR="00D20C89">
        <w:t xml:space="preserve"> F</w:t>
      </w:r>
      <w:r>
        <w:t xml:space="preserve">) along with </w:t>
      </w:r>
      <w:r w:rsidRPr="00281392">
        <w:t>a PCSW</w:t>
      </w:r>
      <w:r w:rsidR="00D100B5">
        <w:t>,</w:t>
      </w:r>
      <w:r w:rsidR="008B7F81">
        <w:rPr>
          <w:rStyle w:val="FootnoteReference"/>
        </w:rPr>
        <w:footnoteReference w:id="10"/>
      </w:r>
      <w:r w:rsidRPr="00281392">
        <w:t xml:space="preserve"> and </w:t>
      </w:r>
      <w:r>
        <w:t xml:space="preserve">it is </w:t>
      </w:r>
      <w:r w:rsidRPr="00281392">
        <w:t>the only province to have its own separate Human Rights Commission.</w:t>
      </w:r>
      <w:r>
        <w:t xml:space="preserve"> However</w:t>
      </w:r>
      <w:r w:rsidR="00775C7A">
        <w:t>,</w:t>
      </w:r>
      <w:r>
        <w:t xml:space="preserve"> despite all of these achievements, </w:t>
      </w:r>
      <w:r w:rsidRPr="00281392">
        <w:t xml:space="preserve">implementation </w:t>
      </w:r>
      <w:r>
        <w:t xml:space="preserve">of the laws </w:t>
      </w:r>
      <w:r w:rsidRPr="00281392">
        <w:t>remains weak</w:t>
      </w:r>
      <w:r>
        <w:t xml:space="preserve"> and there is a h</w:t>
      </w:r>
      <w:r w:rsidRPr="00281392">
        <w:t>igh prevalence of violence</w:t>
      </w:r>
      <w:r>
        <w:t xml:space="preserve"> against women and girls in the province. </w:t>
      </w:r>
      <w:r w:rsidR="00D12CAE">
        <w:t xml:space="preserve">According to 2012-2013 </w:t>
      </w:r>
      <w:r w:rsidR="00D100B5">
        <w:t>PDHS</w:t>
      </w:r>
      <w:r w:rsidR="00D12CAE">
        <w:t xml:space="preserve">, the prevalence rate of physical violence against women in </w:t>
      </w:r>
      <w:r w:rsidR="00D12CAE" w:rsidRPr="003C4827">
        <w:t>Sindh is 25 percent</w:t>
      </w:r>
      <w:r w:rsidR="00D100B5">
        <w:t>.</w:t>
      </w:r>
      <w:r w:rsidR="00D12CAE" w:rsidRPr="00D100B5">
        <w:rPr>
          <w:rStyle w:val="FootnoteReference"/>
          <w:rFonts w:ascii="Times New Roman" w:hAnsi="Times New Roman" w:cs="Times New Roman"/>
          <w:sz w:val="24"/>
          <w:szCs w:val="24"/>
        </w:rPr>
        <w:footnoteReference w:id="11"/>
      </w:r>
      <w:r w:rsidR="00D12CAE" w:rsidRPr="004D4C14">
        <w:rPr>
          <w:vertAlign w:val="superscript"/>
        </w:rPr>
        <w:t xml:space="preserve"> </w:t>
      </w:r>
      <w:r w:rsidRPr="003C4827">
        <w:t>Honour killings, rape, gang rape, kidnappings, acid crimes, child and early forced marriages,</w:t>
      </w:r>
      <w:r w:rsidR="00D100B5">
        <w:t xml:space="preserve"> and</w:t>
      </w:r>
      <w:r w:rsidRPr="003C4827">
        <w:t xml:space="preserve"> forced conversions with marriages of Hindu girls to Muslim boys are all common occurrences throughout the province</w:t>
      </w:r>
      <w:r w:rsidR="0059066C">
        <w:t>,</w:t>
      </w:r>
      <w:r w:rsidRPr="003C4827">
        <w:t xml:space="preserve"> tied to a predominantly feudal system. </w:t>
      </w:r>
      <w:r w:rsidRPr="003C4827">
        <w:rPr>
          <w:i/>
        </w:rPr>
        <w:t>Jirga</w:t>
      </w:r>
      <w:r>
        <w:rPr>
          <w:i/>
        </w:rPr>
        <w:t>s</w:t>
      </w:r>
      <w:r w:rsidR="00282A6E">
        <w:rPr>
          <w:i/>
        </w:rPr>
        <w:t xml:space="preserve"> </w:t>
      </w:r>
      <w:r w:rsidR="00282A6E" w:rsidRPr="002D514F">
        <w:t>are common in Sindh</w:t>
      </w:r>
      <w:r w:rsidR="00282A6E">
        <w:t xml:space="preserve">. </w:t>
      </w:r>
    </w:p>
    <w:p w14:paraId="30E57C7E" w14:textId="04722030" w:rsidR="002D5ED4" w:rsidRPr="00E57D84" w:rsidRDefault="002D5ED4" w:rsidP="00E57D84">
      <w:r w:rsidRPr="00281392">
        <w:t xml:space="preserve">There is a significant culture of activism at the individual level with informal safe houses, mediation and referral systems for </w:t>
      </w:r>
      <w:r>
        <w:t xml:space="preserve">GBV </w:t>
      </w:r>
      <w:r w:rsidRPr="00281392">
        <w:t xml:space="preserve">survivors. Examples of this include a progressive landlord providing a safe house for women in his area and women academics at universities in Hyderabad facilitating women </w:t>
      </w:r>
      <w:r>
        <w:t>who have suffered from abuse and physical</w:t>
      </w:r>
      <w:r w:rsidRPr="00281392">
        <w:t xml:space="preserve"> violence</w:t>
      </w:r>
      <w:r w:rsidR="00D100B5">
        <w:t>.</w:t>
      </w:r>
      <w:r>
        <w:rPr>
          <w:rStyle w:val="FootnoteReference"/>
          <w:rFonts w:ascii="Times New Roman" w:hAnsi="Times New Roman" w:cs="Times New Roman"/>
          <w:sz w:val="24"/>
          <w:szCs w:val="24"/>
        </w:rPr>
        <w:footnoteReference w:id="12"/>
      </w:r>
      <w:r>
        <w:t xml:space="preserve"> Overall</w:t>
      </w:r>
      <w:r w:rsidR="005075C0">
        <w:t>,</w:t>
      </w:r>
      <w:r>
        <w:t xml:space="preserve"> the province presents plenty of opportunities for s</w:t>
      </w:r>
      <w:r w:rsidR="00E57D84">
        <w:t>ignifican</w:t>
      </w:r>
      <w:r w:rsidRPr="00281392">
        <w:t xml:space="preserve">t </w:t>
      </w:r>
      <w:r>
        <w:t>scale</w:t>
      </w:r>
      <w:r w:rsidR="00D100B5">
        <w:t>-</w:t>
      </w:r>
      <w:r>
        <w:t xml:space="preserve">up of GBV </w:t>
      </w:r>
      <w:r w:rsidRPr="00281392">
        <w:t>programming</w:t>
      </w:r>
      <w:r>
        <w:t>.</w:t>
      </w:r>
    </w:p>
    <w:p w14:paraId="6EE5C54A" w14:textId="77777777" w:rsidR="00622F87" w:rsidRPr="00E57D84" w:rsidRDefault="00A12D80" w:rsidP="00E57D84">
      <w:pPr>
        <w:pStyle w:val="Heading3"/>
      </w:pPr>
      <w:bookmarkStart w:id="21" w:name="_Toc491355884"/>
      <w:r w:rsidRPr="00E57D84">
        <w:t>K</w:t>
      </w:r>
      <w:r w:rsidR="00A902C4" w:rsidRPr="00E57D84">
        <w:t xml:space="preserve">hyber </w:t>
      </w:r>
      <w:r w:rsidRPr="00E57D84">
        <w:t>P</w:t>
      </w:r>
      <w:r w:rsidR="00A902C4" w:rsidRPr="00E57D84">
        <w:t>akhtunkhwa</w:t>
      </w:r>
      <w:bookmarkEnd w:id="21"/>
    </w:p>
    <w:p w14:paraId="4A5721A2" w14:textId="5CAE4EEA" w:rsidR="005075C0" w:rsidRPr="00E57D84" w:rsidRDefault="00D100B5" w:rsidP="005075C0">
      <w:r>
        <w:t>KP</w:t>
      </w:r>
      <w:r w:rsidR="00F73A8F" w:rsidRPr="000335E9">
        <w:t xml:space="preserve"> is one of the more challenging provinces to work in on issues related to GBV. There is opposition and resistance to</w:t>
      </w:r>
      <w:r w:rsidR="005075C0">
        <w:t xml:space="preserve"> the</w:t>
      </w:r>
      <w:r w:rsidR="00F73A8F" w:rsidRPr="000335E9">
        <w:t xml:space="preserve"> passing of pro-women laws, a high prevalence of violence</w:t>
      </w:r>
      <w:r w:rsidR="005075C0">
        <w:t>,</w:t>
      </w:r>
      <w:r w:rsidR="00F73A8F" w:rsidRPr="000335E9">
        <w:t xml:space="preserve"> and poor mobility for women and girls.  </w:t>
      </w:r>
      <w:r w:rsidR="005075C0" w:rsidRPr="000335E9">
        <w:t>The 2012-2013</w:t>
      </w:r>
      <w:r>
        <w:t xml:space="preserve"> </w:t>
      </w:r>
      <w:r w:rsidRPr="000335E9">
        <w:t>PDHS</w:t>
      </w:r>
      <w:r w:rsidR="005075C0" w:rsidRPr="000335E9">
        <w:t xml:space="preserve"> state</w:t>
      </w:r>
      <w:r>
        <w:t>d</w:t>
      </w:r>
      <w:r w:rsidR="005075C0" w:rsidRPr="000335E9">
        <w:t xml:space="preserve"> that KP has the highest percentages in the country for women who have ever experienced physical and/or emotional violence at 57 percent</w:t>
      </w:r>
      <w:r>
        <w:t>.</w:t>
      </w:r>
      <w:r w:rsidR="005075C0" w:rsidRPr="000335E9">
        <w:rPr>
          <w:rStyle w:val="FootnoteReference"/>
          <w:rFonts w:ascii="Times New Roman" w:hAnsi="Times New Roman" w:cs="Times New Roman"/>
          <w:sz w:val="24"/>
          <w:szCs w:val="24"/>
        </w:rPr>
        <w:footnoteReference w:id="13"/>
      </w:r>
      <w:r w:rsidR="005075C0" w:rsidRPr="000335E9">
        <w:t xml:space="preserve"> </w:t>
      </w:r>
      <w:r>
        <w:t>Seventy-six</w:t>
      </w:r>
      <w:r w:rsidR="005075C0">
        <w:t xml:space="preserve"> percent of rural women in KP agreed</w:t>
      </w:r>
      <w:r w:rsidR="005075C0" w:rsidRPr="000335E9">
        <w:t xml:space="preserve"> that a husband is justified in beating his wife for at least one of</w:t>
      </w:r>
      <w:r w:rsidR="005075C0">
        <w:t xml:space="preserve"> the stated reasons in the </w:t>
      </w:r>
      <w:r w:rsidR="006809BC">
        <w:t>s</w:t>
      </w:r>
      <w:r w:rsidR="005075C0">
        <w:t>urve</w:t>
      </w:r>
      <w:r w:rsidR="005075C0" w:rsidRPr="000335E9">
        <w:t>y</w:t>
      </w:r>
      <w:r>
        <w:t>.</w:t>
      </w:r>
      <w:r w:rsidR="005075C0" w:rsidRPr="000335E9">
        <w:rPr>
          <w:rStyle w:val="FootnoteReference"/>
          <w:rFonts w:ascii="Times New Roman" w:hAnsi="Times New Roman" w:cs="Times New Roman"/>
          <w:sz w:val="24"/>
          <w:szCs w:val="24"/>
        </w:rPr>
        <w:footnoteReference w:id="14"/>
      </w:r>
    </w:p>
    <w:p w14:paraId="7FCE87B6" w14:textId="3E7AB9BD" w:rsidR="00F73A8F" w:rsidRPr="00E57D84" w:rsidRDefault="00F73A8F" w:rsidP="00E57D84">
      <w:r w:rsidRPr="000335E9">
        <w:t xml:space="preserve">Many different forms of violence exist in the province including the practice of </w:t>
      </w:r>
      <w:r w:rsidR="00282A6E">
        <w:rPr>
          <w:i/>
        </w:rPr>
        <w:t>s</w:t>
      </w:r>
      <w:r w:rsidRPr="000335E9">
        <w:rPr>
          <w:i/>
        </w:rPr>
        <w:t>wara</w:t>
      </w:r>
      <w:r w:rsidR="004A2043">
        <w:rPr>
          <w:i/>
        </w:rPr>
        <w:t>,</w:t>
      </w:r>
      <w:r w:rsidRPr="000335E9">
        <w:rPr>
          <w:rStyle w:val="FootnoteReference"/>
          <w:rFonts w:ascii="Times New Roman" w:hAnsi="Times New Roman" w:cs="Times New Roman"/>
          <w:i/>
          <w:sz w:val="24"/>
          <w:szCs w:val="24"/>
        </w:rPr>
        <w:footnoteReference w:id="15"/>
      </w:r>
      <w:r w:rsidR="006629CD">
        <w:rPr>
          <w:i/>
        </w:rPr>
        <w:t xml:space="preserve"> </w:t>
      </w:r>
      <w:r w:rsidRPr="000335E9">
        <w:t xml:space="preserve">honour killings and kidnappings, and it is a common practice </w:t>
      </w:r>
      <w:r w:rsidR="00282A6E">
        <w:t>for</w:t>
      </w:r>
      <w:r w:rsidRPr="000335E9">
        <w:t xml:space="preserve"> </w:t>
      </w:r>
      <w:r w:rsidRPr="000335E9">
        <w:rPr>
          <w:i/>
        </w:rPr>
        <w:t>jirgas</w:t>
      </w:r>
      <w:r w:rsidRPr="000335E9">
        <w:t xml:space="preserve"> </w:t>
      </w:r>
      <w:r w:rsidR="00282A6E">
        <w:t xml:space="preserve">to </w:t>
      </w:r>
      <w:r w:rsidR="007C0615">
        <w:t>hand over</w:t>
      </w:r>
      <w:r w:rsidR="00282A6E">
        <w:t xml:space="preserve"> </w:t>
      </w:r>
      <w:r w:rsidRPr="000335E9">
        <w:t>women to settle disputes. The province has a culture of strong local customs that negatively affect women and</w:t>
      </w:r>
      <w:r w:rsidR="005075C0">
        <w:t>,</w:t>
      </w:r>
      <w:r w:rsidRPr="000335E9">
        <w:t xml:space="preserve"> in addition</w:t>
      </w:r>
      <w:r w:rsidR="005075C0">
        <w:t>,</w:t>
      </w:r>
      <w:r w:rsidRPr="000335E9">
        <w:t xml:space="preserve"> there is a strong suspicion of NGOs and their </w:t>
      </w:r>
      <w:r w:rsidR="007C0615">
        <w:t>‘</w:t>
      </w:r>
      <w:r w:rsidRPr="000335E9">
        <w:t>western agenda</w:t>
      </w:r>
      <w:r w:rsidR="007C0615">
        <w:t>’</w:t>
      </w:r>
      <w:r w:rsidRPr="000335E9">
        <w:t xml:space="preserve">. </w:t>
      </w:r>
      <w:r w:rsidR="00CC3818">
        <w:t xml:space="preserve">Terrorism </w:t>
      </w:r>
      <w:r w:rsidR="00813502">
        <w:t xml:space="preserve">and security environment </w:t>
      </w:r>
      <w:r w:rsidR="00CC3818">
        <w:t>also ha</w:t>
      </w:r>
      <w:r w:rsidR="008B7F81">
        <w:t>ve</w:t>
      </w:r>
      <w:r w:rsidR="00CC3818">
        <w:t xml:space="preserve"> an ongoing impact in KP.</w:t>
      </w:r>
      <w:r w:rsidR="00CC3818" w:rsidRPr="000335E9">
        <w:t xml:space="preserve"> </w:t>
      </w:r>
      <w:r w:rsidRPr="000335E9">
        <w:t xml:space="preserve">The province has also been </w:t>
      </w:r>
      <w:r w:rsidR="005075C0">
        <w:t>dealing</w:t>
      </w:r>
      <w:r w:rsidR="005075C0" w:rsidRPr="000335E9">
        <w:t xml:space="preserve"> </w:t>
      </w:r>
      <w:r w:rsidRPr="000335E9">
        <w:t xml:space="preserve">with a </w:t>
      </w:r>
      <w:r w:rsidR="005075C0">
        <w:t>range</w:t>
      </w:r>
      <w:r w:rsidR="005075C0" w:rsidRPr="000335E9">
        <w:t xml:space="preserve"> </w:t>
      </w:r>
      <w:r w:rsidRPr="000335E9">
        <w:t>of issues relat</w:t>
      </w:r>
      <w:r w:rsidR="005075C0">
        <w:t>ing</w:t>
      </w:r>
      <w:r w:rsidRPr="000335E9">
        <w:t xml:space="preserve"> to</w:t>
      </w:r>
      <w:r w:rsidR="00CC3818">
        <w:t xml:space="preserve"> </w:t>
      </w:r>
      <w:r w:rsidRPr="000335E9">
        <w:t>Afghan refugees and internally</w:t>
      </w:r>
      <w:r w:rsidR="002D0336">
        <w:t>/temporary</w:t>
      </w:r>
      <w:r w:rsidRPr="000335E9">
        <w:t xml:space="preserve"> displaced persons</w:t>
      </w:r>
      <w:r w:rsidR="005075C0">
        <w:t xml:space="preserve"> -</w:t>
      </w:r>
      <w:r w:rsidR="007C0615">
        <w:t xml:space="preserve"> </w:t>
      </w:r>
      <w:r w:rsidRPr="000335E9">
        <w:t>many of the women from these vulnerable populations face GBV and have no access to</w:t>
      </w:r>
      <w:r w:rsidR="00E57D84">
        <w:t xml:space="preserve"> safe havens or </w:t>
      </w:r>
      <w:r w:rsidRPr="000335E9">
        <w:t>legal recourse.</w:t>
      </w:r>
    </w:p>
    <w:p w14:paraId="382BA632" w14:textId="0BAA3E26" w:rsidR="00F73A8F" w:rsidRPr="000335E9" w:rsidRDefault="007C0615" w:rsidP="00E57D84">
      <w:r w:rsidRPr="000335E9">
        <w:t>The Government of KP was the first province to set up a Provincial Commission on the Status of Women in May 2010</w:t>
      </w:r>
      <w:r>
        <w:t>,</w:t>
      </w:r>
      <w:r w:rsidRPr="000335E9">
        <w:t xml:space="preserve"> which is a statutory body established under the </w:t>
      </w:r>
      <w:r w:rsidRPr="004D4C14">
        <w:rPr>
          <w:i/>
        </w:rPr>
        <w:t>N</w:t>
      </w:r>
      <w:r w:rsidR="00D100B5" w:rsidRPr="004D4C14">
        <w:rPr>
          <w:i/>
        </w:rPr>
        <w:t>orth-West Frontier Province (N</w:t>
      </w:r>
      <w:r w:rsidRPr="004D4C14">
        <w:rPr>
          <w:i/>
        </w:rPr>
        <w:t>WFP</w:t>
      </w:r>
      <w:r w:rsidR="00D100B5" w:rsidRPr="004D4C14">
        <w:rPr>
          <w:i/>
        </w:rPr>
        <w:t>)</w:t>
      </w:r>
      <w:r w:rsidRPr="004D4C14">
        <w:rPr>
          <w:i/>
        </w:rPr>
        <w:t xml:space="preserve"> Act XIX </w:t>
      </w:r>
      <w:r w:rsidR="00D100B5" w:rsidRPr="004D4C14">
        <w:rPr>
          <w:i/>
        </w:rPr>
        <w:t>(</w:t>
      </w:r>
      <w:r w:rsidRPr="004D4C14">
        <w:rPr>
          <w:i/>
        </w:rPr>
        <w:t>2009</w:t>
      </w:r>
      <w:r w:rsidR="00D100B5" w:rsidRPr="004D4C14">
        <w:rPr>
          <w:i/>
        </w:rPr>
        <w:t>),</w:t>
      </w:r>
      <w:r w:rsidRPr="000335E9">
        <w:t xml:space="preserve"> and is responsible for performing similar functions as the NCSW at the provincial level. The province also has an active Eliminating Violence Against Women and Girls </w:t>
      </w:r>
      <w:r w:rsidR="004A2043">
        <w:t xml:space="preserve">(EVAWG) </w:t>
      </w:r>
      <w:r w:rsidRPr="000335E9">
        <w:t>Alliance that is chaired on a rotating basis by NGOs and is a provincial chapter of the national Alliance. In 2013</w:t>
      </w:r>
      <w:r w:rsidR="004A2043">
        <w:t>,</w:t>
      </w:r>
      <w:r w:rsidRPr="000335E9">
        <w:t xml:space="preserve"> the KP Provincial Assembly </w:t>
      </w:r>
      <w:r w:rsidRPr="000335E9">
        <w:rPr>
          <w:color w:val="000000"/>
          <w:shd w:val="clear" w:color="auto" w:fill="FFFFFF"/>
        </w:rPr>
        <w:t xml:space="preserve">passed legislation against the forced marriage </w:t>
      </w:r>
      <w:r w:rsidRPr="000335E9">
        <w:rPr>
          <w:color w:val="000000"/>
          <w:shd w:val="clear" w:color="auto" w:fill="FFFFFF"/>
        </w:rPr>
        <w:lastRenderedPageBreak/>
        <w:t xml:space="preserve">of women - </w:t>
      </w:r>
      <w:r w:rsidRPr="004D4C14">
        <w:rPr>
          <w:i/>
          <w:shd w:val="clear" w:color="auto" w:fill="FFFFFF"/>
        </w:rPr>
        <w:t xml:space="preserve">Elimination of Custom of </w:t>
      </w:r>
      <w:r w:rsidRPr="004A2043">
        <w:rPr>
          <w:i/>
          <w:shd w:val="clear" w:color="auto" w:fill="FFFFFF"/>
        </w:rPr>
        <w:t xml:space="preserve">Ghag </w:t>
      </w:r>
      <w:r w:rsidRPr="004D4C14">
        <w:rPr>
          <w:i/>
          <w:shd w:val="clear" w:color="auto" w:fill="FFFFFF"/>
        </w:rPr>
        <w:t>Act</w:t>
      </w:r>
      <w:r w:rsidR="004A2043">
        <w:rPr>
          <w:i/>
          <w:shd w:val="clear" w:color="auto" w:fill="FFFFFF"/>
        </w:rPr>
        <w:t xml:space="preserve"> (2013)</w:t>
      </w:r>
      <w:r>
        <w:rPr>
          <w:rStyle w:val="FootnoteReference"/>
          <w:shd w:val="clear" w:color="auto" w:fill="FFFFFF"/>
        </w:rPr>
        <w:footnoteReference w:id="16"/>
      </w:r>
      <w:r w:rsidR="00A10DE9">
        <w:rPr>
          <w:shd w:val="clear" w:color="auto" w:fill="FFFFFF"/>
        </w:rPr>
        <w:t xml:space="preserve">. </w:t>
      </w:r>
      <w:r>
        <w:rPr>
          <w:rFonts w:eastAsia="Times New Roman"/>
          <w:bCs/>
          <w:bdr w:val="none" w:sz="0" w:space="0" w:color="auto" w:frame="1"/>
        </w:rPr>
        <w:t>In December 2015</w:t>
      </w:r>
      <w:r w:rsidR="004A2043">
        <w:rPr>
          <w:rFonts w:eastAsia="Times New Roman"/>
          <w:bCs/>
          <w:bdr w:val="none" w:sz="0" w:space="0" w:color="auto" w:frame="1"/>
        </w:rPr>
        <w:t>,</w:t>
      </w:r>
      <w:r>
        <w:rPr>
          <w:rFonts w:eastAsia="Times New Roman"/>
          <w:bCs/>
          <w:bdr w:val="none" w:sz="0" w:space="0" w:color="auto" w:frame="1"/>
        </w:rPr>
        <w:t xml:space="preserve"> th</w:t>
      </w:r>
      <w:r w:rsidR="00F73A8F" w:rsidRPr="000335E9">
        <w:rPr>
          <w:rFonts w:eastAsia="Times New Roman"/>
          <w:bCs/>
          <w:bdr w:val="none" w:sz="0" w:space="0" w:color="auto" w:frame="1"/>
        </w:rPr>
        <w:t xml:space="preserve">e KP Provincial Assembly elected </w:t>
      </w:r>
      <w:r>
        <w:rPr>
          <w:rFonts w:eastAsia="Times New Roman"/>
          <w:bCs/>
          <w:bdr w:val="none" w:sz="0" w:space="0" w:color="auto" w:frame="1"/>
        </w:rPr>
        <w:t>its first female</w:t>
      </w:r>
      <w:r w:rsidR="00F73A8F" w:rsidRPr="000335E9">
        <w:rPr>
          <w:shd w:val="clear" w:color="auto" w:fill="FFFFFF"/>
        </w:rPr>
        <w:t xml:space="preserve"> Deputy</w:t>
      </w:r>
      <w:r w:rsidR="00F73A8F" w:rsidRPr="000335E9">
        <w:rPr>
          <w:rFonts w:eastAsia="Times New Roman"/>
          <w:bCs/>
          <w:bdr w:val="none" w:sz="0" w:space="0" w:color="auto" w:frame="1"/>
        </w:rPr>
        <w:t xml:space="preserve"> Speaker</w:t>
      </w:r>
      <w:r>
        <w:rPr>
          <w:rFonts w:eastAsia="Times New Roman"/>
          <w:bCs/>
          <w:bdr w:val="none" w:sz="0" w:space="0" w:color="auto" w:frame="1"/>
        </w:rPr>
        <w:t>,</w:t>
      </w:r>
      <w:r w:rsidRPr="007C0615">
        <w:rPr>
          <w:shd w:val="clear" w:color="auto" w:fill="FFFFFF"/>
        </w:rPr>
        <w:t xml:space="preserve"> </w:t>
      </w:r>
      <w:r w:rsidRPr="000335E9">
        <w:rPr>
          <w:shd w:val="clear" w:color="auto" w:fill="FFFFFF"/>
        </w:rPr>
        <w:t>Meher Taj Roghani</w:t>
      </w:r>
      <w:r>
        <w:rPr>
          <w:rFonts w:eastAsia="Times New Roman"/>
          <w:bCs/>
          <w:bdr w:val="none" w:sz="0" w:space="0" w:color="auto" w:frame="1"/>
        </w:rPr>
        <w:t>,</w:t>
      </w:r>
      <w:r w:rsidR="00F73A8F" w:rsidRPr="000335E9">
        <w:rPr>
          <w:rFonts w:eastAsia="Times New Roman"/>
          <w:bCs/>
          <w:bdr w:val="none" w:sz="0" w:space="0" w:color="auto" w:frame="1"/>
        </w:rPr>
        <w:t xml:space="preserve"> and </w:t>
      </w:r>
      <w:r>
        <w:rPr>
          <w:rFonts w:eastAsia="Times New Roman"/>
          <w:bCs/>
          <w:bdr w:val="none" w:sz="0" w:space="0" w:color="auto" w:frame="1"/>
        </w:rPr>
        <w:t xml:space="preserve">KP is home to </w:t>
      </w:r>
      <w:r w:rsidR="00F73A8F" w:rsidRPr="000335E9">
        <w:t xml:space="preserve">Pakistan’s first all-women </w:t>
      </w:r>
      <w:r w:rsidR="00F73A8F" w:rsidRPr="000335E9">
        <w:rPr>
          <w:i/>
        </w:rPr>
        <w:t>jirga</w:t>
      </w:r>
      <w:r w:rsidR="00F73A8F" w:rsidRPr="000335E9">
        <w:t xml:space="preserve"> known as </w:t>
      </w:r>
      <w:r w:rsidR="00F73A8F" w:rsidRPr="000335E9">
        <w:rPr>
          <w:i/>
        </w:rPr>
        <w:t>Khwendo Jirga</w:t>
      </w:r>
      <w:r w:rsidR="00F73A8F" w:rsidRPr="000335E9">
        <w:t>.</w:t>
      </w:r>
      <w:r w:rsidRPr="000335E9">
        <w:rPr>
          <w:rStyle w:val="FootnoteReference"/>
          <w:rFonts w:ascii="Times New Roman" w:hAnsi="Times New Roman" w:cs="Times New Roman"/>
          <w:sz w:val="24"/>
          <w:szCs w:val="24"/>
        </w:rPr>
        <w:footnoteReference w:id="17"/>
      </w:r>
      <w:r w:rsidR="00F73A8F" w:rsidRPr="000335E9">
        <w:t xml:space="preserve"> </w:t>
      </w:r>
    </w:p>
    <w:p w14:paraId="7D93AD58" w14:textId="77777777" w:rsidR="00A12D80" w:rsidRPr="003E33D0" w:rsidRDefault="00A12D80" w:rsidP="003218A0">
      <w:pPr>
        <w:pStyle w:val="Heading2"/>
      </w:pPr>
      <w:bookmarkStart w:id="22" w:name="_Toc491355885"/>
      <w:r w:rsidRPr="003E33D0">
        <w:t xml:space="preserve">Overview of </w:t>
      </w:r>
      <w:r w:rsidR="00253B40">
        <w:t xml:space="preserve">the </w:t>
      </w:r>
      <w:r w:rsidRPr="003E33D0">
        <w:t xml:space="preserve">Challenging </w:t>
      </w:r>
      <w:r w:rsidR="00253B40">
        <w:t>GBV in Pakistan P</w:t>
      </w:r>
      <w:r w:rsidRPr="003E33D0">
        <w:t>rogram</w:t>
      </w:r>
      <w:bookmarkEnd w:id="22"/>
    </w:p>
    <w:p w14:paraId="256E04D4" w14:textId="5E857FDB" w:rsidR="00BE316E" w:rsidRPr="00360443" w:rsidRDefault="00253B40" w:rsidP="00E57D84">
      <w:r>
        <w:t xml:space="preserve">The Australian Government-funded </w:t>
      </w:r>
      <w:r w:rsidR="00770FD6">
        <w:t>GBV</w:t>
      </w:r>
      <w:r>
        <w:t xml:space="preserve"> Program ($7.</w:t>
      </w:r>
      <w:r w:rsidR="004A2043">
        <w:t xml:space="preserve">46 </w:t>
      </w:r>
      <w:r>
        <w:t>m</w:t>
      </w:r>
      <w:r w:rsidR="004A2043">
        <w:t>illion</w:t>
      </w:r>
      <w:r>
        <w:t xml:space="preserve">, 2014-18) </w:t>
      </w:r>
      <w:r w:rsidR="00BE316E" w:rsidRPr="00360443">
        <w:t xml:space="preserve">takes a holistic, integrated approach to reducing </w:t>
      </w:r>
      <w:r w:rsidR="00360443" w:rsidRPr="00360443">
        <w:t>violence against women</w:t>
      </w:r>
      <w:r>
        <w:t xml:space="preserve"> and girls</w:t>
      </w:r>
      <w:r w:rsidR="00BE316E" w:rsidRPr="00360443">
        <w:t>, involving close collaboration between the Government of Pakistan</w:t>
      </w:r>
      <w:r w:rsidR="0080010E">
        <w:t xml:space="preserve"> and</w:t>
      </w:r>
      <w:r w:rsidR="00BE316E" w:rsidRPr="00360443">
        <w:t xml:space="preserve"> civil society organisations</w:t>
      </w:r>
      <w:r w:rsidR="0080010E">
        <w:t>.</w:t>
      </w:r>
      <w:r w:rsidR="00BE316E" w:rsidRPr="00360443">
        <w:t xml:space="preserve"> The program,</w:t>
      </w:r>
      <w:r w:rsidR="00360443">
        <w:t xml:space="preserve"> managed by Irish NGO </w:t>
      </w:r>
      <w:r w:rsidR="0008203F">
        <w:t>Trócaire</w:t>
      </w:r>
      <w:r w:rsidR="00360443">
        <w:t xml:space="preserve">, </w:t>
      </w:r>
      <w:r w:rsidR="00BE316E" w:rsidRPr="00360443">
        <w:t>has four objectives:</w:t>
      </w:r>
    </w:p>
    <w:p w14:paraId="08BBF63C" w14:textId="4286DF1B" w:rsidR="00BE316E" w:rsidRPr="002C5962" w:rsidRDefault="00BE316E" w:rsidP="00BE316E">
      <w:pPr>
        <w:pStyle w:val="ListParagraph"/>
        <w:numPr>
          <w:ilvl w:val="0"/>
          <w:numId w:val="6"/>
        </w:numPr>
        <w:spacing w:before="120"/>
        <w:jc w:val="both"/>
        <w:rPr>
          <w:rFonts w:ascii="Calibri" w:hAnsi="Calibri" w:cs="Calibri"/>
          <w:sz w:val="22"/>
          <w:szCs w:val="22"/>
        </w:rPr>
      </w:pPr>
      <w:r w:rsidRPr="002C5962">
        <w:rPr>
          <w:rFonts w:ascii="Calibri" w:hAnsi="Calibri" w:cs="Calibri"/>
          <w:sz w:val="22"/>
          <w:szCs w:val="22"/>
        </w:rPr>
        <w:t>To stren</w:t>
      </w:r>
      <w:r w:rsidR="00360443" w:rsidRPr="002C5962">
        <w:rPr>
          <w:rFonts w:ascii="Calibri" w:hAnsi="Calibri" w:cs="Calibri"/>
          <w:sz w:val="22"/>
          <w:szCs w:val="22"/>
        </w:rPr>
        <w:t xml:space="preserve">gthen </w:t>
      </w:r>
      <w:r w:rsidR="00770FD6">
        <w:rPr>
          <w:rFonts w:ascii="Calibri" w:hAnsi="Calibri" w:cs="Calibri"/>
          <w:sz w:val="22"/>
          <w:szCs w:val="22"/>
        </w:rPr>
        <w:t>GBV</w:t>
      </w:r>
      <w:r w:rsidRPr="002C5962">
        <w:rPr>
          <w:rFonts w:ascii="Calibri" w:hAnsi="Calibri" w:cs="Calibri"/>
          <w:sz w:val="22"/>
          <w:szCs w:val="22"/>
        </w:rPr>
        <w:t xml:space="preserve"> survivors’ access to quality support services for selected partners in Khyber Pakhtunkhwa and Sindh</w:t>
      </w:r>
      <w:r w:rsidR="00360443" w:rsidRPr="002C5962">
        <w:rPr>
          <w:rFonts w:ascii="Calibri" w:hAnsi="Calibri" w:cs="Calibri"/>
          <w:sz w:val="22"/>
          <w:szCs w:val="22"/>
        </w:rPr>
        <w:t xml:space="preserve"> (</w:t>
      </w:r>
      <w:r w:rsidR="00A01871">
        <w:rPr>
          <w:rFonts w:ascii="Calibri" w:hAnsi="Calibri" w:cs="Calibri"/>
          <w:sz w:val="22"/>
          <w:szCs w:val="22"/>
        </w:rPr>
        <w:t xml:space="preserve">Quality </w:t>
      </w:r>
      <w:r w:rsidR="00360443" w:rsidRPr="002C5962">
        <w:rPr>
          <w:rFonts w:ascii="Calibri" w:hAnsi="Calibri" w:cs="Calibri"/>
          <w:sz w:val="22"/>
          <w:szCs w:val="22"/>
        </w:rPr>
        <w:t>Services / Protection)</w:t>
      </w:r>
    </w:p>
    <w:p w14:paraId="2DE21EA2" w14:textId="77777777" w:rsidR="00BE316E" w:rsidRPr="002C5962" w:rsidRDefault="00BE316E" w:rsidP="00BE316E">
      <w:pPr>
        <w:pStyle w:val="ListParagraph"/>
        <w:numPr>
          <w:ilvl w:val="0"/>
          <w:numId w:val="6"/>
        </w:numPr>
        <w:spacing w:before="120"/>
        <w:jc w:val="both"/>
        <w:rPr>
          <w:rFonts w:ascii="Calibri" w:hAnsi="Calibri" w:cs="Calibri"/>
          <w:sz w:val="22"/>
          <w:szCs w:val="22"/>
        </w:rPr>
      </w:pPr>
      <w:r w:rsidRPr="002C5962">
        <w:rPr>
          <w:rFonts w:ascii="Calibri" w:hAnsi="Calibri" w:cs="Calibri"/>
          <w:sz w:val="22"/>
          <w:szCs w:val="22"/>
        </w:rPr>
        <w:t>To promote reduced tolerance to GBV and action to address violence against women, among women, men and youth</w:t>
      </w:r>
      <w:r w:rsidR="00360443" w:rsidRPr="002C5962">
        <w:rPr>
          <w:rFonts w:ascii="Calibri" w:hAnsi="Calibri" w:cs="Calibri"/>
          <w:sz w:val="22"/>
          <w:szCs w:val="22"/>
        </w:rPr>
        <w:t xml:space="preserve"> (Prevention)</w:t>
      </w:r>
    </w:p>
    <w:p w14:paraId="56BE0797" w14:textId="58AEB034" w:rsidR="00BE316E" w:rsidRPr="002C5962" w:rsidRDefault="00BE316E" w:rsidP="00BE316E">
      <w:pPr>
        <w:pStyle w:val="ListParagraph"/>
        <w:numPr>
          <w:ilvl w:val="0"/>
          <w:numId w:val="6"/>
        </w:numPr>
        <w:spacing w:before="120"/>
        <w:jc w:val="both"/>
        <w:rPr>
          <w:rFonts w:ascii="Calibri" w:hAnsi="Calibri" w:cs="Calibri"/>
          <w:sz w:val="22"/>
          <w:szCs w:val="22"/>
        </w:rPr>
      </w:pPr>
      <w:r w:rsidRPr="002C5962">
        <w:rPr>
          <w:rFonts w:ascii="Calibri" w:hAnsi="Calibri" w:cs="Calibri"/>
          <w:sz w:val="22"/>
          <w:szCs w:val="22"/>
        </w:rPr>
        <w:t>To support advocacy efforts with key stakeholders to enable passage and implementation of key legislation relating to GBV</w:t>
      </w:r>
      <w:r w:rsidR="00360443" w:rsidRPr="002C5962">
        <w:rPr>
          <w:rFonts w:ascii="Calibri" w:hAnsi="Calibri" w:cs="Calibri"/>
          <w:sz w:val="22"/>
          <w:szCs w:val="22"/>
        </w:rPr>
        <w:t xml:space="preserve"> (Advocacy / Policy)</w:t>
      </w:r>
      <w:r w:rsidR="004A2043">
        <w:rPr>
          <w:rFonts w:ascii="Calibri" w:hAnsi="Calibri" w:cs="Calibri"/>
          <w:sz w:val="22"/>
          <w:szCs w:val="22"/>
        </w:rPr>
        <w:t>, and</w:t>
      </w:r>
    </w:p>
    <w:p w14:paraId="5336046B" w14:textId="77777777" w:rsidR="00BE316E" w:rsidRPr="002C5962" w:rsidRDefault="00BE316E" w:rsidP="00BE316E">
      <w:pPr>
        <w:pStyle w:val="ListParagraph"/>
        <w:numPr>
          <w:ilvl w:val="0"/>
          <w:numId w:val="6"/>
        </w:numPr>
        <w:spacing w:before="120"/>
        <w:jc w:val="both"/>
        <w:rPr>
          <w:rFonts w:ascii="Calibri" w:hAnsi="Calibri" w:cs="Calibri"/>
          <w:sz w:val="22"/>
          <w:szCs w:val="22"/>
        </w:rPr>
      </w:pPr>
      <w:r w:rsidRPr="002C5962">
        <w:rPr>
          <w:rFonts w:ascii="Calibri" w:hAnsi="Calibri" w:cs="Calibri"/>
          <w:sz w:val="22"/>
          <w:szCs w:val="22"/>
        </w:rPr>
        <w:t>To improve program partners’ capacity to support sustainable change in targeted communities</w:t>
      </w:r>
      <w:r w:rsidR="00360443" w:rsidRPr="002C5962">
        <w:rPr>
          <w:rFonts w:ascii="Calibri" w:hAnsi="Calibri" w:cs="Calibri"/>
          <w:sz w:val="22"/>
          <w:szCs w:val="22"/>
        </w:rPr>
        <w:t xml:space="preserve"> (Building Partner Capacity)</w:t>
      </w:r>
    </w:p>
    <w:p w14:paraId="5A547188" w14:textId="4F48E9D5" w:rsidR="00312C18" w:rsidRPr="005543F4" w:rsidRDefault="00D20C89" w:rsidP="005543F4">
      <w:pPr>
        <w:spacing w:before="120"/>
        <w:jc w:val="both"/>
        <w:rPr>
          <w:rFonts w:ascii="Calibri" w:hAnsi="Calibri" w:cs="Calibri"/>
        </w:rPr>
      </w:pPr>
      <w:r>
        <w:t>See Annex G</w:t>
      </w:r>
      <w:r w:rsidR="005543F4">
        <w:t xml:space="preserve"> for details of budget allocation and expenditure for the program.</w:t>
      </w:r>
    </w:p>
    <w:p w14:paraId="7494677D" w14:textId="4B29F3E3" w:rsidR="00253B40" w:rsidRDefault="0008203F" w:rsidP="00253B40">
      <w:r>
        <w:t>Trócaire</w:t>
      </w:r>
      <w:r w:rsidR="00253B40">
        <w:t xml:space="preserve">, founded in 1973, </w:t>
      </w:r>
      <w:r w:rsidR="00253B40" w:rsidRPr="002C5962">
        <w:t>is the official overseas development agency of the Catholic Church in Ireland, and a member of Caritas International</w:t>
      </w:r>
      <w:r w:rsidR="006809BC">
        <w:t>is</w:t>
      </w:r>
      <w:r w:rsidR="00253B40" w:rsidRPr="002C5962">
        <w:t>. Trócaire works across more than 17 countries in Africa, Asia and Latin America and has been supporting projects in Pakistan since 1973. Trócaire’s work in Pakistan focuses on four key areas: preparing for and responding to humanitarian situations</w:t>
      </w:r>
      <w:r w:rsidR="00340441">
        <w:t>;</w:t>
      </w:r>
      <w:r w:rsidR="00253B40" w:rsidRPr="002C5962">
        <w:t xml:space="preserve"> challenging </w:t>
      </w:r>
      <w:r w:rsidR="006629CD">
        <w:t>GBV</w:t>
      </w:r>
      <w:r w:rsidR="00340441">
        <w:t>;</w:t>
      </w:r>
      <w:r w:rsidR="00253B40" w:rsidRPr="002C5962">
        <w:t xml:space="preserve"> </w:t>
      </w:r>
      <w:r w:rsidR="00AB240B">
        <w:t>protecting bonded labourers</w:t>
      </w:r>
      <w:r w:rsidR="003F5A8B">
        <w:t>;</w:t>
      </w:r>
      <w:r w:rsidR="00AB240B">
        <w:t xml:space="preserve"> and securing water rights for farmers</w:t>
      </w:r>
      <w:r w:rsidR="00253B40" w:rsidRPr="00AA269D">
        <w:t>.</w:t>
      </w:r>
    </w:p>
    <w:p w14:paraId="7C5314A0" w14:textId="124A9106" w:rsidR="00BE316E" w:rsidRDefault="0008203F" w:rsidP="00E57D84">
      <w:r>
        <w:t>Trócaire</w:t>
      </w:r>
      <w:r w:rsidR="00360443">
        <w:t xml:space="preserve"> partners with five Pakistani NGO</w:t>
      </w:r>
      <w:r w:rsidR="00312C18">
        <w:t>s</w:t>
      </w:r>
      <w:r w:rsidR="00360443">
        <w:t xml:space="preserve"> to implement the </w:t>
      </w:r>
      <w:r w:rsidR="00A01871">
        <w:t xml:space="preserve">GBV </w:t>
      </w:r>
      <w:r w:rsidR="00656B46">
        <w:t>P</w:t>
      </w:r>
      <w:r w:rsidR="00360443">
        <w:t xml:space="preserve">rogram in </w:t>
      </w:r>
      <w:r w:rsidR="00253B40">
        <w:t>three</w:t>
      </w:r>
      <w:r w:rsidR="00360443" w:rsidRPr="00360443">
        <w:t xml:space="preserve"> districts in Sindh and </w:t>
      </w:r>
      <w:r w:rsidR="00253B40">
        <w:t>five</w:t>
      </w:r>
      <w:r w:rsidR="00360443" w:rsidRPr="00360443">
        <w:t xml:space="preserve"> districts in KP</w:t>
      </w:r>
      <w:r w:rsidR="003F5A8B">
        <w:t xml:space="preserve"> – these core partnerships have been in place since the start of the program</w:t>
      </w:r>
      <w:r w:rsidR="00360443">
        <w:t>.</w:t>
      </w:r>
      <w:r w:rsidR="00360443">
        <w:rPr>
          <w:rStyle w:val="FootnoteReference"/>
          <w:color w:val="000000" w:themeColor="text1"/>
        </w:rPr>
        <w:footnoteReference w:id="18"/>
      </w:r>
      <w:r w:rsidR="00312C18">
        <w:t xml:space="preserve"> The program has a range of other former, current and future partners – most of these changes occurred at </w:t>
      </w:r>
      <w:r w:rsidR="00253B40">
        <w:t xml:space="preserve">the beginning of </w:t>
      </w:r>
      <w:r w:rsidR="0097431E">
        <w:t>‘</w:t>
      </w:r>
      <w:r w:rsidR="00253B40">
        <w:t xml:space="preserve">Phase </w:t>
      </w:r>
      <w:r w:rsidR="00770FD6">
        <w:t>Two</w:t>
      </w:r>
      <w:r w:rsidR="0097431E">
        <w:t>’</w:t>
      </w:r>
      <w:r w:rsidR="00253B40">
        <w:t xml:space="preserve"> in mid-</w:t>
      </w:r>
      <w:r w:rsidR="00312C18">
        <w:t xml:space="preserve">2016. They include: </w:t>
      </w:r>
      <w:r w:rsidR="007A0969" w:rsidRPr="00312C18">
        <w:t>Aurat Foundation</w:t>
      </w:r>
      <w:r w:rsidR="00770FD6">
        <w:t xml:space="preserve"> (AF)</w:t>
      </w:r>
      <w:r w:rsidR="007A0969" w:rsidRPr="00312C18">
        <w:t xml:space="preserve">, AMAL, SEHER, </w:t>
      </w:r>
      <w:r w:rsidR="00770FD6" w:rsidRPr="002C5962">
        <w:t>National Organisation Working with People with Disabilities in Pakistan</w:t>
      </w:r>
      <w:r w:rsidR="00770FD6" w:rsidRPr="00312C18">
        <w:t xml:space="preserve"> </w:t>
      </w:r>
      <w:r w:rsidR="00770FD6">
        <w:t>(</w:t>
      </w:r>
      <w:r w:rsidR="007A0969" w:rsidRPr="00312C18">
        <w:t>NOWPDP</w:t>
      </w:r>
      <w:r w:rsidR="00770FD6">
        <w:t>)</w:t>
      </w:r>
      <w:r w:rsidR="007A0969" w:rsidRPr="00312C18">
        <w:t xml:space="preserve"> (former)</w:t>
      </w:r>
      <w:r w:rsidR="00312C18" w:rsidRPr="00312C18">
        <w:t xml:space="preserve">; </w:t>
      </w:r>
      <w:r w:rsidR="007A0969" w:rsidRPr="00312C18">
        <w:t>Avicenna, Shazia</w:t>
      </w:r>
      <w:r w:rsidR="00340441">
        <w:t xml:space="preserve"> </w:t>
      </w:r>
      <w:r w:rsidR="007A0969" w:rsidRPr="00312C18">
        <w:t>Abbasi Consulting (</w:t>
      </w:r>
      <w:r w:rsidR="007A0969" w:rsidRPr="00AB2500">
        <w:t>SAC</w:t>
      </w:r>
      <w:r w:rsidR="007A0969" w:rsidRPr="00312C18">
        <w:t>), Rozan (current)</w:t>
      </w:r>
      <w:r w:rsidR="00312C18" w:rsidRPr="00312C18">
        <w:t xml:space="preserve">; </w:t>
      </w:r>
      <w:r w:rsidR="00770FD6" w:rsidRPr="002C5962">
        <w:t>Strengthening Participatory Organisation</w:t>
      </w:r>
      <w:r w:rsidR="00770FD6" w:rsidRPr="00312C18">
        <w:t xml:space="preserve"> </w:t>
      </w:r>
      <w:r w:rsidR="00770FD6">
        <w:t>(</w:t>
      </w:r>
      <w:r w:rsidR="007A0969" w:rsidRPr="00312C18">
        <w:t>SPO</w:t>
      </w:r>
      <w:r w:rsidR="00770FD6">
        <w:t>)</w:t>
      </w:r>
      <w:r w:rsidR="007A0969" w:rsidRPr="00312C18">
        <w:t>, Women’s Parliamentary Caucus,</w:t>
      </w:r>
      <w:r w:rsidR="00770FD6">
        <w:t xml:space="preserve"> and </w:t>
      </w:r>
      <w:r w:rsidR="007A0969" w:rsidRPr="00312C18">
        <w:t>Raising Voices (future)</w:t>
      </w:r>
      <w:r w:rsidR="003F5A8B">
        <w:rPr>
          <w:rStyle w:val="FootnoteReference"/>
        </w:rPr>
        <w:footnoteReference w:id="19"/>
      </w:r>
      <w:r w:rsidR="00312C18" w:rsidRPr="00312C18">
        <w:t>.</w:t>
      </w:r>
      <w:r w:rsidR="00340441">
        <w:t xml:space="preserve"> </w:t>
      </w:r>
      <w:r w:rsidR="00312C18" w:rsidRPr="00312C18">
        <w:t>The role and performance of these partners will be addressed</w:t>
      </w:r>
      <w:r w:rsidR="00312C18">
        <w:t xml:space="preserve"> in detail</w:t>
      </w:r>
      <w:r w:rsidR="00312C18" w:rsidRPr="00312C18">
        <w:t xml:space="preserve"> in the body of the report.</w:t>
      </w:r>
    </w:p>
    <w:p w14:paraId="0679E49F" w14:textId="3547CACC" w:rsidR="00A01871" w:rsidRDefault="0008203F" w:rsidP="00E57D84">
      <w:r>
        <w:lastRenderedPageBreak/>
        <w:t>Trócaire</w:t>
      </w:r>
      <w:r w:rsidR="00340441">
        <w:t xml:space="preserve"> </w:t>
      </w:r>
      <w:r w:rsidR="0040470C" w:rsidRPr="00775C7A">
        <w:t xml:space="preserve">has </w:t>
      </w:r>
      <w:r w:rsidR="00945873" w:rsidRPr="00775C7A">
        <w:t>six full</w:t>
      </w:r>
      <w:r w:rsidR="007F0DB4" w:rsidRPr="00775C7A">
        <w:t>-</w:t>
      </w:r>
      <w:r w:rsidR="00945873" w:rsidRPr="00775C7A">
        <w:t xml:space="preserve">time </w:t>
      </w:r>
      <w:r w:rsidR="0040470C" w:rsidRPr="00775C7A">
        <w:t>staff working on th</w:t>
      </w:r>
      <w:r w:rsidR="00945873" w:rsidRPr="00775C7A">
        <w:t>e GBV P</w:t>
      </w:r>
      <w:r w:rsidR="0040470C" w:rsidRPr="00775C7A">
        <w:t>rogram</w:t>
      </w:r>
      <w:r w:rsidR="00A01871">
        <w:t>,</w:t>
      </w:r>
      <w:r w:rsidR="00945873" w:rsidRPr="00775C7A">
        <w:t xml:space="preserve"> with other members of the </w:t>
      </w:r>
      <w:r>
        <w:t>Trócaire</w:t>
      </w:r>
      <w:r w:rsidR="00340441">
        <w:t xml:space="preserve"> </w:t>
      </w:r>
      <w:r w:rsidR="007F0DB4" w:rsidRPr="00775C7A">
        <w:t>Pakistan and headquarters based staff providing technical, financial and administrative support on a needs basis</w:t>
      </w:r>
      <w:r w:rsidR="0040470C" w:rsidRPr="00775C7A">
        <w:t xml:space="preserve">. </w:t>
      </w:r>
      <w:r>
        <w:t>Trócaire</w:t>
      </w:r>
      <w:r w:rsidR="007F0DB4" w:rsidRPr="00775C7A">
        <w:t xml:space="preserve"> has faced several c</w:t>
      </w:r>
      <w:r w:rsidR="0040470C" w:rsidRPr="00775C7A">
        <w:t>hallenges during implementation</w:t>
      </w:r>
      <w:r w:rsidR="00340441">
        <w:t xml:space="preserve"> of the Program</w:t>
      </w:r>
      <w:r w:rsidR="007F0DB4" w:rsidRPr="00775C7A">
        <w:t xml:space="preserve">, </w:t>
      </w:r>
      <w:r w:rsidR="0040470C" w:rsidRPr="00775C7A">
        <w:t>includ</w:t>
      </w:r>
      <w:r w:rsidR="00340441">
        <w:t xml:space="preserve">ing: </w:t>
      </w:r>
    </w:p>
    <w:p w14:paraId="3DFE7484" w14:textId="76951971" w:rsidR="00A01871" w:rsidRPr="00AE4A13" w:rsidRDefault="007F0DB4" w:rsidP="002D514F">
      <w:pPr>
        <w:pStyle w:val="ListParagraph"/>
        <w:numPr>
          <w:ilvl w:val="0"/>
          <w:numId w:val="21"/>
        </w:numPr>
      </w:pPr>
      <w:r w:rsidRPr="002D514F">
        <w:rPr>
          <w:rFonts w:asciiTheme="minorHAnsi" w:hAnsiTheme="minorHAnsi"/>
          <w:sz w:val="22"/>
          <w:szCs w:val="22"/>
        </w:rPr>
        <w:t>ongoing security issues especially in KP</w:t>
      </w:r>
      <w:r w:rsidR="004050ED" w:rsidRPr="002D514F">
        <w:rPr>
          <w:rFonts w:asciiTheme="minorHAnsi" w:hAnsiTheme="minorHAnsi"/>
          <w:sz w:val="22"/>
          <w:szCs w:val="22"/>
        </w:rPr>
        <w:t xml:space="preserve">, which </w:t>
      </w:r>
      <w:r w:rsidR="004050ED">
        <w:rPr>
          <w:rFonts w:asciiTheme="minorHAnsi" w:hAnsiTheme="minorHAnsi"/>
          <w:sz w:val="22"/>
          <w:szCs w:val="22"/>
        </w:rPr>
        <w:t xml:space="preserve">has </w:t>
      </w:r>
      <w:r w:rsidR="004050ED" w:rsidRPr="002D514F">
        <w:rPr>
          <w:rFonts w:asciiTheme="minorHAnsi" w:hAnsiTheme="minorHAnsi"/>
          <w:sz w:val="22"/>
          <w:szCs w:val="22"/>
        </w:rPr>
        <w:t>hindered implementation and monitoring (e</w:t>
      </w:r>
      <w:r w:rsidR="00770FD6">
        <w:rPr>
          <w:rFonts w:asciiTheme="minorHAnsi" w:hAnsiTheme="minorHAnsi"/>
          <w:sz w:val="22"/>
          <w:szCs w:val="22"/>
        </w:rPr>
        <w:t>.</w:t>
      </w:r>
      <w:r w:rsidR="004050ED" w:rsidRPr="002D514F">
        <w:rPr>
          <w:rFonts w:asciiTheme="minorHAnsi" w:hAnsiTheme="minorHAnsi"/>
          <w:sz w:val="22"/>
          <w:szCs w:val="22"/>
        </w:rPr>
        <w:t>g</w:t>
      </w:r>
      <w:r w:rsidR="00770FD6">
        <w:rPr>
          <w:rFonts w:asciiTheme="minorHAnsi" w:hAnsiTheme="minorHAnsi"/>
          <w:sz w:val="22"/>
          <w:szCs w:val="22"/>
        </w:rPr>
        <w:t>.</w:t>
      </w:r>
      <w:r w:rsidR="004050ED" w:rsidRPr="002D514F">
        <w:rPr>
          <w:rFonts w:asciiTheme="minorHAnsi" w:hAnsiTheme="minorHAnsi"/>
          <w:sz w:val="22"/>
          <w:szCs w:val="22"/>
        </w:rPr>
        <w:t xml:space="preserve"> through</w:t>
      </w:r>
      <w:r w:rsidR="004050ED">
        <w:rPr>
          <w:rFonts w:asciiTheme="minorHAnsi" w:hAnsiTheme="minorHAnsi"/>
          <w:sz w:val="22"/>
          <w:szCs w:val="22"/>
        </w:rPr>
        <w:t xml:space="preserve"> </w:t>
      </w:r>
      <w:r w:rsidR="0008203F">
        <w:rPr>
          <w:rFonts w:asciiTheme="minorHAnsi" w:hAnsiTheme="minorHAnsi"/>
          <w:sz w:val="22"/>
          <w:szCs w:val="22"/>
        </w:rPr>
        <w:t>Trócaire</w:t>
      </w:r>
      <w:r w:rsidR="004050ED">
        <w:rPr>
          <w:rFonts w:asciiTheme="minorHAnsi" w:hAnsiTheme="minorHAnsi"/>
          <w:sz w:val="22"/>
          <w:szCs w:val="22"/>
        </w:rPr>
        <w:t>’s</w:t>
      </w:r>
      <w:r w:rsidR="004050ED" w:rsidRPr="002D514F">
        <w:rPr>
          <w:rFonts w:asciiTheme="minorHAnsi" w:hAnsiTheme="minorHAnsi"/>
          <w:sz w:val="22"/>
          <w:szCs w:val="22"/>
        </w:rPr>
        <w:t xml:space="preserve"> inability to obtain No Objection Certificates for travel)</w:t>
      </w:r>
    </w:p>
    <w:p w14:paraId="5AB55748" w14:textId="553D022F" w:rsidR="00A01871" w:rsidRPr="00AE4A13" w:rsidRDefault="007F0DB4" w:rsidP="002D514F">
      <w:pPr>
        <w:pStyle w:val="ListParagraph"/>
        <w:numPr>
          <w:ilvl w:val="0"/>
          <w:numId w:val="21"/>
        </w:numPr>
      </w:pPr>
      <w:r w:rsidRPr="002D514F">
        <w:rPr>
          <w:rFonts w:asciiTheme="minorHAnsi" w:hAnsiTheme="minorHAnsi"/>
          <w:sz w:val="22"/>
          <w:szCs w:val="22"/>
        </w:rPr>
        <w:t xml:space="preserve">the </w:t>
      </w:r>
      <w:r w:rsidR="0040470C" w:rsidRPr="002D514F">
        <w:rPr>
          <w:rFonts w:asciiTheme="minorHAnsi" w:hAnsiTheme="minorHAnsi"/>
          <w:sz w:val="22"/>
          <w:szCs w:val="22"/>
        </w:rPr>
        <w:t>t</w:t>
      </w:r>
      <w:r w:rsidR="005D260B" w:rsidRPr="002D514F">
        <w:rPr>
          <w:rFonts w:asciiTheme="minorHAnsi" w:hAnsiTheme="minorHAnsi"/>
          <w:sz w:val="22"/>
          <w:szCs w:val="22"/>
        </w:rPr>
        <w:t>ime</w:t>
      </w:r>
      <w:r w:rsidR="004050ED" w:rsidRPr="002D514F">
        <w:rPr>
          <w:rFonts w:asciiTheme="minorHAnsi" w:hAnsiTheme="minorHAnsi"/>
          <w:sz w:val="22"/>
          <w:szCs w:val="22"/>
        </w:rPr>
        <w:t xml:space="preserve"> and cost implications of operating </w:t>
      </w:r>
      <w:r w:rsidR="007E5D99">
        <w:rPr>
          <w:rFonts w:asciiTheme="minorHAnsi" w:hAnsiTheme="minorHAnsi"/>
          <w:sz w:val="22"/>
          <w:szCs w:val="22"/>
        </w:rPr>
        <w:t xml:space="preserve">and supporting partners </w:t>
      </w:r>
      <w:r w:rsidR="004050ED" w:rsidRPr="002D514F">
        <w:rPr>
          <w:rFonts w:asciiTheme="minorHAnsi" w:hAnsiTheme="minorHAnsi"/>
          <w:sz w:val="22"/>
          <w:szCs w:val="22"/>
        </w:rPr>
        <w:t xml:space="preserve">in two </w:t>
      </w:r>
      <w:r w:rsidR="00B67A6B" w:rsidRPr="002D514F">
        <w:rPr>
          <w:rFonts w:asciiTheme="minorHAnsi" w:hAnsiTheme="minorHAnsi"/>
          <w:sz w:val="22"/>
          <w:szCs w:val="22"/>
        </w:rPr>
        <w:t xml:space="preserve">provinces </w:t>
      </w:r>
      <w:r w:rsidR="004050ED" w:rsidRPr="002D514F">
        <w:rPr>
          <w:rFonts w:asciiTheme="minorHAnsi" w:hAnsiTheme="minorHAnsi"/>
          <w:sz w:val="22"/>
          <w:szCs w:val="22"/>
        </w:rPr>
        <w:t xml:space="preserve">that </w:t>
      </w:r>
      <w:r w:rsidRPr="002D514F">
        <w:rPr>
          <w:rFonts w:asciiTheme="minorHAnsi" w:hAnsiTheme="minorHAnsi"/>
          <w:sz w:val="22"/>
          <w:szCs w:val="22"/>
        </w:rPr>
        <w:t xml:space="preserve">are </w:t>
      </w:r>
      <w:r w:rsidR="00B67A6B" w:rsidRPr="002D514F">
        <w:rPr>
          <w:rFonts w:asciiTheme="minorHAnsi" w:hAnsiTheme="minorHAnsi"/>
          <w:sz w:val="22"/>
          <w:szCs w:val="22"/>
        </w:rPr>
        <w:t>far apart</w:t>
      </w:r>
    </w:p>
    <w:p w14:paraId="646DD93C" w14:textId="0945F237" w:rsidR="004050ED" w:rsidRPr="00AE4A13" w:rsidRDefault="00341EAB" w:rsidP="002D514F">
      <w:pPr>
        <w:pStyle w:val="ListParagraph"/>
        <w:numPr>
          <w:ilvl w:val="0"/>
          <w:numId w:val="21"/>
        </w:numPr>
      </w:pPr>
      <w:r w:rsidRPr="002D514F">
        <w:rPr>
          <w:rFonts w:asciiTheme="minorHAnsi" w:hAnsiTheme="minorHAnsi"/>
          <w:sz w:val="22"/>
          <w:szCs w:val="22"/>
        </w:rPr>
        <w:t xml:space="preserve">building </w:t>
      </w:r>
      <w:r w:rsidR="005D260B" w:rsidRPr="002D514F">
        <w:rPr>
          <w:rFonts w:asciiTheme="minorHAnsi" w:hAnsiTheme="minorHAnsi"/>
          <w:sz w:val="22"/>
          <w:szCs w:val="22"/>
        </w:rPr>
        <w:t>communit</w:t>
      </w:r>
      <w:r w:rsidR="0080010E" w:rsidRPr="002D514F">
        <w:rPr>
          <w:rFonts w:asciiTheme="minorHAnsi" w:hAnsiTheme="minorHAnsi"/>
          <w:sz w:val="22"/>
          <w:szCs w:val="22"/>
        </w:rPr>
        <w:t>y</w:t>
      </w:r>
      <w:r w:rsidR="005D260B" w:rsidRPr="002D514F">
        <w:rPr>
          <w:rFonts w:asciiTheme="minorHAnsi" w:hAnsiTheme="minorHAnsi"/>
          <w:sz w:val="22"/>
          <w:szCs w:val="22"/>
        </w:rPr>
        <w:t xml:space="preserve"> trust</w:t>
      </w:r>
      <w:r w:rsidR="00340441" w:rsidRPr="002D514F">
        <w:rPr>
          <w:rFonts w:asciiTheme="minorHAnsi" w:hAnsiTheme="minorHAnsi"/>
          <w:sz w:val="22"/>
          <w:szCs w:val="22"/>
        </w:rPr>
        <w:t xml:space="preserve"> </w:t>
      </w:r>
      <w:r w:rsidR="002542DE" w:rsidRPr="002D514F">
        <w:rPr>
          <w:rFonts w:asciiTheme="minorHAnsi" w:hAnsiTheme="minorHAnsi"/>
          <w:sz w:val="22"/>
          <w:szCs w:val="22"/>
        </w:rPr>
        <w:t xml:space="preserve">and ownership of </w:t>
      </w:r>
      <w:r w:rsidR="004050ED" w:rsidRPr="002D514F">
        <w:rPr>
          <w:rFonts w:asciiTheme="minorHAnsi" w:hAnsiTheme="minorHAnsi"/>
          <w:sz w:val="22"/>
          <w:szCs w:val="22"/>
        </w:rPr>
        <w:t xml:space="preserve">the </w:t>
      </w:r>
      <w:r w:rsidR="002542DE" w:rsidRPr="002D514F">
        <w:rPr>
          <w:rFonts w:asciiTheme="minorHAnsi" w:hAnsiTheme="minorHAnsi"/>
          <w:sz w:val="22"/>
          <w:szCs w:val="22"/>
        </w:rPr>
        <w:t xml:space="preserve">GBV agenda </w:t>
      </w:r>
      <w:r w:rsidRPr="002D514F">
        <w:rPr>
          <w:rFonts w:asciiTheme="minorHAnsi" w:hAnsiTheme="minorHAnsi"/>
          <w:sz w:val="22"/>
          <w:szCs w:val="22"/>
        </w:rPr>
        <w:t>takes time,</w:t>
      </w:r>
      <w:r w:rsidR="002542DE" w:rsidRPr="002D514F">
        <w:rPr>
          <w:rFonts w:asciiTheme="minorHAnsi" w:hAnsiTheme="minorHAnsi"/>
          <w:sz w:val="22"/>
          <w:szCs w:val="22"/>
        </w:rPr>
        <w:t xml:space="preserve"> particularly in new operational districts</w:t>
      </w:r>
      <w:r w:rsidR="003003F1" w:rsidRPr="002D514F">
        <w:rPr>
          <w:rFonts w:asciiTheme="minorHAnsi" w:hAnsiTheme="minorHAnsi"/>
          <w:sz w:val="22"/>
          <w:szCs w:val="22"/>
        </w:rPr>
        <w:t xml:space="preserve"> and with new partners like ACT</w:t>
      </w:r>
    </w:p>
    <w:p w14:paraId="687F1EB4" w14:textId="1D1950AA" w:rsidR="004050ED" w:rsidRDefault="004050ED" w:rsidP="002D514F">
      <w:pPr>
        <w:pStyle w:val="ListParagraph"/>
        <w:numPr>
          <w:ilvl w:val="0"/>
          <w:numId w:val="21"/>
        </w:numPr>
      </w:pPr>
      <w:r w:rsidRPr="00CA7110">
        <w:rPr>
          <w:rFonts w:asciiTheme="minorHAnsi" w:hAnsiTheme="minorHAnsi"/>
          <w:sz w:val="22"/>
          <w:szCs w:val="22"/>
        </w:rPr>
        <w:t>changes in short</w:t>
      </w:r>
      <w:r w:rsidR="00770FD6">
        <w:rPr>
          <w:rFonts w:asciiTheme="minorHAnsi" w:hAnsiTheme="minorHAnsi"/>
          <w:sz w:val="22"/>
          <w:szCs w:val="22"/>
        </w:rPr>
        <w:t>-</w:t>
      </w:r>
      <w:r w:rsidRPr="00CA7110">
        <w:rPr>
          <w:rFonts w:asciiTheme="minorHAnsi" w:hAnsiTheme="minorHAnsi"/>
          <w:sz w:val="22"/>
          <w:szCs w:val="22"/>
        </w:rPr>
        <w:t xml:space="preserve">term technical partners which has led to additional management burden for the </w:t>
      </w:r>
      <w:r w:rsidR="0008203F">
        <w:rPr>
          <w:rFonts w:asciiTheme="minorHAnsi" w:hAnsiTheme="minorHAnsi"/>
          <w:sz w:val="22"/>
          <w:szCs w:val="22"/>
        </w:rPr>
        <w:t>Trócaire</w:t>
      </w:r>
      <w:r w:rsidRPr="00CA7110">
        <w:rPr>
          <w:rFonts w:asciiTheme="minorHAnsi" w:hAnsiTheme="minorHAnsi"/>
          <w:sz w:val="22"/>
          <w:szCs w:val="22"/>
        </w:rPr>
        <w:t xml:space="preserve"> team</w:t>
      </w:r>
      <w:r>
        <w:rPr>
          <w:rFonts w:asciiTheme="minorHAnsi" w:hAnsiTheme="minorHAnsi"/>
          <w:sz w:val="22"/>
          <w:szCs w:val="22"/>
        </w:rPr>
        <w:t>, and</w:t>
      </w:r>
    </w:p>
    <w:p w14:paraId="031AD328" w14:textId="4C7EC855" w:rsidR="0009106E" w:rsidRPr="00E63E55" w:rsidRDefault="0009106E" w:rsidP="0009106E">
      <w:pPr>
        <w:pStyle w:val="ListParagraph"/>
        <w:numPr>
          <w:ilvl w:val="0"/>
          <w:numId w:val="21"/>
        </w:numPr>
      </w:pPr>
      <w:r>
        <w:rPr>
          <w:rFonts w:asciiTheme="minorHAnsi" w:hAnsiTheme="minorHAnsi"/>
          <w:sz w:val="22"/>
          <w:szCs w:val="22"/>
        </w:rPr>
        <w:t>performance issues with a minority of partners</w:t>
      </w:r>
      <w:r w:rsidR="007E5D99">
        <w:rPr>
          <w:rFonts w:asciiTheme="minorHAnsi" w:hAnsiTheme="minorHAnsi"/>
          <w:sz w:val="22"/>
          <w:szCs w:val="22"/>
        </w:rPr>
        <w:t>, in particular NET senior management</w:t>
      </w:r>
      <w:r w:rsidR="00770FD6">
        <w:rPr>
          <w:rFonts w:asciiTheme="minorHAnsi" w:hAnsiTheme="minorHAnsi"/>
          <w:sz w:val="22"/>
          <w:szCs w:val="22"/>
        </w:rPr>
        <w:t>.</w:t>
      </w:r>
      <w:r>
        <w:rPr>
          <w:rFonts w:asciiTheme="minorHAnsi" w:hAnsiTheme="minorHAnsi"/>
          <w:sz w:val="22"/>
          <w:szCs w:val="22"/>
        </w:rPr>
        <w:t xml:space="preserve"> </w:t>
      </w:r>
    </w:p>
    <w:p w14:paraId="6FFE86D0" w14:textId="77777777" w:rsidR="0009106E" w:rsidRPr="00AE4A13" w:rsidRDefault="0009106E" w:rsidP="00E63E55">
      <w:pPr>
        <w:pStyle w:val="ListParagraph"/>
      </w:pPr>
    </w:p>
    <w:p w14:paraId="54C26154" w14:textId="39747BE1" w:rsidR="00775C7A" w:rsidRDefault="004050ED" w:rsidP="00E57D84">
      <w:r>
        <w:t xml:space="preserve">Three </w:t>
      </w:r>
      <w:r w:rsidR="00B1071C">
        <w:t>main</w:t>
      </w:r>
      <w:r w:rsidR="007E5D99">
        <w:t xml:space="preserve"> </w:t>
      </w:r>
      <w:r w:rsidR="00123D29">
        <w:t xml:space="preserve">changes were made in ‘Phase </w:t>
      </w:r>
      <w:r w:rsidR="00340441">
        <w:t>2</w:t>
      </w:r>
      <w:r w:rsidR="00123D29">
        <w:t xml:space="preserve">’ of the </w:t>
      </w:r>
      <w:r w:rsidR="001921C7">
        <w:t>P</w:t>
      </w:r>
      <w:r w:rsidR="00123D29">
        <w:t>rog</w:t>
      </w:r>
      <w:r w:rsidR="005574ED">
        <w:t xml:space="preserve">ram </w:t>
      </w:r>
      <w:r w:rsidR="00786FD6">
        <w:t xml:space="preserve">(mid 2016) </w:t>
      </w:r>
      <w:r w:rsidR="00123D29">
        <w:t>based on lessons learnt from Phase I</w:t>
      </w:r>
      <w:r w:rsidR="00786FD6">
        <w:t xml:space="preserve"> that were identified by </w:t>
      </w:r>
      <w:r w:rsidR="0008203F">
        <w:t>Trócaire</w:t>
      </w:r>
      <w:r w:rsidR="00786FD6">
        <w:t xml:space="preserve"> and the five implementing partners</w:t>
      </w:r>
      <w:r w:rsidR="005574ED">
        <w:t xml:space="preserve">: </w:t>
      </w:r>
    </w:p>
    <w:p w14:paraId="401CBDC4" w14:textId="53F13EE4" w:rsidR="00775C7A" w:rsidRDefault="005574ED" w:rsidP="00775C7A">
      <w:pPr>
        <w:pStyle w:val="ListParagraph"/>
        <w:numPr>
          <w:ilvl w:val="0"/>
          <w:numId w:val="18"/>
        </w:numPr>
        <w:rPr>
          <w:rFonts w:asciiTheme="minorHAnsi" w:hAnsiTheme="minorHAnsi"/>
          <w:sz w:val="22"/>
          <w:szCs w:val="22"/>
        </w:rPr>
      </w:pPr>
      <w:r w:rsidRPr="00775C7A">
        <w:rPr>
          <w:rFonts w:asciiTheme="minorHAnsi" w:hAnsiTheme="minorHAnsi"/>
          <w:sz w:val="22"/>
          <w:szCs w:val="22"/>
        </w:rPr>
        <w:t xml:space="preserve">Introduction of SASA! as the model for community mobilisation </w:t>
      </w:r>
      <w:r w:rsidR="0009106E">
        <w:rPr>
          <w:rFonts w:asciiTheme="minorHAnsi" w:hAnsiTheme="minorHAnsi"/>
          <w:sz w:val="22"/>
          <w:szCs w:val="22"/>
        </w:rPr>
        <w:t xml:space="preserve">and behaviour change </w:t>
      </w:r>
      <w:r w:rsidRPr="00775C7A">
        <w:rPr>
          <w:rFonts w:asciiTheme="minorHAnsi" w:hAnsiTheme="minorHAnsi"/>
          <w:sz w:val="22"/>
          <w:szCs w:val="22"/>
        </w:rPr>
        <w:t xml:space="preserve">under Objective 2; </w:t>
      </w:r>
    </w:p>
    <w:p w14:paraId="29A8D169" w14:textId="77777777" w:rsidR="00775C7A" w:rsidRDefault="00253B40" w:rsidP="00775C7A">
      <w:pPr>
        <w:pStyle w:val="ListParagraph"/>
        <w:numPr>
          <w:ilvl w:val="0"/>
          <w:numId w:val="18"/>
        </w:numPr>
        <w:rPr>
          <w:rFonts w:asciiTheme="minorHAnsi" w:hAnsiTheme="minorHAnsi"/>
          <w:sz w:val="22"/>
          <w:szCs w:val="22"/>
        </w:rPr>
      </w:pPr>
      <w:r>
        <w:rPr>
          <w:rFonts w:asciiTheme="minorHAnsi" w:hAnsiTheme="minorHAnsi"/>
          <w:sz w:val="22"/>
          <w:szCs w:val="22"/>
        </w:rPr>
        <w:t>S</w:t>
      </w:r>
      <w:r w:rsidR="005574ED" w:rsidRPr="00775C7A">
        <w:rPr>
          <w:rFonts w:asciiTheme="minorHAnsi" w:hAnsiTheme="minorHAnsi"/>
          <w:sz w:val="22"/>
          <w:szCs w:val="22"/>
        </w:rPr>
        <w:t xml:space="preserve">hifting from national level advocacy partner (Aurat Foundation) to </w:t>
      </w:r>
      <w:r w:rsidR="00341EAB" w:rsidRPr="00775C7A">
        <w:rPr>
          <w:rFonts w:asciiTheme="minorHAnsi" w:hAnsiTheme="minorHAnsi"/>
          <w:sz w:val="22"/>
          <w:szCs w:val="22"/>
        </w:rPr>
        <w:t>p</w:t>
      </w:r>
      <w:r w:rsidR="005574ED" w:rsidRPr="00775C7A">
        <w:rPr>
          <w:rFonts w:asciiTheme="minorHAnsi" w:hAnsiTheme="minorHAnsi"/>
          <w:sz w:val="22"/>
          <w:szCs w:val="22"/>
        </w:rPr>
        <w:t xml:space="preserve">rovincial level advocacy partners (Sindh: SPO; KP: TBD) under Objective 3; and </w:t>
      </w:r>
    </w:p>
    <w:p w14:paraId="4C766E61" w14:textId="140E3881" w:rsidR="00775C7A" w:rsidRDefault="00253B40" w:rsidP="00775C7A">
      <w:pPr>
        <w:pStyle w:val="ListParagraph"/>
        <w:numPr>
          <w:ilvl w:val="0"/>
          <w:numId w:val="18"/>
        </w:numPr>
        <w:rPr>
          <w:rFonts w:asciiTheme="minorHAnsi" w:hAnsiTheme="minorHAnsi"/>
          <w:sz w:val="22"/>
          <w:szCs w:val="22"/>
        </w:rPr>
      </w:pPr>
      <w:r>
        <w:rPr>
          <w:rFonts w:asciiTheme="minorHAnsi" w:hAnsiTheme="minorHAnsi"/>
          <w:sz w:val="22"/>
          <w:szCs w:val="22"/>
        </w:rPr>
        <w:t>C</w:t>
      </w:r>
      <w:r w:rsidR="00786FD6" w:rsidRPr="00775C7A">
        <w:rPr>
          <w:rFonts w:asciiTheme="minorHAnsi" w:hAnsiTheme="minorHAnsi"/>
          <w:sz w:val="22"/>
          <w:szCs w:val="22"/>
        </w:rPr>
        <w:t xml:space="preserve">hanges to the vocational training model. </w:t>
      </w:r>
    </w:p>
    <w:p w14:paraId="767552C8" w14:textId="5500E46A" w:rsidR="00C915C3" w:rsidRDefault="00C915C3" w:rsidP="00775C7A"/>
    <w:p w14:paraId="0DF5B0CE" w14:textId="009A7267" w:rsidR="00C915C3" w:rsidRDefault="0008203F" w:rsidP="00775C7A">
      <w:r>
        <w:t>Trócaire</w:t>
      </w:r>
      <w:r w:rsidR="00123D29" w:rsidRPr="00775C7A">
        <w:t xml:space="preserve"> is to be commended for acting upon lessons learnt, but </w:t>
      </w:r>
      <w:r w:rsidR="005574ED" w:rsidRPr="00775C7A">
        <w:rPr>
          <w:b/>
        </w:rPr>
        <w:t>the resulting changes to the Theory of Change</w:t>
      </w:r>
      <w:r w:rsidR="00602478" w:rsidRPr="00775C7A">
        <w:rPr>
          <w:b/>
        </w:rPr>
        <w:t xml:space="preserve"> (TOC</w:t>
      </w:r>
      <w:r w:rsidR="00340441">
        <w:rPr>
          <w:b/>
        </w:rPr>
        <w:t xml:space="preserve"> </w:t>
      </w:r>
      <w:r w:rsidR="005574ED" w:rsidRPr="00775C7A">
        <w:rPr>
          <w:b/>
        </w:rPr>
        <w:t>or Pro</w:t>
      </w:r>
      <w:r w:rsidR="00786FD6" w:rsidRPr="00775C7A">
        <w:rPr>
          <w:b/>
        </w:rPr>
        <w:t>gram Logic) need</w:t>
      </w:r>
      <w:r w:rsidR="005574ED" w:rsidRPr="00775C7A">
        <w:rPr>
          <w:b/>
        </w:rPr>
        <w:t xml:space="preserve"> to be </w:t>
      </w:r>
      <w:r w:rsidR="00786FD6" w:rsidRPr="00775C7A">
        <w:rPr>
          <w:b/>
        </w:rPr>
        <w:t xml:space="preserve">documented </w:t>
      </w:r>
      <w:r w:rsidR="00786FD6" w:rsidRPr="00775C7A">
        <w:t xml:space="preserve">to demonstrate how the various activities under each Objective are expected to achieve the long-term outcomes, and add up to more than the sum of the parts. </w:t>
      </w:r>
      <w:r w:rsidR="00312C18" w:rsidRPr="00775C7A">
        <w:rPr>
          <w:b/>
        </w:rPr>
        <w:t>T</w:t>
      </w:r>
      <w:r w:rsidR="00786FD6" w:rsidRPr="00775C7A">
        <w:rPr>
          <w:b/>
        </w:rPr>
        <w:t>he</w:t>
      </w:r>
      <w:r w:rsidR="00312C18" w:rsidRPr="00775C7A">
        <w:rPr>
          <w:b/>
        </w:rPr>
        <w:t xml:space="preserve"> lessons learnt and</w:t>
      </w:r>
      <w:r w:rsidR="00786FD6" w:rsidRPr="00775C7A">
        <w:rPr>
          <w:b/>
        </w:rPr>
        <w:t xml:space="preserve"> assumptions underpinning these </w:t>
      </w:r>
      <w:r w:rsidR="00312C18" w:rsidRPr="00775C7A">
        <w:rPr>
          <w:b/>
        </w:rPr>
        <w:t xml:space="preserve">assertions should be </w:t>
      </w:r>
      <w:r w:rsidR="004050ED">
        <w:rPr>
          <w:b/>
        </w:rPr>
        <w:t>clearly articulated</w:t>
      </w:r>
      <w:r w:rsidR="00312C18" w:rsidRPr="00775C7A">
        <w:t xml:space="preserve">. </w:t>
      </w:r>
    </w:p>
    <w:p w14:paraId="258C82EA" w14:textId="77777777" w:rsidR="00C915C3" w:rsidRDefault="00C915C3">
      <w:r>
        <w:br w:type="page"/>
      </w:r>
    </w:p>
    <w:p w14:paraId="1A8707B4" w14:textId="77777777" w:rsidR="00A12D80" w:rsidRPr="003E33D0" w:rsidRDefault="00A678E3" w:rsidP="003E33D0">
      <w:bookmarkStart w:id="23" w:name="_Toc491355886"/>
      <w:r>
        <w:rPr>
          <w:rStyle w:val="Heading1Char"/>
        </w:rPr>
        <w:lastRenderedPageBreak/>
        <w:t xml:space="preserve">Evaluation </w:t>
      </w:r>
      <w:r w:rsidR="00BE316E" w:rsidRPr="003E33D0">
        <w:rPr>
          <w:rStyle w:val="Heading1Char"/>
        </w:rPr>
        <w:t>Findings</w:t>
      </w:r>
      <w:bookmarkEnd w:id="23"/>
    </w:p>
    <w:p w14:paraId="493F3CD0" w14:textId="77777777" w:rsidR="00A12D80" w:rsidRPr="003E33D0" w:rsidRDefault="00A12D80" w:rsidP="003E33D0">
      <w:pPr>
        <w:pStyle w:val="Heading2"/>
      </w:pPr>
      <w:bookmarkStart w:id="24" w:name="_Toc491355887"/>
      <w:r w:rsidRPr="003E33D0">
        <w:t>Implementation Progress</w:t>
      </w:r>
      <w:bookmarkEnd w:id="24"/>
    </w:p>
    <w:p w14:paraId="1A0CC8CA" w14:textId="1EDB27DB" w:rsidR="00A12D80" w:rsidRPr="00E57D84" w:rsidRDefault="001A475B" w:rsidP="00E57D84">
      <w:pPr>
        <w:pStyle w:val="Heading3"/>
      </w:pPr>
      <w:bookmarkStart w:id="25" w:name="_Toc491355888"/>
      <w:r>
        <w:t xml:space="preserve">Outcome Area </w:t>
      </w:r>
      <w:r w:rsidR="00A12D80" w:rsidRPr="00E57D84">
        <w:t xml:space="preserve">1: </w:t>
      </w:r>
      <w:r>
        <w:t>Quality Support Services</w:t>
      </w:r>
      <w:bookmarkEnd w:id="25"/>
    </w:p>
    <w:p w14:paraId="777F9CF6" w14:textId="64D18D35" w:rsidR="00F517EA" w:rsidRPr="0040470C" w:rsidRDefault="001A475B" w:rsidP="004D4C14">
      <w:pPr>
        <w:rPr>
          <w:i/>
        </w:rPr>
      </w:pPr>
      <w:r>
        <w:rPr>
          <w:i/>
        </w:rPr>
        <w:t xml:space="preserve">Strategic </w:t>
      </w:r>
      <w:r w:rsidR="00F517EA" w:rsidRPr="0040470C">
        <w:rPr>
          <w:i/>
        </w:rPr>
        <w:t>Objective 1 - To strengthen GBV survivors’ access to quality support services for selected partners in KP and Sindh.</w:t>
      </w:r>
    </w:p>
    <w:p w14:paraId="75B57051" w14:textId="2C129178" w:rsidR="005209D0" w:rsidRDefault="00B314D9" w:rsidP="005209D0">
      <w:pPr>
        <w:pStyle w:val="Heading4"/>
      </w:pPr>
      <w:r w:rsidRPr="00E57D84">
        <w:t>Private Shelters</w:t>
      </w:r>
      <w:r w:rsidR="00BE316E" w:rsidRPr="00E57D84">
        <w:t xml:space="preserve"> and Darul</w:t>
      </w:r>
      <w:r w:rsidR="004050ED">
        <w:t xml:space="preserve"> </w:t>
      </w:r>
      <w:r w:rsidR="00BE316E" w:rsidRPr="00E57D84">
        <w:t>Aman</w:t>
      </w:r>
      <w:r w:rsidR="00512193">
        <w:t>s</w:t>
      </w:r>
    </w:p>
    <w:p w14:paraId="4CA2C371" w14:textId="01F657D8" w:rsidR="005209D0" w:rsidRPr="005209D0" w:rsidRDefault="005209D0" w:rsidP="005209D0">
      <w:pPr>
        <w:pStyle w:val="Quote"/>
        <w:rPr>
          <w:b/>
        </w:rPr>
      </w:pPr>
      <w:r>
        <w:t>“Women receiv</w:t>
      </w:r>
      <w:r w:rsidR="004050ED">
        <w:t>e</w:t>
      </w:r>
      <w:r>
        <w:t xml:space="preserve"> respect here that they haven’t </w:t>
      </w:r>
      <w:r w:rsidR="004050ED">
        <w:t xml:space="preserve">received in </w:t>
      </w:r>
      <w:r>
        <w:t>their</w:t>
      </w:r>
      <w:r w:rsidR="004050ED">
        <w:t xml:space="preserve"> own</w:t>
      </w:r>
      <w:r>
        <w:t xml:space="preserve"> homes.” </w:t>
      </w:r>
      <w:r w:rsidR="00C915C3">
        <w:t xml:space="preserve">- </w:t>
      </w:r>
      <w:r>
        <w:t>Supervisor in ABAD Shelter, Hyderabad</w:t>
      </w:r>
    </w:p>
    <w:p w14:paraId="1B30B52C" w14:textId="561196C4" w:rsidR="00321203" w:rsidRPr="00E57D84" w:rsidRDefault="00F517EA" w:rsidP="00E57D84">
      <w:r>
        <w:t>The investment supports two privately managed and run women’s shelters – one in Hyderabad</w:t>
      </w:r>
      <w:r w:rsidR="00A71DE5">
        <w:t>, Sindh run by ABAD</w:t>
      </w:r>
      <w:r>
        <w:t>, and one in Peshawar, KP</w:t>
      </w:r>
      <w:r w:rsidR="00A71DE5">
        <w:t>, run by NET</w:t>
      </w:r>
      <w:r>
        <w:t xml:space="preserve">. </w:t>
      </w:r>
      <w:r w:rsidR="00A71DE5">
        <w:t xml:space="preserve">The location of the shelters is kept secret for the safety of survivors. </w:t>
      </w:r>
      <w:r w:rsidR="00705F7A">
        <w:t>In both shelters, women requiring medical aid or travelling to court are</w:t>
      </w:r>
      <w:r w:rsidR="00770FD6">
        <w:t xml:space="preserve"> </w:t>
      </w:r>
      <w:r w:rsidR="00705F7A">
        <w:t>accompanied by shelter staff and police escort for the</w:t>
      </w:r>
      <w:r w:rsidR="00770FD6">
        <w:t xml:space="preserve">ir </w:t>
      </w:r>
      <w:r w:rsidR="00705F7A">
        <w:t xml:space="preserve">safety. </w:t>
      </w:r>
      <w:r w:rsidR="00531A44" w:rsidRPr="00F517EA">
        <w:t>Both private</w:t>
      </w:r>
      <w:r w:rsidR="00A71DE5">
        <w:t xml:space="preserve"> </w:t>
      </w:r>
      <w:r w:rsidR="00770FD6">
        <w:t xml:space="preserve">and </w:t>
      </w:r>
      <w:r w:rsidR="00A71DE5">
        <w:t>NGO-run</w:t>
      </w:r>
      <w:r w:rsidR="00531A44" w:rsidRPr="00F517EA">
        <w:t xml:space="preserve"> shelters are providing critical, quality services to survivors </w:t>
      </w:r>
      <w:r>
        <w:t xml:space="preserve">of violence </w:t>
      </w:r>
      <w:r w:rsidR="00531A44" w:rsidRPr="00F517EA">
        <w:t>and support should continue.</w:t>
      </w:r>
      <w:r w:rsidR="00A71DE5">
        <w:t xml:space="preserve"> The </w:t>
      </w:r>
      <w:r w:rsidR="00770FD6">
        <w:t xml:space="preserve">GBV </w:t>
      </w:r>
      <w:r w:rsidR="00A71DE5">
        <w:t xml:space="preserve">Program </w:t>
      </w:r>
      <w:r w:rsidR="00061AC1">
        <w:t xml:space="preserve">should </w:t>
      </w:r>
      <w:r w:rsidR="00A71DE5">
        <w:t xml:space="preserve">continue to work to </w:t>
      </w:r>
      <w:r w:rsidR="00341EAB">
        <w:t xml:space="preserve">improve </w:t>
      </w:r>
      <w:r w:rsidR="00061AC1">
        <w:t>access</w:t>
      </w:r>
      <w:r w:rsidR="00341EAB">
        <w:t xml:space="preserve"> for survivors</w:t>
      </w:r>
      <w:r w:rsidR="00061AC1">
        <w:t xml:space="preserve"> and </w:t>
      </w:r>
      <w:r w:rsidR="00A71DE5">
        <w:t xml:space="preserve">to aid </w:t>
      </w:r>
      <w:r w:rsidR="00061AC1">
        <w:t>sustainability of both shelters.</w:t>
      </w:r>
      <w:r w:rsidR="00A71DE5">
        <w:t xml:space="preserve"> </w:t>
      </w:r>
    </w:p>
    <w:p w14:paraId="36A31AC6" w14:textId="02053E61" w:rsidR="00321203" w:rsidRDefault="00531A44" w:rsidP="00E57D84">
      <w:r>
        <w:t>Both shelters have different issues regarding access</w:t>
      </w:r>
      <w:r w:rsidR="00A71DE5">
        <w:t>,</w:t>
      </w:r>
      <w:r>
        <w:t xml:space="preserve"> and addressing th</w:t>
      </w:r>
      <w:r w:rsidR="00A71DE5">
        <w:t>is</w:t>
      </w:r>
      <w:r>
        <w:t xml:space="preserve"> should be prioritised by </w:t>
      </w:r>
      <w:r w:rsidR="0008203F">
        <w:t>Trócaire</w:t>
      </w:r>
      <w:r>
        <w:t xml:space="preserve"> and </w:t>
      </w:r>
      <w:r w:rsidR="00341EAB">
        <w:t xml:space="preserve">the two implementing </w:t>
      </w:r>
      <w:r>
        <w:t>partners.</w:t>
      </w:r>
      <w:r w:rsidR="00F517EA">
        <w:t xml:space="preserve"> The ABAD shelter, for example, has </w:t>
      </w:r>
      <w:r w:rsidR="00A429E6">
        <w:t>strong</w:t>
      </w:r>
      <w:r w:rsidR="00F517EA">
        <w:t xml:space="preserve"> links with the police and </w:t>
      </w:r>
      <w:r w:rsidR="00F517EA" w:rsidRPr="00775C7A">
        <w:rPr>
          <w:i/>
        </w:rPr>
        <w:t>Darul</w:t>
      </w:r>
      <w:r w:rsidR="00A71DE5">
        <w:rPr>
          <w:i/>
        </w:rPr>
        <w:t xml:space="preserve"> </w:t>
      </w:r>
      <w:r w:rsidR="00F517EA" w:rsidRPr="00775C7A">
        <w:rPr>
          <w:i/>
        </w:rPr>
        <w:t>Aman</w:t>
      </w:r>
      <w:r w:rsidR="00F517EA">
        <w:t xml:space="preserve"> in Hyderabad, and is therefore receiving referrals from Government services. It does however, only cover a small radius and it is recommended that ABAD expand its reach to make the shelter available to women survivors from further afield. The NET shelter currently has fewer inhabitants, but they have come from across the province (</w:t>
      </w:r>
      <w:r w:rsidR="00775C7A">
        <w:t xml:space="preserve">for </w:t>
      </w:r>
      <w:r w:rsidR="00F517EA">
        <w:t>e</w:t>
      </w:r>
      <w:r w:rsidR="00775C7A">
        <w:t xml:space="preserve">xample </w:t>
      </w:r>
      <w:r w:rsidR="00F517EA">
        <w:t>Chitral</w:t>
      </w:r>
      <w:r w:rsidR="00A429E6">
        <w:t>, a district in the north of KP and</w:t>
      </w:r>
      <w:r w:rsidR="00775C7A">
        <w:t xml:space="preserve"> at a distance of almost 400</w:t>
      </w:r>
      <w:r w:rsidR="00356AA1">
        <w:t xml:space="preserve"> </w:t>
      </w:r>
      <w:r w:rsidR="00775C7A">
        <w:t>k</w:t>
      </w:r>
      <w:r w:rsidR="00356AA1">
        <w:t>ilometres (km)</w:t>
      </w:r>
      <w:r w:rsidR="00A429E6">
        <w:t xml:space="preserve"> from Peshawar</w:t>
      </w:r>
      <w:r w:rsidR="00F517EA">
        <w:t xml:space="preserve">) largely via </w:t>
      </w:r>
      <w:r w:rsidR="00A429E6">
        <w:t xml:space="preserve">other </w:t>
      </w:r>
      <w:r w:rsidR="00F517EA">
        <w:t xml:space="preserve">NGO </w:t>
      </w:r>
      <w:r w:rsidR="00A429E6">
        <w:t xml:space="preserve">and/or </w:t>
      </w:r>
      <w:r w:rsidR="00A429E6" w:rsidRPr="004D4C14">
        <w:rPr>
          <w:i/>
        </w:rPr>
        <w:t>pro bono</w:t>
      </w:r>
      <w:r w:rsidR="00A429E6">
        <w:t xml:space="preserve"> lawyer </w:t>
      </w:r>
      <w:r w:rsidR="00F517EA">
        <w:t>referral</w:t>
      </w:r>
      <w:r w:rsidR="00A71DE5">
        <w:t>s. Ho</w:t>
      </w:r>
      <w:r w:rsidR="00341EAB">
        <w:t>wever</w:t>
      </w:r>
      <w:r w:rsidR="00A71DE5">
        <w:t>,</w:t>
      </w:r>
      <w:r w:rsidR="00341EAB">
        <w:t xml:space="preserve"> </w:t>
      </w:r>
      <w:r w:rsidR="00A71DE5">
        <w:t xml:space="preserve">its </w:t>
      </w:r>
      <w:r w:rsidR="00F517EA">
        <w:t xml:space="preserve">links with government </w:t>
      </w:r>
      <w:r w:rsidR="00A71DE5">
        <w:t xml:space="preserve">departments and government </w:t>
      </w:r>
      <w:r w:rsidR="004A6FC3">
        <w:t xml:space="preserve">run shelters </w:t>
      </w:r>
      <w:r w:rsidR="00F517EA">
        <w:t xml:space="preserve">are weaker. The profile of NET shelter survivors is </w:t>
      </w:r>
      <w:r w:rsidR="00A71DE5">
        <w:t xml:space="preserve">also </w:t>
      </w:r>
      <w:r w:rsidR="00F517EA">
        <w:t>quite different to ABAD shelter survivors. NET provides shelter for very high</w:t>
      </w:r>
      <w:r w:rsidR="00770FD6">
        <w:t>-0</w:t>
      </w:r>
      <w:r w:rsidR="00F517EA">
        <w:t>risk cases (women who will most certainly be killed</w:t>
      </w:r>
      <w:r w:rsidR="0042126A">
        <w:t xml:space="preserve"> if they are located by family or community members)</w:t>
      </w:r>
      <w:r w:rsidR="00F517EA">
        <w:t xml:space="preserve">, and also </w:t>
      </w:r>
      <w:r w:rsidR="0042126A">
        <w:t>about 50</w:t>
      </w:r>
      <w:r w:rsidR="00A71DE5">
        <w:t xml:space="preserve"> </w:t>
      </w:r>
      <w:r w:rsidR="00387D78">
        <w:t>percent</w:t>
      </w:r>
      <w:r w:rsidR="0042126A">
        <w:t xml:space="preserve"> are </w:t>
      </w:r>
      <w:r w:rsidR="00C86D19">
        <w:t xml:space="preserve">registered </w:t>
      </w:r>
      <w:r w:rsidR="0042126A">
        <w:t xml:space="preserve">Afghan refugee women who have been referred by the UNHCR under an </w:t>
      </w:r>
      <w:r w:rsidR="00770FD6">
        <w:t>memorandum of understanding (MoU)</w:t>
      </w:r>
      <w:r w:rsidR="0042126A">
        <w:t xml:space="preserve"> signed </w:t>
      </w:r>
      <w:r w:rsidR="00387D78">
        <w:t xml:space="preserve">recently.  </w:t>
      </w:r>
      <w:r w:rsidR="000655E4">
        <w:t>ABAD survivors mostly have legal cases in progress, whereas NET survivors do</w:t>
      </w:r>
      <w:r w:rsidR="00705F7A">
        <w:t xml:space="preserve"> </w:t>
      </w:r>
      <w:r w:rsidR="000655E4">
        <w:t>n</w:t>
      </w:r>
      <w:r w:rsidR="00705F7A">
        <w:t>o</w:t>
      </w:r>
      <w:r w:rsidR="000655E4">
        <w:t>t.</w:t>
      </w:r>
    </w:p>
    <w:p w14:paraId="2A46E3D7" w14:textId="4BDB5FA6" w:rsidR="005209D0" w:rsidRPr="00E57D84" w:rsidRDefault="005209D0" w:rsidP="005209D0">
      <w:pPr>
        <w:pStyle w:val="Quote"/>
      </w:pPr>
      <w:r>
        <w:t>“It is very peaceful here and it is a nice comfortable place. I have no fear here of any kind</w:t>
      </w:r>
      <w:r w:rsidR="008B5A84">
        <w:t>.</w:t>
      </w:r>
      <w:r>
        <w:t>” – Survivor of violence, ABAD shelter, Hyderabad</w:t>
      </w:r>
    </w:p>
    <w:p w14:paraId="7C9F74A3" w14:textId="3F9513F2" w:rsidR="00321203" w:rsidRPr="00E57D84" w:rsidRDefault="0042126A" w:rsidP="00E57D84">
      <w:r w:rsidRPr="002D514F">
        <w:rPr>
          <w:b/>
        </w:rPr>
        <w:t xml:space="preserve">UNHCR referrals are a positive outcome and this development should be portrayed as such. </w:t>
      </w:r>
      <w:r w:rsidR="00C86D19" w:rsidRPr="002D514F">
        <w:rPr>
          <w:b/>
        </w:rPr>
        <w:t xml:space="preserve">Details </w:t>
      </w:r>
      <w:r w:rsidR="008B5A84" w:rsidRPr="002D514F">
        <w:rPr>
          <w:b/>
        </w:rPr>
        <w:t xml:space="preserve">of numbers of refugees accessing shelter services should be tracked and details </w:t>
      </w:r>
      <w:r w:rsidR="00C86D19" w:rsidRPr="002D514F">
        <w:rPr>
          <w:b/>
        </w:rPr>
        <w:t>should be included in progress reports.</w:t>
      </w:r>
      <w:r w:rsidR="00C86D19">
        <w:t xml:space="preserve"> </w:t>
      </w:r>
      <w:r w:rsidR="0008203F" w:rsidRPr="00E63E55">
        <w:t>Trócaire</w:t>
      </w:r>
      <w:r w:rsidRPr="00E63E55">
        <w:t xml:space="preserve"> and the AHC should </w:t>
      </w:r>
      <w:r w:rsidR="00813502" w:rsidRPr="00E63E55">
        <w:t xml:space="preserve">consider </w:t>
      </w:r>
      <w:r w:rsidRPr="00E63E55">
        <w:t>leverag</w:t>
      </w:r>
      <w:r w:rsidR="00813502" w:rsidRPr="00E63E55">
        <w:t>ing</w:t>
      </w:r>
      <w:r w:rsidRPr="00E63E55">
        <w:t xml:space="preserve"> the relationship with UNHCR for institutional support</w:t>
      </w:r>
      <w:r w:rsidR="00387D78" w:rsidRPr="00E63E55">
        <w:t xml:space="preserve"> to the NET shelter</w:t>
      </w:r>
      <w:r w:rsidR="00321203" w:rsidRPr="00E63E55">
        <w:t>.</w:t>
      </w:r>
      <w:r w:rsidR="008B5A84">
        <w:t xml:space="preserve"> </w:t>
      </w:r>
      <w:r>
        <w:t>Currently the UNHCR provides 8</w:t>
      </w:r>
      <w:r w:rsidR="00387D78">
        <w:t>,</w:t>
      </w:r>
      <w:r>
        <w:t>000</w:t>
      </w:r>
      <w:r w:rsidR="00770FD6">
        <w:t xml:space="preserve"> PKR (Pakistani Rupees)</w:t>
      </w:r>
      <w:r w:rsidR="00387D78">
        <w:t xml:space="preserve"> per </w:t>
      </w:r>
      <w:r>
        <w:t>survivor</w:t>
      </w:r>
      <w:r w:rsidR="00387D78">
        <w:t xml:space="preserve"> per </w:t>
      </w:r>
      <w:r w:rsidR="004851C5">
        <w:t>month</w:t>
      </w:r>
      <w:r>
        <w:t xml:space="preserve"> </w:t>
      </w:r>
      <w:r w:rsidR="008B5A84">
        <w:t xml:space="preserve">but </w:t>
      </w:r>
      <w:r>
        <w:t>this is insufficient to cover the cost of housing survivors at the shelter and providing them with quality services.</w:t>
      </w:r>
      <w:r w:rsidR="00321203">
        <w:t xml:space="preserve"> According to NET</w:t>
      </w:r>
      <w:r w:rsidR="004A6FC3">
        <w:t xml:space="preserve"> shelter staff</w:t>
      </w:r>
      <w:r w:rsidR="00321203">
        <w:t xml:space="preserve">, they were close to signing a similar agreement with the International Federation of Red Cross and Red Crescent </w:t>
      </w:r>
      <w:r w:rsidR="004A6FC3">
        <w:t xml:space="preserve">Societies </w:t>
      </w:r>
      <w:r w:rsidR="00321203">
        <w:t xml:space="preserve">but this was not approved by the Government of Pakistan – this should be </w:t>
      </w:r>
      <w:r w:rsidR="00321203">
        <w:lastRenderedPageBreak/>
        <w:t>followed up</w:t>
      </w:r>
      <w:r w:rsidR="004851C5">
        <w:t xml:space="preserve"> by </w:t>
      </w:r>
      <w:r w:rsidR="0008203F">
        <w:t>Trócaire</w:t>
      </w:r>
      <w:r w:rsidR="00321203">
        <w:t xml:space="preserve"> and documented as </w:t>
      </w:r>
      <w:r w:rsidR="008B5A84">
        <w:t xml:space="preserve">it is </w:t>
      </w:r>
      <w:r w:rsidR="00321203">
        <w:t>evidence that the shelter has a good reputation and is taking steps to increase referrals.</w:t>
      </w:r>
    </w:p>
    <w:p w14:paraId="2135A497" w14:textId="07B73C0B" w:rsidR="000B54FD" w:rsidRDefault="00D723C7" w:rsidP="00E57D84">
      <w:r>
        <w:t xml:space="preserve">The </w:t>
      </w:r>
      <w:r w:rsidR="009A14CB">
        <w:t xml:space="preserve">NET </w:t>
      </w:r>
      <w:r>
        <w:t xml:space="preserve">shelter </w:t>
      </w:r>
      <w:r w:rsidR="009A14CB">
        <w:t>has strong systems in place and competent staff.  The NET project staff member responsible for M&amp;E</w:t>
      </w:r>
      <w:r w:rsidR="008B5A84">
        <w:t xml:space="preserve"> regularly</w:t>
      </w:r>
      <w:r w:rsidR="009A14CB">
        <w:t xml:space="preserve"> collects data and visits the shelter every 15 days to assess the situation by using a ‘survivors satisfaction tool’; she also visits </w:t>
      </w:r>
      <w:r w:rsidR="008875ED">
        <w:t>when</w:t>
      </w:r>
      <w:r w:rsidR="009A14CB">
        <w:t xml:space="preserve"> a new survivor is registered</w:t>
      </w:r>
      <w:r w:rsidR="008B5A84">
        <w:t xml:space="preserve">. </w:t>
      </w:r>
      <w:r w:rsidR="009A14CB">
        <w:t xml:space="preserve">There is a data sheet for admission of each survivor maintained at the shelter in English and the two </w:t>
      </w:r>
      <w:r w:rsidR="008B5A84">
        <w:t>‘</w:t>
      </w:r>
      <w:r w:rsidR="009A14CB">
        <w:t>house mothers</w:t>
      </w:r>
      <w:r w:rsidR="008B5A84">
        <w:t>’</w:t>
      </w:r>
      <w:r w:rsidR="009A14CB">
        <w:t xml:space="preserve"> also maintain records of each survivor in Urdu. The evaluation team viewed the SOP</w:t>
      </w:r>
      <w:r>
        <w:t>s</w:t>
      </w:r>
      <w:r w:rsidR="00003A09">
        <w:t xml:space="preserve"> and found them to be satisfactory</w:t>
      </w:r>
      <w:r w:rsidR="009A14CB">
        <w:t>.</w:t>
      </w:r>
    </w:p>
    <w:p w14:paraId="3C4159E7" w14:textId="1B871CEF" w:rsidR="008B5A84" w:rsidRPr="00E57D84" w:rsidRDefault="008B5A84" w:rsidP="00E57D84">
      <w:r>
        <w:t xml:space="preserve">There have been concerns by </w:t>
      </w:r>
      <w:r w:rsidR="0008203F">
        <w:t>Trócaire</w:t>
      </w:r>
      <w:r>
        <w:t xml:space="preserve"> for some time about NET senior management engagement in the GBV Program, and failure of NET shelter to meet targets. </w:t>
      </w:r>
      <w:r w:rsidR="0008203F">
        <w:t>Trócaire</w:t>
      </w:r>
      <w:r>
        <w:t xml:space="preserve"> has taken action with the NET Board of Trustees, but access to senior management has not improved.</w:t>
      </w:r>
      <w:r>
        <w:rPr>
          <w:rStyle w:val="FootnoteReference"/>
        </w:rPr>
        <w:footnoteReference w:id="20"/>
      </w:r>
      <w:r>
        <w:t xml:space="preserve"> Despite these issues, the evaluation found that NET is providing a quality and much-needed service, and on this </w:t>
      </w:r>
      <w:r w:rsidR="006629CD">
        <w:t>basis,</w:t>
      </w:r>
      <w:r>
        <w:t xml:space="preserve"> support should continue at least until the end of the current program (2018). </w:t>
      </w:r>
      <w:r w:rsidR="0008203F">
        <w:rPr>
          <w:b/>
        </w:rPr>
        <w:t>Trócaire</w:t>
      </w:r>
      <w:r w:rsidRPr="002D514F">
        <w:rPr>
          <w:b/>
        </w:rPr>
        <w:t xml:space="preserve"> should continue to set clear timeframes and targets to NET regarding the need to better link with government to increase government referrals. NET should be informed that, if these matters are not addressed, funding may be withdrawn.</w:t>
      </w:r>
      <w:r>
        <w:t xml:space="preserve"> In addition to the three-member Board of Trustees, NET also has a Members Advisory Committee comprising five people representing different organisations, and </w:t>
      </w:r>
      <w:r w:rsidR="0008203F">
        <w:t>Trócaire</w:t>
      </w:r>
      <w:r>
        <w:t xml:space="preserve"> should attempt to advocate for improved communications through this body. NET did not meet the vocationa</w:t>
      </w:r>
      <w:r w:rsidR="00560254">
        <w:t>l training targets under Phase 1</w:t>
      </w:r>
      <w:r>
        <w:t xml:space="preserve"> of Avicenna support, and as a result is not receiving vocational </w:t>
      </w:r>
      <w:r w:rsidR="00560254">
        <w:t>training support under Phase 2</w:t>
      </w:r>
      <w:r>
        <w:t>. Given the profile of survivors in the NET shelter, it is understandable that demand for training is low. Survivors should, however, be given the option of attending training free of charge that is provided by PVDP through Avicenna support (see section below on vocational training).</w:t>
      </w:r>
    </w:p>
    <w:p w14:paraId="21F7F140" w14:textId="07B43682" w:rsidR="00321203" w:rsidRPr="00E57D84" w:rsidRDefault="00103E2A" w:rsidP="00E57D84">
      <w:r>
        <w:t xml:space="preserve">ABAD has strong links with the Hyderabad </w:t>
      </w:r>
      <w:r w:rsidRPr="004851C5">
        <w:rPr>
          <w:i/>
        </w:rPr>
        <w:t>Darul</w:t>
      </w:r>
      <w:r w:rsidR="00560254">
        <w:rPr>
          <w:i/>
        </w:rPr>
        <w:t xml:space="preserve"> </w:t>
      </w:r>
      <w:r w:rsidRPr="004851C5">
        <w:rPr>
          <w:i/>
        </w:rPr>
        <w:t>Aman</w:t>
      </w:r>
      <w:r>
        <w:t xml:space="preserve"> and this is a very positive development. Although the relationship appears to have made a difference to the quality of services provided there (e</w:t>
      </w:r>
      <w:r w:rsidR="00387D78">
        <w:t>.</w:t>
      </w:r>
      <w:r>
        <w:t>g</w:t>
      </w:r>
      <w:r w:rsidR="00387D78">
        <w:t>.</w:t>
      </w:r>
      <w:r>
        <w:t xml:space="preserve"> water dispenser</w:t>
      </w:r>
      <w:r w:rsidR="00060299">
        <w:t>, children’s furniture</w:t>
      </w:r>
      <w:r w:rsidR="00560254">
        <w:t xml:space="preserve"> </w:t>
      </w:r>
      <w:r w:rsidR="00387D78">
        <w:t xml:space="preserve">and toys </w:t>
      </w:r>
      <w:r>
        <w:t>provided by Australian support), there remains a distinct difference in the quality of services provided by the private and government run shelter</w:t>
      </w:r>
      <w:r w:rsidR="00003A09">
        <w:t>s</w:t>
      </w:r>
      <w:r>
        <w:t xml:space="preserve"> in Hyderabad. Of concern, the </w:t>
      </w:r>
      <w:r w:rsidRPr="004851C5">
        <w:rPr>
          <w:i/>
        </w:rPr>
        <w:t>Darul</w:t>
      </w:r>
      <w:r w:rsidR="00560254">
        <w:rPr>
          <w:i/>
        </w:rPr>
        <w:t xml:space="preserve"> </w:t>
      </w:r>
      <w:r w:rsidRPr="004851C5">
        <w:rPr>
          <w:i/>
        </w:rPr>
        <w:t>Aman</w:t>
      </w:r>
      <w:r>
        <w:t xml:space="preserve"> supervisor was unable to provide the evaluation team with a copy of the </w:t>
      </w:r>
      <w:r w:rsidR="00356AA1">
        <w:t>SOP</w:t>
      </w:r>
      <w:r>
        <w:t xml:space="preserve"> manual</w:t>
      </w:r>
      <w:r w:rsidR="00003A09">
        <w:t xml:space="preserve"> and had little information and/or knowledge o</w:t>
      </w:r>
      <w:r w:rsidR="00560254">
        <w:t>f</w:t>
      </w:r>
      <w:r w:rsidR="00003A09">
        <w:t xml:space="preserve"> other government services available</w:t>
      </w:r>
      <w:r>
        <w:t>. In Peshawar, NET has recently undertaken an assessment of</w:t>
      </w:r>
      <w:r w:rsidR="004851C5">
        <w:t xml:space="preserve"> the </w:t>
      </w:r>
      <w:r w:rsidR="009B5796">
        <w:t>WCCs</w:t>
      </w:r>
      <w:r w:rsidR="004851C5">
        <w:t xml:space="preserve"> </w:t>
      </w:r>
      <w:r w:rsidR="007C1DAF">
        <w:t xml:space="preserve">(which works as a </w:t>
      </w:r>
      <w:r w:rsidR="007C1DAF" w:rsidRPr="007C1DAF">
        <w:rPr>
          <w:i/>
        </w:rPr>
        <w:t>Darul</w:t>
      </w:r>
      <w:r w:rsidR="00560254">
        <w:rPr>
          <w:i/>
        </w:rPr>
        <w:t xml:space="preserve"> </w:t>
      </w:r>
      <w:r w:rsidR="007C1DAF" w:rsidRPr="007C1DAF">
        <w:rPr>
          <w:i/>
        </w:rPr>
        <w:t>Aman</w:t>
      </w:r>
      <w:r w:rsidR="007C1DAF">
        <w:t>)</w:t>
      </w:r>
      <w:r>
        <w:t>, at the request of the Director of the Directorate of Social Welfare</w:t>
      </w:r>
      <w:r w:rsidR="007625EA">
        <w:t xml:space="preserve"> and the EVAWG Alliance</w:t>
      </w:r>
      <w:r>
        <w:t xml:space="preserve">. This is a positive development, but engagement is only in initial stages and needs to be strengthened. </w:t>
      </w:r>
      <w:r w:rsidRPr="00103E2A">
        <w:rPr>
          <w:b/>
        </w:rPr>
        <w:t>Priority should continue to be given to strengthening links between the private and government shelter</w:t>
      </w:r>
      <w:r w:rsidR="00003A09">
        <w:rPr>
          <w:b/>
        </w:rPr>
        <w:t>s</w:t>
      </w:r>
      <w:r w:rsidRPr="00103E2A">
        <w:rPr>
          <w:b/>
        </w:rPr>
        <w:t xml:space="preserve"> (</w:t>
      </w:r>
      <w:r w:rsidRPr="005F3AB9">
        <w:rPr>
          <w:b/>
          <w:i/>
        </w:rPr>
        <w:t>Darul</w:t>
      </w:r>
      <w:r w:rsidR="00560254">
        <w:rPr>
          <w:b/>
          <w:i/>
        </w:rPr>
        <w:t xml:space="preserve"> </w:t>
      </w:r>
      <w:r w:rsidRPr="005F3AB9">
        <w:rPr>
          <w:b/>
          <w:i/>
        </w:rPr>
        <w:t>Aman</w:t>
      </w:r>
      <w:r w:rsidRPr="00103E2A">
        <w:rPr>
          <w:b/>
        </w:rPr>
        <w:t xml:space="preserve"> and </w:t>
      </w:r>
      <w:r w:rsidR="009B5796">
        <w:rPr>
          <w:b/>
        </w:rPr>
        <w:t>WCCs</w:t>
      </w:r>
      <w:r w:rsidRPr="00103E2A">
        <w:rPr>
          <w:b/>
        </w:rPr>
        <w:t>) in both provinces.</w:t>
      </w:r>
    </w:p>
    <w:p w14:paraId="3FEEE729" w14:textId="77777777" w:rsidR="00B314D9" w:rsidRPr="00E57D84" w:rsidRDefault="00B314D9" w:rsidP="00E57D84">
      <w:pPr>
        <w:pStyle w:val="Heading4"/>
      </w:pPr>
      <w:r w:rsidRPr="00E57D84">
        <w:t>Helplines</w:t>
      </w:r>
    </w:p>
    <w:p w14:paraId="4B26F19A" w14:textId="36EA7607" w:rsidR="00C05899" w:rsidRPr="00E57D84" w:rsidRDefault="00321203" w:rsidP="00E57D84">
      <w:r>
        <w:t xml:space="preserve">The GBV </w:t>
      </w:r>
      <w:r w:rsidR="00356AA1">
        <w:t>Program</w:t>
      </w:r>
      <w:r>
        <w:t xml:space="preserve"> is supporting the establishment </w:t>
      </w:r>
      <w:r w:rsidR="00512193">
        <w:t xml:space="preserve">and running costs </w:t>
      </w:r>
      <w:r>
        <w:t xml:space="preserve">of </w:t>
      </w:r>
      <w:r w:rsidR="00387D78">
        <w:t>two</w:t>
      </w:r>
      <w:r>
        <w:t xml:space="preserve"> helplines, one in Hyderabad and one in Peshawar. </w:t>
      </w:r>
      <w:r w:rsidRPr="002D514F">
        <w:rPr>
          <w:b/>
        </w:rPr>
        <w:t>Different models have been established in each province and these models, together with learnings, should be documented before the end of the investment.</w:t>
      </w:r>
      <w:r w:rsidRPr="00C05899">
        <w:t xml:space="preserve"> </w:t>
      </w:r>
      <w:r w:rsidR="00DF1465" w:rsidRPr="002D514F">
        <w:rPr>
          <w:b/>
        </w:rPr>
        <w:t>ABAD</w:t>
      </w:r>
      <w:r w:rsidR="00E02ECF" w:rsidRPr="002D514F">
        <w:rPr>
          <w:b/>
        </w:rPr>
        <w:t>,</w:t>
      </w:r>
      <w:r w:rsidRPr="002D514F">
        <w:rPr>
          <w:b/>
        </w:rPr>
        <w:t xml:space="preserve"> ACT and relevant government officials should also be supported financially to visit </w:t>
      </w:r>
      <w:r w:rsidR="006629CD" w:rsidRPr="002D514F">
        <w:rPr>
          <w:b/>
        </w:rPr>
        <w:t xml:space="preserve">each </w:t>
      </w:r>
      <w:r w:rsidR="006629CD" w:rsidRPr="002D514F">
        <w:rPr>
          <w:b/>
        </w:rPr>
        <w:lastRenderedPageBreak/>
        <w:t>other’s</w:t>
      </w:r>
      <w:r w:rsidRPr="002D514F">
        <w:rPr>
          <w:b/>
        </w:rPr>
        <w:t xml:space="preserve"> helplines </w:t>
      </w:r>
      <w:r w:rsidR="00512193" w:rsidRPr="002D514F">
        <w:rPr>
          <w:b/>
        </w:rPr>
        <w:t>to study and learn from the different approaches</w:t>
      </w:r>
      <w:r w:rsidRPr="002D514F">
        <w:rPr>
          <w:b/>
        </w:rPr>
        <w:t>.</w:t>
      </w:r>
      <w:r w:rsidR="00E02ECF">
        <w:t xml:space="preserve"> Other helpline models also exist in Pakistan that could be included in these exposure visits.</w:t>
      </w:r>
    </w:p>
    <w:p w14:paraId="300F7564" w14:textId="277B5A8C" w:rsidR="00C05899" w:rsidRPr="00E57D84" w:rsidRDefault="00DF1465" w:rsidP="00E57D84">
      <w:r>
        <w:t>In Hyderabad, ABAD has used its strong linkages with the Deputy Inspector General (DIG) Sindh Police Hyderabad to establish a helpline with</w:t>
      </w:r>
      <w:r w:rsidR="00C05899">
        <w:t>in</w:t>
      </w:r>
      <w:r>
        <w:t xml:space="preserve"> the existing </w:t>
      </w:r>
      <w:r w:rsidR="006C7EF0">
        <w:t>p</w:t>
      </w:r>
      <w:r>
        <w:t>olice helpline. The ABAD Madadgar</w:t>
      </w:r>
      <w:r w:rsidR="00E02ECF">
        <w:t xml:space="preserve"> </w:t>
      </w:r>
      <w:r>
        <w:t>GBV Helpline</w:t>
      </w:r>
      <w:r w:rsidR="00356AA1">
        <w:t xml:space="preserve">, </w:t>
      </w:r>
      <w:r>
        <w:t xml:space="preserve">which was launched in August 2016, is housed in the Hyderabad </w:t>
      </w:r>
      <w:r w:rsidR="006C7EF0">
        <w:t>p</w:t>
      </w:r>
      <w:r>
        <w:t xml:space="preserve">olice helpline office. </w:t>
      </w:r>
      <w:r w:rsidR="00C05899">
        <w:t xml:space="preserve">Two </w:t>
      </w:r>
      <w:r w:rsidR="006C7EF0">
        <w:t xml:space="preserve">ABAD </w:t>
      </w:r>
      <w:r w:rsidR="00C05899">
        <w:t xml:space="preserve">female </w:t>
      </w:r>
      <w:r w:rsidR="006C7EF0">
        <w:t>staff</w:t>
      </w:r>
      <w:r w:rsidR="00C05899">
        <w:t xml:space="preserve"> (h</w:t>
      </w:r>
      <w:r w:rsidR="006C7EF0">
        <w:t xml:space="preserve">elpline coordinator </w:t>
      </w:r>
      <w:r w:rsidR="00C05899">
        <w:t>and</w:t>
      </w:r>
      <w:r w:rsidR="00E02ECF">
        <w:t xml:space="preserve"> </w:t>
      </w:r>
      <w:r w:rsidR="003E4B46">
        <w:t xml:space="preserve">helpline </w:t>
      </w:r>
      <w:r w:rsidR="00C05899">
        <w:t xml:space="preserve">counsellor) are employed by the </w:t>
      </w:r>
      <w:r w:rsidR="009C403C">
        <w:t>P</w:t>
      </w:r>
      <w:r w:rsidR="00C05899">
        <w:t xml:space="preserve">rogram to record cases and refer survivors to services such as legal aid or counselling. </w:t>
      </w:r>
      <w:r w:rsidR="001C51CA">
        <w:t>They are physically present 9</w:t>
      </w:r>
      <w:r w:rsidR="00E02ECF">
        <w:t>am</w:t>
      </w:r>
      <w:r w:rsidR="001C51CA">
        <w:t>-5</w:t>
      </w:r>
      <w:r w:rsidR="00E02ECF">
        <w:t>pm Monday-Friday</w:t>
      </w:r>
      <w:r w:rsidR="001C51CA">
        <w:t xml:space="preserve">, but are able to take the mobile phone home and take calls 24/7. </w:t>
      </w:r>
      <w:r w:rsidR="00C05899">
        <w:t xml:space="preserve">The approach is new, but so far the arrangement </w:t>
      </w:r>
      <w:r w:rsidR="00E60B29">
        <w:t>appears to be working well, wi</w:t>
      </w:r>
      <w:r w:rsidR="00C05899">
        <w:t>th the strong support of</w:t>
      </w:r>
      <w:r w:rsidR="003E4B46">
        <w:t xml:space="preserve"> the D</w:t>
      </w:r>
      <w:r w:rsidR="00356AA1">
        <w:t>eputy Inspector-</w:t>
      </w:r>
      <w:r w:rsidR="003E4B46">
        <w:t>G</w:t>
      </w:r>
      <w:r w:rsidR="00356AA1">
        <w:t>eneral (DIG)</w:t>
      </w:r>
      <w:r w:rsidR="003E4B46">
        <w:t xml:space="preserve"> Hyderabad and the</w:t>
      </w:r>
      <w:r w:rsidR="009A14CB">
        <w:t>‘</w:t>
      </w:r>
      <w:r w:rsidR="00C05899">
        <w:t>15</w:t>
      </w:r>
      <w:r w:rsidR="009A14CB">
        <w:t>’</w:t>
      </w:r>
      <w:r w:rsidR="003E4B46">
        <w:t xml:space="preserve"> police assistant sub inspector in charge of the </w:t>
      </w:r>
      <w:r w:rsidR="009C403C">
        <w:t xml:space="preserve">helpline </w:t>
      </w:r>
      <w:r w:rsidR="003E4B46">
        <w:t>office.</w:t>
      </w:r>
      <w:r w:rsidR="002E5311">
        <w:t xml:space="preserve"> The ABAD helpline</w:t>
      </w:r>
      <w:r w:rsidR="009A14CB">
        <w:t xml:space="preserve"> receives approximately </w:t>
      </w:r>
      <w:r w:rsidR="00E02ECF">
        <w:t xml:space="preserve">12 </w:t>
      </w:r>
      <w:r w:rsidR="002E5311">
        <w:t xml:space="preserve">to 15 </w:t>
      </w:r>
      <w:r w:rsidR="00C05899">
        <w:t>calls per week</w:t>
      </w:r>
      <w:r w:rsidR="008643F7">
        <w:t xml:space="preserve">. </w:t>
      </w:r>
      <w:r w:rsidR="00E60B29" w:rsidRPr="00E60B29">
        <w:rPr>
          <w:b/>
        </w:rPr>
        <w:t xml:space="preserve">When not receiving calls, efforts should be made to work with </w:t>
      </w:r>
      <w:r w:rsidR="003E4B46">
        <w:rPr>
          <w:b/>
        </w:rPr>
        <w:t xml:space="preserve">male </w:t>
      </w:r>
      <w:r w:rsidR="00E60B29" w:rsidRPr="00E60B29">
        <w:rPr>
          <w:b/>
        </w:rPr>
        <w:t xml:space="preserve">operators of the </w:t>
      </w:r>
      <w:r w:rsidR="00E02ECF">
        <w:rPr>
          <w:b/>
        </w:rPr>
        <w:t>‘</w:t>
      </w:r>
      <w:r w:rsidR="00E60B29" w:rsidRPr="00E60B29">
        <w:rPr>
          <w:b/>
        </w:rPr>
        <w:t>15</w:t>
      </w:r>
      <w:r w:rsidR="00E02ECF">
        <w:rPr>
          <w:b/>
        </w:rPr>
        <w:t>’</w:t>
      </w:r>
      <w:r w:rsidR="00E60B29" w:rsidRPr="00E60B29">
        <w:rPr>
          <w:b/>
        </w:rPr>
        <w:t xml:space="preserve"> helpline to sensitise them to GBV and the best ways to handle</w:t>
      </w:r>
      <w:r w:rsidR="003E4B46">
        <w:rPr>
          <w:b/>
        </w:rPr>
        <w:t xml:space="preserve"> and refer</w:t>
      </w:r>
      <w:r w:rsidR="00E60B29" w:rsidRPr="00E60B29">
        <w:rPr>
          <w:b/>
        </w:rPr>
        <w:t xml:space="preserve"> cases. </w:t>
      </w:r>
      <w:r w:rsidR="0008203F">
        <w:rPr>
          <w:b/>
        </w:rPr>
        <w:t>Trócaire</w:t>
      </w:r>
      <w:r w:rsidR="00E60B29" w:rsidRPr="00E60B29">
        <w:rPr>
          <w:b/>
        </w:rPr>
        <w:t xml:space="preserve"> should also use its links with </w:t>
      </w:r>
      <w:r w:rsidR="006B0EF2">
        <w:rPr>
          <w:b/>
        </w:rPr>
        <w:t xml:space="preserve">the large private cellular </w:t>
      </w:r>
      <w:r w:rsidR="00E60B29" w:rsidRPr="00E60B29">
        <w:rPr>
          <w:b/>
        </w:rPr>
        <w:t xml:space="preserve">telephone company Zong at the national level to see if the company would be prepared to become a corporate sponsor, making the hotline a toll-free number. </w:t>
      </w:r>
    </w:p>
    <w:p w14:paraId="5C174C00" w14:textId="32B8F617" w:rsidR="00C05899" w:rsidRPr="00E57D84" w:rsidRDefault="00DF1465" w:rsidP="00E57D84">
      <w:r>
        <w:t>In Peshawar, ACT is working with the Directorate of Social Welfare and Women</w:t>
      </w:r>
      <w:r w:rsidR="00356AA1">
        <w:t>’s</w:t>
      </w:r>
      <w:r>
        <w:t xml:space="preserve"> Empowerment KP to set up a helpline to be housed within the Directorate’s premises. This is a </w:t>
      </w:r>
      <w:r w:rsidR="006629CD">
        <w:t>24-hour</w:t>
      </w:r>
      <w:r>
        <w:t xml:space="preserve"> toll-free helpline</w:t>
      </w:r>
      <w:r w:rsidR="00356AA1">
        <w:t xml:space="preserve"> to be</w:t>
      </w:r>
      <w:r>
        <w:t xml:space="preserve"> launched </w:t>
      </w:r>
      <w:r w:rsidR="009C403C">
        <w:t>i</w:t>
      </w:r>
      <w:r>
        <w:t>n December</w:t>
      </w:r>
      <w:r w:rsidR="009C403C">
        <w:t xml:space="preserve"> 2016</w:t>
      </w:r>
      <w:r>
        <w:t>. Importantly, this helpline wi</w:t>
      </w:r>
      <w:r w:rsidR="003E4B46">
        <w:t>ll</w:t>
      </w:r>
      <w:r>
        <w:t xml:space="preserve"> be a portal for all services provided by the Social Welfare</w:t>
      </w:r>
      <w:r w:rsidR="003E4B46">
        <w:t xml:space="preserve"> Department</w:t>
      </w:r>
      <w:r>
        <w:t xml:space="preserve">, not just for </w:t>
      </w:r>
      <w:r w:rsidR="009C403C">
        <w:t xml:space="preserve">survivors </w:t>
      </w:r>
      <w:r>
        <w:t>of violence. It will</w:t>
      </w:r>
      <w:r w:rsidR="00356AA1">
        <w:t xml:space="preserve"> </w:t>
      </w:r>
      <w:r>
        <w:t xml:space="preserve">be able to link people with disabilities to the relevant </w:t>
      </w:r>
      <w:r w:rsidR="003E4B46">
        <w:t>department</w:t>
      </w:r>
      <w:r>
        <w:t xml:space="preserve"> of Government and inform them of available services. </w:t>
      </w:r>
      <w:r w:rsidR="00E60B29">
        <w:t xml:space="preserve">ACT will need to ensure that the focus </w:t>
      </w:r>
      <w:r w:rsidR="003E4B46">
        <w:t xml:space="preserve">on </w:t>
      </w:r>
      <w:r w:rsidR="00E60B29">
        <w:t xml:space="preserve">GBV survivors is not lost. </w:t>
      </w:r>
      <w:r w:rsidR="00E02ECF">
        <w:t>Due to cultural norms,</w:t>
      </w:r>
      <w:r>
        <w:t xml:space="preserve"> female </w:t>
      </w:r>
      <w:r w:rsidR="00C05899">
        <w:t>helpline operators</w:t>
      </w:r>
      <w:r>
        <w:t xml:space="preserve"> will only be engaged for the daytime shift; men will operate the h</w:t>
      </w:r>
      <w:r w:rsidR="009C403C">
        <w:t>elp</w:t>
      </w:r>
      <w:r>
        <w:t xml:space="preserve">line for the evening and night shifts. This has significant </w:t>
      </w:r>
      <w:r w:rsidR="00E02ECF">
        <w:t xml:space="preserve">potential negative </w:t>
      </w:r>
      <w:r>
        <w:t xml:space="preserve">implications for the effectiveness of </w:t>
      </w:r>
      <w:r w:rsidR="003E4B46">
        <w:t xml:space="preserve">the </w:t>
      </w:r>
      <w:r>
        <w:t>helpline, as female survivors of violence</w:t>
      </w:r>
      <w:r w:rsidR="003E4B46">
        <w:t>,</w:t>
      </w:r>
      <w:r>
        <w:t xml:space="preserve"> will be reluctant to </w:t>
      </w:r>
      <w:r w:rsidR="00C05899">
        <w:t xml:space="preserve">disclose information and </w:t>
      </w:r>
      <w:r>
        <w:t xml:space="preserve">seek help from a male operator.  If </w:t>
      </w:r>
      <w:r w:rsidR="00E02ECF">
        <w:t xml:space="preserve">female </w:t>
      </w:r>
      <w:r w:rsidR="00C05899">
        <w:t xml:space="preserve">operators </w:t>
      </w:r>
      <w:r>
        <w:t>are unable to physically be present at the helpline office</w:t>
      </w:r>
      <w:r w:rsidR="00C05899">
        <w:t xml:space="preserve"> due to cultural </w:t>
      </w:r>
      <w:r w:rsidR="00383996">
        <w:t>norms</w:t>
      </w:r>
      <w:r>
        <w:t>,</w:t>
      </w:r>
      <w:r w:rsidR="00383996">
        <w:t xml:space="preserve"> </w:t>
      </w:r>
      <w:r w:rsidR="0008203F">
        <w:rPr>
          <w:b/>
        </w:rPr>
        <w:t>Trócaire</w:t>
      </w:r>
      <w:r w:rsidR="00C05899" w:rsidRPr="00C05899">
        <w:rPr>
          <w:b/>
        </w:rPr>
        <w:t xml:space="preserve"> and ACT should </w:t>
      </w:r>
      <w:r w:rsidR="00383996">
        <w:rPr>
          <w:b/>
        </w:rPr>
        <w:t xml:space="preserve">consider </w:t>
      </w:r>
      <w:r w:rsidR="00C05899" w:rsidRPr="00C05899">
        <w:rPr>
          <w:b/>
        </w:rPr>
        <w:t>pursu</w:t>
      </w:r>
      <w:r w:rsidR="00383996">
        <w:rPr>
          <w:b/>
        </w:rPr>
        <w:t>ing</w:t>
      </w:r>
      <w:r w:rsidR="00C05899" w:rsidRPr="00C05899">
        <w:rPr>
          <w:b/>
        </w:rPr>
        <w:t xml:space="preserve"> options that allow female operators to work from home, either by providing laptops o</w:t>
      </w:r>
      <w:r w:rsidR="00BA3C7D">
        <w:rPr>
          <w:b/>
        </w:rPr>
        <w:t>r</w:t>
      </w:r>
      <w:r w:rsidR="00C05899" w:rsidRPr="00C05899">
        <w:rPr>
          <w:b/>
        </w:rPr>
        <w:t xml:space="preserve"> mobile phones.</w:t>
      </w:r>
      <w:r w:rsidR="00383996">
        <w:rPr>
          <w:b/>
        </w:rPr>
        <w:t xml:space="preserve"> </w:t>
      </w:r>
      <w:r w:rsidR="00C05899">
        <w:t>This is critical for the effectiveness of the helpline in assist</w:t>
      </w:r>
      <w:r w:rsidR="00E57D84">
        <w:t>ing women survivors of violence.</w:t>
      </w:r>
    </w:p>
    <w:p w14:paraId="04CB9191" w14:textId="1766C310" w:rsidR="00C05899" w:rsidRPr="00E57D84" w:rsidRDefault="00C05899" w:rsidP="00E57D84">
      <w:r>
        <w:t>Both helplines are closely linked to government services, which is very positive in terms of sustainability. In both cases, an MOU has been signed with the relevant authorities (DIG Police in Hyderabad</w:t>
      </w:r>
      <w:r w:rsidR="00BA3C7D">
        <w:t xml:space="preserve"> and the</w:t>
      </w:r>
      <w:r>
        <w:t xml:space="preserve"> Directorate of Social Welfare in Peshawar), which include a commitment from Government to fund the continuation of the helpline following the conclusion of the investment. </w:t>
      </w:r>
      <w:r w:rsidR="0008203F">
        <w:rPr>
          <w:b/>
        </w:rPr>
        <w:t>Trócaire</w:t>
      </w:r>
      <w:r w:rsidRPr="00C05899">
        <w:rPr>
          <w:b/>
        </w:rPr>
        <w:t xml:space="preserve"> and </w:t>
      </w:r>
      <w:r w:rsidR="00BA3C7D">
        <w:rPr>
          <w:b/>
        </w:rPr>
        <w:t xml:space="preserve">the two </w:t>
      </w:r>
      <w:r w:rsidRPr="00C05899">
        <w:rPr>
          <w:b/>
        </w:rPr>
        <w:t xml:space="preserve">partners should </w:t>
      </w:r>
      <w:r w:rsidR="00383996">
        <w:rPr>
          <w:b/>
        </w:rPr>
        <w:t>strongly advocate for</w:t>
      </w:r>
      <w:r w:rsidRPr="00C05899">
        <w:rPr>
          <w:b/>
        </w:rPr>
        <w:t xml:space="preserve"> </w:t>
      </w:r>
      <w:r w:rsidR="00383996">
        <w:rPr>
          <w:b/>
        </w:rPr>
        <w:t xml:space="preserve">Government </w:t>
      </w:r>
      <w:r w:rsidRPr="00C05899">
        <w:rPr>
          <w:b/>
        </w:rPr>
        <w:t>fund</w:t>
      </w:r>
      <w:r w:rsidR="00BA3C7D">
        <w:rPr>
          <w:b/>
        </w:rPr>
        <w:t>s</w:t>
      </w:r>
      <w:r w:rsidR="00383996">
        <w:rPr>
          <w:b/>
        </w:rPr>
        <w:t xml:space="preserve"> to be</w:t>
      </w:r>
      <w:r w:rsidR="00BA3C7D">
        <w:rPr>
          <w:b/>
        </w:rPr>
        <w:t xml:space="preserve"> allocated</w:t>
      </w:r>
      <w:r w:rsidRPr="00C05899">
        <w:rPr>
          <w:b/>
        </w:rPr>
        <w:t xml:space="preserve"> f</w:t>
      </w:r>
      <w:r w:rsidR="00BA3C7D">
        <w:rPr>
          <w:b/>
        </w:rPr>
        <w:t>or</w:t>
      </w:r>
      <w:r w:rsidRPr="00C05899">
        <w:rPr>
          <w:b/>
        </w:rPr>
        <w:t xml:space="preserve"> the </w:t>
      </w:r>
      <w:r w:rsidR="00BA3C7D">
        <w:rPr>
          <w:b/>
        </w:rPr>
        <w:t>h</w:t>
      </w:r>
      <w:r w:rsidRPr="00C05899">
        <w:rPr>
          <w:b/>
        </w:rPr>
        <w:t xml:space="preserve">elplines in the </w:t>
      </w:r>
      <w:r w:rsidR="00BA3C7D">
        <w:rPr>
          <w:b/>
        </w:rPr>
        <w:t xml:space="preserve">next </w:t>
      </w:r>
      <w:r w:rsidRPr="00C05899">
        <w:rPr>
          <w:b/>
        </w:rPr>
        <w:t>budget for 2017-18 to ensure ongoing operation and sustainability of this component</w:t>
      </w:r>
      <w:r w:rsidR="00356AA1">
        <w:rPr>
          <w:b/>
        </w:rPr>
        <w:t xml:space="preserve"> post program completion</w:t>
      </w:r>
      <w:r w:rsidRPr="00C05899">
        <w:rPr>
          <w:b/>
        </w:rPr>
        <w:t>.</w:t>
      </w:r>
    </w:p>
    <w:p w14:paraId="109C1AEE" w14:textId="69268A96" w:rsidR="00321203" w:rsidRPr="00E57D84" w:rsidRDefault="00321203" w:rsidP="00E57D84">
      <w:r>
        <w:t xml:space="preserve">There are various helplines in Pakistan that can refer survivors of violence to services such as legal aid and counselling. </w:t>
      </w:r>
      <w:r w:rsidR="00C05899">
        <w:t xml:space="preserve">NET has its own helpline in the form of a mobile </w:t>
      </w:r>
      <w:r w:rsidR="006629CD">
        <w:t>number, which</w:t>
      </w:r>
      <w:r w:rsidR="00C05899">
        <w:t xml:space="preserve"> is </w:t>
      </w:r>
      <w:r w:rsidR="00E60B29">
        <w:t xml:space="preserve">passed between NET staff </w:t>
      </w:r>
      <w:r w:rsidR="00383996">
        <w:t xml:space="preserve">via </w:t>
      </w:r>
      <w:r w:rsidR="00E60B29">
        <w:t>a roster system. NET also has linkages with the Ministry</w:t>
      </w:r>
      <w:r w:rsidR="00383996">
        <w:t xml:space="preserve"> </w:t>
      </w:r>
      <w:r w:rsidR="008643F7">
        <w:t>o</w:t>
      </w:r>
      <w:r w:rsidR="00E60B29">
        <w:t>f Human Rights</w:t>
      </w:r>
      <w:r w:rsidR="008643F7">
        <w:t xml:space="preserve"> ‘H</w:t>
      </w:r>
      <w:r w:rsidR="00E60B29">
        <w:t>elpline</w:t>
      </w:r>
      <w:r w:rsidR="008643F7">
        <w:t xml:space="preserve"> for Legal Advice on Human Rights Violations’ which is a 24 hour toll free helpline.</w:t>
      </w:r>
      <w:r w:rsidR="00383996">
        <w:t xml:space="preserve"> </w:t>
      </w:r>
      <w:r w:rsidR="00C05899" w:rsidRPr="00E60B29">
        <w:rPr>
          <w:b/>
        </w:rPr>
        <w:t xml:space="preserve">Care is needed to ensure efforts are not being duplicated, and </w:t>
      </w:r>
      <w:r w:rsidR="00E60B29" w:rsidRPr="00E60B29">
        <w:rPr>
          <w:b/>
        </w:rPr>
        <w:t xml:space="preserve">there is appropriate coordination between </w:t>
      </w:r>
      <w:r w:rsidR="00E60B29" w:rsidRPr="00E60B29">
        <w:rPr>
          <w:b/>
        </w:rPr>
        <w:lastRenderedPageBreak/>
        <w:t>the helpline providers.</w:t>
      </w:r>
      <w:r w:rsidR="00383996">
        <w:rPr>
          <w:b/>
        </w:rPr>
        <w:t xml:space="preserve"> </w:t>
      </w:r>
      <w:r w:rsidR="0008203F">
        <w:rPr>
          <w:b/>
        </w:rPr>
        <w:t>Trócaire</w:t>
      </w:r>
      <w:r w:rsidR="00BA3C7D">
        <w:rPr>
          <w:b/>
        </w:rPr>
        <w:t xml:space="preserve"> can facilitate this process by bringing the different stakeholders together. </w:t>
      </w:r>
    </w:p>
    <w:p w14:paraId="4FC1D93A" w14:textId="27D77C59" w:rsidR="00B314D9" w:rsidRPr="00E57D84" w:rsidRDefault="00B314D9" w:rsidP="00E57D84">
      <w:pPr>
        <w:pStyle w:val="Heading4"/>
      </w:pPr>
      <w:r w:rsidRPr="00E57D84">
        <w:t>Legal Aid</w:t>
      </w:r>
      <w:r w:rsidR="00383996">
        <w:t xml:space="preserve"> </w:t>
      </w:r>
      <w:r w:rsidR="002D4BEC">
        <w:t>and M</w:t>
      </w:r>
      <w:r w:rsidR="00216049" w:rsidRPr="00E57D84">
        <w:t>edi</w:t>
      </w:r>
      <w:r w:rsidR="00BE316E" w:rsidRPr="00E57D84">
        <w:t>c</w:t>
      </w:r>
      <w:r w:rsidR="002D4BEC">
        <w:t>o-L</w:t>
      </w:r>
      <w:r w:rsidR="00216049" w:rsidRPr="00E57D84">
        <w:t>egal</w:t>
      </w:r>
      <w:r w:rsidR="007C1DAF">
        <w:t xml:space="preserve"> </w:t>
      </w:r>
      <w:r w:rsidR="00383996">
        <w:t>S</w:t>
      </w:r>
      <w:r w:rsidR="007C1DAF">
        <w:t>upport</w:t>
      </w:r>
    </w:p>
    <w:p w14:paraId="5AB76BD2" w14:textId="52A3CAF7" w:rsidR="005903F8" w:rsidRPr="00E57D84" w:rsidRDefault="00A3736E" w:rsidP="00E57D84">
      <w:r>
        <w:t xml:space="preserve">Both NET and ABAD have strong links with lawyers and are able to provide survivors of violence with free legal aid. In Hyderabad, two lawyers work full-time at the ABAD </w:t>
      </w:r>
      <w:r w:rsidR="00D90B05">
        <w:t xml:space="preserve">Legal Aid </w:t>
      </w:r>
      <w:r w:rsidR="006F2927">
        <w:t>Centre</w:t>
      </w:r>
      <w:r>
        <w:t xml:space="preserve">, and </w:t>
      </w:r>
      <w:r w:rsidR="000B54FD">
        <w:t xml:space="preserve">ABAD is able to draw on </w:t>
      </w:r>
      <w:r w:rsidR="000B54FD" w:rsidRPr="004D4C14">
        <w:rPr>
          <w:i/>
        </w:rPr>
        <w:t>pro-bono</w:t>
      </w:r>
      <w:r w:rsidR="000B54FD">
        <w:t xml:space="preserve"> lawyers from the District Bar Council when required. ABAD also has </w:t>
      </w:r>
      <w:r w:rsidR="00383996">
        <w:t xml:space="preserve">good </w:t>
      </w:r>
      <w:r w:rsidR="000B54FD">
        <w:t xml:space="preserve">links with </w:t>
      </w:r>
      <w:r w:rsidR="007A0969">
        <w:t>hospital</w:t>
      </w:r>
      <w:r w:rsidR="00D90B05">
        <w:t>s</w:t>
      </w:r>
      <w:r w:rsidR="007A0969">
        <w:t xml:space="preserve"> and medical providers, although the evaluation team did not meet with any medical providers. In Peshawar, </w:t>
      </w:r>
      <w:r w:rsidR="005903F8">
        <w:t>NET relocated its legal aid office to the District Courts</w:t>
      </w:r>
      <w:r w:rsidR="00D90B05">
        <w:t xml:space="preserve"> in March 2016, </w:t>
      </w:r>
      <w:r w:rsidR="005903F8">
        <w:t>a location which is more accessible by public transport.</w:t>
      </w:r>
      <w:r w:rsidR="00D90B05">
        <w:t xml:space="preserve"> This Drop</w:t>
      </w:r>
      <w:r w:rsidR="007F3EA8">
        <w:t>-</w:t>
      </w:r>
      <w:r w:rsidR="00D90B05">
        <w:t>In</w:t>
      </w:r>
      <w:r w:rsidR="00383996">
        <w:t xml:space="preserve"> </w:t>
      </w:r>
      <w:r w:rsidR="006F2927">
        <w:t>Centre</w:t>
      </w:r>
      <w:r w:rsidR="00D90B05">
        <w:t xml:space="preserve"> has made it easier for NET to register cases, have access to the </w:t>
      </w:r>
      <w:r w:rsidR="00D90B05" w:rsidRPr="004D4C14">
        <w:rPr>
          <w:i/>
        </w:rPr>
        <w:t>pro</w:t>
      </w:r>
      <w:r w:rsidR="007F3EA8" w:rsidRPr="004D4C14">
        <w:rPr>
          <w:i/>
        </w:rPr>
        <w:t xml:space="preserve"> </w:t>
      </w:r>
      <w:r w:rsidR="00D90B05" w:rsidRPr="004D4C14">
        <w:rPr>
          <w:i/>
        </w:rPr>
        <w:t>bono</w:t>
      </w:r>
      <w:r w:rsidR="00D90B05">
        <w:t xml:space="preserve"> lawyers</w:t>
      </w:r>
      <w:r w:rsidR="004634E7">
        <w:t xml:space="preserve"> (NET has access to 45 </w:t>
      </w:r>
      <w:r w:rsidR="004634E7" w:rsidRPr="004D4C14">
        <w:rPr>
          <w:i/>
        </w:rPr>
        <w:t>pro</w:t>
      </w:r>
      <w:r w:rsidR="007F3EA8" w:rsidRPr="004D4C14">
        <w:rPr>
          <w:i/>
        </w:rPr>
        <w:t xml:space="preserve"> </w:t>
      </w:r>
      <w:r w:rsidR="004634E7" w:rsidRPr="004D4C14">
        <w:rPr>
          <w:i/>
        </w:rPr>
        <w:t>bono</w:t>
      </w:r>
      <w:r w:rsidR="004634E7">
        <w:t xml:space="preserve"> lawyers in 12 districts of KP)</w:t>
      </w:r>
      <w:r w:rsidR="00D90B05">
        <w:t xml:space="preserve"> and it provides increased access for clients seeking legal advice and referral</w:t>
      </w:r>
      <w:r w:rsidR="007F3EA8">
        <w:t>s</w:t>
      </w:r>
      <w:r w:rsidR="00D90B05">
        <w:t xml:space="preserve">. </w:t>
      </w:r>
      <w:r w:rsidR="005903F8">
        <w:t xml:space="preserve"> However, it is a very male-dominated environment and very few women were seen in the District Courts premises. </w:t>
      </w:r>
      <w:r w:rsidR="005903F8" w:rsidRPr="005903F8">
        <w:rPr>
          <w:b/>
        </w:rPr>
        <w:t xml:space="preserve">It will be important to track numbers of women accessing legal aid in the </w:t>
      </w:r>
      <w:r w:rsidR="00D90B05">
        <w:rPr>
          <w:b/>
        </w:rPr>
        <w:t>Drop In</w:t>
      </w:r>
      <w:r w:rsidR="00383996">
        <w:rPr>
          <w:b/>
        </w:rPr>
        <w:t xml:space="preserve"> </w:t>
      </w:r>
      <w:r w:rsidR="006F2927">
        <w:rPr>
          <w:b/>
        </w:rPr>
        <w:t>Centre</w:t>
      </w:r>
      <w:r w:rsidR="00D90B05">
        <w:rPr>
          <w:b/>
        </w:rPr>
        <w:t>,</w:t>
      </w:r>
      <w:r w:rsidR="005903F8" w:rsidRPr="005903F8">
        <w:rPr>
          <w:b/>
        </w:rPr>
        <w:t xml:space="preserve"> to assess the efficacy of this move</w:t>
      </w:r>
      <w:r w:rsidR="005903F8">
        <w:t>.</w:t>
      </w:r>
      <w:r w:rsidR="00D90B05">
        <w:t xml:space="preserve"> In November 2016</w:t>
      </w:r>
      <w:r w:rsidR="007F3EA8">
        <w:t>,</w:t>
      </w:r>
      <w:r w:rsidR="00D90B05">
        <w:t xml:space="preserve"> </w:t>
      </w:r>
      <w:r w:rsidR="005903F8">
        <w:t xml:space="preserve">NET signed an MOU with the </w:t>
      </w:r>
      <w:r w:rsidR="00D90B05">
        <w:t xml:space="preserve">Peshawar </w:t>
      </w:r>
      <w:r w:rsidR="005903F8">
        <w:t xml:space="preserve">District Bar Council, which provides </w:t>
      </w:r>
      <w:r w:rsidR="005903F8" w:rsidRPr="004D4C14">
        <w:rPr>
          <w:i/>
        </w:rPr>
        <w:t>pro</w:t>
      </w:r>
      <w:r w:rsidR="007F3EA8" w:rsidRPr="004D4C14">
        <w:rPr>
          <w:i/>
        </w:rPr>
        <w:t xml:space="preserve"> </w:t>
      </w:r>
      <w:r w:rsidR="005903F8" w:rsidRPr="004D4C14">
        <w:rPr>
          <w:i/>
        </w:rPr>
        <w:t>bono</w:t>
      </w:r>
      <w:r w:rsidR="005903F8">
        <w:t xml:space="preserve"> lawyers and space for training and events that can </w:t>
      </w:r>
      <w:r w:rsidR="00383996">
        <w:t xml:space="preserve">(and should) </w:t>
      </w:r>
      <w:r w:rsidR="005903F8">
        <w:t>be accessed by</w:t>
      </w:r>
      <w:r w:rsidR="005D5FEE">
        <w:t xml:space="preserve"> both </w:t>
      </w:r>
      <w:r w:rsidR="0008203F">
        <w:t>Trócaire</w:t>
      </w:r>
      <w:r w:rsidR="005D5FEE">
        <w:t xml:space="preserve"> and NET. </w:t>
      </w:r>
      <w:r w:rsidR="005903F8">
        <w:t xml:space="preserve"> The evaluation team met with </w:t>
      </w:r>
      <w:r w:rsidR="005D5FEE">
        <w:t xml:space="preserve">12 </w:t>
      </w:r>
      <w:r w:rsidR="005903F8">
        <w:t xml:space="preserve">male </w:t>
      </w:r>
      <w:r w:rsidR="005903F8" w:rsidRPr="004D4C14">
        <w:rPr>
          <w:i/>
        </w:rPr>
        <w:t>pro</w:t>
      </w:r>
      <w:r w:rsidR="007F3EA8" w:rsidRPr="004D4C14">
        <w:rPr>
          <w:i/>
        </w:rPr>
        <w:t xml:space="preserve"> </w:t>
      </w:r>
      <w:r w:rsidR="005903F8" w:rsidRPr="004D4C14">
        <w:rPr>
          <w:i/>
        </w:rPr>
        <w:t>bono</w:t>
      </w:r>
      <w:r w:rsidR="005903F8">
        <w:t xml:space="preserve"> lawyers who were clearly committed to assisting survivors of violence, although they did mention they were often significantly out of pocket and</w:t>
      </w:r>
      <w:r w:rsidR="00C44783">
        <w:t xml:space="preserve"> increased </w:t>
      </w:r>
      <w:r w:rsidR="005903F8">
        <w:t xml:space="preserve">assistance in covering court costs would be appreciated. </w:t>
      </w:r>
    </w:p>
    <w:p w14:paraId="0B30A46F" w14:textId="41B7EEB3" w:rsidR="00061237" w:rsidRPr="00E57D84" w:rsidRDefault="00BB138A" w:rsidP="00E57D84">
      <w:r>
        <w:t xml:space="preserve">Under the </w:t>
      </w:r>
      <w:r w:rsidR="00383996">
        <w:t>P</w:t>
      </w:r>
      <w:r>
        <w:t xml:space="preserve">rogram, </w:t>
      </w:r>
      <w:r w:rsidR="0008203F">
        <w:t>Trócaire</w:t>
      </w:r>
      <w:r w:rsidR="00383996">
        <w:t xml:space="preserve"> </w:t>
      </w:r>
      <w:r w:rsidR="007C1DAF">
        <w:t>undertook</w:t>
      </w:r>
      <w:r>
        <w:t xml:space="preserve"> an </w:t>
      </w:r>
      <w:r w:rsidR="009061AB" w:rsidRPr="009061AB">
        <w:t xml:space="preserve">Assessment of </w:t>
      </w:r>
      <w:r w:rsidR="007F3EA8">
        <w:t>m</w:t>
      </w:r>
      <w:r w:rsidR="009061AB" w:rsidRPr="009061AB">
        <w:t>edico-</w:t>
      </w:r>
      <w:r w:rsidR="007F3EA8">
        <w:t>l</w:t>
      </w:r>
      <w:r w:rsidR="009061AB" w:rsidRPr="009061AB">
        <w:t xml:space="preserve">egal </w:t>
      </w:r>
      <w:r w:rsidR="007F3EA8">
        <w:t>s</w:t>
      </w:r>
      <w:r w:rsidR="009061AB" w:rsidRPr="009061AB">
        <w:t>ervices from a Gender Perspective</w:t>
      </w:r>
      <w:r>
        <w:t>,</w:t>
      </w:r>
      <w:r w:rsidR="009061AB" w:rsidRPr="009061AB">
        <w:t xml:space="preserve"> in collaboration with the Ministry of Human Rights and the </w:t>
      </w:r>
      <w:r w:rsidR="007F3EA8">
        <w:t>NCSW</w:t>
      </w:r>
      <w:r>
        <w:t>. The report</w:t>
      </w:r>
      <w:r w:rsidR="008B42E5">
        <w:t xml:space="preserve"> was</w:t>
      </w:r>
      <w:r>
        <w:t xml:space="preserve"> published in 2015 </w:t>
      </w:r>
      <w:r w:rsidR="009061AB" w:rsidRPr="009061AB">
        <w:t xml:space="preserve">and launched </w:t>
      </w:r>
      <w:r w:rsidR="00383996">
        <w:t xml:space="preserve">in collaboration with </w:t>
      </w:r>
      <w:r w:rsidR="007C1DAF">
        <w:t>the</w:t>
      </w:r>
      <w:r w:rsidR="009061AB" w:rsidRPr="009061AB">
        <w:t xml:space="preserve"> Women’s Parliamentary Caucus. </w:t>
      </w:r>
      <w:r w:rsidR="007F3EA8">
        <w:t>AF</w:t>
      </w:r>
      <w:r>
        <w:t xml:space="preserve"> developed linkages with health regulatory authorities and train</w:t>
      </w:r>
      <w:r w:rsidR="00383996">
        <w:t>ed</w:t>
      </w:r>
      <w:r>
        <w:t xml:space="preserve"> medico-legal officers in district hospitals, as well as Provincial Health Authorities</w:t>
      </w:r>
      <w:r w:rsidR="009760DA">
        <w:t xml:space="preserve">. </w:t>
      </w:r>
      <w:r>
        <w:t xml:space="preserve">NET has undertaken research on </w:t>
      </w:r>
      <w:r w:rsidR="007F3EA8">
        <w:t>m</w:t>
      </w:r>
      <w:r>
        <w:t>edico-</w:t>
      </w:r>
      <w:r w:rsidR="007F3EA8">
        <w:t>l</w:t>
      </w:r>
      <w:r>
        <w:t xml:space="preserve">egal </w:t>
      </w:r>
      <w:r w:rsidR="007F3EA8">
        <w:t>p</w:t>
      </w:r>
      <w:r>
        <w:t xml:space="preserve">olicy and </w:t>
      </w:r>
      <w:r w:rsidR="007F3EA8">
        <w:t>p</w:t>
      </w:r>
      <w:r>
        <w:t>ractice</w:t>
      </w:r>
      <w:r w:rsidR="007F3EA8">
        <w:t>s</w:t>
      </w:r>
      <w:r>
        <w:t xml:space="preserve"> in KP, but it is not clear how this research is being used by NET and other program partners.</w:t>
      </w:r>
      <w:r w:rsidR="009760DA">
        <w:t xml:space="preserve"> </w:t>
      </w:r>
      <w:r w:rsidR="009760DA" w:rsidRPr="005B042F">
        <w:rPr>
          <w:b/>
        </w:rPr>
        <w:t xml:space="preserve">It would useful to report on the outcomes of this training </w:t>
      </w:r>
      <w:r w:rsidR="009760DA">
        <w:rPr>
          <w:b/>
        </w:rPr>
        <w:t xml:space="preserve">and research </w:t>
      </w:r>
      <w:r w:rsidR="009760DA" w:rsidRPr="005B042F">
        <w:rPr>
          <w:b/>
        </w:rPr>
        <w:t>in an upcoming progress report, given the evaluation team was unable to meet with any medico-legal officers.</w:t>
      </w:r>
    </w:p>
    <w:p w14:paraId="6420F364" w14:textId="77777777" w:rsidR="00BE316E" w:rsidRPr="00E57D84" w:rsidRDefault="007C1DAF" w:rsidP="00E57D84">
      <w:pPr>
        <w:pStyle w:val="Heading4"/>
      </w:pPr>
      <w:r>
        <w:t>Police and Judiciary</w:t>
      </w:r>
    </w:p>
    <w:p w14:paraId="55C2D461" w14:textId="29334150" w:rsidR="00D166EB" w:rsidRDefault="00D862CD" w:rsidP="009061AB">
      <w:r w:rsidRPr="00E63E55">
        <w:t>In 2014</w:t>
      </w:r>
      <w:r w:rsidR="007F3EA8">
        <w:t>,</w:t>
      </w:r>
      <w:r w:rsidRPr="00E63E55">
        <w:t xml:space="preserve"> </w:t>
      </w:r>
      <w:r w:rsidR="007F3EA8">
        <w:t>AF</w:t>
      </w:r>
      <w:r w:rsidRPr="00E63E55">
        <w:t xml:space="preserve"> conducted a</w:t>
      </w:r>
      <w:r w:rsidR="002E0F95" w:rsidRPr="00E63E55">
        <w:t xml:space="preserve"> study </w:t>
      </w:r>
      <w:r w:rsidR="007F3EA8">
        <w:t>on the</w:t>
      </w:r>
      <w:r w:rsidR="002E0F95" w:rsidRPr="00E63E55">
        <w:t xml:space="preserve"> implementation of legislation under </w:t>
      </w:r>
      <w:r w:rsidRPr="00E63E55">
        <w:t xml:space="preserve">the </w:t>
      </w:r>
      <w:r w:rsidR="002E0F95" w:rsidRPr="004D4C14">
        <w:rPr>
          <w:i/>
        </w:rPr>
        <w:t xml:space="preserve">Anti-Women Practices Act 2010. </w:t>
      </w:r>
      <w:r w:rsidR="002E0F95" w:rsidRPr="00E63E55">
        <w:t xml:space="preserve">One </w:t>
      </w:r>
      <w:r w:rsidRPr="00E63E55">
        <w:t>major gap</w:t>
      </w:r>
      <w:r w:rsidR="002E0F95" w:rsidRPr="00E63E55">
        <w:t xml:space="preserve"> identified was poor knowledge and capacity of police and judiciary. To </w:t>
      </w:r>
      <w:r w:rsidRPr="00E63E55">
        <w:t>address this, specific training</w:t>
      </w:r>
      <w:r w:rsidR="002E0F95" w:rsidRPr="00E63E55">
        <w:t xml:space="preserve"> </w:t>
      </w:r>
      <w:r w:rsidRPr="00E63E55">
        <w:t xml:space="preserve">was developed </w:t>
      </w:r>
      <w:r w:rsidR="002E0F95" w:rsidRPr="00E63E55">
        <w:t>to build the capacity of police and judiciary at district and provincial levels by ABAD, ACT and PVDP</w:t>
      </w:r>
      <w:r w:rsidRPr="00E63E55">
        <w:t>,</w:t>
      </w:r>
      <w:r w:rsidR="00D166EB" w:rsidRPr="00D166EB">
        <w:t xml:space="preserve"> </w:t>
      </w:r>
      <w:r w:rsidR="00D166EB">
        <w:t>and</w:t>
      </w:r>
      <w:r w:rsidR="002E0F95" w:rsidRPr="00E63E55">
        <w:t xml:space="preserve"> MoUs with </w:t>
      </w:r>
      <w:r w:rsidR="00D166EB">
        <w:t xml:space="preserve">the </w:t>
      </w:r>
      <w:r w:rsidR="002E0F95" w:rsidRPr="00E63E55">
        <w:t>National Judicial Academy and National Police Bureau</w:t>
      </w:r>
      <w:r w:rsidR="00D166EB">
        <w:t xml:space="preserve"> (NPB)</w:t>
      </w:r>
      <w:r w:rsidR="002E0F95" w:rsidRPr="00E63E55">
        <w:t xml:space="preserve"> were signed to deliver training at </w:t>
      </w:r>
      <w:r w:rsidR="00D166EB">
        <w:t xml:space="preserve">the </w:t>
      </w:r>
      <w:r w:rsidR="002E0F95" w:rsidRPr="00E63E55">
        <w:t>national level.</w:t>
      </w:r>
      <w:r w:rsidR="002E0F95" w:rsidRPr="00A67FB2">
        <w:rPr>
          <w:rFonts w:ascii="Arial Narrow" w:hAnsi="Arial Narrow"/>
          <w:color w:val="0070C0"/>
        </w:rPr>
        <w:t xml:space="preserve">  </w:t>
      </w:r>
      <w:r w:rsidR="007C1DAF">
        <w:t>Under AF’s MOU with the NPB’s</w:t>
      </w:r>
      <w:r w:rsidR="00061237">
        <w:t xml:space="preserve"> Gender Crime </w:t>
      </w:r>
      <w:r w:rsidR="007F3EA8">
        <w:t>Section</w:t>
      </w:r>
      <w:r w:rsidR="00061237">
        <w:t>, a</w:t>
      </w:r>
      <w:r w:rsidR="00061237" w:rsidRPr="009061AB">
        <w:t xml:space="preserve"> compilation of data on GBV cases </w:t>
      </w:r>
      <w:r w:rsidR="009760DA">
        <w:t>over the</w:t>
      </w:r>
      <w:r w:rsidR="009760DA" w:rsidRPr="009061AB">
        <w:t xml:space="preserve"> </w:t>
      </w:r>
      <w:r w:rsidR="00061237" w:rsidRPr="009061AB">
        <w:t xml:space="preserve">last five years </w:t>
      </w:r>
      <w:r w:rsidR="00061237">
        <w:t>was undertaken which has been widely utilised in the absence of survey data.</w:t>
      </w:r>
    </w:p>
    <w:p w14:paraId="5F261E97" w14:textId="48D4674B" w:rsidR="00CF2A7A" w:rsidRDefault="00061237" w:rsidP="009061AB">
      <w:pPr>
        <w:rPr>
          <w:b/>
        </w:rPr>
      </w:pPr>
      <w:r>
        <w:t xml:space="preserve">AF also developed a </w:t>
      </w:r>
      <w:r w:rsidR="00321203" w:rsidRPr="004D4C14">
        <w:rPr>
          <w:i/>
        </w:rPr>
        <w:t>Criminal Justice System</w:t>
      </w:r>
      <w:r w:rsidR="000E01F8" w:rsidRPr="004D4C14">
        <w:rPr>
          <w:i/>
        </w:rPr>
        <w:t xml:space="preserve"> Handbook</w:t>
      </w:r>
      <w:r w:rsidR="000E01F8" w:rsidRPr="009061AB">
        <w:t xml:space="preserve"> </w:t>
      </w:r>
      <w:r>
        <w:t>in 2015, a comprehensive guide complete with activities, which it used in trainings under the GBV Program</w:t>
      </w:r>
      <w:r w:rsidR="000E01F8" w:rsidRPr="009061AB">
        <w:t xml:space="preserve"> for both police and lawyers trainings.</w:t>
      </w:r>
      <w:r w:rsidR="000E01F8" w:rsidRPr="009061AB">
        <w:rPr>
          <w:rFonts w:ascii="Calibri" w:hAnsi="Calibri" w:cs="Calibri"/>
          <w:shd w:val="clear" w:color="auto" w:fill="FFFFFF"/>
        </w:rPr>
        <w:t xml:space="preserve"> This resource </w:t>
      </w:r>
      <w:r w:rsidR="009760DA">
        <w:rPr>
          <w:rFonts w:ascii="Calibri" w:hAnsi="Calibri" w:cs="Calibri"/>
          <w:shd w:val="clear" w:color="auto" w:fill="FFFFFF"/>
        </w:rPr>
        <w:t xml:space="preserve">has been translated into Urdu and </w:t>
      </w:r>
      <w:r w:rsidR="000E01F8" w:rsidRPr="009061AB">
        <w:rPr>
          <w:rFonts w:ascii="Calibri" w:hAnsi="Calibri" w:cs="Calibri"/>
          <w:shd w:val="clear" w:color="auto" w:fill="FFFFFF"/>
        </w:rPr>
        <w:t>dis</w:t>
      </w:r>
      <w:r w:rsidR="00A53A5A" w:rsidRPr="009061AB">
        <w:rPr>
          <w:rFonts w:ascii="Calibri" w:hAnsi="Calibri" w:cs="Calibri"/>
          <w:shd w:val="clear" w:color="auto" w:fill="FFFFFF"/>
        </w:rPr>
        <w:t xml:space="preserve">seminated </w:t>
      </w:r>
      <w:r w:rsidR="000E01F8" w:rsidRPr="009061AB">
        <w:rPr>
          <w:rFonts w:ascii="Calibri" w:hAnsi="Calibri" w:cs="Calibri"/>
          <w:shd w:val="clear" w:color="auto" w:fill="FFFFFF"/>
        </w:rPr>
        <w:t>to</w:t>
      </w:r>
      <w:r w:rsidR="00A53A5A" w:rsidRPr="009061AB">
        <w:rPr>
          <w:rFonts w:ascii="Calibri" w:hAnsi="Calibri" w:cs="Calibri"/>
          <w:shd w:val="clear" w:color="auto" w:fill="FFFFFF"/>
        </w:rPr>
        <w:t xml:space="preserve"> police training academies, federal and provincial judicial academies and medico</w:t>
      </w:r>
      <w:r w:rsidR="009760DA">
        <w:rPr>
          <w:rFonts w:ascii="Calibri" w:hAnsi="Calibri" w:cs="Calibri"/>
          <w:shd w:val="clear" w:color="auto" w:fill="FFFFFF"/>
        </w:rPr>
        <w:t>-</w:t>
      </w:r>
      <w:r w:rsidR="00A53A5A" w:rsidRPr="009061AB">
        <w:rPr>
          <w:rFonts w:ascii="Calibri" w:hAnsi="Calibri" w:cs="Calibri"/>
          <w:shd w:val="clear" w:color="auto" w:fill="FFFFFF"/>
        </w:rPr>
        <w:t xml:space="preserve">legal officers </w:t>
      </w:r>
      <w:r w:rsidR="009760DA">
        <w:rPr>
          <w:rFonts w:ascii="Calibri" w:hAnsi="Calibri" w:cs="Calibri"/>
          <w:shd w:val="clear" w:color="auto" w:fill="FFFFFF"/>
        </w:rPr>
        <w:t>in</w:t>
      </w:r>
      <w:r w:rsidR="009760DA" w:rsidRPr="009061AB">
        <w:rPr>
          <w:rFonts w:ascii="Calibri" w:hAnsi="Calibri" w:cs="Calibri"/>
          <w:shd w:val="clear" w:color="auto" w:fill="FFFFFF"/>
        </w:rPr>
        <w:t xml:space="preserve"> </w:t>
      </w:r>
      <w:r w:rsidR="00A53A5A" w:rsidRPr="009061AB">
        <w:rPr>
          <w:rFonts w:ascii="Calibri" w:hAnsi="Calibri" w:cs="Calibri"/>
          <w:shd w:val="clear" w:color="auto" w:fill="FFFFFF"/>
        </w:rPr>
        <w:t>KP, Si</w:t>
      </w:r>
      <w:r>
        <w:rPr>
          <w:rFonts w:ascii="Calibri" w:hAnsi="Calibri" w:cs="Calibri"/>
          <w:shd w:val="clear" w:color="auto" w:fill="FFFFFF"/>
        </w:rPr>
        <w:t>ndh and Islamabad</w:t>
      </w:r>
      <w:r w:rsidR="009760DA">
        <w:rPr>
          <w:rFonts w:ascii="Calibri" w:hAnsi="Calibri" w:cs="Calibri"/>
          <w:shd w:val="clear" w:color="auto" w:fill="FFFFFF"/>
        </w:rPr>
        <w:t>.</w:t>
      </w:r>
      <w:r>
        <w:rPr>
          <w:rFonts w:ascii="Calibri" w:hAnsi="Calibri" w:cs="Calibri"/>
          <w:shd w:val="clear" w:color="auto" w:fill="FFFFFF"/>
        </w:rPr>
        <w:t xml:space="preserve"> </w:t>
      </w:r>
      <w:r w:rsidR="00DE6036">
        <w:rPr>
          <w:rFonts w:ascii="Calibri" w:hAnsi="Calibri" w:cs="Calibri"/>
          <w:shd w:val="clear" w:color="auto" w:fill="FFFFFF"/>
        </w:rPr>
        <w:t xml:space="preserve">AF’s training targeted senior police and focussed on the implementation of laws. </w:t>
      </w:r>
      <w:r>
        <w:rPr>
          <w:rFonts w:ascii="Calibri" w:hAnsi="Calibri" w:cs="Calibri"/>
          <w:shd w:val="clear" w:color="auto" w:fill="FFFFFF"/>
        </w:rPr>
        <w:t xml:space="preserve">AF </w:t>
      </w:r>
      <w:r w:rsidR="009760DA">
        <w:rPr>
          <w:rFonts w:ascii="Calibri" w:hAnsi="Calibri" w:cs="Calibri"/>
          <w:shd w:val="clear" w:color="auto" w:fill="FFFFFF"/>
        </w:rPr>
        <w:lastRenderedPageBreak/>
        <w:t>undertook nine</w:t>
      </w:r>
      <w:r>
        <w:t xml:space="preserve"> </w:t>
      </w:r>
      <w:r w:rsidR="006629CD">
        <w:t>capacity-building</w:t>
      </w:r>
      <w:r>
        <w:t xml:space="preserve"> trainings in KP, Sindh and Islamabad for police, judiciary, legal-medico staff. </w:t>
      </w:r>
      <w:r w:rsidR="00A53A5A" w:rsidRPr="009061AB">
        <w:t xml:space="preserve">However, it is </w:t>
      </w:r>
      <w:r w:rsidR="00110D13">
        <w:t xml:space="preserve">unclear </w:t>
      </w:r>
      <w:r w:rsidRPr="009061AB">
        <w:t xml:space="preserve">whether the resource </w:t>
      </w:r>
      <w:r>
        <w:t>continues</w:t>
      </w:r>
      <w:r w:rsidR="009760DA">
        <w:t xml:space="preserve"> to be</w:t>
      </w:r>
      <w:r w:rsidRPr="009061AB">
        <w:t xml:space="preserve"> actively used</w:t>
      </w:r>
      <w:r>
        <w:t>.</w:t>
      </w:r>
      <w:r w:rsidR="009760DA">
        <w:t xml:space="preserve"> </w:t>
      </w:r>
    </w:p>
    <w:p w14:paraId="77990E8E" w14:textId="60603CC3" w:rsidR="009061AB" w:rsidRDefault="00061237" w:rsidP="003B2E3E">
      <w:r>
        <w:t>A po</w:t>
      </w:r>
      <w:r w:rsidR="00321203" w:rsidRPr="009061AB">
        <w:t xml:space="preserve">lice training manual </w:t>
      </w:r>
      <w:r>
        <w:t>was also developed by SEHER</w:t>
      </w:r>
      <w:r w:rsidR="00DE6036">
        <w:t xml:space="preserve"> for police at the local (</w:t>
      </w:r>
      <w:r w:rsidR="00DE6036" w:rsidRPr="00E63E55">
        <w:rPr>
          <w:i/>
        </w:rPr>
        <w:t>thana</w:t>
      </w:r>
      <w:r w:rsidR="00DE6036">
        <w:t>) level, which focussed on changing police behaviour to manage survivors’ cases more sensitively</w:t>
      </w:r>
      <w:r>
        <w:t>. Rozan has recently been contracted to revise this police training manual, translate it into Urdu, and undertake training of 30 additional police in each province</w:t>
      </w:r>
      <w:r w:rsidR="00DE6036">
        <w:t xml:space="preserve"> to test the manual before finalising it</w:t>
      </w:r>
      <w:r>
        <w:t xml:space="preserve">. </w:t>
      </w:r>
      <w:r w:rsidR="00DE6036">
        <w:t xml:space="preserve">Both SEHER and Rozan have worked with partners to build their capacity in training </w:t>
      </w:r>
      <w:r w:rsidR="006629CD">
        <w:t>police. Various</w:t>
      </w:r>
      <w:r w:rsidR="009760DA">
        <w:t xml:space="preserve"> p</w:t>
      </w:r>
      <w:r w:rsidR="005903F8">
        <w:t>olice training</w:t>
      </w:r>
      <w:r w:rsidR="009760DA">
        <w:t>s</w:t>
      </w:r>
      <w:r w:rsidR="005903F8">
        <w:t xml:space="preserve"> ha</w:t>
      </w:r>
      <w:r w:rsidR="009760DA">
        <w:t>ve</w:t>
      </w:r>
      <w:r w:rsidR="005903F8">
        <w:t xml:space="preserve"> been provided</w:t>
      </w:r>
      <w:r w:rsidR="004634E7">
        <w:t xml:space="preserve"> by the </w:t>
      </w:r>
      <w:r w:rsidR="003B2E3E">
        <w:t xml:space="preserve">NGO </w:t>
      </w:r>
      <w:r w:rsidR="004634E7">
        <w:t>partners at the district level.</w:t>
      </w:r>
      <w:r w:rsidR="005F3AB9">
        <w:t xml:space="preserve"> </w:t>
      </w:r>
      <w:r w:rsidR="003C0EF4" w:rsidRPr="002D514F">
        <w:t>The Australian Federal Police (AFP) is also linking with the Program to provide leadership training to female police officers.</w:t>
      </w:r>
      <w:r w:rsidR="003C0EF4">
        <w:rPr>
          <w:b/>
        </w:rPr>
        <w:t xml:space="preserve"> </w:t>
      </w:r>
      <w:r w:rsidR="005903F8" w:rsidRPr="00A53A5A">
        <w:rPr>
          <w:b/>
        </w:rPr>
        <w:t xml:space="preserve">It is important that training </w:t>
      </w:r>
      <w:r w:rsidR="003C0EF4">
        <w:rPr>
          <w:b/>
        </w:rPr>
        <w:t>continue to be provided</w:t>
      </w:r>
      <w:r w:rsidR="00081362">
        <w:rPr>
          <w:b/>
        </w:rPr>
        <w:t xml:space="preserve"> by partners</w:t>
      </w:r>
      <w:r w:rsidR="005903F8" w:rsidRPr="00A53A5A">
        <w:rPr>
          <w:b/>
        </w:rPr>
        <w:t xml:space="preserve"> to police at the district level, as these are the people with the least access to training opportunities, but who are often the first responders to GBV cases.</w:t>
      </w:r>
      <w:r w:rsidR="009760DA">
        <w:rPr>
          <w:b/>
        </w:rPr>
        <w:t xml:space="preserve"> </w:t>
      </w:r>
    </w:p>
    <w:p w14:paraId="6A4ACA04" w14:textId="3AFF5969" w:rsidR="0028612D" w:rsidRPr="002D514F" w:rsidRDefault="0028612D" w:rsidP="003B2E3E">
      <w:r w:rsidRPr="00E63E55">
        <w:t>Building capacity and changing attitudes and behaviour of police, judiciary and medico-legal officers is a long-term objective, so expectations need to be realistic around outcomes in this area over the life of the investment. That said, relevant data needs to be collected (beyond numbers of people trained) to test the program logic and methods in place.</w:t>
      </w:r>
      <w:r w:rsidRPr="0021285B">
        <w:t xml:space="preserve"> There is very little evidence available of progress towards objectives of this component. Community members interviewed remain fearful and distrustful of the police in both KP and Sindh. </w:t>
      </w:r>
      <w:r w:rsidR="002E0F95" w:rsidRPr="00E63E55">
        <w:rPr>
          <w:b/>
        </w:rPr>
        <w:t>In</w:t>
      </w:r>
      <w:r w:rsidR="00081362">
        <w:rPr>
          <w:b/>
        </w:rPr>
        <w:t xml:space="preserve">cluding development of </w:t>
      </w:r>
      <w:r w:rsidR="002E0F95" w:rsidRPr="00E63E55">
        <w:rPr>
          <w:b/>
        </w:rPr>
        <w:t xml:space="preserve">Individual Action Plans </w:t>
      </w:r>
      <w:r w:rsidR="00910702">
        <w:rPr>
          <w:b/>
        </w:rPr>
        <w:t xml:space="preserve"> (IAPs) </w:t>
      </w:r>
      <w:r w:rsidR="002E0F95" w:rsidRPr="00E63E55">
        <w:rPr>
          <w:b/>
        </w:rPr>
        <w:t xml:space="preserve">in Police/Judiciary trainings would assist trainees to translate learnings into concrete actions, and would also allow for follow up 6 months or one year later, which would provide evidence of whether training is actually leading to increased capacity and changed behaviour. Ideally, the </w:t>
      </w:r>
      <w:r w:rsidR="00910702">
        <w:rPr>
          <w:b/>
        </w:rPr>
        <w:t>I</w:t>
      </w:r>
      <w:r w:rsidR="002E0F95" w:rsidRPr="00E63E55">
        <w:rPr>
          <w:b/>
        </w:rPr>
        <w:t>AP</w:t>
      </w:r>
      <w:r w:rsidR="00910702">
        <w:rPr>
          <w:b/>
        </w:rPr>
        <w:t>s</w:t>
      </w:r>
      <w:r w:rsidR="002E0F95" w:rsidRPr="00E63E55">
        <w:rPr>
          <w:b/>
        </w:rPr>
        <w:t xml:space="preserve"> should also include police and judiciary/lawyers who have received training, to see if the plans are being implemented. </w:t>
      </w:r>
      <w:r w:rsidR="002E0F95">
        <w:t>Without this process, it is difficult to assess the effectiveness of the training and contribution towards long</w:t>
      </w:r>
      <w:r w:rsidR="00910702">
        <w:t>-</w:t>
      </w:r>
      <w:r w:rsidR="002E0F95">
        <w:t>term outcomes.</w:t>
      </w:r>
      <w:r w:rsidR="007F3EA8">
        <w:t xml:space="preserve"> </w:t>
      </w:r>
      <w:r w:rsidR="002E0F95">
        <w:rPr>
          <w:b/>
        </w:rPr>
        <w:t xml:space="preserve">Progress towards </w:t>
      </w:r>
      <w:r>
        <w:rPr>
          <w:b/>
        </w:rPr>
        <w:t xml:space="preserve">outcomes (beyond numbers trained) and challenges of this component should be </w:t>
      </w:r>
      <w:r w:rsidR="002E0F95">
        <w:rPr>
          <w:b/>
        </w:rPr>
        <w:t xml:space="preserve">addressed </w:t>
      </w:r>
      <w:r>
        <w:rPr>
          <w:b/>
        </w:rPr>
        <w:t>in an upcoming progress report</w:t>
      </w:r>
      <w:r w:rsidRPr="00651188">
        <w:rPr>
          <w:b/>
        </w:rPr>
        <w:t>.</w:t>
      </w:r>
    </w:p>
    <w:p w14:paraId="45D0594B" w14:textId="24CBD8F4" w:rsidR="00216049" w:rsidRPr="00CF2A7A" w:rsidRDefault="007C1DAF" w:rsidP="00CF2A7A">
      <w:pPr>
        <w:pStyle w:val="Heading4"/>
      </w:pPr>
      <w:r>
        <w:t>Vocational Training</w:t>
      </w:r>
      <w:r w:rsidR="007F36C7">
        <w:t xml:space="preserve"> </w:t>
      </w:r>
      <w:r w:rsidR="00BD7C10" w:rsidRPr="00CF2A7A">
        <w:t>and Reintegration of Survivors</w:t>
      </w:r>
    </w:p>
    <w:p w14:paraId="0EE460E9" w14:textId="1307A5D8" w:rsidR="00BD7C10" w:rsidRPr="00342107" w:rsidRDefault="00057A57" w:rsidP="00342107">
      <w:r>
        <w:t xml:space="preserve">The vocational training component was </w:t>
      </w:r>
      <w:r w:rsidR="00E96D2C">
        <w:t xml:space="preserve">part of the design of the Program </w:t>
      </w:r>
      <w:r w:rsidR="00EA4567">
        <w:t xml:space="preserve">to give </w:t>
      </w:r>
      <w:r w:rsidR="00E96D2C">
        <w:t xml:space="preserve">GBV </w:t>
      </w:r>
      <w:r w:rsidR="00EA4567">
        <w:t xml:space="preserve">survivors skills that would allow them to be </w:t>
      </w:r>
      <w:r w:rsidR="00910702">
        <w:t xml:space="preserve">financially </w:t>
      </w:r>
      <w:r w:rsidR="00EA4567">
        <w:t>independent and re</w:t>
      </w:r>
      <w:r w:rsidR="00910702">
        <w:t>-</w:t>
      </w:r>
      <w:r w:rsidR="00EA4567">
        <w:t xml:space="preserve">integrate into society. </w:t>
      </w:r>
      <w:r w:rsidR="0096605E">
        <w:t xml:space="preserve">Avicenna was contracted to build the capacity of partners to deliver vocational training and to improve the quality of training provided. </w:t>
      </w:r>
      <w:r w:rsidR="00EA4567">
        <w:t>Providing skills to assist women to transition out of the sh</w:t>
      </w:r>
      <w:r w:rsidR="00BD7C10">
        <w:t>elters is a sound idea, but it is a big ask to expect vocational training and ‘handholding’ to help survivors fully re</w:t>
      </w:r>
      <w:r w:rsidR="00910702">
        <w:t>-</w:t>
      </w:r>
      <w:r w:rsidR="00BD7C10">
        <w:t>integrate into society. Accordingly, this component has been problematic as it involved a big jump in logic from training to re</w:t>
      </w:r>
      <w:r w:rsidR="00910702">
        <w:t>-</w:t>
      </w:r>
      <w:r w:rsidR="00BD7C10">
        <w:t>integration</w:t>
      </w:r>
      <w:r w:rsidR="00910702">
        <w:t>.</w:t>
      </w:r>
      <w:r w:rsidR="007F36C7">
        <w:t xml:space="preserve"> For example, survivors living in the shelters were expected to undertake the vocational training, and </w:t>
      </w:r>
      <w:r w:rsidR="00970D28">
        <w:t xml:space="preserve">this was the basis for determining targets. </w:t>
      </w:r>
      <w:r w:rsidR="00BD7C10">
        <w:t xml:space="preserve">However, </w:t>
      </w:r>
      <w:r w:rsidR="007F36C7">
        <w:t xml:space="preserve">many women were </w:t>
      </w:r>
      <w:r w:rsidR="00BD7C10">
        <w:t>more focuss</w:t>
      </w:r>
      <w:r w:rsidR="004634E7">
        <w:t>ed</w:t>
      </w:r>
      <w:r w:rsidR="00BD7C10">
        <w:t xml:space="preserve"> on their court cases and personal circumstances</w:t>
      </w:r>
      <w:r w:rsidR="007F36C7">
        <w:t xml:space="preserve"> and did not attend the training</w:t>
      </w:r>
      <w:r w:rsidR="00BD7C10">
        <w:t xml:space="preserve">. In the NET shelter, although it was expected that training opportunities would provide a welcome distraction, in reality these women are traumatised and </w:t>
      </w:r>
      <w:r w:rsidR="00910702">
        <w:t>are focused on their survival</w:t>
      </w:r>
      <w:r w:rsidR="00BD7C10">
        <w:t xml:space="preserve">. The result was </w:t>
      </w:r>
      <w:r w:rsidR="007F36C7">
        <w:t>some</w:t>
      </w:r>
      <w:r w:rsidR="00CD2A5A">
        <w:t xml:space="preserve"> </w:t>
      </w:r>
      <w:r w:rsidR="00BD7C10">
        <w:t>pressure on the shelter staff and survivors</w:t>
      </w:r>
      <w:r w:rsidR="00970D28">
        <w:t xml:space="preserve"> by Avicenna to meet agreed targets.</w:t>
      </w:r>
    </w:p>
    <w:p w14:paraId="6A667E45" w14:textId="1CE73E20" w:rsidR="00C4590F" w:rsidRPr="00744D21" w:rsidRDefault="00BD7C10" w:rsidP="00342107">
      <w:r>
        <w:t>Of the few women who were ‘reintegrated’ (i</w:t>
      </w:r>
      <w:r w:rsidR="004634E7">
        <w:t>.</w:t>
      </w:r>
      <w:r>
        <w:t>e</w:t>
      </w:r>
      <w:r w:rsidR="004634E7">
        <w:t>.</w:t>
      </w:r>
      <w:r>
        <w:t xml:space="preserve"> living off their own income having left the shelter), </w:t>
      </w:r>
      <w:r w:rsidR="00D202D1">
        <w:t>those</w:t>
      </w:r>
      <w:r>
        <w:t xml:space="preserve"> met by the evaluation team were making a living from skills other than those taught through the vocational training program</w:t>
      </w:r>
      <w:r w:rsidR="009C5858">
        <w:t xml:space="preserve">. </w:t>
      </w:r>
      <w:r>
        <w:t xml:space="preserve">The evidence available suggests that these women are </w:t>
      </w:r>
      <w:r>
        <w:lastRenderedPageBreak/>
        <w:t>entrepreneurial to begin with, and the vocational training</w:t>
      </w:r>
      <w:r w:rsidR="004E768A">
        <w:t xml:space="preserve">, </w:t>
      </w:r>
      <w:r w:rsidR="00E10DF1">
        <w:t>handholding</w:t>
      </w:r>
      <w:r w:rsidR="004E768A">
        <w:t>, and providing linkages to the market</w:t>
      </w:r>
      <w:r>
        <w:t xml:space="preserve"> provided by the GBV </w:t>
      </w:r>
      <w:r w:rsidR="009C5858">
        <w:t>P</w:t>
      </w:r>
      <w:r>
        <w:t>rogram made little or no difference to their re</w:t>
      </w:r>
      <w:r w:rsidR="00910702">
        <w:t>-</w:t>
      </w:r>
      <w:r>
        <w:t xml:space="preserve">integration. </w:t>
      </w:r>
      <w:r w:rsidR="004E768A">
        <w:t>It should be noted that this is not a result of underperformance by Avicenna</w:t>
      </w:r>
      <w:r w:rsidR="00CD2A5A">
        <w:t xml:space="preserve"> or shelter staff</w:t>
      </w:r>
      <w:r w:rsidR="004E768A">
        <w:t xml:space="preserve">, but rather a problem with the </w:t>
      </w:r>
      <w:r w:rsidR="00910702">
        <w:t>theory of change (T</w:t>
      </w:r>
      <w:r w:rsidR="009C5858">
        <w:t>OC</w:t>
      </w:r>
      <w:r w:rsidR="00910702">
        <w:t>)</w:t>
      </w:r>
      <w:r w:rsidR="009C5858">
        <w:t xml:space="preserve">. </w:t>
      </w:r>
      <w:r w:rsidR="004E768A">
        <w:t xml:space="preserve">In the remaining two years, the </w:t>
      </w:r>
      <w:r w:rsidR="009C5858">
        <w:t>P</w:t>
      </w:r>
      <w:r w:rsidR="004E768A">
        <w:t xml:space="preserve">rogram should not expect to see </w:t>
      </w:r>
      <w:r w:rsidR="007F36C7">
        <w:t xml:space="preserve">strong </w:t>
      </w:r>
      <w:r w:rsidR="004E768A">
        <w:t xml:space="preserve">evidence of </w:t>
      </w:r>
      <w:r w:rsidR="00C80172">
        <w:t xml:space="preserve">survivors using skills obtained from vocational training to </w:t>
      </w:r>
      <w:r w:rsidR="007F36C7">
        <w:t>become economically independent</w:t>
      </w:r>
      <w:r w:rsidR="00C80172">
        <w:t xml:space="preserve">. That said, </w:t>
      </w:r>
      <w:r w:rsidR="007F36C7">
        <w:t xml:space="preserve">such opportunities </w:t>
      </w:r>
      <w:r w:rsidR="00C80172">
        <w:t xml:space="preserve">could be life-changing for a few women, and </w:t>
      </w:r>
      <w:r w:rsidR="00C80172" w:rsidRPr="00C80172">
        <w:rPr>
          <w:b/>
        </w:rPr>
        <w:t>therefore shelter survivors should continue to have access to the training that is being provided by partners as part of the community mobilisation work (Objective 2).</w:t>
      </w:r>
      <w:r w:rsidR="00C80172">
        <w:t xml:space="preserve"> This will be discussed more in the next section. </w:t>
      </w:r>
      <w:r w:rsidR="0001367D" w:rsidRPr="00E63E55">
        <w:rPr>
          <w:b/>
        </w:rPr>
        <w:t>Consideration should be given to moving t</w:t>
      </w:r>
      <w:r w:rsidR="00C80172" w:rsidRPr="00CD2A5A">
        <w:rPr>
          <w:b/>
        </w:rPr>
        <w:t>he</w:t>
      </w:r>
      <w:r w:rsidR="00C80172" w:rsidRPr="00C80172">
        <w:rPr>
          <w:b/>
        </w:rPr>
        <w:t xml:space="preserve"> </w:t>
      </w:r>
      <w:r w:rsidR="009C5858">
        <w:rPr>
          <w:b/>
        </w:rPr>
        <w:t xml:space="preserve">vocational </w:t>
      </w:r>
      <w:r w:rsidR="00C80172" w:rsidRPr="00C80172">
        <w:rPr>
          <w:b/>
        </w:rPr>
        <w:t xml:space="preserve">training component under Objective 2 in the new iteration of the </w:t>
      </w:r>
      <w:r w:rsidR="00CD2A5A">
        <w:rPr>
          <w:b/>
        </w:rPr>
        <w:t>TOC</w:t>
      </w:r>
      <w:r w:rsidR="00C80172" w:rsidRPr="00C80172">
        <w:rPr>
          <w:b/>
        </w:rPr>
        <w:t>.</w:t>
      </w:r>
      <w:r w:rsidR="007F36C7">
        <w:rPr>
          <w:b/>
        </w:rPr>
        <w:t xml:space="preserve"> </w:t>
      </w:r>
      <w:r w:rsidR="000655E4" w:rsidRPr="000655E4">
        <w:rPr>
          <w:b/>
        </w:rPr>
        <w:t xml:space="preserve">Shelters should continue their focus on literacy and life skills. </w:t>
      </w:r>
    </w:p>
    <w:p w14:paraId="7906FCAC" w14:textId="57E38B36" w:rsidR="00A12D80" w:rsidRPr="00342107" w:rsidRDefault="00A12D80" w:rsidP="00342107">
      <w:pPr>
        <w:pStyle w:val="Heading3"/>
      </w:pPr>
      <w:bookmarkStart w:id="26" w:name="_Toc491355889"/>
      <w:r w:rsidRPr="00342107">
        <w:t xml:space="preserve">Outcome </w:t>
      </w:r>
      <w:r w:rsidR="001A475B">
        <w:t xml:space="preserve">Area </w:t>
      </w:r>
      <w:r w:rsidRPr="00342107">
        <w:t xml:space="preserve">2: </w:t>
      </w:r>
      <w:r w:rsidR="001052CC" w:rsidRPr="00342107">
        <w:t>Prevention and Community Mobilisation</w:t>
      </w:r>
      <w:bookmarkEnd w:id="26"/>
    </w:p>
    <w:p w14:paraId="1C1849FF" w14:textId="34449513" w:rsidR="00510F34" w:rsidRPr="0040470C" w:rsidRDefault="001A475B" w:rsidP="004D4C14">
      <w:pPr>
        <w:rPr>
          <w:i/>
        </w:rPr>
      </w:pPr>
      <w:r>
        <w:rPr>
          <w:i/>
        </w:rPr>
        <w:t xml:space="preserve">Strategic </w:t>
      </w:r>
      <w:r w:rsidR="00510F34" w:rsidRPr="0040470C">
        <w:rPr>
          <w:i/>
        </w:rPr>
        <w:t>Objective 2: To promote reduced tolerance to GBV and action to address violence against women, among women, men and youth</w:t>
      </w:r>
    </w:p>
    <w:p w14:paraId="6ADB8AAF" w14:textId="6CE47E29" w:rsidR="00B314D9" w:rsidRDefault="007C1DAF" w:rsidP="00342107">
      <w:pPr>
        <w:pStyle w:val="Heading4"/>
      </w:pPr>
      <w:r>
        <w:t>Community Mobilisation</w:t>
      </w:r>
      <w:r w:rsidR="001F2EB1">
        <w:t xml:space="preserve"> </w:t>
      </w:r>
      <w:r>
        <w:t>Efforts</w:t>
      </w:r>
    </w:p>
    <w:p w14:paraId="03644D9E" w14:textId="77777777" w:rsidR="005209D0" w:rsidRPr="005209D0" w:rsidRDefault="005209D0" w:rsidP="005209D0">
      <w:pPr>
        <w:pStyle w:val="Quote"/>
      </w:pPr>
      <w:r>
        <w:t>“I have learnt now how to raise my voice on issues and can raise awaren</w:t>
      </w:r>
      <w:r w:rsidR="007C1DAF">
        <w:t>ess on violence against women”-</w:t>
      </w:r>
      <w:r>
        <w:t xml:space="preserve"> Female member of community group, Jamshoro</w:t>
      </w:r>
    </w:p>
    <w:p w14:paraId="3A026B8F" w14:textId="4B2FDF01" w:rsidR="00211395" w:rsidRPr="002D514F" w:rsidRDefault="00C132F2" w:rsidP="00342107">
      <w:pPr>
        <w:rPr>
          <w:b/>
        </w:rPr>
      </w:pPr>
      <w:r>
        <w:t>The three prevention partners (SDS, ACT and PVDP) all have slightly different community mobilisation</w:t>
      </w:r>
      <w:r w:rsidR="00CD2A5A">
        <w:t xml:space="preserve"> for social norm change</w:t>
      </w:r>
      <w:r>
        <w:t xml:space="preserve"> models, that are worthy of comparison to extract lessons learnt before the end of the investment. </w:t>
      </w:r>
      <w:r w:rsidR="00211395">
        <w:t>There is strong evidence of attitude and behavioural change among target groups in all communities visited (men</w:t>
      </w:r>
      <w:r w:rsidR="00D202D1">
        <w:t>,</w:t>
      </w:r>
      <w:r w:rsidR="00211395">
        <w:t xml:space="preserve"> women</w:t>
      </w:r>
      <w:r w:rsidR="00D202D1">
        <w:t xml:space="preserve"> and girls</w:t>
      </w:r>
      <w:r w:rsidR="00211395">
        <w:t xml:space="preserve"> in SDS and ACT, men in PVDP).</w:t>
      </w:r>
      <w:r w:rsidR="00CA45AB">
        <w:t xml:space="preserve"> This component of the </w:t>
      </w:r>
      <w:r w:rsidR="009C741A">
        <w:t>P</w:t>
      </w:r>
      <w:r w:rsidR="00CA45AB">
        <w:t>rogram is progressing very well towards objectives.</w:t>
      </w:r>
      <w:r w:rsidR="00962E09">
        <w:t xml:space="preserve"> The evaluation team did not, however, meet with any boys except for one young community activist in SDS who was a student. All partners have provided figures for number of boys involved in community outreach, but the evaluation team is unable to assess the impact of these efforts. </w:t>
      </w:r>
      <w:r w:rsidR="00962E09" w:rsidRPr="002D514F">
        <w:rPr>
          <w:b/>
        </w:rPr>
        <w:t xml:space="preserve">Given the </w:t>
      </w:r>
      <w:r w:rsidR="00360C63" w:rsidRPr="002D514F">
        <w:rPr>
          <w:b/>
        </w:rPr>
        <w:t xml:space="preserve">importance of engaging with boys to prevent </w:t>
      </w:r>
      <w:r w:rsidR="00910702">
        <w:rPr>
          <w:b/>
        </w:rPr>
        <w:t>violence against women (</w:t>
      </w:r>
      <w:r w:rsidR="00360C63" w:rsidRPr="002D514F">
        <w:rPr>
          <w:b/>
        </w:rPr>
        <w:t>VAW</w:t>
      </w:r>
      <w:r w:rsidR="00910702">
        <w:rPr>
          <w:b/>
        </w:rPr>
        <w:t>)</w:t>
      </w:r>
      <w:r w:rsidR="00360C63" w:rsidRPr="002D514F">
        <w:rPr>
          <w:b/>
        </w:rPr>
        <w:t xml:space="preserve">, this is an area for follow up </w:t>
      </w:r>
      <w:r w:rsidR="001F2EB1">
        <w:rPr>
          <w:b/>
        </w:rPr>
        <w:t>and this evaluation</w:t>
      </w:r>
      <w:r w:rsidR="00360C63" w:rsidRPr="002D514F">
        <w:rPr>
          <w:b/>
        </w:rPr>
        <w:t xml:space="preserve"> </w:t>
      </w:r>
      <w:r w:rsidR="00BA4573" w:rsidRPr="001F2EB1">
        <w:rPr>
          <w:b/>
        </w:rPr>
        <w:t>recommend</w:t>
      </w:r>
      <w:r w:rsidR="001F2EB1">
        <w:rPr>
          <w:b/>
        </w:rPr>
        <w:t>s</w:t>
      </w:r>
      <w:r w:rsidR="00BA4573" w:rsidRPr="001F2EB1">
        <w:rPr>
          <w:b/>
        </w:rPr>
        <w:t xml:space="preserve"> specific focus on boys in </w:t>
      </w:r>
      <w:r w:rsidR="0008203F">
        <w:rPr>
          <w:b/>
        </w:rPr>
        <w:t>Trócaire</w:t>
      </w:r>
      <w:r w:rsidR="001F2EB1">
        <w:rPr>
          <w:b/>
        </w:rPr>
        <w:t xml:space="preserve">’s next </w:t>
      </w:r>
      <w:r w:rsidR="00BA4573" w:rsidRPr="001F2EB1">
        <w:rPr>
          <w:b/>
        </w:rPr>
        <w:t>progress report</w:t>
      </w:r>
      <w:r w:rsidR="00360C63" w:rsidRPr="002D514F">
        <w:rPr>
          <w:b/>
        </w:rPr>
        <w:t>.</w:t>
      </w:r>
    </w:p>
    <w:p w14:paraId="09E51988" w14:textId="3CC22141" w:rsidR="00211395" w:rsidRPr="00342107" w:rsidRDefault="00C132F2" w:rsidP="00342107">
      <w:r>
        <w:t>SDS</w:t>
      </w:r>
      <w:r w:rsidR="00360C63">
        <w:t xml:space="preserve"> implements the GBV </w:t>
      </w:r>
      <w:r w:rsidR="009C741A">
        <w:t>P</w:t>
      </w:r>
      <w:r w:rsidR="00360C63">
        <w:t>rogram in J</w:t>
      </w:r>
      <w:r>
        <w:t>amshoro district in Sindh. It established 10 Learning Resource Centres</w:t>
      </w:r>
      <w:r w:rsidR="00035AA4">
        <w:t xml:space="preserve"> (LRC)</w:t>
      </w:r>
      <w:r>
        <w:t xml:space="preserve"> at the village level,</w:t>
      </w:r>
      <w:r w:rsidR="00211395">
        <w:t xml:space="preserve"> to provide a space for community mobilisation efforts where women, men, boys and girls groups meet. The </w:t>
      </w:r>
      <w:r w:rsidR="00B8532E">
        <w:t>LR</w:t>
      </w:r>
      <w:r w:rsidR="00211395">
        <w:t>C</w:t>
      </w:r>
      <w:r w:rsidR="002C7A2D">
        <w:t xml:space="preserve">s </w:t>
      </w:r>
      <w:r w:rsidR="00211395">
        <w:t>were also used for the delivery of vocational training.</w:t>
      </w:r>
      <w:r w:rsidR="001F2EB1">
        <w:t xml:space="preserve"> </w:t>
      </w:r>
      <w:r w:rsidR="00211395">
        <w:t>With the introduction of SASA!</w:t>
      </w:r>
      <w:r w:rsidR="009B5796">
        <w:t>,</w:t>
      </w:r>
      <w:r w:rsidR="00527160">
        <w:rPr>
          <w:rStyle w:val="FootnoteReference"/>
        </w:rPr>
        <w:footnoteReference w:id="21"/>
      </w:r>
      <w:r w:rsidR="00211395">
        <w:t xml:space="preserve"> one of the LRCs has been turned into the Gender Resource </w:t>
      </w:r>
      <w:r w:rsidR="00035AA4">
        <w:t>C</w:t>
      </w:r>
      <w:r w:rsidR="00211395">
        <w:t>entre (GRC), a ‘hub’ for SDS’s GBV activit</w:t>
      </w:r>
      <w:r w:rsidR="001F2EB1">
        <w:t>ies</w:t>
      </w:r>
      <w:r w:rsidR="002C7A2D">
        <w:t xml:space="preserve"> and vocational training courses</w:t>
      </w:r>
      <w:r w:rsidR="00211395">
        <w:t xml:space="preserve">. SASA! mobilisation is still occurring at the </w:t>
      </w:r>
      <w:r w:rsidR="009B5796">
        <w:t>nine</w:t>
      </w:r>
      <w:r w:rsidR="00211395">
        <w:t xml:space="preserve"> remaining LRCs, but all vocational training is now taking place at the GRC. (</w:t>
      </w:r>
      <w:r w:rsidR="001F2EB1">
        <w:t xml:space="preserve">SASA! </w:t>
      </w:r>
      <w:r w:rsidR="00211395">
        <w:t>is discussed in more detail below).</w:t>
      </w:r>
    </w:p>
    <w:p w14:paraId="35111BF2" w14:textId="7E829C2B" w:rsidR="00965D4E" w:rsidRDefault="00211395" w:rsidP="00342107">
      <w:r>
        <w:t>The evaluation team met with a women</w:t>
      </w:r>
      <w:r w:rsidR="00CF0B01">
        <w:t>’</w:t>
      </w:r>
      <w:r>
        <w:t>s</w:t>
      </w:r>
      <w:r w:rsidR="002C7A2D">
        <w:t>/girls</w:t>
      </w:r>
      <w:r>
        <w:t xml:space="preserve"> group at the LRC in</w:t>
      </w:r>
      <w:r w:rsidR="00A4669D">
        <w:t xml:space="preserve"> village Imam Buksh</w:t>
      </w:r>
      <w:r w:rsidR="001F2EB1">
        <w:t xml:space="preserve"> </w:t>
      </w:r>
      <w:r w:rsidR="00A4669D">
        <w:t>Shahano, Taluka</w:t>
      </w:r>
      <w:r w:rsidR="001F2EB1">
        <w:t xml:space="preserve"> </w:t>
      </w:r>
      <w:r w:rsidR="00A4669D">
        <w:t xml:space="preserve">Kotri, district Jamshoro. </w:t>
      </w:r>
      <w:r>
        <w:t xml:space="preserve"> The LRC is a room in the house of a SDS Community Development Officer (female) a</w:t>
      </w:r>
      <w:r w:rsidR="00D20C89">
        <w:t>nd Community Activist (male)</w:t>
      </w:r>
      <w:r>
        <w:t xml:space="preserve">. </w:t>
      </w:r>
      <w:r w:rsidR="00A4669D">
        <w:t xml:space="preserve"> SDS</w:t>
      </w:r>
      <w:r w:rsidR="00777588">
        <w:t>,</w:t>
      </w:r>
      <w:r w:rsidR="00A4669D">
        <w:t xml:space="preserve"> through</w:t>
      </w:r>
      <w:r w:rsidR="00777588">
        <w:t xml:space="preserve"> </w:t>
      </w:r>
      <w:r w:rsidR="0008203F">
        <w:t>Trócaire</w:t>
      </w:r>
      <w:r w:rsidR="00777588">
        <w:t>,</w:t>
      </w:r>
      <w:r>
        <w:t xml:space="preserve"> has been supporting GBV </w:t>
      </w:r>
      <w:r>
        <w:lastRenderedPageBreak/>
        <w:t>prevention work in this community since 2012, and there is significant evidence of empowerment among the women</w:t>
      </w:r>
      <w:r w:rsidR="00A4669D">
        <w:t xml:space="preserve"> and girls</w:t>
      </w:r>
      <w:r>
        <w:t xml:space="preserve"> interviewed. </w:t>
      </w:r>
    </w:p>
    <w:p w14:paraId="6C69ECD3" w14:textId="65C635B1" w:rsidR="00965D4E" w:rsidRDefault="00965D4E" w:rsidP="00965D4E">
      <w:pPr>
        <w:pStyle w:val="Quote"/>
      </w:pPr>
      <w:r>
        <w:t xml:space="preserve">“Now we know about violence and we can relate to it – we </w:t>
      </w:r>
      <w:r w:rsidR="00777588">
        <w:t xml:space="preserve">too </w:t>
      </w:r>
      <w:r>
        <w:t>have been victims.</w:t>
      </w:r>
      <w:r w:rsidR="00777588">
        <w:t xml:space="preserve"> </w:t>
      </w:r>
      <w:r>
        <w:t xml:space="preserve">Change takes time, but what we can’t do, the next generation [of girls] will do.” </w:t>
      </w:r>
      <w:r w:rsidR="00777588">
        <w:t xml:space="preserve">- </w:t>
      </w:r>
      <w:r>
        <w:t>Member of women’s group, Jamshoro</w:t>
      </w:r>
    </w:p>
    <w:p w14:paraId="3188B7BD" w14:textId="073A66EF" w:rsidR="00777588" w:rsidRDefault="00211395" w:rsidP="003B2E3E">
      <w:r>
        <w:t xml:space="preserve">Examples were provided where members of the group are now sending their girls to school, and have acted on GBV cases. The women </w:t>
      </w:r>
      <w:r w:rsidR="00A4669D">
        <w:t xml:space="preserve">and girls </w:t>
      </w:r>
      <w:r>
        <w:t>were aware of their rights and provided examples of</w:t>
      </w:r>
      <w:r w:rsidR="0009286A">
        <w:t xml:space="preserve"> how they were raising GBV in discussions with</w:t>
      </w:r>
      <w:r w:rsidR="00A4669D">
        <w:t>in</w:t>
      </w:r>
      <w:r w:rsidR="00777588">
        <w:t xml:space="preserve"> </w:t>
      </w:r>
      <w:r w:rsidR="00A4669D">
        <w:t xml:space="preserve">their </w:t>
      </w:r>
      <w:r w:rsidR="0009286A">
        <w:t>famil</w:t>
      </w:r>
      <w:r w:rsidR="00A4669D">
        <w:t xml:space="preserve">ies and </w:t>
      </w:r>
      <w:r w:rsidR="0009286A">
        <w:t>communit</w:t>
      </w:r>
      <w:r w:rsidR="00777588">
        <w:t>ies</w:t>
      </w:r>
      <w:r w:rsidR="0009286A">
        <w:t>.</w:t>
      </w:r>
      <w:r w:rsidR="00777588">
        <w:t xml:space="preserve"> </w:t>
      </w:r>
      <w:r w:rsidR="0009286A" w:rsidRPr="003B2E3E">
        <w:rPr>
          <w:b/>
        </w:rPr>
        <w:t xml:space="preserve">The risks associated with women increasingly speaking out should continue to be closely monitored </w:t>
      </w:r>
      <w:r w:rsidR="00CD2A5A">
        <w:rPr>
          <w:b/>
        </w:rPr>
        <w:t>and</w:t>
      </w:r>
      <w:r w:rsidR="009B5796">
        <w:rPr>
          <w:b/>
        </w:rPr>
        <w:t xml:space="preserve"> </w:t>
      </w:r>
      <w:r w:rsidR="0009286A" w:rsidRPr="003B2E3E">
        <w:rPr>
          <w:b/>
        </w:rPr>
        <w:t>a specific conflict sensitivity indicator in the M&amp;E framework is recommended to track any unintended consequences of the intervention.</w:t>
      </w:r>
      <w:r w:rsidR="0009286A">
        <w:t xml:space="preserve"> </w:t>
      </w:r>
      <w:r w:rsidR="00777588">
        <w:t>The</w:t>
      </w:r>
      <w:r w:rsidR="0009286A">
        <w:t xml:space="preserve"> key mitigation strategy for a potential increase in violence is to involve men (community and religious leaders) in the discussions</w:t>
      </w:r>
      <w:r w:rsidR="00777588">
        <w:t xml:space="preserve"> – this approach is endorsed by the evaluation team</w:t>
      </w:r>
      <w:r w:rsidR="0009286A">
        <w:t>.</w:t>
      </w:r>
    </w:p>
    <w:p w14:paraId="5E36DB14" w14:textId="3EA6B2A6" w:rsidR="00777588" w:rsidRDefault="00777588" w:rsidP="002D514F">
      <w:pPr>
        <w:pStyle w:val="Quote"/>
      </w:pPr>
      <w:r>
        <w:t>“I am the first girl to go beyond class 5. There was initially a lot of resistance from the community, but now I can go outside with my parents’ trust.” - Member of girls group, Jamshoro, age 19</w:t>
      </w:r>
    </w:p>
    <w:p w14:paraId="6797D371" w14:textId="7ED80DB7" w:rsidR="00965D4E" w:rsidRDefault="0009286A" w:rsidP="003B2E3E">
      <w:r>
        <w:t xml:space="preserve"> </w:t>
      </w:r>
      <w:r w:rsidR="00EF5008">
        <w:t>The team also met with male members of the SDS GBV groups, who likewise provided examples of where th</w:t>
      </w:r>
      <w:r w:rsidR="00A4669D">
        <w:t>ey</w:t>
      </w:r>
      <w:r w:rsidR="00EF5008">
        <w:t xml:space="preserve"> had intervened to stop GBV</w:t>
      </w:r>
      <w:r w:rsidR="006D73B3">
        <w:t>. For example</w:t>
      </w:r>
      <w:r w:rsidR="00965D4E">
        <w:t xml:space="preserve">, one man had intervened in a slavery case, reporting it to police; the woman is now at the local </w:t>
      </w:r>
      <w:r w:rsidR="00965D4E" w:rsidRPr="00965D4E">
        <w:rPr>
          <w:i/>
        </w:rPr>
        <w:t>Darul</w:t>
      </w:r>
      <w:r w:rsidR="00777588">
        <w:rPr>
          <w:i/>
        </w:rPr>
        <w:t xml:space="preserve"> </w:t>
      </w:r>
      <w:r w:rsidR="00965D4E" w:rsidRPr="00965D4E">
        <w:rPr>
          <w:i/>
        </w:rPr>
        <w:t>Aman</w:t>
      </w:r>
      <w:r w:rsidR="00965D4E">
        <w:t>.</w:t>
      </w:r>
      <w:r w:rsidR="00E77ECD">
        <w:t xml:space="preserve"> A </w:t>
      </w:r>
      <w:r w:rsidR="00777588">
        <w:t xml:space="preserve">male </w:t>
      </w:r>
      <w:r w:rsidR="00E77ECD">
        <w:t xml:space="preserve">religious leader in Swat recalled how he </w:t>
      </w:r>
      <w:r w:rsidR="00133637">
        <w:t xml:space="preserve">has intervened to stop an underage marriage, </w:t>
      </w:r>
      <w:r w:rsidR="00777588">
        <w:t xml:space="preserve">and </w:t>
      </w:r>
      <w:r w:rsidR="00133637">
        <w:t>spoken about child marriage and inheritance rights at the Friday prayers.</w:t>
      </w:r>
    </w:p>
    <w:p w14:paraId="46978086" w14:textId="77777777" w:rsidR="00133637" w:rsidRDefault="00133637" w:rsidP="00133637">
      <w:pPr>
        <w:pStyle w:val="Quote"/>
      </w:pPr>
      <w:r>
        <w:t>“I’m taking small actions. Initially I was also in denial about GBV but now I preach against anti-women practices in the Jirga” – Na</w:t>
      </w:r>
      <w:r w:rsidR="007C1DAF">
        <w:t>zim (</w:t>
      </w:r>
      <w:r>
        <w:t>Union Council Head), Swat</w:t>
      </w:r>
    </w:p>
    <w:p w14:paraId="3D2A806D" w14:textId="09127C35" w:rsidR="00CA45AB" w:rsidRPr="00342107" w:rsidRDefault="00C132F2" w:rsidP="00342107">
      <w:r>
        <w:t xml:space="preserve">ACT, which </w:t>
      </w:r>
      <w:r w:rsidR="00A4669D">
        <w:t xml:space="preserve">implements the GBV </w:t>
      </w:r>
      <w:r w:rsidR="00D52D91">
        <w:t>P</w:t>
      </w:r>
      <w:r w:rsidR="00A4669D">
        <w:t xml:space="preserve">rogram in </w:t>
      </w:r>
      <w:r>
        <w:t xml:space="preserve">Mardan, Nowshera and Swabi districts </w:t>
      </w:r>
      <w:r w:rsidR="00A4669D">
        <w:t>of</w:t>
      </w:r>
      <w:r>
        <w:t xml:space="preserve"> KP, has formed </w:t>
      </w:r>
      <w:r w:rsidR="00035AA4" w:rsidRPr="00FD1CBF">
        <w:t>Willful Initiative for Social Empowerment</w:t>
      </w:r>
      <w:r w:rsidR="00035AA4">
        <w:t xml:space="preserve"> (</w:t>
      </w:r>
      <w:r w:rsidR="0009286A">
        <w:t>WISE</w:t>
      </w:r>
      <w:r w:rsidR="00035AA4">
        <w:t>)</w:t>
      </w:r>
      <w:r w:rsidR="0009286A">
        <w:t xml:space="preserve"> groups of women, men, girls and boys. </w:t>
      </w:r>
      <w:r w:rsidR="00EF5008">
        <w:t xml:space="preserve">The team visited a women’s </w:t>
      </w:r>
      <w:r w:rsidR="00035AA4">
        <w:t xml:space="preserve">WISE </w:t>
      </w:r>
      <w:r w:rsidR="00EF5008">
        <w:t>group</w:t>
      </w:r>
      <w:r w:rsidR="00035AA4">
        <w:t xml:space="preserve"> (members of a girls WISE group were also present)</w:t>
      </w:r>
      <w:r w:rsidR="00EF5008">
        <w:t xml:space="preserve"> in </w:t>
      </w:r>
      <w:r w:rsidR="00035AA4">
        <w:t>Rehmanabad</w:t>
      </w:r>
      <w:r w:rsidR="00EF5008">
        <w:t xml:space="preserve"> village</w:t>
      </w:r>
      <w:r w:rsidR="00A4669D">
        <w:t xml:space="preserve"> near Nowshera</w:t>
      </w:r>
      <w:r w:rsidR="00EF5008">
        <w:t xml:space="preserve"> and, while the community was clearly suspicious of NGOs to begin with, ACT had earned their trust</w:t>
      </w:r>
      <w:r w:rsidR="00E02277">
        <w:t>. The women were very outspoken and were clearly aware of GBV and their rights. O</w:t>
      </w:r>
      <w:r w:rsidR="00EF5008">
        <w:t>ne girl provided an example of how she now walked alone to school, and if she was harassed, she felt confident in warning the harasser that</w:t>
      </w:r>
      <w:r w:rsidR="00E02277">
        <w:t xml:space="preserve"> it was aga</w:t>
      </w:r>
      <w:r w:rsidR="00EF5008">
        <w:t xml:space="preserve">inst the law. </w:t>
      </w:r>
      <w:r w:rsidR="00EF5008" w:rsidRPr="002D514F">
        <w:rPr>
          <w:b/>
        </w:rPr>
        <w:t>As above, risks associated with attitude and behaviour change need to be close</w:t>
      </w:r>
      <w:r w:rsidR="00A4669D" w:rsidRPr="002D514F">
        <w:rPr>
          <w:b/>
        </w:rPr>
        <w:t>ly</w:t>
      </w:r>
      <w:r w:rsidR="00EF5008" w:rsidRPr="002D514F">
        <w:rPr>
          <w:b/>
        </w:rPr>
        <w:t xml:space="preserve"> monitored and mitigated.</w:t>
      </w:r>
      <w:r w:rsidR="00EF5008">
        <w:t xml:space="preserve"> </w:t>
      </w:r>
      <w:r w:rsidR="00E02277">
        <w:t>The meeting with the evaluation team was nearly called off as the police had ‘barged in’ to undertake a ‘sweep’ of the compound earlier in the day. The men</w:t>
      </w:r>
      <w:r w:rsidR="00777588">
        <w:t xml:space="preserve"> of the village</w:t>
      </w:r>
      <w:r w:rsidR="00E02277">
        <w:t xml:space="preserve"> had wanted to call it off but the women convinced them to let it go ahead. The older women who hosted the meeting in her house said that this should be viewed as a major achievement of </w:t>
      </w:r>
      <w:r w:rsidR="00A4669D">
        <w:t>ACT</w:t>
      </w:r>
      <w:r w:rsidR="00777588">
        <w:t>’</w:t>
      </w:r>
      <w:r w:rsidR="00D05733">
        <w:t xml:space="preserve">s work in the area. </w:t>
      </w:r>
    </w:p>
    <w:p w14:paraId="228DB715" w14:textId="6C962106" w:rsidR="00D05733" w:rsidRPr="00342107" w:rsidRDefault="00CA45AB" w:rsidP="00342107">
      <w:r>
        <w:t>PVDP operates in Swat district, KP. While the evaluation team was unable to travel to Swat</w:t>
      </w:r>
      <w:r w:rsidR="00777588">
        <w:t xml:space="preserve"> due to security and time constraints</w:t>
      </w:r>
      <w:r>
        <w:t xml:space="preserve">, they met with </w:t>
      </w:r>
      <w:r w:rsidR="00D05733">
        <w:t xml:space="preserve">staff and </w:t>
      </w:r>
      <w:r>
        <w:t xml:space="preserve">male community members in Islamabad. Women </w:t>
      </w:r>
      <w:r w:rsidR="00777588">
        <w:t xml:space="preserve">did </w:t>
      </w:r>
      <w:r w:rsidR="00D05733">
        <w:t>not</w:t>
      </w:r>
      <w:r>
        <w:t xml:space="preserve"> travel to meet with </w:t>
      </w:r>
      <w:r w:rsidR="00D05733">
        <w:t xml:space="preserve">the evaluation team </w:t>
      </w:r>
      <w:r>
        <w:t>as</w:t>
      </w:r>
      <w:r w:rsidR="00777588">
        <w:t xml:space="preserve"> their</w:t>
      </w:r>
      <w:r>
        <w:t xml:space="preserve"> </w:t>
      </w:r>
      <w:r w:rsidR="00D05733">
        <w:t>mobility is</w:t>
      </w:r>
      <w:r w:rsidR="00777588">
        <w:t xml:space="preserve"> very</w:t>
      </w:r>
      <w:r w:rsidR="00D05733">
        <w:t xml:space="preserve"> restricted</w:t>
      </w:r>
      <w:r>
        <w:t xml:space="preserve">. </w:t>
      </w:r>
      <w:r w:rsidR="00D05733">
        <w:t>The male community members, of varying ages and background</w:t>
      </w:r>
      <w:r w:rsidR="00777588">
        <w:t>s</w:t>
      </w:r>
      <w:r w:rsidR="00D05733">
        <w:t xml:space="preserve">, </w:t>
      </w:r>
      <w:r w:rsidR="00527160">
        <w:t>all spoke confidently about</w:t>
      </w:r>
      <w:r w:rsidR="00D05733">
        <w:t xml:space="preserve"> women’s rights and GBV. They were all members of </w:t>
      </w:r>
      <w:r w:rsidR="00D05733" w:rsidRPr="00D05733">
        <w:rPr>
          <w:i/>
        </w:rPr>
        <w:t>Bar Aks</w:t>
      </w:r>
      <w:r w:rsidR="00D05733">
        <w:t xml:space="preserve"> (a Tehsil level chapter of the </w:t>
      </w:r>
      <w:r w:rsidR="009B5796">
        <w:t>EVAW</w:t>
      </w:r>
      <w:r w:rsidR="00D05733" w:rsidRPr="000335E9">
        <w:t>G Alliance</w:t>
      </w:r>
      <w:r w:rsidR="00D05733">
        <w:t>) and spoke of PVDP</w:t>
      </w:r>
      <w:r w:rsidR="00777588">
        <w:t>’</w:t>
      </w:r>
      <w:r w:rsidR="00D05733">
        <w:t>s strong presence in their communities</w:t>
      </w:r>
      <w:r w:rsidR="00965D4E">
        <w:t>. These</w:t>
      </w:r>
      <w:r w:rsidR="006833AD">
        <w:t xml:space="preserve"> groups now all hold events and meetings </w:t>
      </w:r>
      <w:r w:rsidR="006833AD">
        <w:lastRenderedPageBreak/>
        <w:t>related to the</w:t>
      </w:r>
      <w:r w:rsidR="00D05733">
        <w:t xml:space="preserve"> 16 Days of </w:t>
      </w:r>
      <w:r w:rsidR="006833AD">
        <w:t>Activism, which was previously unheard of</w:t>
      </w:r>
      <w:r w:rsidR="00D05733">
        <w:t xml:space="preserve">. </w:t>
      </w:r>
      <w:r w:rsidR="00777588">
        <w:t>T</w:t>
      </w:r>
      <w:r w:rsidR="006368B3">
        <w:t>he male community members</w:t>
      </w:r>
      <w:r w:rsidR="00777588">
        <w:t xml:space="preserve"> expressed</w:t>
      </w:r>
      <w:r w:rsidR="006368B3">
        <w:t xml:space="preserve"> </w:t>
      </w:r>
      <w:r w:rsidR="00D05733">
        <w:t>that PVDP was</w:t>
      </w:r>
      <w:r w:rsidR="00777588">
        <w:t xml:space="preserve"> </w:t>
      </w:r>
      <w:r w:rsidR="00673F9C">
        <w:t xml:space="preserve">implementing </w:t>
      </w:r>
      <w:r w:rsidR="00663F93">
        <w:t>a project based</w:t>
      </w:r>
      <w:r w:rsidR="00673F9C">
        <w:t xml:space="preserve"> on </w:t>
      </w:r>
      <w:r w:rsidR="00777588">
        <w:t>t</w:t>
      </w:r>
      <w:r w:rsidR="00527160">
        <w:t>he community’s</w:t>
      </w:r>
      <w:r w:rsidR="00673F9C">
        <w:t xml:space="preserve"> needs </w:t>
      </w:r>
      <w:r w:rsidR="00777588">
        <w:t>and</w:t>
      </w:r>
      <w:r w:rsidR="00527160">
        <w:t xml:space="preserve"> in accordance with Islam, and</w:t>
      </w:r>
      <w:r w:rsidR="00777588">
        <w:t xml:space="preserve"> that </w:t>
      </w:r>
      <w:r w:rsidR="00673F9C">
        <w:t xml:space="preserve">it was very important </w:t>
      </w:r>
      <w:r w:rsidR="00777588">
        <w:t xml:space="preserve">for </w:t>
      </w:r>
      <w:r w:rsidR="00673F9C">
        <w:t xml:space="preserve">girls </w:t>
      </w:r>
      <w:r w:rsidR="00777588">
        <w:t xml:space="preserve">to </w:t>
      </w:r>
      <w:r w:rsidR="00673F9C">
        <w:t>know their rights and get their due inheritance.</w:t>
      </w:r>
    </w:p>
    <w:p w14:paraId="31B5602B" w14:textId="17C47870" w:rsidR="00EF5008" w:rsidRDefault="00CA45AB" w:rsidP="00342107">
      <w:r>
        <w:t xml:space="preserve">PVDP has opened </w:t>
      </w:r>
      <w:r w:rsidR="009B5796" w:rsidRPr="004D4C14">
        <w:t>WWCs</w:t>
      </w:r>
      <w:r w:rsidRPr="009B5796">
        <w:t xml:space="preserve"> </w:t>
      </w:r>
      <w:r>
        <w:t xml:space="preserve">at the village </w:t>
      </w:r>
      <w:r w:rsidR="00CF0B01">
        <w:t>level, which</w:t>
      </w:r>
      <w:r>
        <w:t xml:space="preserve"> act as women friendly spaces for community mobilisation work. Like SDS, PVDP convenes separate groups for women, men, girls and boys, </w:t>
      </w:r>
      <w:r w:rsidR="00CF0B01">
        <w:t>and</w:t>
      </w:r>
      <w:r>
        <w:t xml:space="preserve"> provides vocational training to women </w:t>
      </w:r>
      <w:r w:rsidR="006368B3">
        <w:t>through</w:t>
      </w:r>
      <w:r>
        <w:t xml:space="preserve"> the GBV </w:t>
      </w:r>
      <w:r w:rsidR="006368B3">
        <w:t>P</w:t>
      </w:r>
      <w:r>
        <w:t>rogram</w:t>
      </w:r>
      <w:r w:rsidR="006368B3">
        <w:t xml:space="preserve">. </w:t>
      </w:r>
    </w:p>
    <w:p w14:paraId="16372CA9" w14:textId="64470A21" w:rsidR="007C1DAF" w:rsidRPr="00342107" w:rsidRDefault="007C1DAF" w:rsidP="00342107">
      <w:r>
        <w:t xml:space="preserve">Furthermore, through </w:t>
      </w:r>
      <w:r w:rsidR="00527160">
        <w:t>the P</w:t>
      </w:r>
      <w:r>
        <w:t xml:space="preserve">rogram ACT has supported students in four public sector universities in KP to undertake action research on GBV – </w:t>
      </w:r>
      <w:r w:rsidRPr="007C1DAF">
        <w:rPr>
          <w:b/>
        </w:rPr>
        <w:t>this is an area for follow up as this evaluation was unable to assess the quality or impact of these activities</w:t>
      </w:r>
      <w:r>
        <w:t>.</w:t>
      </w:r>
    </w:p>
    <w:p w14:paraId="5DB91D78" w14:textId="7CB3E534" w:rsidR="00B314D9" w:rsidRPr="00342107" w:rsidRDefault="00B314D9" w:rsidP="00342107">
      <w:pPr>
        <w:pStyle w:val="Heading4"/>
      </w:pPr>
      <w:r w:rsidRPr="00342107">
        <w:t>SASA!</w:t>
      </w:r>
      <w:r w:rsidR="00CD2A5A">
        <w:t xml:space="preserve"> Behaviour Change Methodology</w:t>
      </w:r>
    </w:p>
    <w:p w14:paraId="21AC68C6" w14:textId="145925DB" w:rsidR="007C1DAF" w:rsidRPr="00342107" w:rsidRDefault="007C1DAF" w:rsidP="007C1DAF">
      <w:pPr>
        <w:pStyle w:val="Quote"/>
      </w:pPr>
      <w:r>
        <w:t xml:space="preserve">“Everyone has some form of power. How are you using yours?” </w:t>
      </w:r>
      <w:r w:rsidR="00527160">
        <w:t xml:space="preserve">- </w:t>
      </w:r>
      <w:r>
        <w:t>SASA! Poster in Jamshoro LRC</w:t>
      </w:r>
    </w:p>
    <w:p w14:paraId="6E3C4826" w14:textId="4D98D3B6" w:rsidR="00CB18F3" w:rsidRDefault="00CB18F3" w:rsidP="00342107">
      <w:r>
        <w:t xml:space="preserve">Based largely on concerns about sustainability of the community mobilisation work </w:t>
      </w:r>
      <w:r w:rsidR="0096605E">
        <w:t>and a desire to move away from a cycle of continuous awareness raising,</w:t>
      </w:r>
      <w:r>
        <w:t xml:space="preserve"> </w:t>
      </w:r>
      <w:r w:rsidR="0008203F">
        <w:t>Trócaire</w:t>
      </w:r>
      <w:r>
        <w:t xml:space="preserve"> decided to introduce a new</w:t>
      </w:r>
      <w:r w:rsidR="00042B53">
        <w:t>,</w:t>
      </w:r>
      <w:r>
        <w:t xml:space="preserve"> </w:t>
      </w:r>
      <w:r w:rsidR="00B34CA7">
        <w:t>evidence</w:t>
      </w:r>
      <w:r w:rsidR="0033435B">
        <w:t>-</w:t>
      </w:r>
      <w:r w:rsidR="00B34CA7">
        <w:t>based approach to social norm change</w:t>
      </w:r>
      <w:r w:rsidR="00042B53">
        <w:t>, which began implementation</w:t>
      </w:r>
      <w:r w:rsidR="00527160">
        <w:t xml:space="preserve"> in </w:t>
      </w:r>
      <w:r w:rsidR="00CF0B01">
        <w:t>mid-2016</w:t>
      </w:r>
      <w:r w:rsidR="0033435B">
        <w:t>.</w:t>
      </w:r>
      <w:r>
        <w:t xml:space="preserve"> </w:t>
      </w:r>
      <w:r w:rsidR="0008203F">
        <w:t>Trócaire</w:t>
      </w:r>
      <w:r>
        <w:t xml:space="preserve"> has adapted the materials </w:t>
      </w:r>
      <w:r w:rsidR="00EC3663">
        <w:t>to</w:t>
      </w:r>
      <w:r>
        <w:t xml:space="preserve"> the Pakistan context and translated them into Urdu. It has also hired a SASA! </w:t>
      </w:r>
      <w:r w:rsidR="00CF0B01">
        <w:t>Officer</w:t>
      </w:r>
      <w:r>
        <w:t xml:space="preserve"> and devoted significant resources to this new approach. </w:t>
      </w:r>
      <w:r w:rsidR="005D260B">
        <w:t>Raising Voices</w:t>
      </w:r>
      <w:r>
        <w:t xml:space="preserve">, which </w:t>
      </w:r>
      <w:r w:rsidR="005C3887">
        <w:t xml:space="preserve">originally </w:t>
      </w:r>
      <w:r>
        <w:t xml:space="preserve">developed the </w:t>
      </w:r>
      <w:r w:rsidR="005C3887">
        <w:t xml:space="preserve">SASA! </w:t>
      </w:r>
      <w:r>
        <w:t>approach,</w:t>
      </w:r>
      <w:r w:rsidR="005D260B">
        <w:t xml:space="preserve"> </w:t>
      </w:r>
      <w:r w:rsidR="0096605E">
        <w:t xml:space="preserve">is </w:t>
      </w:r>
      <w:r w:rsidR="00E617AF">
        <w:t>play</w:t>
      </w:r>
      <w:r w:rsidR="0096605E">
        <w:t>ing</w:t>
      </w:r>
      <w:r w:rsidR="0033435B">
        <w:t xml:space="preserve"> </w:t>
      </w:r>
      <w:r w:rsidR="005D260B">
        <w:t xml:space="preserve">a mentoring role and </w:t>
      </w:r>
      <w:r w:rsidR="005C3887">
        <w:t xml:space="preserve">is </w:t>
      </w:r>
      <w:r w:rsidR="005D260B">
        <w:t>interested to learn about SASA! adaptation and implementation in Pakistan.</w:t>
      </w:r>
      <w:r w:rsidR="00A10A89">
        <w:t xml:space="preserve"> The four stages of SASA! will not be completed by the end of the </w:t>
      </w:r>
      <w:r w:rsidR="00965D4E">
        <w:t>GBV Program,</w:t>
      </w:r>
      <w:r w:rsidR="00A10A89">
        <w:t xml:space="preserve"> but </w:t>
      </w:r>
      <w:r w:rsidR="0008203F">
        <w:t>Trócaire</w:t>
      </w:r>
      <w:r w:rsidR="00A10A89">
        <w:t xml:space="preserve"> </w:t>
      </w:r>
      <w:r w:rsidR="00042B53">
        <w:t xml:space="preserve">expects to be able to </w:t>
      </w:r>
      <w:r w:rsidR="00A10A89">
        <w:t>fund it through to completion</w:t>
      </w:r>
      <w:r w:rsidR="00042B53">
        <w:t xml:space="preserve"> if Australian funding does not continue.</w:t>
      </w:r>
    </w:p>
    <w:p w14:paraId="19A8B9F1" w14:textId="7AFED796" w:rsidR="00A10A89" w:rsidRDefault="00CB18F3" w:rsidP="00342107">
      <w:r>
        <w:t xml:space="preserve">Implementation of the SASA! approach only began in June 2016, so it is not </w:t>
      </w:r>
      <w:r w:rsidR="00A10A89">
        <w:t xml:space="preserve">yet </w:t>
      </w:r>
      <w:r>
        <w:t xml:space="preserve">possible to make an assessment of its effectiveness. However, </w:t>
      </w:r>
      <w:r w:rsidR="004C6493">
        <w:t>the three</w:t>
      </w:r>
      <w:r>
        <w:t xml:space="preserve"> NGO partners involved in the prevention component were highly enthusiastic about the new approach, </w:t>
      </w:r>
      <w:r w:rsidR="00A10A89">
        <w:t xml:space="preserve">as they believe it will be a more effective and sustainable form of community mobilisation to prevent GBV. Partners were particularly positive about the structured approach, and the identification and training of </w:t>
      </w:r>
      <w:r w:rsidR="00E635C0">
        <w:t xml:space="preserve">male and female </w:t>
      </w:r>
      <w:r w:rsidR="00A10A89">
        <w:t>community members as Community Activists</w:t>
      </w:r>
      <w:r w:rsidR="004C6493">
        <w:t xml:space="preserve"> (CAs)</w:t>
      </w:r>
      <w:r w:rsidR="00A10A89">
        <w:t xml:space="preserve">. </w:t>
      </w:r>
      <w:r w:rsidR="00C132F2">
        <w:t xml:space="preserve">SDS intends to mainstream SASA! modules into its Oxfam-funded project in 3 districts of Sindh, which is evidence of their commitment to the approach. </w:t>
      </w:r>
      <w:r w:rsidR="00A10A89">
        <w:t xml:space="preserve">Retaining </w:t>
      </w:r>
      <w:r w:rsidR="00C132F2">
        <w:t>CAs</w:t>
      </w:r>
      <w:r w:rsidR="005C3887">
        <w:t xml:space="preserve"> </w:t>
      </w:r>
      <w:r w:rsidR="00C132F2">
        <w:t xml:space="preserve">and keeping up the momentum </w:t>
      </w:r>
      <w:r w:rsidR="00A10A89">
        <w:t xml:space="preserve">will be a challenge; consideration should be given to providing </w:t>
      </w:r>
      <w:r w:rsidR="006368B3">
        <w:t xml:space="preserve">female </w:t>
      </w:r>
      <w:r w:rsidR="00C132F2">
        <w:t>CAs</w:t>
      </w:r>
      <w:r w:rsidR="00A10A89">
        <w:t xml:space="preserve"> with incentives such </w:t>
      </w:r>
      <w:r w:rsidR="004C6493">
        <w:t xml:space="preserve">as </w:t>
      </w:r>
      <w:r w:rsidR="00A10A89">
        <w:t xml:space="preserve">vocational training </w:t>
      </w:r>
      <w:r w:rsidR="002E6E66">
        <w:t>and/</w:t>
      </w:r>
      <w:r w:rsidR="00A10A89">
        <w:t>or</w:t>
      </w:r>
      <w:r w:rsidR="002E6E66">
        <w:t xml:space="preserve"> training of </w:t>
      </w:r>
      <w:r w:rsidR="00CF0B01">
        <w:t>trainer’s</w:t>
      </w:r>
      <w:r w:rsidR="00A10A89">
        <w:t xml:space="preserve"> opportunities (see recommendation below).</w:t>
      </w:r>
    </w:p>
    <w:p w14:paraId="78F207D2" w14:textId="77777777" w:rsidR="00BE316E" w:rsidRPr="00342107" w:rsidRDefault="00BE316E" w:rsidP="00342107">
      <w:pPr>
        <w:pStyle w:val="Heading4"/>
      </w:pPr>
      <w:r w:rsidRPr="00342107">
        <w:t>Vocational Training</w:t>
      </w:r>
    </w:p>
    <w:p w14:paraId="7823091C" w14:textId="1DA199F8" w:rsidR="00E20A5F" w:rsidRPr="00342107" w:rsidRDefault="005C3887" w:rsidP="00342107">
      <w:r>
        <w:t>Under the Program, t</w:t>
      </w:r>
      <w:r w:rsidR="00E20A5F">
        <w:t>raining has been increasingly included as a</w:t>
      </w:r>
      <w:r w:rsidR="0033435B">
        <w:t>n incentive</w:t>
      </w:r>
      <w:r w:rsidR="00E20A5F">
        <w:t xml:space="preserve"> to bring women in to the community mobilisation work. The evaluation team heard repeatedly that a tangible incentive (such as vocational training) was required for women to justify the time spent away from other household tasks to attend meetings</w:t>
      </w:r>
      <w:r w:rsidR="00970D28">
        <w:t xml:space="preserve"> organised by the Program</w:t>
      </w:r>
      <w:r w:rsidR="00E20A5F">
        <w:t xml:space="preserve">. This is a valid use of funds under the GBV </w:t>
      </w:r>
      <w:r w:rsidR="006368B3">
        <w:t>P</w:t>
      </w:r>
      <w:r w:rsidR="00E20A5F">
        <w:t xml:space="preserve">rogram, as economic empowerment is a critical part of a gender transformative approach that the </w:t>
      </w:r>
      <w:r w:rsidR="006368B3">
        <w:t>P</w:t>
      </w:r>
      <w:r w:rsidR="00E20A5F">
        <w:t>rogram is aiming to achieve.</w:t>
      </w:r>
      <w:r w:rsidR="00E20A5F" w:rsidRPr="00E20A5F">
        <w:rPr>
          <w:b/>
        </w:rPr>
        <w:t xml:space="preserve"> ACT should be provided with the </w:t>
      </w:r>
      <w:r w:rsidR="006368B3">
        <w:rPr>
          <w:b/>
        </w:rPr>
        <w:t xml:space="preserve">vocational </w:t>
      </w:r>
      <w:r w:rsidR="00E20A5F" w:rsidRPr="00E20A5F">
        <w:rPr>
          <w:b/>
        </w:rPr>
        <w:t>training component if requested. However, care needs to be taken to ensure partners do not lose</w:t>
      </w:r>
      <w:r w:rsidR="006368B3">
        <w:rPr>
          <w:b/>
        </w:rPr>
        <w:t xml:space="preserve"> the</w:t>
      </w:r>
      <w:r w:rsidR="00E20A5F" w:rsidRPr="00E20A5F">
        <w:rPr>
          <w:b/>
        </w:rPr>
        <w:t xml:space="preserve"> focus </w:t>
      </w:r>
      <w:r w:rsidR="006368B3">
        <w:rPr>
          <w:b/>
        </w:rPr>
        <w:t xml:space="preserve">on </w:t>
      </w:r>
      <w:r w:rsidR="00E20A5F" w:rsidRPr="00E20A5F">
        <w:rPr>
          <w:b/>
        </w:rPr>
        <w:t xml:space="preserve">GBV and start to turn the </w:t>
      </w:r>
      <w:r w:rsidR="006368B3">
        <w:rPr>
          <w:b/>
        </w:rPr>
        <w:t>P</w:t>
      </w:r>
      <w:r w:rsidR="00E20A5F" w:rsidRPr="00E20A5F">
        <w:rPr>
          <w:b/>
        </w:rPr>
        <w:t xml:space="preserve">rogram more into a livelihoods </w:t>
      </w:r>
      <w:r>
        <w:rPr>
          <w:b/>
        </w:rPr>
        <w:t>activity</w:t>
      </w:r>
      <w:r w:rsidR="00E20A5F" w:rsidRPr="00E20A5F">
        <w:rPr>
          <w:b/>
        </w:rPr>
        <w:t>.</w:t>
      </w:r>
      <w:r w:rsidR="00E20A5F">
        <w:t xml:space="preserve"> For example, men have also requested </w:t>
      </w:r>
      <w:r w:rsidR="00E20A5F">
        <w:lastRenderedPageBreak/>
        <w:t xml:space="preserve">training opportunities under the </w:t>
      </w:r>
      <w:r w:rsidR="006368B3">
        <w:t>P</w:t>
      </w:r>
      <w:r w:rsidR="00E20A5F">
        <w:t xml:space="preserve">rogram, but this is not appropriate under </w:t>
      </w:r>
      <w:r w:rsidR="002E6E66">
        <w:t>this</w:t>
      </w:r>
      <w:r w:rsidR="00E20A5F">
        <w:t xml:space="preserve"> investment. SDS </w:t>
      </w:r>
      <w:r w:rsidR="00970D28">
        <w:t xml:space="preserve">risks losing </w:t>
      </w:r>
      <w:r w:rsidR="00E20A5F">
        <w:t xml:space="preserve">some of its focus on GBV survivors by moving the vocational training to the GRC and introducing a fee structure, </w:t>
      </w:r>
      <w:r w:rsidR="00970D28">
        <w:t>if</w:t>
      </w:r>
      <w:r w:rsidR="00E20A5F">
        <w:t xml:space="preserve"> </w:t>
      </w:r>
      <w:r w:rsidR="0088689A">
        <w:t xml:space="preserve">this means </w:t>
      </w:r>
      <w:r w:rsidR="00E20A5F">
        <w:t xml:space="preserve">training is no longer physically accessible by women with mobility restrictions and </w:t>
      </w:r>
      <w:r>
        <w:t xml:space="preserve">is </w:t>
      </w:r>
      <w:r w:rsidR="00E20A5F">
        <w:t xml:space="preserve">now unaffordable for poorer women who arguably need it most. </w:t>
      </w:r>
      <w:r w:rsidR="00970D28">
        <w:t xml:space="preserve">Moving training </w:t>
      </w:r>
      <w:r w:rsidR="0088689A">
        <w:t>to a central location</w:t>
      </w:r>
      <w:r w:rsidR="00E20A5F">
        <w:t xml:space="preserve"> also</w:t>
      </w:r>
      <w:r w:rsidR="0088689A">
        <w:t xml:space="preserve"> means it</w:t>
      </w:r>
      <w:r w:rsidR="00E20A5F">
        <w:t xml:space="preserve"> can</w:t>
      </w:r>
      <w:r>
        <w:t xml:space="preserve"> no longer</w:t>
      </w:r>
      <w:r w:rsidR="00E20A5F">
        <w:t xml:space="preserve"> be used as a concrete incentive to involve women in community mobilisation work. The fee structure was introduced as part of SDS’s sustainability strategy, and these efforts are commendable, but there needs to be a middle ground whereby the training remains</w:t>
      </w:r>
      <w:r w:rsidR="0001367D">
        <w:t xml:space="preserve"> physically and financially</w:t>
      </w:r>
      <w:r w:rsidR="00E20A5F">
        <w:t xml:space="preserve"> accessible to survivors of violence.</w:t>
      </w:r>
      <w:r w:rsidR="0088689A">
        <w:rPr>
          <w:rStyle w:val="FootnoteReference"/>
        </w:rPr>
        <w:footnoteReference w:id="22"/>
      </w:r>
      <w:r w:rsidR="00510F34">
        <w:t xml:space="preserve"> </w:t>
      </w:r>
      <w:r w:rsidR="00510F34" w:rsidRPr="00E63E55">
        <w:rPr>
          <w:b/>
        </w:rPr>
        <w:t>SDS/</w:t>
      </w:r>
      <w:r w:rsidR="0008203F" w:rsidRPr="00E63E55">
        <w:rPr>
          <w:b/>
        </w:rPr>
        <w:t>Trócaire</w:t>
      </w:r>
      <w:r w:rsidR="00E20A5F" w:rsidRPr="00E63E55">
        <w:rPr>
          <w:b/>
        </w:rPr>
        <w:t xml:space="preserve"> should</w:t>
      </w:r>
      <w:r w:rsidR="00510F34" w:rsidRPr="00E63E55">
        <w:rPr>
          <w:b/>
        </w:rPr>
        <w:t xml:space="preserve"> ensure survivors of violence have access to the training, free of cha</w:t>
      </w:r>
      <w:r w:rsidR="006368B3" w:rsidRPr="00E63E55">
        <w:rPr>
          <w:b/>
        </w:rPr>
        <w:t>r</w:t>
      </w:r>
      <w:r w:rsidR="00510F34" w:rsidRPr="00E63E55">
        <w:rPr>
          <w:b/>
        </w:rPr>
        <w:t>ge, if requested</w:t>
      </w:r>
      <w:r w:rsidR="00E20A5F" w:rsidRPr="00E63E55">
        <w:rPr>
          <w:b/>
        </w:rPr>
        <w:t>.</w:t>
      </w:r>
      <w:r w:rsidR="00360C63">
        <w:t xml:space="preserve"> </w:t>
      </w:r>
    </w:p>
    <w:p w14:paraId="732160E5" w14:textId="023C43AD" w:rsidR="00E20A5F" w:rsidRPr="00342107" w:rsidRDefault="00E20A5F" w:rsidP="00342107">
      <w:r>
        <w:t xml:space="preserve">The experience of the GBV </w:t>
      </w:r>
      <w:r w:rsidR="007724D8">
        <w:t>P</w:t>
      </w:r>
      <w:r>
        <w:t>rogram provides useful lessons for Australia’s future support to the EVAW sector</w:t>
      </w:r>
      <w:r w:rsidR="007724D8">
        <w:t xml:space="preserve"> in Pakistan</w:t>
      </w:r>
      <w:r>
        <w:t>, and to the international community</w:t>
      </w:r>
      <w:r w:rsidR="005C3887">
        <w:t>,</w:t>
      </w:r>
      <w:r>
        <w:t xml:space="preserve"> which is also grappling with these issues</w:t>
      </w:r>
      <w:r w:rsidR="0033435B">
        <w:t>. T</w:t>
      </w:r>
      <w:r>
        <w:t xml:space="preserve">o what extent should economic empowerment be part of EVAW programming? </w:t>
      </w:r>
      <w:r w:rsidRPr="00E10DF1">
        <w:rPr>
          <w:b/>
        </w:rPr>
        <w:t xml:space="preserve">The GBV </w:t>
      </w:r>
      <w:r w:rsidR="007724D8">
        <w:rPr>
          <w:b/>
        </w:rPr>
        <w:t>P</w:t>
      </w:r>
      <w:r w:rsidRPr="00E10DF1">
        <w:rPr>
          <w:b/>
        </w:rPr>
        <w:t xml:space="preserve">rogram has </w:t>
      </w:r>
      <w:r w:rsidR="00965D4E">
        <w:rPr>
          <w:b/>
        </w:rPr>
        <w:t xml:space="preserve">several </w:t>
      </w:r>
      <w:r w:rsidRPr="00E10DF1">
        <w:rPr>
          <w:b/>
        </w:rPr>
        <w:t xml:space="preserve">partners </w:t>
      </w:r>
      <w:r w:rsidR="00965D4E">
        <w:rPr>
          <w:b/>
        </w:rPr>
        <w:t xml:space="preserve">(SDS, PVDP, NET, ABAD, ACT) </w:t>
      </w:r>
      <w:r w:rsidRPr="00E10DF1">
        <w:rPr>
          <w:b/>
        </w:rPr>
        <w:t>implementing slightly different models, and before the end of the investment these partners should be brought together to share and document learnings. Close monitoring of this component is also required, to ensure the focus remains on GBV</w:t>
      </w:r>
      <w:r w:rsidR="003B04A3">
        <w:rPr>
          <w:b/>
        </w:rPr>
        <w:t xml:space="preserve"> survivors</w:t>
      </w:r>
      <w:r w:rsidRPr="00E10DF1">
        <w:rPr>
          <w:b/>
        </w:rPr>
        <w:t>.</w:t>
      </w:r>
    </w:p>
    <w:p w14:paraId="628F166B" w14:textId="13C4404C" w:rsidR="00510F34" w:rsidRPr="00342107" w:rsidRDefault="00E20A5F" w:rsidP="00342107">
      <w:r>
        <w:t xml:space="preserve">A variety of training manuals have been developed by Avicenna, and </w:t>
      </w:r>
      <w:r w:rsidRPr="00510F34">
        <w:t>emphasis should now be placed on training of trainers within the partner NGO</w:t>
      </w:r>
      <w:r w:rsidR="003B04A3">
        <w:t>s</w:t>
      </w:r>
      <w:r w:rsidRPr="00510F34">
        <w:t xml:space="preserve"> s</w:t>
      </w:r>
      <w:r w:rsidR="003B04A3">
        <w:t>o</w:t>
      </w:r>
      <w:r w:rsidRPr="00510F34">
        <w:t xml:space="preserve"> that they can independently roll out the training on a needs basis.</w:t>
      </w:r>
      <w:r w:rsidR="005C3887">
        <w:t xml:space="preserve"> </w:t>
      </w:r>
      <w:r w:rsidR="00CB18F3" w:rsidRPr="002D514F">
        <w:rPr>
          <w:b/>
        </w:rPr>
        <w:t xml:space="preserve">There is </w:t>
      </w:r>
      <w:r w:rsidR="005C3887" w:rsidRPr="002D514F">
        <w:rPr>
          <w:b/>
        </w:rPr>
        <w:t xml:space="preserve">very little </w:t>
      </w:r>
      <w:r w:rsidR="00CB18F3" w:rsidRPr="002D514F">
        <w:rPr>
          <w:b/>
        </w:rPr>
        <w:t>evidence that handholding support i</w:t>
      </w:r>
      <w:r w:rsidR="003B04A3" w:rsidRPr="002D514F">
        <w:rPr>
          <w:b/>
        </w:rPr>
        <w:t>s</w:t>
      </w:r>
      <w:r w:rsidR="00CB18F3" w:rsidRPr="002D514F">
        <w:rPr>
          <w:b/>
        </w:rPr>
        <w:t xml:space="preserve"> effective; this component should be phased out. </w:t>
      </w:r>
      <w:r w:rsidR="0008203F">
        <w:rPr>
          <w:b/>
        </w:rPr>
        <w:t>Trócaire</w:t>
      </w:r>
      <w:r w:rsidR="00510F34" w:rsidRPr="002D514F">
        <w:rPr>
          <w:b/>
        </w:rPr>
        <w:t xml:space="preserve"> should ensure that the </w:t>
      </w:r>
      <w:r w:rsidR="00CF0B01">
        <w:rPr>
          <w:b/>
        </w:rPr>
        <w:t>five</w:t>
      </w:r>
      <w:r w:rsidR="00510F34" w:rsidRPr="002D514F">
        <w:rPr>
          <w:b/>
        </w:rPr>
        <w:t xml:space="preserve"> NGO partners have access to all training manuals and materials.</w:t>
      </w:r>
      <w:r w:rsidR="005C3887" w:rsidRPr="002D514F">
        <w:rPr>
          <w:b/>
        </w:rPr>
        <w:t xml:space="preserve"> </w:t>
      </w:r>
      <w:r w:rsidR="00510F34" w:rsidRPr="002D514F">
        <w:rPr>
          <w:b/>
        </w:rPr>
        <w:t>In the past</w:t>
      </w:r>
      <w:r w:rsidR="005C3887" w:rsidRPr="002D514F">
        <w:rPr>
          <w:b/>
        </w:rPr>
        <w:t>,</w:t>
      </w:r>
      <w:r w:rsidR="00510F34" w:rsidRPr="002D514F">
        <w:rPr>
          <w:b/>
        </w:rPr>
        <w:t xml:space="preserve"> NGO staff from S</w:t>
      </w:r>
      <w:r w:rsidR="003B04A3" w:rsidRPr="002D514F">
        <w:rPr>
          <w:b/>
        </w:rPr>
        <w:t>DS</w:t>
      </w:r>
      <w:r w:rsidR="00510F34" w:rsidRPr="002D514F">
        <w:rPr>
          <w:b/>
        </w:rPr>
        <w:t xml:space="preserve"> </w:t>
      </w:r>
      <w:r w:rsidR="00AB11F3">
        <w:rPr>
          <w:b/>
        </w:rPr>
        <w:t xml:space="preserve">have </w:t>
      </w:r>
      <w:r w:rsidR="00510F34" w:rsidRPr="002D514F">
        <w:rPr>
          <w:b/>
        </w:rPr>
        <w:t>travelled to</w:t>
      </w:r>
      <w:r w:rsidR="003B04A3" w:rsidRPr="002D514F">
        <w:rPr>
          <w:b/>
        </w:rPr>
        <w:t xml:space="preserve"> PVDP in Swat</w:t>
      </w:r>
      <w:r w:rsidR="00510F34" w:rsidRPr="002D514F">
        <w:rPr>
          <w:b/>
        </w:rPr>
        <w:t xml:space="preserve"> for </w:t>
      </w:r>
      <w:r w:rsidR="0033435B">
        <w:rPr>
          <w:b/>
        </w:rPr>
        <w:t>train the trainer (ToT)</w:t>
      </w:r>
      <w:r w:rsidR="0033435B" w:rsidRPr="002D514F">
        <w:rPr>
          <w:b/>
        </w:rPr>
        <w:t xml:space="preserve"> </w:t>
      </w:r>
      <w:r w:rsidR="00510F34" w:rsidRPr="002D514F">
        <w:rPr>
          <w:b/>
        </w:rPr>
        <w:t>workshop</w:t>
      </w:r>
      <w:r w:rsidR="003B04A3" w:rsidRPr="002D514F">
        <w:rPr>
          <w:b/>
        </w:rPr>
        <w:t>s</w:t>
      </w:r>
      <w:r w:rsidR="00AB11F3">
        <w:rPr>
          <w:b/>
        </w:rPr>
        <w:t xml:space="preserve"> - </w:t>
      </w:r>
      <w:r w:rsidR="0008203F">
        <w:rPr>
          <w:b/>
        </w:rPr>
        <w:t>Trócaire</w:t>
      </w:r>
      <w:r w:rsidR="00510F34" w:rsidRPr="002D514F">
        <w:rPr>
          <w:b/>
        </w:rPr>
        <w:t xml:space="preserve"> should capitalise on </w:t>
      </w:r>
      <w:r w:rsidR="00AB11F3">
        <w:rPr>
          <w:b/>
        </w:rPr>
        <w:t xml:space="preserve">such </w:t>
      </w:r>
      <w:r w:rsidR="00510F34" w:rsidRPr="002D514F">
        <w:rPr>
          <w:b/>
        </w:rPr>
        <w:t xml:space="preserve">visits to provide staff </w:t>
      </w:r>
      <w:r w:rsidR="00AB11F3">
        <w:rPr>
          <w:b/>
        </w:rPr>
        <w:t xml:space="preserve">from the partner NGOs </w:t>
      </w:r>
      <w:r w:rsidR="00510F34" w:rsidRPr="002D514F">
        <w:rPr>
          <w:b/>
        </w:rPr>
        <w:t xml:space="preserve">an opportunity to meet </w:t>
      </w:r>
      <w:r w:rsidR="00AB11F3">
        <w:rPr>
          <w:b/>
        </w:rPr>
        <w:t>each</w:t>
      </w:r>
      <w:r w:rsidR="00510F34" w:rsidRPr="002D514F">
        <w:rPr>
          <w:b/>
        </w:rPr>
        <w:t xml:space="preserve"> other and see </w:t>
      </w:r>
      <w:r w:rsidR="00AB11F3">
        <w:rPr>
          <w:b/>
        </w:rPr>
        <w:t>each other</w:t>
      </w:r>
      <w:r w:rsidR="0088689A">
        <w:rPr>
          <w:b/>
        </w:rPr>
        <w:t>’</w:t>
      </w:r>
      <w:r w:rsidR="00AB11F3">
        <w:rPr>
          <w:b/>
        </w:rPr>
        <w:t>s</w:t>
      </w:r>
      <w:r w:rsidR="00AB11F3" w:rsidRPr="002D514F">
        <w:rPr>
          <w:b/>
        </w:rPr>
        <w:t xml:space="preserve"> </w:t>
      </w:r>
      <w:r w:rsidR="00510F34" w:rsidRPr="002D514F">
        <w:rPr>
          <w:b/>
        </w:rPr>
        <w:t>work.</w:t>
      </w:r>
    </w:p>
    <w:p w14:paraId="265BEFFF" w14:textId="6AE356C8" w:rsidR="00E20A5F" w:rsidRPr="00342107" w:rsidRDefault="00AB11F3" w:rsidP="00342107">
      <w:r>
        <w:t xml:space="preserve">The </w:t>
      </w:r>
      <w:r w:rsidR="00510F34">
        <w:t xml:space="preserve">Phase </w:t>
      </w:r>
      <w:r>
        <w:t>2</w:t>
      </w:r>
      <w:r w:rsidR="00510F34">
        <w:t xml:space="preserve"> contract with Avicenna includes ambitious targets for </w:t>
      </w:r>
      <w:r w:rsidR="004C6493">
        <w:t xml:space="preserve">the </w:t>
      </w:r>
      <w:r w:rsidR="00510F34">
        <w:t xml:space="preserve">number of </w:t>
      </w:r>
      <w:r w:rsidR="00510F34" w:rsidRPr="00A27C05">
        <w:rPr>
          <w:i/>
        </w:rPr>
        <w:t>Darul</w:t>
      </w:r>
      <w:r>
        <w:rPr>
          <w:i/>
        </w:rPr>
        <w:t xml:space="preserve"> </w:t>
      </w:r>
      <w:r w:rsidR="00510F34" w:rsidRPr="00A27C05">
        <w:rPr>
          <w:i/>
        </w:rPr>
        <w:t>Aman</w:t>
      </w:r>
      <w:r w:rsidR="00510F34">
        <w:t xml:space="preserve"> survivors </w:t>
      </w:r>
      <w:r w:rsidR="004C6493">
        <w:t xml:space="preserve">to be </w:t>
      </w:r>
      <w:r w:rsidR="00510F34">
        <w:t>trained. The Avicenna Coordinator in Sin</w:t>
      </w:r>
      <w:r w:rsidR="004C6493">
        <w:t>d</w:t>
      </w:r>
      <w:r w:rsidR="00510F34">
        <w:t>h has expressed reservations about meeting these targets in the short timeframe (by March</w:t>
      </w:r>
      <w:r w:rsidR="004C6493">
        <w:t xml:space="preserve"> 2017</w:t>
      </w:r>
      <w:r w:rsidR="00510F34">
        <w:t>). Given the findings above</w:t>
      </w:r>
      <w:r w:rsidR="00510F34" w:rsidRPr="00510F34">
        <w:rPr>
          <w:b/>
        </w:rPr>
        <w:t xml:space="preserve">, consideration should be given under the </w:t>
      </w:r>
      <w:r w:rsidR="004C6493">
        <w:rPr>
          <w:b/>
        </w:rPr>
        <w:t xml:space="preserve">current </w:t>
      </w:r>
      <w:r w:rsidR="0040470C">
        <w:rPr>
          <w:b/>
        </w:rPr>
        <w:t xml:space="preserve">contract </w:t>
      </w:r>
      <w:r w:rsidR="00510F34" w:rsidRPr="00510F34">
        <w:rPr>
          <w:b/>
        </w:rPr>
        <w:t xml:space="preserve">with Avicenna to opening training opportunities up to </w:t>
      </w:r>
      <w:r w:rsidR="00510F34">
        <w:rPr>
          <w:b/>
        </w:rPr>
        <w:t xml:space="preserve">SASA! </w:t>
      </w:r>
      <w:r w:rsidR="00510F34" w:rsidRPr="00510F34">
        <w:rPr>
          <w:b/>
        </w:rPr>
        <w:t xml:space="preserve">Community </w:t>
      </w:r>
      <w:r w:rsidR="0033435B">
        <w:rPr>
          <w:b/>
        </w:rPr>
        <w:t>a</w:t>
      </w:r>
      <w:r w:rsidR="00510F34" w:rsidRPr="00510F34">
        <w:rPr>
          <w:b/>
        </w:rPr>
        <w:t>ctivists</w:t>
      </w:r>
      <w:r w:rsidR="00360C63">
        <w:rPr>
          <w:b/>
        </w:rPr>
        <w:t xml:space="preserve"> </w:t>
      </w:r>
      <w:r w:rsidR="0033435B">
        <w:rPr>
          <w:b/>
        </w:rPr>
        <w:t xml:space="preserve">(CAs) </w:t>
      </w:r>
      <w:r w:rsidR="00360C63">
        <w:rPr>
          <w:b/>
        </w:rPr>
        <w:t>working with SDS, PVDP and ACT, in particular female CAs as they could then train other women in their communities.</w:t>
      </w:r>
    </w:p>
    <w:p w14:paraId="3012DD68" w14:textId="77777777" w:rsidR="001052CC" w:rsidRPr="00342107" w:rsidRDefault="001052CC" w:rsidP="00342107">
      <w:pPr>
        <w:pStyle w:val="Heading3"/>
      </w:pPr>
      <w:bookmarkStart w:id="27" w:name="_Toc491355890"/>
      <w:r w:rsidRPr="00342107">
        <w:t xml:space="preserve">Outcome Area 3: </w:t>
      </w:r>
      <w:r w:rsidR="00BE316E" w:rsidRPr="00342107">
        <w:t>Advocacy</w:t>
      </w:r>
      <w:bookmarkEnd w:id="27"/>
    </w:p>
    <w:p w14:paraId="5EC4BB77" w14:textId="376E14A6" w:rsidR="007D5F0C" w:rsidRPr="0040470C" w:rsidRDefault="001A475B" w:rsidP="004D4C14">
      <w:pPr>
        <w:rPr>
          <w:i/>
        </w:rPr>
      </w:pPr>
      <w:r>
        <w:rPr>
          <w:i/>
        </w:rPr>
        <w:t xml:space="preserve">Strategic </w:t>
      </w:r>
      <w:r w:rsidR="00CA45AB" w:rsidRPr="0040470C">
        <w:rPr>
          <w:i/>
        </w:rPr>
        <w:t>Objective 3 - To support advocacy efforts with key stakeholders to enable passage and implementation of key legislation relating to GBV.</w:t>
      </w:r>
    </w:p>
    <w:p w14:paraId="518B7996" w14:textId="327AB1A6" w:rsidR="00312F45" w:rsidRDefault="009060D9" w:rsidP="00342107">
      <w:r>
        <w:t xml:space="preserve">The advocacy component is struggling to achieve its objective. In general, advocacy work requires sustained effort over a long </w:t>
      </w:r>
      <w:r w:rsidR="0033435B">
        <w:t>period</w:t>
      </w:r>
      <w:r>
        <w:t xml:space="preserve">, and outcomes are often unpredictable. Given this, the objective as stated is both unrealistic and unachievable in the timeframe. </w:t>
      </w:r>
      <w:r w:rsidR="0008203F">
        <w:t>Trócaire</w:t>
      </w:r>
      <w:r>
        <w:t xml:space="preserve"> has adjusted targets to account for this, but fundamentally this objective was too ambitious and reveals a significant gap in the Program logic </w:t>
      </w:r>
      <w:r w:rsidR="003B04A3">
        <w:t xml:space="preserve">and design </w:t>
      </w:r>
      <w:r w:rsidR="001D637D">
        <w:t xml:space="preserve">of </w:t>
      </w:r>
      <w:r>
        <w:t xml:space="preserve">the </w:t>
      </w:r>
      <w:r w:rsidR="00563659">
        <w:t>P</w:t>
      </w:r>
      <w:r>
        <w:t xml:space="preserve">rogram. Initially, </w:t>
      </w:r>
      <w:r w:rsidR="0008203F">
        <w:t>Trócaire</w:t>
      </w:r>
      <w:r>
        <w:t xml:space="preserve"> engaged </w:t>
      </w:r>
      <w:r w:rsidR="0033435B">
        <w:t xml:space="preserve">AF </w:t>
      </w:r>
      <w:r w:rsidR="00042B53">
        <w:t>to</w:t>
      </w:r>
      <w:r>
        <w:t xml:space="preserve"> undertake advocacy work at the national level. The </w:t>
      </w:r>
      <w:r w:rsidR="00563659">
        <w:t>P</w:t>
      </w:r>
      <w:r>
        <w:t xml:space="preserve">rogram also engaged with the </w:t>
      </w:r>
      <w:r w:rsidR="003B04A3">
        <w:t>NCSW</w:t>
      </w:r>
      <w:r>
        <w:t>, whic</w:t>
      </w:r>
      <w:r w:rsidR="009B259F">
        <w:t xml:space="preserve">h was active until </w:t>
      </w:r>
      <w:r w:rsidR="003B04A3">
        <w:t>end</w:t>
      </w:r>
      <w:r w:rsidR="009B259F">
        <w:t xml:space="preserve"> </w:t>
      </w:r>
      <w:r w:rsidR="009B259F">
        <w:lastRenderedPageBreak/>
        <w:t>2015</w:t>
      </w:r>
      <w:r w:rsidR="003B04A3">
        <w:t xml:space="preserve"> and has </w:t>
      </w:r>
      <w:r w:rsidR="001D637D">
        <w:t xml:space="preserve">recently </w:t>
      </w:r>
      <w:r w:rsidR="003B04A3">
        <w:t>been reactivated in October 2016</w:t>
      </w:r>
      <w:r>
        <w:t xml:space="preserve">. However, the </w:t>
      </w:r>
      <w:r w:rsidR="00563659">
        <w:t>P</w:t>
      </w:r>
      <w:r>
        <w:t xml:space="preserve">rogram </w:t>
      </w:r>
      <w:r w:rsidR="0070427F">
        <w:t xml:space="preserve">has been </w:t>
      </w:r>
      <w:r>
        <w:t xml:space="preserve">unable to see significant progress </w:t>
      </w:r>
      <w:r w:rsidR="002067D6">
        <w:t>under</w:t>
      </w:r>
      <w:r>
        <w:t xml:space="preserve"> this objective. </w:t>
      </w:r>
    </w:p>
    <w:p w14:paraId="27AD8333" w14:textId="0FC816E9" w:rsidR="00312F45" w:rsidRDefault="009060D9" w:rsidP="00342107">
      <w:pPr>
        <w:rPr>
          <w:b/>
        </w:rPr>
      </w:pPr>
      <w:r w:rsidRPr="009060D9">
        <w:t>In early 2016</w:t>
      </w:r>
      <w:r>
        <w:t xml:space="preserve">, based on lessons learnt from Phase </w:t>
      </w:r>
      <w:r w:rsidR="0033435B">
        <w:t>One</w:t>
      </w:r>
      <w:r>
        <w:t>,</w:t>
      </w:r>
      <w:r w:rsidR="001D637D">
        <w:t xml:space="preserve"> </w:t>
      </w:r>
      <w:r w:rsidR="0008203F">
        <w:t>Trócaire</w:t>
      </w:r>
      <w:r w:rsidRPr="009060D9">
        <w:t xml:space="preserve"> decided to adjust its strategy </w:t>
      </w:r>
      <w:r>
        <w:t xml:space="preserve">to focus on provincial level advocacy. </w:t>
      </w:r>
      <w:r w:rsidR="0008203F">
        <w:t>Trócaire</w:t>
      </w:r>
      <w:r w:rsidR="001D637D">
        <w:t xml:space="preserve"> </w:t>
      </w:r>
      <w:r>
        <w:t xml:space="preserve">ended the partnership with </w:t>
      </w:r>
      <w:r w:rsidR="00042B53">
        <w:t>AF</w:t>
      </w:r>
      <w:r>
        <w:t>, and began a process to</w:t>
      </w:r>
      <w:r w:rsidR="002067D6">
        <w:t xml:space="preserve"> engage provincial level advocacy partners. This process has taken a significant period of time, meaning very little progress has been made on this objective in 2016. </w:t>
      </w:r>
      <w:r w:rsidR="003B04A3">
        <w:t xml:space="preserve">The national NGO </w:t>
      </w:r>
      <w:r w:rsidR="0011630E">
        <w:t>SPO</w:t>
      </w:r>
      <w:r w:rsidR="002067D6">
        <w:t xml:space="preserve"> has been to undertake the advocacy work in Sindh, </w:t>
      </w:r>
      <w:r w:rsidR="001E6ABE">
        <w:t>and</w:t>
      </w:r>
      <w:r w:rsidR="002067D6">
        <w:t xml:space="preserve"> this partnership agreement will b</w:t>
      </w:r>
      <w:r w:rsidR="001E6ABE">
        <w:t>e</w:t>
      </w:r>
      <w:r w:rsidR="002067D6">
        <w:t xml:space="preserve"> signed b</w:t>
      </w:r>
      <w:r w:rsidR="00602478">
        <w:t>y</w:t>
      </w:r>
      <w:r w:rsidR="001E6ABE">
        <w:t xml:space="preserve"> the</w:t>
      </w:r>
      <w:r w:rsidR="001D637D">
        <w:t xml:space="preserve"> </w:t>
      </w:r>
      <w:r w:rsidR="002067D6">
        <w:t xml:space="preserve">end of </w:t>
      </w:r>
      <w:r w:rsidR="001E6ABE">
        <w:t>2016.</w:t>
      </w:r>
      <w:r w:rsidR="002067D6">
        <w:t xml:space="preserve"> In KP, </w:t>
      </w:r>
      <w:r w:rsidR="0008203F">
        <w:t>Trócaire</w:t>
      </w:r>
      <w:r w:rsidR="002067D6">
        <w:t xml:space="preserve"> was hopeful of securing a partnership with the </w:t>
      </w:r>
      <w:r w:rsidR="001E6ABE">
        <w:t>PCSW</w:t>
      </w:r>
      <w:r w:rsidR="002067D6">
        <w:t xml:space="preserve">, but this does not look likely to eventuate (there is no current Chair appointed, and there are technical challenges such as lack of separate bank account through which to channel funds). </w:t>
      </w:r>
      <w:r w:rsidR="0008203F">
        <w:t>Trócaire</w:t>
      </w:r>
      <w:r w:rsidR="002067D6">
        <w:t xml:space="preserve"> is </w:t>
      </w:r>
      <w:r w:rsidR="005C44F6">
        <w:t xml:space="preserve">currently </w:t>
      </w:r>
      <w:r w:rsidR="002067D6">
        <w:t>undertaking a mapping exercise of other potential NGO</w:t>
      </w:r>
      <w:r w:rsidR="001E6ABE">
        <w:t xml:space="preserve"> advocacy</w:t>
      </w:r>
      <w:r w:rsidR="002067D6">
        <w:t xml:space="preserve"> partners</w:t>
      </w:r>
      <w:r w:rsidR="005C44F6">
        <w:t xml:space="preserve">. </w:t>
      </w:r>
      <w:r w:rsidR="0008203F">
        <w:rPr>
          <w:b/>
        </w:rPr>
        <w:t>Trócaire</w:t>
      </w:r>
      <w:r w:rsidR="005C44F6">
        <w:t xml:space="preserve"> </w:t>
      </w:r>
      <w:r w:rsidR="002067D6" w:rsidRPr="002067D6">
        <w:rPr>
          <w:b/>
        </w:rPr>
        <w:t>should move to appoint a KP advocacy partner</w:t>
      </w:r>
      <w:r w:rsidR="002067D6">
        <w:rPr>
          <w:b/>
        </w:rPr>
        <w:t>/</w:t>
      </w:r>
      <w:r w:rsidR="002067D6" w:rsidRPr="002067D6">
        <w:rPr>
          <w:b/>
        </w:rPr>
        <w:t>s as soon as possible</w:t>
      </w:r>
      <w:r w:rsidR="002067D6" w:rsidRPr="00A27C05">
        <w:rPr>
          <w:b/>
        </w:rPr>
        <w:t>.</w:t>
      </w:r>
      <w:r w:rsidR="005C44F6">
        <w:rPr>
          <w:b/>
        </w:rPr>
        <w:t xml:space="preserve"> </w:t>
      </w:r>
    </w:p>
    <w:p w14:paraId="647C52A0" w14:textId="00B73E10" w:rsidR="00312F45" w:rsidRPr="00E63E55" w:rsidRDefault="0070427F" w:rsidP="00342107">
      <w:r w:rsidRPr="00E63E55">
        <w:t xml:space="preserve">A number of studies have been conducted under the program, which have directly informed advocacy strategies. For example, the research on fatherhood </w:t>
      </w:r>
      <w:r w:rsidR="003752F6">
        <w:t xml:space="preserve">by AMAL </w:t>
      </w:r>
      <w:r w:rsidRPr="00E63E55">
        <w:t>was used by partners</w:t>
      </w:r>
      <w:r>
        <w:t xml:space="preserve"> </w:t>
      </w:r>
      <w:r w:rsidRPr="00E63E55">
        <w:t xml:space="preserve">to design specific interventions on engaging men in GBV prevention, and to develop public service messages </w:t>
      </w:r>
      <w:r w:rsidRPr="009C5750">
        <w:t xml:space="preserve">in </w:t>
      </w:r>
      <w:r w:rsidR="002E0F95">
        <w:t>various</w:t>
      </w:r>
      <w:r w:rsidRPr="009C5750">
        <w:t xml:space="preserve"> media</w:t>
      </w:r>
      <w:r w:rsidRPr="0070427F">
        <w:t xml:space="preserve"> </w:t>
      </w:r>
      <w:r w:rsidRPr="00E63E55">
        <w:t xml:space="preserve">on engagement of fathers to address GBV. </w:t>
      </w:r>
    </w:p>
    <w:p w14:paraId="3C58B885" w14:textId="2C404455" w:rsidR="002067D6" w:rsidRPr="00342107" w:rsidRDefault="009060D9" w:rsidP="00342107">
      <w:pPr>
        <w:rPr>
          <w:b/>
        </w:rPr>
      </w:pPr>
      <w:r w:rsidRPr="002D514F">
        <w:t xml:space="preserve">In future, </w:t>
      </w:r>
      <w:r w:rsidR="0011630E">
        <w:t xml:space="preserve">the GBV Program should have a </w:t>
      </w:r>
      <w:r w:rsidRPr="002D514F">
        <w:t>vari</w:t>
      </w:r>
      <w:r w:rsidR="0011630E">
        <w:t>ety of</w:t>
      </w:r>
      <w:r w:rsidRPr="002D514F">
        <w:t xml:space="preserve"> advocacy partners and strategie</w:t>
      </w:r>
      <w:r w:rsidR="0011630E">
        <w:t>s. I</w:t>
      </w:r>
      <w:r w:rsidR="002067D6" w:rsidRPr="002067D6">
        <w:t xml:space="preserve">n hindsight the partnership with </w:t>
      </w:r>
      <w:r w:rsidR="0011630E">
        <w:t>AF</w:t>
      </w:r>
      <w:r w:rsidR="002067D6" w:rsidRPr="002067D6">
        <w:t xml:space="preserve"> should perhaps have continued while </w:t>
      </w:r>
      <w:r w:rsidR="0008203F">
        <w:t>Trócaire</w:t>
      </w:r>
      <w:r w:rsidR="002067D6" w:rsidRPr="002067D6">
        <w:t xml:space="preserve"> identified alternative partner/s</w:t>
      </w:r>
      <w:r w:rsidR="001E6ABE">
        <w:t xml:space="preserve"> so as not to lose the momentum</w:t>
      </w:r>
      <w:r w:rsidR="005C44F6">
        <w:t xml:space="preserve"> in this area</w:t>
      </w:r>
      <w:r w:rsidRPr="002067D6">
        <w:t>.</w:t>
      </w:r>
      <w:r w:rsidR="00563659">
        <w:rPr>
          <w:b/>
        </w:rPr>
        <w:t xml:space="preserve"> For</w:t>
      </w:r>
      <w:r w:rsidRPr="002067D6">
        <w:rPr>
          <w:b/>
        </w:rPr>
        <w:t xml:space="preserve"> advocacy work, it is</w:t>
      </w:r>
      <w:r w:rsidR="00A27C05">
        <w:rPr>
          <w:b/>
        </w:rPr>
        <w:t xml:space="preserve"> generally</w:t>
      </w:r>
      <w:r w:rsidR="005C44F6">
        <w:rPr>
          <w:b/>
        </w:rPr>
        <w:t xml:space="preserve"> </w:t>
      </w:r>
      <w:r w:rsidRPr="002067D6">
        <w:rPr>
          <w:b/>
        </w:rPr>
        <w:t>recommended to support a range of actors over the long</w:t>
      </w:r>
      <w:r w:rsidR="002067D6">
        <w:rPr>
          <w:b/>
        </w:rPr>
        <w:t>er</w:t>
      </w:r>
      <w:r w:rsidRPr="002067D6">
        <w:rPr>
          <w:b/>
        </w:rPr>
        <w:t>-term</w:t>
      </w:r>
      <w:r w:rsidR="002067D6" w:rsidRPr="002067D6">
        <w:rPr>
          <w:b/>
        </w:rPr>
        <w:t xml:space="preserve"> to form networks and coalitions for change</w:t>
      </w:r>
      <w:r w:rsidR="005C44F6">
        <w:rPr>
          <w:b/>
        </w:rPr>
        <w:t xml:space="preserve"> </w:t>
      </w:r>
      <w:r w:rsidR="002067D6" w:rsidRPr="002067D6">
        <w:rPr>
          <w:b/>
        </w:rPr>
        <w:t xml:space="preserve">and to have the capacity to act quickly when a window of opportunity </w:t>
      </w:r>
      <w:r w:rsidR="005C44F6">
        <w:rPr>
          <w:b/>
        </w:rPr>
        <w:t>arises</w:t>
      </w:r>
      <w:r w:rsidR="002067D6" w:rsidRPr="002067D6">
        <w:rPr>
          <w:b/>
        </w:rPr>
        <w:t>.</w:t>
      </w:r>
      <w:r w:rsidR="00110D13">
        <w:rPr>
          <w:b/>
        </w:rPr>
        <w:t xml:space="preserve"> </w:t>
      </w:r>
    </w:p>
    <w:p w14:paraId="32AB9C8F" w14:textId="77777777" w:rsidR="00216049" w:rsidRPr="00342107" w:rsidRDefault="00342107" w:rsidP="00342107">
      <w:pPr>
        <w:pStyle w:val="Heading4"/>
      </w:pPr>
      <w:r>
        <w:t>Media Adv</w:t>
      </w:r>
      <w:r w:rsidR="00216049" w:rsidRPr="00342107">
        <w:t xml:space="preserve">ocacy </w:t>
      </w:r>
    </w:p>
    <w:p w14:paraId="7CA1F668" w14:textId="388A4613" w:rsidR="00A27C05" w:rsidRDefault="0008203F" w:rsidP="00342107">
      <w:r>
        <w:t>Trócaire</w:t>
      </w:r>
      <w:r w:rsidR="005C44F6">
        <w:t xml:space="preserve"> </w:t>
      </w:r>
      <w:r w:rsidR="009060D9">
        <w:t>engaged Shazia</w:t>
      </w:r>
      <w:r w:rsidR="005C44F6">
        <w:t xml:space="preserve"> </w:t>
      </w:r>
      <w:r w:rsidR="009060D9">
        <w:t>Abbasi</w:t>
      </w:r>
      <w:r w:rsidR="005C44F6">
        <w:t xml:space="preserve"> </w:t>
      </w:r>
      <w:r w:rsidR="009060D9">
        <w:t>Consulting (SAC) to undertake</w:t>
      </w:r>
      <w:r w:rsidR="002067D6">
        <w:t xml:space="preserve"> media advocacy work</w:t>
      </w:r>
      <w:r w:rsidR="009A3D0E">
        <w:t xml:space="preserve"> in Phase 1 and a new agreement has been signed with </w:t>
      </w:r>
      <w:r w:rsidR="005C44F6">
        <w:t xml:space="preserve">SAC </w:t>
      </w:r>
      <w:r w:rsidR="009A3D0E">
        <w:t>from November 2016 for 18 months.</w:t>
      </w:r>
      <w:r w:rsidR="00AB2500">
        <w:t xml:space="preserve"> Phase I involved </w:t>
      </w:r>
      <w:r w:rsidR="00035B98">
        <w:t xml:space="preserve">launching </w:t>
      </w:r>
      <w:r w:rsidR="00AB2500">
        <w:t xml:space="preserve">a comprehensive campaign </w:t>
      </w:r>
      <w:r w:rsidR="00035B98">
        <w:t xml:space="preserve">against GBV </w:t>
      </w:r>
      <w:r w:rsidR="00AB2500">
        <w:t xml:space="preserve">at the national level </w:t>
      </w:r>
      <w:r w:rsidR="00965D4E">
        <w:t>entitled</w:t>
      </w:r>
      <w:r w:rsidR="005C44F6">
        <w:t xml:space="preserve"> </w:t>
      </w:r>
      <w:r w:rsidR="0040470C" w:rsidRPr="00965D4E">
        <w:rPr>
          <w:i/>
        </w:rPr>
        <w:t>Pur</w:t>
      </w:r>
      <w:r w:rsidR="005C44F6">
        <w:rPr>
          <w:i/>
        </w:rPr>
        <w:t xml:space="preserve"> </w:t>
      </w:r>
      <w:r w:rsidR="0040470C" w:rsidRPr="00965D4E">
        <w:rPr>
          <w:i/>
        </w:rPr>
        <w:t>Azm</w:t>
      </w:r>
      <w:r w:rsidR="005C44F6">
        <w:rPr>
          <w:i/>
        </w:rPr>
        <w:t xml:space="preserve"> </w:t>
      </w:r>
      <w:r w:rsidR="00842F5C" w:rsidRPr="00842F5C">
        <w:t>(</w:t>
      </w:r>
      <w:r w:rsidR="00842F5C" w:rsidRPr="002D514F">
        <w:rPr>
          <w:i/>
        </w:rPr>
        <w:t>our commitment</w:t>
      </w:r>
      <w:r w:rsidR="0040470C" w:rsidRPr="00842F5C">
        <w:t>)</w:t>
      </w:r>
      <w:r w:rsidR="005C44F6">
        <w:t xml:space="preserve">. During Phase </w:t>
      </w:r>
      <w:r w:rsidR="0011630E">
        <w:t>One</w:t>
      </w:r>
      <w:r w:rsidR="005C44F6">
        <w:t xml:space="preserve">, SAC worked closely with the ABAD shelter staff and survivors in Hyderabad after </w:t>
      </w:r>
      <w:r>
        <w:t>Trócaire</w:t>
      </w:r>
      <w:r w:rsidR="005C44F6">
        <w:t xml:space="preserve"> had made the necessary introductions. According to </w:t>
      </w:r>
      <w:r w:rsidR="00A27C05">
        <w:t>SAC</w:t>
      </w:r>
      <w:r w:rsidR="005C44F6">
        <w:t>,</w:t>
      </w:r>
      <w:r w:rsidR="00A27C05">
        <w:t xml:space="preserve"> it was a successful campaign run with substantial outreach and value for money</w:t>
      </w:r>
      <w:r w:rsidR="005C44F6">
        <w:t xml:space="preserve">, however, while outreach figures are available, it is not possible to assess the full impact of the </w:t>
      </w:r>
      <w:r w:rsidR="005C44F6" w:rsidRPr="00563659">
        <w:rPr>
          <w:i/>
        </w:rPr>
        <w:t>Pur</w:t>
      </w:r>
      <w:r w:rsidR="005C44F6">
        <w:rPr>
          <w:i/>
        </w:rPr>
        <w:t xml:space="preserve"> </w:t>
      </w:r>
      <w:r w:rsidR="005C44F6" w:rsidRPr="00563659">
        <w:rPr>
          <w:i/>
        </w:rPr>
        <w:t>Azm</w:t>
      </w:r>
      <w:r w:rsidR="005C44F6">
        <w:t xml:space="preserve"> campaign in this evaluation. </w:t>
      </w:r>
    </w:p>
    <w:p w14:paraId="6C76F987" w14:textId="75CD6A1E" w:rsidR="004C32CE" w:rsidRDefault="00D3212B" w:rsidP="00342107">
      <w:r>
        <w:t xml:space="preserve">SAC learnt a number of lessons from Phase </w:t>
      </w:r>
      <w:r w:rsidR="0011630E">
        <w:t>One</w:t>
      </w:r>
      <w:r w:rsidR="006C56CA">
        <w:t xml:space="preserve">, including that the campaign </w:t>
      </w:r>
      <w:r w:rsidR="005C44F6">
        <w:t>should be</w:t>
      </w:r>
      <w:r w:rsidR="006C56CA">
        <w:t xml:space="preserve"> closer to the partners and beneficiaries,</w:t>
      </w:r>
      <w:r>
        <w:t xml:space="preserve"> and these have fed into the workplan of Phase </w:t>
      </w:r>
      <w:r w:rsidR="005C44F6">
        <w:t>2</w:t>
      </w:r>
      <w:r>
        <w:t xml:space="preserve">. </w:t>
      </w:r>
      <w:r w:rsidR="00A27C05">
        <w:t>Accordingly</w:t>
      </w:r>
      <w:r w:rsidR="00597984">
        <w:t>,</w:t>
      </w:r>
      <w:r w:rsidR="005C44F6">
        <w:t xml:space="preserve"> </w:t>
      </w:r>
      <w:r w:rsidR="00AB2500">
        <w:t xml:space="preserve">Phase </w:t>
      </w:r>
      <w:r w:rsidR="0011630E">
        <w:t>Two</w:t>
      </w:r>
      <w:r w:rsidR="00AB2500">
        <w:t xml:space="preserve"> will focus at the district level and involve closer collaboration with the NGO </w:t>
      </w:r>
      <w:r w:rsidR="00563659">
        <w:t xml:space="preserve">implementing </w:t>
      </w:r>
      <w:r w:rsidR="00AB2500">
        <w:t>partners</w:t>
      </w:r>
      <w:r w:rsidR="005C44F6">
        <w:t xml:space="preserve"> - </w:t>
      </w:r>
      <w:r>
        <w:t xml:space="preserve"> an example of this is how SAC is currently working with ACT in Peshawar on the launch of the helpline</w:t>
      </w:r>
      <w:r w:rsidR="005C44F6">
        <w:t xml:space="preserve">. This shift in approach </w:t>
      </w:r>
      <w:r w:rsidR="00AB2500">
        <w:t>is support</w:t>
      </w:r>
      <w:r w:rsidR="0040470C">
        <w:t>ed</w:t>
      </w:r>
      <w:r w:rsidR="00AB2500">
        <w:t xml:space="preserve"> by the evaluation findings.</w:t>
      </w:r>
      <w:r w:rsidR="005C44F6">
        <w:t xml:space="preserve"> </w:t>
      </w:r>
    </w:p>
    <w:p w14:paraId="33F93188" w14:textId="0D281E6C" w:rsidR="002E0F95" w:rsidRPr="00E63E55" w:rsidRDefault="009060D9" w:rsidP="00342107">
      <w:pPr>
        <w:rPr>
          <w:b/>
        </w:rPr>
      </w:pPr>
      <w:r w:rsidRPr="002067D6">
        <w:t xml:space="preserve">At the </w:t>
      </w:r>
      <w:r w:rsidR="00563659">
        <w:t>district</w:t>
      </w:r>
      <w:r w:rsidRPr="002067D6">
        <w:t xml:space="preserve"> level, all </w:t>
      </w:r>
      <w:r w:rsidR="0011630E">
        <w:t>five</w:t>
      </w:r>
      <w:r w:rsidRPr="002067D6">
        <w:t xml:space="preserve"> NGO partners are actively engaged </w:t>
      </w:r>
      <w:r w:rsidR="002067D6">
        <w:t xml:space="preserve">in media </w:t>
      </w:r>
      <w:r w:rsidR="002E0F95">
        <w:t xml:space="preserve">advocacy </w:t>
      </w:r>
      <w:r w:rsidR="002067D6">
        <w:t xml:space="preserve">work; they </w:t>
      </w:r>
      <w:r w:rsidR="002E0F95">
        <w:t xml:space="preserve">have developed district level advocacy networks and </w:t>
      </w:r>
      <w:r w:rsidR="005C44F6">
        <w:t>are</w:t>
      </w:r>
      <w:r w:rsidR="002E0F95">
        <w:t xml:space="preserve"> </w:t>
      </w:r>
      <w:r w:rsidR="002067D6">
        <w:t>undertaking comprehensive campaigns using various forms of media</w:t>
      </w:r>
      <w:r w:rsidR="009B259F">
        <w:t xml:space="preserve"> (</w:t>
      </w:r>
      <w:r w:rsidR="009D6729">
        <w:t>SMS</w:t>
      </w:r>
      <w:r w:rsidR="009B259F">
        <w:t xml:space="preserve">, social media, radio, cable tickers, pamphlets </w:t>
      </w:r>
      <w:r w:rsidR="00CF0B01">
        <w:t>etc.</w:t>
      </w:r>
      <w:r w:rsidR="009B259F">
        <w:t>)</w:t>
      </w:r>
      <w:r w:rsidR="002067D6">
        <w:t xml:space="preserve">, but the evaluation team was unable to verify </w:t>
      </w:r>
      <w:r w:rsidR="005C44F6">
        <w:t xml:space="preserve">the full </w:t>
      </w:r>
      <w:r w:rsidR="002067D6">
        <w:t>outreach or impact of these campaigns.</w:t>
      </w:r>
      <w:r w:rsidR="005C44F6">
        <w:t xml:space="preserve"> </w:t>
      </w:r>
      <w:r w:rsidR="005C44F6" w:rsidRPr="00CF21FA">
        <w:rPr>
          <w:b/>
        </w:rPr>
        <w:t>Furthe</w:t>
      </w:r>
      <w:r w:rsidR="005C44F6">
        <w:rPr>
          <w:b/>
        </w:rPr>
        <w:t xml:space="preserve">r analysis of the impact of the </w:t>
      </w:r>
      <w:r w:rsidR="005C44F6" w:rsidRPr="002D514F">
        <w:rPr>
          <w:b/>
          <w:i/>
        </w:rPr>
        <w:t>Pur Azm</w:t>
      </w:r>
      <w:r w:rsidR="005C44F6" w:rsidRPr="00CF21FA">
        <w:rPr>
          <w:b/>
        </w:rPr>
        <w:t xml:space="preserve"> campaign </w:t>
      </w:r>
      <w:r w:rsidR="005C44F6">
        <w:rPr>
          <w:b/>
        </w:rPr>
        <w:t xml:space="preserve">and advocacy work of the </w:t>
      </w:r>
      <w:r w:rsidR="00CF0B01">
        <w:rPr>
          <w:b/>
        </w:rPr>
        <w:t>five</w:t>
      </w:r>
      <w:r w:rsidR="005C44F6">
        <w:rPr>
          <w:b/>
        </w:rPr>
        <w:t xml:space="preserve"> implementing partners </w:t>
      </w:r>
      <w:r w:rsidR="005C44F6" w:rsidRPr="00CF21FA">
        <w:rPr>
          <w:b/>
        </w:rPr>
        <w:t>is recommended prior to the end of the investment</w:t>
      </w:r>
      <w:r w:rsidR="005C44F6">
        <w:rPr>
          <w:b/>
        </w:rPr>
        <w:t>.</w:t>
      </w:r>
      <w:r w:rsidR="005C44F6">
        <w:t xml:space="preserve"> </w:t>
      </w:r>
      <w:r w:rsidR="0008203F">
        <w:rPr>
          <w:b/>
        </w:rPr>
        <w:t>Trócaire</w:t>
      </w:r>
      <w:r w:rsidR="002067D6" w:rsidRPr="003457A1">
        <w:rPr>
          <w:b/>
        </w:rPr>
        <w:t xml:space="preserve"> should ensure </w:t>
      </w:r>
      <w:r w:rsidR="003457A1" w:rsidRPr="003457A1">
        <w:rPr>
          <w:b/>
        </w:rPr>
        <w:t xml:space="preserve">there is a clear link </w:t>
      </w:r>
      <w:r w:rsidR="00602478">
        <w:rPr>
          <w:b/>
        </w:rPr>
        <w:t xml:space="preserve">and </w:t>
      </w:r>
      <w:r w:rsidR="00602478">
        <w:rPr>
          <w:b/>
        </w:rPr>
        <w:lastRenderedPageBreak/>
        <w:t xml:space="preserve">coordination </w:t>
      </w:r>
      <w:r w:rsidR="003457A1" w:rsidRPr="003457A1">
        <w:rPr>
          <w:b/>
        </w:rPr>
        <w:t xml:space="preserve">between SAC, the provincial advocacy </w:t>
      </w:r>
      <w:r w:rsidR="005C44F6">
        <w:rPr>
          <w:b/>
        </w:rPr>
        <w:t>partners</w:t>
      </w:r>
      <w:r w:rsidR="005C44F6" w:rsidRPr="003457A1">
        <w:rPr>
          <w:b/>
        </w:rPr>
        <w:t xml:space="preserve"> </w:t>
      </w:r>
      <w:r w:rsidR="003457A1" w:rsidRPr="003457A1">
        <w:rPr>
          <w:b/>
        </w:rPr>
        <w:t xml:space="preserve">and the </w:t>
      </w:r>
      <w:r w:rsidR="006E54E1">
        <w:rPr>
          <w:b/>
        </w:rPr>
        <w:t>five</w:t>
      </w:r>
      <w:r w:rsidR="003457A1" w:rsidRPr="003457A1">
        <w:rPr>
          <w:b/>
        </w:rPr>
        <w:t xml:space="preserve"> </w:t>
      </w:r>
      <w:r w:rsidR="005C44F6">
        <w:rPr>
          <w:b/>
        </w:rPr>
        <w:t xml:space="preserve">local </w:t>
      </w:r>
      <w:r w:rsidR="009A3D0E">
        <w:rPr>
          <w:b/>
        </w:rPr>
        <w:t>i</w:t>
      </w:r>
      <w:r w:rsidR="003457A1" w:rsidRPr="003457A1">
        <w:rPr>
          <w:b/>
        </w:rPr>
        <w:t xml:space="preserve">mplementing </w:t>
      </w:r>
      <w:r w:rsidR="009A3D0E">
        <w:rPr>
          <w:b/>
        </w:rPr>
        <w:t>p</w:t>
      </w:r>
      <w:r w:rsidR="003457A1" w:rsidRPr="003457A1">
        <w:rPr>
          <w:b/>
        </w:rPr>
        <w:t xml:space="preserve">artners’ media work, for </w:t>
      </w:r>
      <w:r w:rsidR="005C44F6">
        <w:rPr>
          <w:b/>
        </w:rPr>
        <w:t>maximum</w:t>
      </w:r>
      <w:r w:rsidR="005C44F6" w:rsidRPr="003457A1">
        <w:rPr>
          <w:b/>
        </w:rPr>
        <w:t xml:space="preserve"> </w:t>
      </w:r>
      <w:r w:rsidR="003457A1" w:rsidRPr="003457A1">
        <w:rPr>
          <w:b/>
        </w:rPr>
        <w:t>impact.</w:t>
      </w:r>
    </w:p>
    <w:p w14:paraId="26BCA597" w14:textId="77777777" w:rsidR="00216049" w:rsidRPr="00342107" w:rsidRDefault="00342107" w:rsidP="00342107">
      <w:pPr>
        <w:pStyle w:val="Heading4"/>
      </w:pPr>
      <w:r w:rsidRPr="00342107">
        <w:t>P</w:t>
      </w:r>
      <w:r w:rsidR="00216049" w:rsidRPr="00342107">
        <w:t>arliamentarians</w:t>
      </w:r>
      <w:r w:rsidR="002C5962">
        <w:t xml:space="preserve"> and Local Body Representatives</w:t>
      </w:r>
    </w:p>
    <w:p w14:paraId="2E29584A" w14:textId="7F7B10DA" w:rsidR="00744D21" w:rsidRDefault="006E54E1" w:rsidP="00965D4E">
      <w:pPr>
        <w:pStyle w:val="NoSpacing"/>
        <w:jc w:val="both"/>
      </w:pPr>
      <w:r>
        <w:t>AF</w:t>
      </w:r>
      <w:r w:rsidR="003457A1">
        <w:t xml:space="preserve"> worked </w:t>
      </w:r>
      <w:r w:rsidR="003B5EBA">
        <w:t>to build capacity of</w:t>
      </w:r>
      <w:r w:rsidR="003457A1">
        <w:t xml:space="preserve"> parlia</w:t>
      </w:r>
      <w:r w:rsidR="009B259F">
        <w:t xml:space="preserve">mentarians </w:t>
      </w:r>
      <w:r w:rsidR="003B5EBA">
        <w:t>at the national level</w:t>
      </w:r>
      <w:r w:rsidR="005C44F6">
        <w:t xml:space="preserve"> in Phase 1</w:t>
      </w:r>
      <w:r w:rsidR="003B5EBA">
        <w:t xml:space="preserve">. </w:t>
      </w:r>
      <w:r w:rsidR="00081362">
        <w:t xml:space="preserve">For example, </w:t>
      </w:r>
      <w:r w:rsidR="00C44545">
        <w:t xml:space="preserve">AF </w:t>
      </w:r>
      <w:r w:rsidR="003B5EBA">
        <w:t>work</w:t>
      </w:r>
      <w:r w:rsidR="006C56CA">
        <w:t>ed with</w:t>
      </w:r>
      <w:r w:rsidR="003B5EBA">
        <w:t xml:space="preserve"> parliamentarians on the </w:t>
      </w:r>
      <w:r w:rsidR="00787F01">
        <w:t>anti</w:t>
      </w:r>
      <w:r w:rsidR="005C44F6">
        <w:t>-</w:t>
      </w:r>
      <w:r w:rsidR="003B5EBA">
        <w:t>ra</w:t>
      </w:r>
      <w:r w:rsidR="004C32CE">
        <w:t>pe bill and</w:t>
      </w:r>
      <w:r w:rsidR="005C44F6">
        <w:t xml:space="preserve"> </w:t>
      </w:r>
      <w:r w:rsidR="00787F01">
        <w:t>anti</w:t>
      </w:r>
      <w:r w:rsidR="005C44F6">
        <w:t>-</w:t>
      </w:r>
      <w:r w:rsidR="004C32CE">
        <w:t>honour killing bill</w:t>
      </w:r>
      <w:r w:rsidR="00965D4E">
        <w:t>.</w:t>
      </w:r>
      <w:r w:rsidR="005C44F6">
        <w:t xml:space="preserve"> </w:t>
      </w:r>
      <w:r w:rsidR="0008203F">
        <w:t>Trócaire</w:t>
      </w:r>
      <w:r w:rsidR="005C44F6">
        <w:t xml:space="preserve"> </w:t>
      </w:r>
      <w:r w:rsidR="0017234D">
        <w:t xml:space="preserve">will shortly be </w:t>
      </w:r>
      <w:r w:rsidR="003457A1">
        <w:t>sign</w:t>
      </w:r>
      <w:r w:rsidR="0017234D">
        <w:t>ing</w:t>
      </w:r>
      <w:r w:rsidR="003457A1">
        <w:t xml:space="preserve"> an agreement with the </w:t>
      </w:r>
      <w:r w:rsidR="004C32CE" w:rsidRPr="00A0360F">
        <w:rPr>
          <w:rFonts w:asciiTheme="minorHAnsi" w:hAnsiTheme="minorHAnsi" w:cstheme="minorHAnsi"/>
        </w:rPr>
        <w:t xml:space="preserve">Women’s Parliamentary Caucus </w:t>
      </w:r>
      <w:r w:rsidR="004C32CE">
        <w:rPr>
          <w:rFonts w:asciiTheme="minorHAnsi" w:hAnsiTheme="minorHAnsi" w:cstheme="minorHAnsi"/>
        </w:rPr>
        <w:t>(</w:t>
      </w:r>
      <w:r w:rsidR="00A0360F">
        <w:t>WPC</w:t>
      </w:r>
      <w:r w:rsidR="004C32CE">
        <w:t>)</w:t>
      </w:r>
      <w:r w:rsidR="005C44F6">
        <w:t xml:space="preserve"> </w:t>
      </w:r>
      <w:r w:rsidR="003457A1">
        <w:t>to un</w:t>
      </w:r>
      <w:r w:rsidR="009B259F">
        <w:t xml:space="preserve">dertake various advocacy events. </w:t>
      </w:r>
      <w:r w:rsidR="009B259F" w:rsidRPr="002D514F">
        <w:rPr>
          <w:b/>
        </w:rPr>
        <w:t>This partnership has significant potential, but some of the proposed events</w:t>
      </w:r>
      <w:r w:rsidR="001726E1" w:rsidRPr="002D514F">
        <w:rPr>
          <w:b/>
        </w:rPr>
        <w:t xml:space="preserve"> </w:t>
      </w:r>
      <w:r w:rsidR="009B259F" w:rsidRPr="002D514F">
        <w:rPr>
          <w:b/>
        </w:rPr>
        <w:t xml:space="preserve">are more relevant than others </w:t>
      </w:r>
      <w:r w:rsidR="001726E1" w:rsidRPr="002D514F">
        <w:rPr>
          <w:b/>
        </w:rPr>
        <w:t>and</w:t>
      </w:r>
      <w:r w:rsidR="001726E1">
        <w:t xml:space="preserve"> </w:t>
      </w:r>
      <w:r w:rsidR="001726E1" w:rsidRPr="009B259F">
        <w:rPr>
          <w:b/>
        </w:rPr>
        <w:t xml:space="preserve">close collaboration is required to ensure GBV remains front and centre to achieve advocacy outcomes. </w:t>
      </w:r>
      <w:r w:rsidR="0008203F">
        <w:rPr>
          <w:b/>
        </w:rPr>
        <w:t>Trócaire</w:t>
      </w:r>
      <w:r w:rsidR="009B259F" w:rsidRPr="009B259F">
        <w:rPr>
          <w:b/>
        </w:rPr>
        <w:t xml:space="preserve"> should consider </w:t>
      </w:r>
      <w:r w:rsidR="001726E1">
        <w:rPr>
          <w:b/>
        </w:rPr>
        <w:t>conducting</w:t>
      </w:r>
      <w:r w:rsidR="001726E1" w:rsidRPr="009B259F">
        <w:rPr>
          <w:b/>
        </w:rPr>
        <w:t xml:space="preserve"> </w:t>
      </w:r>
      <w:r w:rsidR="009B259F" w:rsidRPr="009B259F">
        <w:rPr>
          <w:b/>
        </w:rPr>
        <w:t xml:space="preserve">awareness raising and capacity building </w:t>
      </w:r>
      <w:r>
        <w:rPr>
          <w:b/>
        </w:rPr>
        <w:t>activities with</w:t>
      </w:r>
      <w:r w:rsidR="009B259F" w:rsidRPr="009B259F">
        <w:rPr>
          <w:b/>
        </w:rPr>
        <w:t xml:space="preserve"> parliamentarians on GBV.</w:t>
      </w:r>
      <w:r w:rsidR="001726E1">
        <w:rPr>
          <w:b/>
        </w:rPr>
        <w:t xml:space="preserve"> </w:t>
      </w:r>
      <w:r w:rsidR="0040470C">
        <w:rPr>
          <w:b/>
        </w:rPr>
        <w:t xml:space="preserve">Greater focus on provincial </w:t>
      </w:r>
      <w:r w:rsidR="003457A1" w:rsidRPr="000066E4">
        <w:rPr>
          <w:b/>
        </w:rPr>
        <w:t xml:space="preserve">parliamentarians </w:t>
      </w:r>
      <w:r w:rsidR="002C5962">
        <w:rPr>
          <w:b/>
        </w:rPr>
        <w:t xml:space="preserve">and local </w:t>
      </w:r>
      <w:r w:rsidR="00C66872">
        <w:rPr>
          <w:b/>
        </w:rPr>
        <w:t xml:space="preserve">government </w:t>
      </w:r>
      <w:r w:rsidR="002C5962">
        <w:rPr>
          <w:b/>
        </w:rPr>
        <w:t xml:space="preserve">representatives </w:t>
      </w:r>
      <w:r w:rsidR="003457A1" w:rsidRPr="000066E4">
        <w:rPr>
          <w:b/>
        </w:rPr>
        <w:t xml:space="preserve">is recommended as part of the advocacy strategy, as well as greater </w:t>
      </w:r>
      <w:r w:rsidR="00C66872">
        <w:rPr>
          <w:b/>
        </w:rPr>
        <w:t xml:space="preserve">linkages </w:t>
      </w:r>
      <w:r w:rsidR="003457A1" w:rsidRPr="000066E4">
        <w:rPr>
          <w:b/>
        </w:rPr>
        <w:t>with the Provincial Women’s Parliamentary Caucuses</w:t>
      </w:r>
      <w:r w:rsidR="0017234D">
        <w:rPr>
          <w:b/>
        </w:rPr>
        <w:t xml:space="preserve"> in Sindh and KP</w:t>
      </w:r>
      <w:r w:rsidR="003457A1" w:rsidRPr="000066E4">
        <w:rPr>
          <w:b/>
        </w:rPr>
        <w:t>.</w:t>
      </w:r>
      <w:r w:rsidR="001726E1">
        <w:rPr>
          <w:b/>
        </w:rPr>
        <w:t xml:space="preserve"> </w:t>
      </w:r>
      <w:r w:rsidR="0040470C" w:rsidRPr="0040470C">
        <w:t>ACT and PVDP</w:t>
      </w:r>
      <w:r w:rsidR="001726E1">
        <w:t xml:space="preserve"> </w:t>
      </w:r>
      <w:r w:rsidR="0040470C" w:rsidRPr="0040470C">
        <w:t>already work with local government representatives at the district, Tehsil and Union Council level</w:t>
      </w:r>
      <w:r w:rsidR="00C66872">
        <w:t xml:space="preserve"> in KP</w:t>
      </w:r>
      <w:r w:rsidR="0040470C" w:rsidRPr="0040470C">
        <w:t>.</w:t>
      </w:r>
    </w:p>
    <w:p w14:paraId="7C0DD7AD" w14:textId="77777777" w:rsidR="002625F0" w:rsidRPr="00965D4E" w:rsidRDefault="002625F0" w:rsidP="00965D4E">
      <w:pPr>
        <w:pStyle w:val="NoSpacing"/>
        <w:jc w:val="both"/>
        <w:rPr>
          <w:rFonts w:asciiTheme="minorHAnsi" w:hAnsiTheme="minorHAnsi" w:cstheme="minorHAnsi"/>
        </w:rPr>
      </w:pPr>
    </w:p>
    <w:p w14:paraId="032CDED6" w14:textId="77777777" w:rsidR="001052CC" w:rsidRPr="00A678E3" w:rsidRDefault="001052CC" w:rsidP="00A678E3">
      <w:pPr>
        <w:pStyle w:val="Heading3"/>
        <w:rPr>
          <w:rFonts w:eastAsia="Times New Roman" w:cs="Times New Roman"/>
          <w:sz w:val="24"/>
          <w:szCs w:val="24"/>
        </w:rPr>
      </w:pPr>
      <w:bookmarkStart w:id="28" w:name="_Toc491355891"/>
      <w:r w:rsidRPr="00342107">
        <w:t>Outcome Area 4: Partner Capacity</w:t>
      </w:r>
      <w:bookmarkEnd w:id="28"/>
    </w:p>
    <w:p w14:paraId="6B6D63F3" w14:textId="0372E57B" w:rsidR="007D5F0C" w:rsidRPr="0040470C" w:rsidRDefault="001A475B" w:rsidP="004D4C14">
      <w:pPr>
        <w:rPr>
          <w:i/>
        </w:rPr>
      </w:pPr>
      <w:r>
        <w:rPr>
          <w:i/>
        </w:rPr>
        <w:t xml:space="preserve">Strategic </w:t>
      </w:r>
      <w:r w:rsidR="007D5F0C" w:rsidRPr="0040470C">
        <w:rPr>
          <w:i/>
        </w:rPr>
        <w:t>Objective 4 - To improve program partners</w:t>
      </w:r>
      <w:r w:rsidR="009F6958">
        <w:rPr>
          <w:i/>
        </w:rPr>
        <w:t>’</w:t>
      </w:r>
      <w:r w:rsidR="007D5F0C" w:rsidRPr="0040470C">
        <w:rPr>
          <w:i/>
        </w:rPr>
        <w:t xml:space="preserve"> capacity to support sustainable change in targeted communities.</w:t>
      </w:r>
    </w:p>
    <w:p w14:paraId="5EA04190" w14:textId="77777777" w:rsidR="00216049" w:rsidRPr="00342107" w:rsidRDefault="00216049" w:rsidP="00342107">
      <w:pPr>
        <w:pStyle w:val="Heading4"/>
      </w:pPr>
      <w:r w:rsidRPr="00342107">
        <w:t>Assessment of</w:t>
      </w:r>
      <w:r w:rsidR="005071CC" w:rsidRPr="00342107">
        <w:t xml:space="preserve"> Performance and</w:t>
      </w:r>
      <w:r w:rsidRPr="00342107">
        <w:t xml:space="preserve"> Capacity </w:t>
      </w:r>
    </w:p>
    <w:p w14:paraId="7C4D1D17" w14:textId="2F428A3C" w:rsidR="00FE7308" w:rsidRDefault="00FE7308" w:rsidP="00342107">
      <w:r>
        <w:t xml:space="preserve">Priorities for capacity building are identified and agreed following discussions during partner review and planning meetings, meetings with NGO senior management, and Trócaire monitoring visits. </w:t>
      </w:r>
      <w:r w:rsidR="006E54E1">
        <w:t xml:space="preserve">IAPs </w:t>
      </w:r>
      <w:r>
        <w:t xml:space="preserve">are agreed with each partner. Follow up support to ensure plans are being implemented is provided by Trócaire and/or </w:t>
      </w:r>
      <w:r w:rsidR="006E54E1">
        <w:t xml:space="preserve">the </w:t>
      </w:r>
      <w:r>
        <w:t xml:space="preserve">training provider. </w:t>
      </w:r>
    </w:p>
    <w:p w14:paraId="45000B74" w14:textId="2B3FC6A2" w:rsidR="005071CC" w:rsidRDefault="009B259F" w:rsidP="00342107">
      <w:r>
        <w:t>Significant progress has been made</w:t>
      </w:r>
      <w:r w:rsidR="006E54E1">
        <w:t xml:space="preserve"> in</w:t>
      </w:r>
      <w:r>
        <w:t xml:space="preserve"> developing the capacity of the </w:t>
      </w:r>
      <w:r w:rsidR="001A475B">
        <w:t>five</w:t>
      </w:r>
      <w:r w:rsidR="005071CC">
        <w:t xml:space="preserve"> NGO implementing partners </w:t>
      </w:r>
      <w:r>
        <w:t xml:space="preserve">and training has been well received. </w:t>
      </w:r>
      <w:r w:rsidR="007D5F0C">
        <w:t xml:space="preserve">All partners have strong ownership of the GBV agenda and are committed partners. </w:t>
      </w:r>
      <w:r w:rsidR="000655E4">
        <w:t>Overall</w:t>
      </w:r>
      <w:r w:rsidR="001726E1">
        <w:t>,</w:t>
      </w:r>
      <w:r w:rsidR="000655E4">
        <w:t xml:space="preserve"> they have good capacity and strong systems. </w:t>
      </w:r>
      <w:r>
        <w:t>There is ample</w:t>
      </w:r>
      <w:r w:rsidR="00EB199F">
        <w:t xml:space="preserve"> evidence that </w:t>
      </w:r>
      <w:r w:rsidR="0008203F">
        <w:t>Trócaire</w:t>
      </w:r>
      <w:r w:rsidR="00EB199F">
        <w:t xml:space="preserve"> has been respon</w:t>
      </w:r>
      <w:r w:rsidR="001726E1">
        <w:t xml:space="preserve">sive </w:t>
      </w:r>
      <w:r w:rsidR="00EB199F">
        <w:t xml:space="preserve">to partner needs and requests for capacity building. For example, </w:t>
      </w:r>
      <w:r w:rsidR="0008203F">
        <w:t>Trócaire</w:t>
      </w:r>
      <w:r w:rsidR="00EB199F">
        <w:t xml:space="preserve"> has facilitated training on risk management, monitoring and evaluation, sustainability and D</w:t>
      </w:r>
      <w:r w:rsidR="00372985">
        <w:t>isability</w:t>
      </w:r>
      <w:r w:rsidR="006E54E1">
        <w:t>-</w:t>
      </w:r>
      <w:r w:rsidR="00EB199F">
        <w:t>I</w:t>
      </w:r>
      <w:r w:rsidR="003B5EBA">
        <w:t>nclusive</w:t>
      </w:r>
      <w:r w:rsidR="001726E1">
        <w:t xml:space="preserve"> </w:t>
      </w:r>
      <w:r w:rsidR="00EB199F">
        <w:t>D</w:t>
      </w:r>
      <w:r w:rsidR="00372985">
        <w:t>evelopment (DID)</w:t>
      </w:r>
      <w:r w:rsidR="00EB199F">
        <w:t xml:space="preserve">. The </w:t>
      </w:r>
      <w:r w:rsidR="006E54E1">
        <w:t>d</w:t>
      </w:r>
      <w:r w:rsidR="00EB199F">
        <w:t xml:space="preserve">isability-Inclusiveness training was particularly well received, with all partners now implementing disability action plans. All partners </w:t>
      </w:r>
      <w:r w:rsidR="001726E1">
        <w:t xml:space="preserve">are </w:t>
      </w:r>
      <w:r w:rsidR="00EB199F">
        <w:t xml:space="preserve">looking forward to the security training </w:t>
      </w:r>
      <w:r w:rsidR="006E54E1">
        <w:t>scheduled for</w:t>
      </w:r>
      <w:r w:rsidR="00EB199F">
        <w:t xml:space="preserve"> December</w:t>
      </w:r>
      <w:r w:rsidR="00372985">
        <w:t xml:space="preserve"> 2016</w:t>
      </w:r>
      <w:r w:rsidR="00EB199F">
        <w:t>.</w:t>
      </w:r>
      <w:r>
        <w:t xml:space="preserve"> All partners requested increased opportunities to meet with other program partners at learning events – see recommendation below. </w:t>
      </w:r>
    </w:p>
    <w:p w14:paraId="2DC42853" w14:textId="66350252" w:rsidR="00EB199F" w:rsidRPr="00342107" w:rsidRDefault="00216049" w:rsidP="00342107">
      <w:r w:rsidRPr="00C33A59">
        <w:rPr>
          <w:b/>
        </w:rPr>
        <w:t>ABAD</w:t>
      </w:r>
      <w:r w:rsidR="001726E1">
        <w:rPr>
          <w:b/>
        </w:rPr>
        <w:t xml:space="preserve"> </w:t>
      </w:r>
      <w:r w:rsidR="00EB199F" w:rsidRPr="00342107">
        <w:t>was founded by a husband-wife team of lawyers in</w:t>
      </w:r>
      <w:r w:rsidR="00372985" w:rsidRPr="00342107">
        <w:t xml:space="preserve"> 2001 and was formally registered in 2005.</w:t>
      </w:r>
      <w:r w:rsidR="00EB199F" w:rsidRPr="00342107">
        <w:t xml:space="preserve"> </w:t>
      </w:r>
      <w:r w:rsidR="001726E1" w:rsidRPr="00342107">
        <w:t xml:space="preserve">ABAD has strong </w:t>
      </w:r>
      <w:r w:rsidR="001A475B">
        <w:t xml:space="preserve">systems in place, has strong </w:t>
      </w:r>
      <w:r w:rsidR="001726E1" w:rsidRPr="00342107">
        <w:t xml:space="preserve">links with the police and </w:t>
      </w:r>
      <w:r w:rsidR="001726E1" w:rsidRPr="004D4C14">
        <w:rPr>
          <w:i/>
        </w:rPr>
        <w:t>Darul Aman</w:t>
      </w:r>
      <w:r w:rsidR="001726E1">
        <w:t xml:space="preserve"> in Hyderabad and</w:t>
      </w:r>
      <w:r w:rsidR="001726E1" w:rsidRPr="00342107">
        <w:t xml:space="preserve"> provides </w:t>
      </w:r>
      <w:r w:rsidR="001726E1">
        <w:t xml:space="preserve">high </w:t>
      </w:r>
      <w:r w:rsidR="001726E1" w:rsidRPr="00342107">
        <w:t>quality services for survivors</w:t>
      </w:r>
      <w:r w:rsidR="001726E1">
        <w:t>,</w:t>
      </w:r>
      <w:r w:rsidR="001726E1" w:rsidRPr="00342107">
        <w:t xml:space="preserve"> including vocational training.</w:t>
      </w:r>
      <w:r w:rsidR="001726E1">
        <w:t xml:space="preserve"> The NGO is not implementing any other projects so its reliance on the GBV Program is self-evident, raising concerns of the sustainability of shelter services post 2018. However, the NGO is working hard to strengthen links with district government for effectiveness and sustainability purposes. ABAD has been successful in negotiating government funding of the Hyderabad helpline post 2018.</w:t>
      </w:r>
      <w:r w:rsidR="009F6958">
        <w:t xml:space="preserve"> </w:t>
      </w:r>
    </w:p>
    <w:p w14:paraId="594BC10E" w14:textId="651F6238" w:rsidR="005071CC" w:rsidRPr="00342107" w:rsidRDefault="005071CC" w:rsidP="00342107">
      <w:r w:rsidRPr="00C33A59">
        <w:rPr>
          <w:b/>
        </w:rPr>
        <w:t>SDS</w:t>
      </w:r>
      <w:r w:rsidRPr="00342107">
        <w:t xml:space="preserve"> is a large Sindh NGO</w:t>
      </w:r>
      <w:r w:rsidR="004D1740">
        <w:t xml:space="preserve"> working in 13 districts with 38 </w:t>
      </w:r>
      <w:r w:rsidR="006E54E1">
        <w:t xml:space="preserve">permanent </w:t>
      </w:r>
      <w:r w:rsidR="004D1740">
        <w:t>staff</w:t>
      </w:r>
      <w:r w:rsidR="001726E1">
        <w:t>. I</w:t>
      </w:r>
      <w:r w:rsidR="004D1740">
        <w:t>t was formed in 1991 and formally registered in 1994. It</w:t>
      </w:r>
      <w:r w:rsidRPr="00342107">
        <w:t xml:space="preserve"> was running a women’s economic empowerment program prior to its involvement in the GBV </w:t>
      </w:r>
      <w:r w:rsidR="009F6958">
        <w:t>P</w:t>
      </w:r>
      <w:r w:rsidRPr="00342107">
        <w:t xml:space="preserve">rogram. The NGO appears to have lost some focus on GBV </w:t>
      </w:r>
      <w:r w:rsidR="00372985" w:rsidRPr="00342107">
        <w:t xml:space="preserve">in the current </w:t>
      </w:r>
      <w:r w:rsidR="00372985" w:rsidRPr="00342107">
        <w:lastRenderedPageBreak/>
        <w:t>p</w:t>
      </w:r>
      <w:r w:rsidR="004D1740">
        <w:t>hase</w:t>
      </w:r>
      <w:r w:rsidR="00372985" w:rsidRPr="00342107">
        <w:t xml:space="preserve"> </w:t>
      </w:r>
      <w:r w:rsidR="001726E1">
        <w:t>and</w:t>
      </w:r>
      <w:r w:rsidR="001726E1" w:rsidRPr="00342107">
        <w:t xml:space="preserve"> </w:t>
      </w:r>
      <w:r w:rsidR="003D5C19">
        <w:t>risks</w:t>
      </w:r>
      <w:r w:rsidR="003D5C19" w:rsidRPr="00342107">
        <w:t xml:space="preserve"> </w:t>
      </w:r>
      <w:r w:rsidR="006E54E1">
        <w:t>being perceived</w:t>
      </w:r>
      <w:r w:rsidR="003D5C19" w:rsidRPr="00342107">
        <w:t xml:space="preserve"> </w:t>
      </w:r>
      <w:r w:rsidR="006E54E1">
        <w:t>as</w:t>
      </w:r>
      <w:r w:rsidRPr="00342107">
        <w:t xml:space="preserve"> a</w:t>
      </w:r>
      <w:r w:rsidR="00372985" w:rsidRPr="00342107">
        <w:t xml:space="preserve"> women’s economic empowerment</w:t>
      </w:r>
      <w:r w:rsidRPr="00342107">
        <w:t xml:space="preserve"> program</w:t>
      </w:r>
      <w:r w:rsidR="006E54E1">
        <w:t xml:space="preserve"> as opposed to a</w:t>
      </w:r>
      <w:r w:rsidR="00C44545">
        <w:t>n</w:t>
      </w:r>
      <w:r w:rsidR="006E54E1">
        <w:t xml:space="preserve"> EVAW program</w:t>
      </w:r>
      <w:r w:rsidR="007D5F0C" w:rsidRPr="00342107">
        <w:t xml:space="preserve"> – see discussion above</w:t>
      </w:r>
      <w:r w:rsidRPr="00342107">
        <w:t xml:space="preserve"> on vocational training and re</w:t>
      </w:r>
      <w:r w:rsidR="006E54E1">
        <w:t>-</w:t>
      </w:r>
      <w:r w:rsidRPr="00342107">
        <w:t>integration of survivors. SDS has requested financial assistance in strengthening security measures, including surveillance cameras</w:t>
      </w:r>
      <w:r w:rsidR="007D5F0C" w:rsidRPr="00342107">
        <w:t xml:space="preserve">, giving examples of </w:t>
      </w:r>
      <w:r w:rsidR="004D1740">
        <w:t xml:space="preserve">street </w:t>
      </w:r>
      <w:r w:rsidR="007D5F0C" w:rsidRPr="00342107">
        <w:t>demonstrations in Jamshoro when they had to call volunteers to guard the office</w:t>
      </w:r>
      <w:r w:rsidRPr="00342107">
        <w:t xml:space="preserve">. The upcoming security training that </w:t>
      </w:r>
      <w:r w:rsidR="0008203F">
        <w:t>Trócaire</w:t>
      </w:r>
      <w:r w:rsidRPr="00342107">
        <w:t xml:space="preserve"> is providing in December </w:t>
      </w:r>
      <w:r w:rsidR="00372985" w:rsidRPr="00342107">
        <w:t xml:space="preserve">2016 </w:t>
      </w:r>
      <w:r w:rsidRPr="00342107">
        <w:t xml:space="preserve">is timely and </w:t>
      </w:r>
      <w:r w:rsidR="00C44545" w:rsidRPr="00342107">
        <w:t>well targeted</w:t>
      </w:r>
      <w:r w:rsidRPr="00342107">
        <w:t>.</w:t>
      </w:r>
      <w:r w:rsidR="004D1740">
        <w:t xml:space="preserve">  SDS also expressed a need for </w:t>
      </w:r>
      <w:r w:rsidR="001726E1">
        <w:t>assistance</w:t>
      </w:r>
      <w:r w:rsidR="004D1740">
        <w:t xml:space="preserve"> revi</w:t>
      </w:r>
      <w:r w:rsidR="001726E1">
        <w:t xml:space="preserve">sing </w:t>
      </w:r>
      <w:r w:rsidR="004D1740">
        <w:t>its internal policies</w:t>
      </w:r>
      <w:r w:rsidR="004E5B3F">
        <w:t xml:space="preserve">.  </w:t>
      </w:r>
    </w:p>
    <w:p w14:paraId="4A3A2C2C" w14:textId="0007F782" w:rsidR="005071CC" w:rsidRPr="00342107" w:rsidRDefault="005071CC" w:rsidP="00342107">
      <w:r w:rsidRPr="00C33A59">
        <w:rPr>
          <w:b/>
        </w:rPr>
        <w:t>NET</w:t>
      </w:r>
      <w:r w:rsidR="009B259F" w:rsidRPr="00342107">
        <w:t xml:space="preserve"> ran the </w:t>
      </w:r>
      <w:r w:rsidR="00597984" w:rsidRPr="00597984">
        <w:rPr>
          <w:i/>
        </w:rPr>
        <w:t>Mera</w:t>
      </w:r>
      <w:r w:rsidR="00435AF0">
        <w:rPr>
          <w:i/>
        </w:rPr>
        <w:t xml:space="preserve"> </w:t>
      </w:r>
      <w:r w:rsidR="00597984" w:rsidRPr="00597984">
        <w:rPr>
          <w:i/>
        </w:rPr>
        <w:t>Ghar</w:t>
      </w:r>
      <w:r w:rsidR="00435AF0">
        <w:rPr>
          <w:i/>
        </w:rPr>
        <w:t xml:space="preserve"> </w:t>
      </w:r>
      <w:r w:rsidR="009B259F" w:rsidRPr="00342107">
        <w:t xml:space="preserve">shelter in Peshawar and also undertook advocacy and prevention activities under the GBV </w:t>
      </w:r>
      <w:r w:rsidR="004E5B3F">
        <w:t>P</w:t>
      </w:r>
      <w:r w:rsidR="009B259F" w:rsidRPr="00342107">
        <w:t xml:space="preserve">rogram funded by Irish Aid. </w:t>
      </w:r>
      <w:r w:rsidR="007D5F0C" w:rsidRPr="00342107">
        <w:t xml:space="preserve">In </w:t>
      </w:r>
      <w:r w:rsidR="00C44545" w:rsidRPr="00342107">
        <w:t>2014,</w:t>
      </w:r>
      <w:r w:rsidR="007D5F0C" w:rsidRPr="00342107">
        <w:t xml:space="preserve"> </w:t>
      </w:r>
      <w:r w:rsidR="0008203F">
        <w:t>Trócaire</w:t>
      </w:r>
      <w:r w:rsidR="007D5F0C" w:rsidRPr="00342107">
        <w:t xml:space="preserve"> decided to engage ACT for the prevention and advocacy components, leaving NET to focus </w:t>
      </w:r>
      <w:r w:rsidR="00435AF0">
        <w:t xml:space="preserve">purely </w:t>
      </w:r>
      <w:r w:rsidR="007D5F0C" w:rsidRPr="00342107">
        <w:t>on the shelter. There have been longstanding issues with NET senior management – in particular securing engagement from the founder/CEO</w:t>
      </w:r>
      <w:r w:rsidR="00372985" w:rsidRPr="00342107">
        <w:t xml:space="preserve"> who is </w:t>
      </w:r>
      <w:r w:rsidR="00435AF0">
        <w:t xml:space="preserve">consistently </w:t>
      </w:r>
      <w:r w:rsidR="00372985" w:rsidRPr="00342107">
        <w:t xml:space="preserve">unavailable to meet with </w:t>
      </w:r>
      <w:r w:rsidR="0008203F">
        <w:t>Trócaire</w:t>
      </w:r>
      <w:r w:rsidR="00372985" w:rsidRPr="00342107">
        <w:t xml:space="preserve">. </w:t>
      </w:r>
      <w:r w:rsidR="004E5B3F">
        <w:t>Despite the senior management problems there are s</w:t>
      </w:r>
      <w:r w:rsidR="000655E4" w:rsidRPr="00342107">
        <w:t>trong systems in place in the shelter</w:t>
      </w:r>
      <w:r w:rsidR="004E5B3F">
        <w:t xml:space="preserve"> with competent and professional staff</w:t>
      </w:r>
      <w:r w:rsidR="000655E4" w:rsidRPr="00342107">
        <w:t>.</w:t>
      </w:r>
      <w:r w:rsidR="00435AF0">
        <w:t xml:space="preserve"> </w:t>
      </w:r>
      <w:r w:rsidR="009B259F" w:rsidRPr="00342107">
        <w:t>NET</w:t>
      </w:r>
      <w:r w:rsidRPr="00342107">
        <w:t xml:space="preserve"> </w:t>
      </w:r>
      <w:r w:rsidR="0033792F">
        <w:t>staff have</w:t>
      </w:r>
      <w:r w:rsidR="0033792F" w:rsidRPr="00342107">
        <w:t xml:space="preserve"> </w:t>
      </w:r>
      <w:r w:rsidRPr="00342107">
        <w:t xml:space="preserve">requested assistance from the </w:t>
      </w:r>
      <w:r w:rsidR="004E5B3F">
        <w:t>P</w:t>
      </w:r>
      <w:r w:rsidRPr="00342107">
        <w:t>rogram in linking with other potential donors for the sustainability of the shelter beyond 2018.</w:t>
      </w:r>
    </w:p>
    <w:p w14:paraId="34BD7804" w14:textId="64DAB9DE" w:rsidR="00B066BA" w:rsidRPr="00342107" w:rsidRDefault="00B066BA" w:rsidP="00342107">
      <w:r w:rsidRPr="00342107">
        <w:t>NET is building</w:t>
      </w:r>
      <w:r w:rsidR="00EB51A0" w:rsidRPr="00342107">
        <w:t xml:space="preserve"> a purpose-</w:t>
      </w:r>
      <w:r w:rsidRPr="00342107">
        <w:t>built shelter on the outskirts of Peshawar</w:t>
      </w:r>
      <w:r w:rsidR="00EB51A0" w:rsidRPr="00342107">
        <w:t xml:space="preserve"> to ensure they have a permanent shelter and to avoid rental costs</w:t>
      </w:r>
      <w:r w:rsidRPr="00342107">
        <w:t>.</w:t>
      </w:r>
      <w:r w:rsidR="00EB51A0" w:rsidRPr="00342107">
        <w:t xml:space="preserve"> NET has purchased land for this building with its own funds and construction is underway through donations and philanthropy. Th</w:t>
      </w:r>
      <w:r w:rsidR="00663F93">
        <w:t xml:space="preserve">e new shelter </w:t>
      </w:r>
      <w:r w:rsidR="0033792F">
        <w:t xml:space="preserve">facility </w:t>
      </w:r>
      <w:r w:rsidR="00EB51A0" w:rsidRPr="00342107">
        <w:t>demonstrate</w:t>
      </w:r>
      <w:r w:rsidR="006E54E1">
        <w:t>s</w:t>
      </w:r>
      <w:r w:rsidR="00EB51A0" w:rsidRPr="00342107">
        <w:t xml:space="preserve"> NET’s long-term commitment to GBV survivors. </w:t>
      </w:r>
    </w:p>
    <w:p w14:paraId="63B1F7BC" w14:textId="6BA1E313" w:rsidR="00342107" w:rsidRDefault="004E5B3F" w:rsidP="00342107">
      <w:r w:rsidRPr="00C33A59">
        <w:rPr>
          <w:b/>
        </w:rPr>
        <w:t>ACT</w:t>
      </w:r>
      <w:r>
        <w:t xml:space="preserve"> is a new </w:t>
      </w:r>
      <w:r w:rsidR="00C44545">
        <w:t>NGO, which</w:t>
      </w:r>
      <w:r w:rsidR="0033792F">
        <w:t xml:space="preserve"> </w:t>
      </w:r>
      <w:r>
        <w:t xml:space="preserve">was formally registered in March 2012.  It is currently working in seven districts </w:t>
      </w:r>
      <w:r w:rsidR="0033792F">
        <w:t xml:space="preserve">in </w:t>
      </w:r>
      <w:r>
        <w:t>KP and five</w:t>
      </w:r>
      <w:r w:rsidR="0033792F">
        <w:t xml:space="preserve"> districts</w:t>
      </w:r>
      <w:r>
        <w:t xml:space="preserve"> </w:t>
      </w:r>
      <w:r w:rsidR="0033792F">
        <w:t xml:space="preserve">in </w:t>
      </w:r>
      <w:r>
        <w:t>the Federally Administered Tribal Agenc</w:t>
      </w:r>
      <w:r w:rsidR="00663F93">
        <w:t>ies</w:t>
      </w:r>
      <w:r w:rsidR="006E54E1">
        <w:t xml:space="preserve"> (FATA)</w:t>
      </w:r>
      <w:r w:rsidR="00663F93">
        <w:t xml:space="preserve">. </w:t>
      </w:r>
      <w:r w:rsidR="000655E4" w:rsidRPr="00342107">
        <w:t>ACT beca</w:t>
      </w:r>
      <w:r w:rsidR="00EB199F" w:rsidRPr="00342107">
        <w:t xml:space="preserve">me a </w:t>
      </w:r>
      <w:r w:rsidR="00663F93">
        <w:t>GBV P</w:t>
      </w:r>
      <w:r w:rsidR="00EB199F" w:rsidRPr="00342107">
        <w:t>rogram partner in 201</w:t>
      </w:r>
      <w:r w:rsidR="00B066BA" w:rsidRPr="00342107">
        <w:t>4</w:t>
      </w:r>
      <w:r w:rsidR="00EB199F" w:rsidRPr="00342107">
        <w:t>, wh</w:t>
      </w:r>
      <w:r w:rsidR="00B066BA" w:rsidRPr="00342107">
        <w:t>en</w:t>
      </w:r>
      <w:r w:rsidR="00EB199F" w:rsidRPr="00342107">
        <w:t xml:space="preserve"> it took over prevention and advocacy </w:t>
      </w:r>
      <w:r>
        <w:t xml:space="preserve">activities </w:t>
      </w:r>
      <w:r w:rsidR="00EB199F" w:rsidRPr="00342107">
        <w:t>from NET in Mardan, Nowshera and Swabi districts.</w:t>
      </w:r>
      <w:r w:rsidR="000655E4" w:rsidRPr="00342107">
        <w:t xml:space="preserve"> ACT </w:t>
      </w:r>
      <w:r w:rsidR="0033792F">
        <w:t>runs</w:t>
      </w:r>
      <w:r w:rsidR="0033792F" w:rsidRPr="00342107">
        <w:t xml:space="preserve"> </w:t>
      </w:r>
      <w:r w:rsidR="0033792F">
        <w:t xml:space="preserve">a very effective operation and </w:t>
      </w:r>
      <w:r w:rsidR="000655E4" w:rsidRPr="00342107">
        <w:t>keen to receive support for vocational training.</w:t>
      </w:r>
    </w:p>
    <w:p w14:paraId="3D79CFAC" w14:textId="4B907C19" w:rsidR="00744D21" w:rsidRPr="00DD5674" w:rsidRDefault="00C33A59" w:rsidP="00DD5674">
      <w:r w:rsidRPr="00C33A59">
        <w:rPr>
          <w:b/>
        </w:rPr>
        <w:t>P</w:t>
      </w:r>
      <w:r w:rsidR="00EB199F" w:rsidRPr="00C33A59">
        <w:rPr>
          <w:b/>
        </w:rPr>
        <w:t>VDP</w:t>
      </w:r>
      <w:r w:rsidR="00EB199F" w:rsidRPr="00342107">
        <w:t xml:space="preserve"> is a well-established community development NGO operating in</w:t>
      </w:r>
      <w:r w:rsidR="00B066BA" w:rsidRPr="00342107">
        <w:t xml:space="preserve"> KP and implementing the GBV </w:t>
      </w:r>
      <w:r w:rsidR="004E5B3F">
        <w:t>P</w:t>
      </w:r>
      <w:r w:rsidR="00B066BA" w:rsidRPr="00342107">
        <w:t>rogram in</w:t>
      </w:r>
      <w:r w:rsidR="00EB199F" w:rsidRPr="00342107">
        <w:t xml:space="preserve"> Swat district. Although the evaluation team did not visit Swat, they met with</w:t>
      </w:r>
      <w:r w:rsidR="00B066BA" w:rsidRPr="00342107">
        <w:t xml:space="preserve"> seven members of the</w:t>
      </w:r>
      <w:r w:rsidR="00EB199F" w:rsidRPr="00342107">
        <w:t xml:space="preserve"> P</w:t>
      </w:r>
      <w:r w:rsidR="00B066BA" w:rsidRPr="00342107">
        <w:t>V</w:t>
      </w:r>
      <w:r w:rsidR="00EB199F" w:rsidRPr="00342107">
        <w:t xml:space="preserve">DP staff in Islamabad, and were impressed by </w:t>
      </w:r>
      <w:r w:rsidR="004E5B3F">
        <w:t xml:space="preserve">their </w:t>
      </w:r>
      <w:r w:rsidR="00EB199F" w:rsidRPr="00342107">
        <w:t xml:space="preserve">capacity and commitment. </w:t>
      </w:r>
      <w:r w:rsidR="004E5B3F">
        <w:t>The NGO has s</w:t>
      </w:r>
      <w:r w:rsidR="000655E4" w:rsidRPr="00342107">
        <w:t>trong systems</w:t>
      </w:r>
      <w:r w:rsidR="004E5B3F">
        <w:t xml:space="preserve"> in place</w:t>
      </w:r>
      <w:r w:rsidR="000655E4" w:rsidRPr="00342107">
        <w:t>.</w:t>
      </w:r>
      <w:r w:rsidR="00663F93">
        <w:t xml:space="preserve"> PVDP expressed a need for SASA! to be </w:t>
      </w:r>
      <w:r w:rsidR="0033792F">
        <w:t xml:space="preserve">translated </w:t>
      </w:r>
      <w:r w:rsidR="00663F93">
        <w:t>in</w:t>
      </w:r>
      <w:r w:rsidR="0033792F">
        <w:t>to</w:t>
      </w:r>
      <w:r w:rsidR="00663F93">
        <w:t xml:space="preserve"> Pushto. </w:t>
      </w:r>
    </w:p>
    <w:p w14:paraId="18496CF7" w14:textId="10A111B8" w:rsidR="0033792F" w:rsidRDefault="0033792F" w:rsidP="00A83E9A">
      <w:pPr>
        <w:pStyle w:val="Heading3"/>
      </w:pPr>
      <w:bookmarkStart w:id="29" w:name="_Toc491355892"/>
      <w:r>
        <w:t>Cross-Cutting Issues</w:t>
      </w:r>
      <w:bookmarkEnd w:id="29"/>
    </w:p>
    <w:p w14:paraId="7A06CD84" w14:textId="2F459028" w:rsidR="0033792F" w:rsidRDefault="0033792F" w:rsidP="002D514F">
      <w:pPr>
        <w:pStyle w:val="Heading4"/>
      </w:pPr>
      <w:r>
        <w:t>Gender Equality and Women’s Empowerment</w:t>
      </w:r>
    </w:p>
    <w:p w14:paraId="1AB826E0" w14:textId="3C912EE9" w:rsidR="0033792F" w:rsidRPr="002D514F" w:rsidRDefault="0033792F" w:rsidP="002D514F">
      <w:r>
        <w:t xml:space="preserve">The GBV Program </w:t>
      </w:r>
      <w:r w:rsidR="00946F5C">
        <w:t xml:space="preserve">effectively </w:t>
      </w:r>
      <w:r>
        <w:t>promotes gender equality and women’s empowerment throughout the various components</w:t>
      </w:r>
      <w:r w:rsidR="00B84C49">
        <w:t xml:space="preserve">. The Program </w:t>
      </w:r>
      <w:r>
        <w:t>takes a gender transformative approach</w:t>
      </w:r>
      <w:r w:rsidR="00B84C49">
        <w:t>, particularly in the community mobilisation component</w:t>
      </w:r>
      <w:r w:rsidR="00946F5C">
        <w:t xml:space="preserve"> with SASA!’s focus</w:t>
      </w:r>
      <w:r w:rsidR="00B84C49">
        <w:t xml:space="preserve"> on power and agency</w:t>
      </w:r>
      <w:r>
        <w:t xml:space="preserve">. </w:t>
      </w:r>
      <w:r w:rsidR="00B84C49">
        <w:t xml:space="preserve">While the primary focus of the Program is on EVAW, the Program also promotes women’s leadership and women’s economic empowerment (the other two priority areas under DFAT’s Gender Strategy), particularly through the community mobilisation and livelihoods components. </w:t>
      </w:r>
      <w:r w:rsidR="0008203F">
        <w:t>Trócaire</w:t>
      </w:r>
      <w:r>
        <w:t xml:space="preserve"> and implementing partners are conscious of </w:t>
      </w:r>
      <w:r w:rsidR="00B84C49">
        <w:t xml:space="preserve">promoting gender equality internally within their organisations (for </w:t>
      </w:r>
      <w:r w:rsidR="00C44545">
        <w:t>example,</w:t>
      </w:r>
      <w:r w:rsidR="00B84C49">
        <w:t xml:space="preserve"> </w:t>
      </w:r>
      <w:r w:rsidR="0008203F">
        <w:t>Trócaire</w:t>
      </w:r>
      <w:r w:rsidR="00B84C49">
        <w:t xml:space="preserve"> has a crèche inside the office). All partner organisations have a good balance of male and female staff, including representation in leadership positions</w:t>
      </w:r>
      <w:r>
        <w:t xml:space="preserve">. </w:t>
      </w:r>
      <w:r w:rsidRPr="002D514F">
        <w:rPr>
          <w:b/>
        </w:rPr>
        <w:t xml:space="preserve">It is recommended </w:t>
      </w:r>
      <w:r w:rsidR="00B84C49" w:rsidRPr="002D514F">
        <w:rPr>
          <w:b/>
        </w:rPr>
        <w:t>that the MEL framework include specific indicators to track promotion of gender equality and women’s empowerment internally within the Program partner organisations</w:t>
      </w:r>
      <w:r w:rsidR="00B84C49">
        <w:t>, to ensure they have a strong ‘demonstration effect’ and are ‘practising what they preach’ with regards to gender equality.</w:t>
      </w:r>
    </w:p>
    <w:p w14:paraId="0520D44D" w14:textId="747A70E1" w:rsidR="00622F87" w:rsidRPr="00342107" w:rsidRDefault="00A83E9A" w:rsidP="002D514F">
      <w:pPr>
        <w:pStyle w:val="Heading4"/>
      </w:pPr>
      <w:r>
        <w:lastRenderedPageBreak/>
        <w:t>Disability Inclusion</w:t>
      </w:r>
    </w:p>
    <w:p w14:paraId="577D4724" w14:textId="70590AA3" w:rsidR="0078477D" w:rsidRPr="00342107" w:rsidRDefault="00342107" w:rsidP="00342107">
      <w:r>
        <w:t>Significant wor</w:t>
      </w:r>
      <w:r w:rsidR="000655E4">
        <w:t>k is happening at the local level to mainstream disability inclusiveness</w:t>
      </w:r>
      <w:r w:rsidR="001D6EC9">
        <w:t xml:space="preserve"> within the Program</w:t>
      </w:r>
      <w:r w:rsidR="00EB51A0">
        <w:t>, however this is quite recent</w:t>
      </w:r>
      <w:r w:rsidR="000655E4">
        <w:t xml:space="preserve">. All </w:t>
      </w:r>
      <w:r w:rsidR="001D6EC9">
        <w:t>five</w:t>
      </w:r>
      <w:r w:rsidR="000655E4">
        <w:t xml:space="preserve"> partners have disability action plans which they are implementing following training that was provided by NOWPDP. This training was very well received, with several partner staff saying it ‘opened their eyes’ to the issues fac</w:t>
      </w:r>
      <w:r w:rsidR="008B07AE">
        <w:t xml:space="preserve">ed by </w:t>
      </w:r>
      <w:r w:rsidR="000655E4">
        <w:t>people with disabilities.</w:t>
      </w:r>
      <w:r w:rsidR="00EB51A0">
        <w:t xml:space="preserve"> In KP, the floods, earthquake </w:t>
      </w:r>
      <w:r w:rsidR="008B07AE">
        <w:t>and</w:t>
      </w:r>
      <w:r w:rsidR="00EB51A0">
        <w:t xml:space="preserve"> conflict have resulted in a high number of people with disability</w:t>
      </w:r>
      <w:r w:rsidR="00602478">
        <w:t xml:space="preserve">. </w:t>
      </w:r>
      <w:r w:rsidR="000655E4">
        <w:t>For example, ACT office has recently installed a ramp</w:t>
      </w:r>
      <w:r w:rsidR="00757044">
        <w:t xml:space="preserve"> and marked International Day of Persons with Disabilities</w:t>
      </w:r>
      <w:r w:rsidR="001D6EC9">
        <w:t>,</w:t>
      </w:r>
      <w:r w:rsidR="000655E4">
        <w:t xml:space="preserve"> NET adjusted the angle of its ramp in plans for the new shelter building</w:t>
      </w:r>
      <w:r w:rsidR="001D6EC9">
        <w:t>,</w:t>
      </w:r>
      <w:r w:rsidR="000655E4">
        <w:t xml:space="preserve"> both NET and ABAD shelters have accessible rooms </w:t>
      </w:r>
      <w:r w:rsidR="00BB0CAC">
        <w:t>on</w:t>
      </w:r>
      <w:r w:rsidR="000655E4">
        <w:t xml:space="preserve"> the ground floor and wheelchairs for survivors with physical disabilities</w:t>
      </w:r>
      <w:r w:rsidR="001D6EC9">
        <w:t>,</w:t>
      </w:r>
      <w:r w:rsidR="008B07AE">
        <w:t xml:space="preserve"> and partners have invited</w:t>
      </w:r>
      <w:r w:rsidR="006C3A04">
        <w:t xml:space="preserve"> people</w:t>
      </w:r>
      <w:r w:rsidR="00EB51A0">
        <w:t xml:space="preserve"> with disability as gu</w:t>
      </w:r>
      <w:r w:rsidR="00DD5674">
        <w:t>e</w:t>
      </w:r>
      <w:r w:rsidR="00EB51A0">
        <w:t>st speakers</w:t>
      </w:r>
      <w:r w:rsidR="001D6EC9">
        <w:t xml:space="preserve"> at events. </w:t>
      </w:r>
      <w:r w:rsidR="0008203F">
        <w:t>Trócaire</w:t>
      </w:r>
      <w:r w:rsidR="0033792F">
        <w:t xml:space="preserve"> is looking </w:t>
      </w:r>
      <w:r w:rsidR="001D6EC9">
        <w:t>to ensure</w:t>
      </w:r>
      <w:r w:rsidR="0033792F">
        <w:t xml:space="preserve"> they have people with disability on staff.</w:t>
      </w:r>
    </w:p>
    <w:p w14:paraId="7C1F209E" w14:textId="44605BF3" w:rsidR="0078477D" w:rsidRPr="0078477D" w:rsidRDefault="001D6EC9" w:rsidP="001D6EC9">
      <w:r>
        <w:t xml:space="preserve">At the national level, AF </w:t>
      </w:r>
      <w:r w:rsidR="00EB51A0">
        <w:t xml:space="preserve">undertook </w:t>
      </w:r>
      <w:r w:rsidR="0078477D" w:rsidRPr="0078477D">
        <w:t xml:space="preserve">joint advocacy on </w:t>
      </w:r>
      <w:r w:rsidR="00EB51A0">
        <w:t>rights of people with disability</w:t>
      </w:r>
      <w:r w:rsidR="0078477D" w:rsidRPr="0078477D">
        <w:t xml:space="preserve"> with Government at Islamabad</w:t>
      </w:r>
      <w:r w:rsidR="00EB51A0">
        <w:t xml:space="preserve"> Capital Territory (ICT) level and attempted to</w:t>
      </w:r>
      <w:r w:rsidR="0078477D" w:rsidRPr="0078477D">
        <w:t xml:space="preserve"> draft legislation on disability with the Special Education Directorate in ICT.  </w:t>
      </w:r>
      <w:r w:rsidR="00EB51A0">
        <w:t>Through the National Forum for Disability</w:t>
      </w:r>
      <w:r w:rsidR="0033792F">
        <w:t xml:space="preserve"> </w:t>
      </w:r>
      <w:r w:rsidR="0078477D" w:rsidRPr="0078477D">
        <w:t>A</w:t>
      </w:r>
      <w:r w:rsidR="00602478">
        <w:t>F</w:t>
      </w:r>
      <w:r w:rsidR="00EB51A0">
        <w:t xml:space="preserve"> also</w:t>
      </w:r>
      <w:r w:rsidR="0078477D" w:rsidRPr="0078477D">
        <w:t xml:space="preserve"> connected </w:t>
      </w:r>
      <w:r w:rsidR="00EB51A0">
        <w:t xml:space="preserve">disabled </w:t>
      </w:r>
      <w:r w:rsidR="006C3A04">
        <w:t>peoples</w:t>
      </w:r>
      <w:r w:rsidR="0078477D" w:rsidRPr="0078477D">
        <w:t xml:space="preserve"> organi</w:t>
      </w:r>
      <w:r w:rsidR="008B07AE">
        <w:t>s</w:t>
      </w:r>
      <w:r w:rsidR="0078477D" w:rsidRPr="0078477D">
        <w:t>ations.</w:t>
      </w:r>
      <w:r w:rsidRPr="001D6EC9">
        <w:t xml:space="preserve"> </w:t>
      </w:r>
      <w:r>
        <w:t>AF has also written case studies on people with disability.</w:t>
      </w:r>
    </w:p>
    <w:p w14:paraId="513346DB" w14:textId="22F9FCC3" w:rsidR="000655E4" w:rsidRPr="00342107" w:rsidRDefault="00EB51A0" w:rsidP="00342107">
      <w:pPr>
        <w:rPr>
          <w:b/>
        </w:rPr>
      </w:pPr>
      <w:r w:rsidRPr="00342107">
        <w:rPr>
          <w:b/>
        </w:rPr>
        <w:t xml:space="preserve">Given the clear links between violence and disability (violence causes disability, and people with disability are more likely to be victims of violence), the </w:t>
      </w:r>
      <w:r w:rsidR="008B07AE">
        <w:rPr>
          <w:b/>
        </w:rPr>
        <w:t>P</w:t>
      </w:r>
      <w:r w:rsidRPr="00342107">
        <w:rPr>
          <w:b/>
        </w:rPr>
        <w:t xml:space="preserve">rogram should ensure disability </w:t>
      </w:r>
      <w:r w:rsidR="000B452D" w:rsidRPr="00342107">
        <w:rPr>
          <w:b/>
        </w:rPr>
        <w:t xml:space="preserve">considerations are </w:t>
      </w:r>
      <w:r w:rsidRPr="00342107">
        <w:rPr>
          <w:b/>
        </w:rPr>
        <w:t>integrated t</w:t>
      </w:r>
      <w:r w:rsidR="000B452D" w:rsidRPr="00342107">
        <w:rPr>
          <w:b/>
        </w:rPr>
        <w:t>h</w:t>
      </w:r>
      <w:r w:rsidRPr="00342107">
        <w:rPr>
          <w:b/>
        </w:rPr>
        <w:t xml:space="preserve">roughout the </w:t>
      </w:r>
      <w:r w:rsidR="008B07AE">
        <w:rPr>
          <w:b/>
        </w:rPr>
        <w:t>P</w:t>
      </w:r>
      <w:r w:rsidRPr="00342107">
        <w:rPr>
          <w:b/>
        </w:rPr>
        <w:t xml:space="preserve">rogram, and not just </w:t>
      </w:r>
      <w:r w:rsidR="000B452D" w:rsidRPr="00342107">
        <w:rPr>
          <w:b/>
        </w:rPr>
        <w:t xml:space="preserve">as </w:t>
      </w:r>
      <w:r w:rsidRPr="00342107">
        <w:rPr>
          <w:b/>
        </w:rPr>
        <w:t xml:space="preserve">an add-on. </w:t>
      </w:r>
      <w:r w:rsidR="001D6EC9" w:rsidRPr="00342107">
        <w:rPr>
          <w:b/>
        </w:rPr>
        <w:t>Support from DFAT Canberra DID Section is recommended</w:t>
      </w:r>
      <w:r w:rsidR="001D6EC9">
        <w:rPr>
          <w:b/>
        </w:rPr>
        <w:t xml:space="preserve"> to assist with this</w:t>
      </w:r>
      <w:r w:rsidR="001D6EC9" w:rsidRPr="00342107">
        <w:rPr>
          <w:b/>
        </w:rPr>
        <w:t>.</w:t>
      </w:r>
      <w:r w:rsidR="001D6EC9">
        <w:rPr>
          <w:b/>
        </w:rPr>
        <w:t xml:space="preserve"> </w:t>
      </w:r>
      <w:r w:rsidR="000655E4" w:rsidRPr="00342107">
        <w:rPr>
          <w:b/>
        </w:rPr>
        <w:t xml:space="preserve">Ongoing messaging is required from </w:t>
      </w:r>
      <w:r w:rsidR="0008203F">
        <w:rPr>
          <w:b/>
        </w:rPr>
        <w:t>Trócaire</w:t>
      </w:r>
      <w:r w:rsidR="000655E4" w:rsidRPr="00342107">
        <w:rPr>
          <w:b/>
        </w:rPr>
        <w:t xml:space="preserve"> and AHC to ensure DID remain</w:t>
      </w:r>
      <w:r w:rsidR="001D6EC9">
        <w:rPr>
          <w:b/>
        </w:rPr>
        <w:t>s</w:t>
      </w:r>
      <w:r w:rsidR="000655E4" w:rsidRPr="00342107">
        <w:rPr>
          <w:b/>
        </w:rPr>
        <w:t xml:space="preserve"> a focus. </w:t>
      </w:r>
      <w:r w:rsidR="001D6EC9">
        <w:rPr>
          <w:b/>
        </w:rPr>
        <w:t>P</w:t>
      </w:r>
      <w:r w:rsidR="000655E4" w:rsidRPr="00342107">
        <w:rPr>
          <w:b/>
        </w:rPr>
        <w:t xml:space="preserve">artnerships with </w:t>
      </w:r>
      <w:r w:rsidR="009F6958">
        <w:rPr>
          <w:b/>
        </w:rPr>
        <w:t>d</w:t>
      </w:r>
      <w:r w:rsidR="000655E4" w:rsidRPr="00342107">
        <w:rPr>
          <w:b/>
        </w:rPr>
        <w:t xml:space="preserve">isabled </w:t>
      </w:r>
      <w:r w:rsidR="009F6958">
        <w:rPr>
          <w:b/>
        </w:rPr>
        <w:t>p</w:t>
      </w:r>
      <w:r w:rsidR="000655E4" w:rsidRPr="00342107">
        <w:rPr>
          <w:b/>
        </w:rPr>
        <w:t xml:space="preserve">eople’s </w:t>
      </w:r>
      <w:r w:rsidR="009F6958">
        <w:rPr>
          <w:b/>
        </w:rPr>
        <w:t>o</w:t>
      </w:r>
      <w:r w:rsidR="000655E4" w:rsidRPr="00342107">
        <w:rPr>
          <w:b/>
        </w:rPr>
        <w:t xml:space="preserve">rganisations </w:t>
      </w:r>
      <w:r w:rsidR="001D6EC9">
        <w:rPr>
          <w:b/>
        </w:rPr>
        <w:t>are</w:t>
      </w:r>
      <w:r w:rsidR="001D6EC9" w:rsidRPr="00342107">
        <w:rPr>
          <w:b/>
        </w:rPr>
        <w:t xml:space="preserve"> </w:t>
      </w:r>
      <w:r w:rsidR="000B452D" w:rsidRPr="00342107">
        <w:rPr>
          <w:b/>
        </w:rPr>
        <w:t xml:space="preserve">highly </w:t>
      </w:r>
      <w:r w:rsidR="000655E4" w:rsidRPr="00342107">
        <w:rPr>
          <w:b/>
        </w:rPr>
        <w:t xml:space="preserve">recommended to ensure </w:t>
      </w:r>
      <w:r w:rsidR="00B10342" w:rsidRPr="00342107">
        <w:rPr>
          <w:b/>
        </w:rPr>
        <w:t>people with disability are informing actions taken, and to expand understanding of disability inclusiveness</w:t>
      </w:r>
      <w:r w:rsidR="00903DA0">
        <w:rPr>
          <w:b/>
        </w:rPr>
        <w:t xml:space="preserve"> beyond physical access considerations</w:t>
      </w:r>
      <w:r w:rsidR="00B10342" w:rsidRPr="00342107">
        <w:rPr>
          <w:b/>
        </w:rPr>
        <w:t>.</w:t>
      </w:r>
      <w:r w:rsidR="001D6EC9">
        <w:rPr>
          <w:b/>
        </w:rPr>
        <w:t xml:space="preserve"> </w:t>
      </w:r>
      <w:r w:rsidR="00903DA0">
        <w:rPr>
          <w:b/>
        </w:rPr>
        <w:t xml:space="preserve">Disability-disaggregated data should be consistently collected. </w:t>
      </w:r>
      <w:r w:rsidR="001D6EC9">
        <w:rPr>
          <w:b/>
        </w:rPr>
        <w:t xml:space="preserve">The </w:t>
      </w:r>
      <w:r w:rsidR="00A83E9A">
        <w:rPr>
          <w:b/>
        </w:rPr>
        <w:t xml:space="preserve">disability indicator in the Results Framework </w:t>
      </w:r>
      <w:r w:rsidR="001D6EC9">
        <w:rPr>
          <w:b/>
        </w:rPr>
        <w:t xml:space="preserve">may be more meaningful if changed to </w:t>
      </w:r>
      <w:r w:rsidR="00A83E9A">
        <w:rPr>
          <w:b/>
        </w:rPr>
        <w:t xml:space="preserve">‘partners can cite </w:t>
      </w:r>
      <w:r w:rsidR="006E54E1">
        <w:rPr>
          <w:b/>
        </w:rPr>
        <w:t>two to three</w:t>
      </w:r>
      <w:r w:rsidR="00A83E9A">
        <w:rPr>
          <w:b/>
        </w:rPr>
        <w:t xml:space="preserve"> actions taken to mainstream disability’</w:t>
      </w:r>
      <w:r w:rsidR="001D6EC9">
        <w:rPr>
          <w:b/>
        </w:rPr>
        <w:t>, similar to the HIV mainstreaming indicator.</w:t>
      </w:r>
    </w:p>
    <w:p w14:paraId="37322A55" w14:textId="77777777" w:rsidR="00A12D80" w:rsidRPr="00A678E3" w:rsidRDefault="00A12D80" w:rsidP="003E33D0">
      <w:pPr>
        <w:rPr>
          <w:rFonts w:eastAsia="Times New Roman" w:cs="Times New Roman"/>
          <w:sz w:val="24"/>
          <w:szCs w:val="24"/>
        </w:rPr>
      </w:pPr>
      <w:bookmarkStart w:id="30" w:name="_Toc491355893"/>
      <w:r w:rsidRPr="003E33D0">
        <w:rPr>
          <w:rStyle w:val="Heading2Char"/>
        </w:rPr>
        <w:t>Governance and Management Arrangements</w:t>
      </w:r>
      <w:bookmarkEnd w:id="30"/>
    </w:p>
    <w:p w14:paraId="1A8ED280" w14:textId="77777777" w:rsidR="002C5962" w:rsidRPr="005366AC" w:rsidRDefault="005543F4" w:rsidP="002C5962">
      <w:pPr>
        <w:pStyle w:val="Heading3"/>
      </w:pPr>
      <w:bookmarkStart w:id="31" w:name="_Toc491355894"/>
      <w:r>
        <w:t xml:space="preserve">Financial Management, </w:t>
      </w:r>
      <w:r w:rsidR="002C5962" w:rsidRPr="005366AC">
        <w:t>Efficiency and Value for Money</w:t>
      </w:r>
      <w:bookmarkEnd w:id="31"/>
    </w:p>
    <w:p w14:paraId="742E473F" w14:textId="6B628DE5" w:rsidR="002C5962" w:rsidRPr="005366AC" w:rsidRDefault="002C5962" w:rsidP="002C5962">
      <w:r w:rsidRPr="005366AC">
        <w:t xml:space="preserve">Overall </w:t>
      </w:r>
      <w:r w:rsidR="0008203F">
        <w:t>Trócaire</w:t>
      </w:r>
      <w:r w:rsidRPr="005366AC">
        <w:t xml:space="preserve"> has efficient and stringent financial systems with several checks and balances in place.  There is a quarterly financial reporting system in place for partners</w:t>
      </w:r>
      <w:r w:rsidR="001D6EC9">
        <w:t>,</w:t>
      </w:r>
      <w:r w:rsidRPr="005366AC">
        <w:t xml:space="preserve"> with the </w:t>
      </w:r>
      <w:r w:rsidR="0008203F">
        <w:t>Trócaire</w:t>
      </w:r>
      <w:r w:rsidRPr="005366AC">
        <w:t xml:space="preserve"> Finance Officer making quarterly monitoring visits to each of the </w:t>
      </w:r>
      <w:r w:rsidR="001D6EC9">
        <w:t>five</w:t>
      </w:r>
      <w:r w:rsidRPr="005366AC">
        <w:t xml:space="preserve"> partners.  The monitoring visits include capacity building of the partners</w:t>
      </w:r>
      <w:r w:rsidR="006C3A04">
        <w:t>’</w:t>
      </w:r>
      <w:r w:rsidRPr="005366AC">
        <w:t xml:space="preserve"> financial staff where required. </w:t>
      </w:r>
      <w:r w:rsidR="0008203F">
        <w:t>Trócaire</w:t>
      </w:r>
      <w:r w:rsidRPr="005366AC">
        <w:t xml:space="preserve">’s accounts are audited annually and the GBV </w:t>
      </w:r>
      <w:r w:rsidR="008B07AE">
        <w:t>P</w:t>
      </w:r>
      <w:r w:rsidRPr="005366AC">
        <w:t xml:space="preserve">rogram accounts </w:t>
      </w:r>
      <w:r w:rsidR="00C44545" w:rsidRPr="005366AC">
        <w:t>are</w:t>
      </w:r>
      <w:r w:rsidRPr="005366AC">
        <w:t xml:space="preserve"> separately audited annually.</w:t>
      </w:r>
    </w:p>
    <w:p w14:paraId="2E70386B" w14:textId="3EEA67DA" w:rsidR="002C5962" w:rsidRDefault="0008203F" w:rsidP="002C5962">
      <w:pPr>
        <w:rPr>
          <w:shd w:val="clear" w:color="auto" w:fill="FFFFFF"/>
        </w:rPr>
      </w:pPr>
      <w:r>
        <w:t>Trócaire</w:t>
      </w:r>
      <w:r w:rsidR="00A83E9A">
        <w:t xml:space="preserve"> uses tender</w:t>
      </w:r>
      <w:r w:rsidR="002C5962">
        <w:t xml:space="preserve"> process</w:t>
      </w:r>
      <w:r w:rsidR="00A83E9A">
        <w:t>es</w:t>
      </w:r>
      <w:r w:rsidR="001D6EC9">
        <w:t xml:space="preserve"> </w:t>
      </w:r>
      <w:r w:rsidR="00A83E9A">
        <w:t>to identify contractors, and</w:t>
      </w:r>
      <w:r w:rsidR="001D6EC9">
        <w:t>,</w:t>
      </w:r>
      <w:r w:rsidR="00A83E9A">
        <w:t xml:space="preserve"> although</w:t>
      </w:r>
      <w:r w:rsidR="002C5962">
        <w:t xml:space="preserve"> this adds to the management burden</w:t>
      </w:r>
      <w:r w:rsidR="001D6EC9">
        <w:t>,</w:t>
      </w:r>
      <w:r w:rsidR="002C5962">
        <w:t xml:space="preserve"> it is a good </w:t>
      </w:r>
      <w:r w:rsidR="00A83E9A">
        <w:t xml:space="preserve">indicator of </w:t>
      </w:r>
      <w:r w:rsidR="002C5962">
        <w:t xml:space="preserve">value for money. Policies are followed closely for all </w:t>
      </w:r>
      <w:r>
        <w:t>Trócaire</w:t>
      </w:r>
      <w:r w:rsidR="002C5962">
        <w:t xml:space="preserve"> and partners</w:t>
      </w:r>
      <w:r w:rsidR="00B65900">
        <w:t>’</w:t>
      </w:r>
      <w:r w:rsidR="001D6EC9">
        <w:t xml:space="preserve"> </w:t>
      </w:r>
      <w:r w:rsidR="002C5962" w:rsidRPr="005366AC">
        <w:t>procurements and the partners</w:t>
      </w:r>
      <w:r w:rsidR="00A83E9A">
        <w:t>’</w:t>
      </w:r>
      <w:r w:rsidR="002C5962" w:rsidRPr="005366AC">
        <w:t xml:space="preserve"> procurement policies are </w:t>
      </w:r>
      <w:r w:rsidR="001D6EC9">
        <w:t>aligned with</w:t>
      </w:r>
      <w:r w:rsidR="002C5962" w:rsidRPr="005366AC">
        <w:t xml:space="preserve"> </w:t>
      </w:r>
      <w:r>
        <w:t>Trócaire</w:t>
      </w:r>
      <w:r w:rsidR="00A83E9A">
        <w:t>’</w:t>
      </w:r>
      <w:r w:rsidR="002C5962" w:rsidRPr="005366AC">
        <w:t xml:space="preserve">s, </w:t>
      </w:r>
      <w:r w:rsidR="001D6EC9">
        <w:t xml:space="preserve">ensuring </w:t>
      </w:r>
      <w:r w:rsidR="002C5962" w:rsidRPr="005366AC">
        <w:t>the entire process is transparent. When budgets are prepared they are reviewed to see how realistic they are to ensure value for money, if the costs are justifiable and if there is an alternative</w:t>
      </w:r>
      <w:r w:rsidR="006C3A04">
        <w:t xml:space="preserve"> way to ensure value for money. </w:t>
      </w:r>
      <w:r w:rsidR="002C5962">
        <w:rPr>
          <w:shd w:val="clear" w:color="auto" w:fill="FFFFFF"/>
        </w:rPr>
        <w:t xml:space="preserve">The management fee is good value for money at </w:t>
      </w:r>
      <w:r w:rsidR="006E54E1">
        <w:rPr>
          <w:shd w:val="clear" w:color="auto" w:fill="FFFFFF"/>
        </w:rPr>
        <w:t>seven</w:t>
      </w:r>
      <w:r w:rsidR="001D6EC9">
        <w:rPr>
          <w:shd w:val="clear" w:color="auto" w:fill="FFFFFF"/>
        </w:rPr>
        <w:t xml:space="preserve"> </w:t>
      </w:r>
      <w:r w:rsidR="00602478">
        <w:rPr>
          <w:shd w:val="clear" w:color="auto" w:fill="FFFFFF"/>
        </w:rPr>
        <w:t>percent</w:t>
      </w:r>
      <w:r w:rsidR="002C5962">
        <w:rPr>
          <w:shd w:val="clear" w:color="auto" w:fill="FFFFFF"/>
        </w:rPr>
        <w:t>.</w:t>
      </w:r>
    </w:p>
    <w:p w14:paraId="27B55A9F" w14:textId="77777777" w:rsidR="00A12D80" w:rsidRPr="00342107" w:rsidRDefault="00A12D80" w:rsidP="00342107">
      <w:pPr>
        <w:pStyle w:val="Heading3"/>
      </w:pPr>
      <w:bookmarkStart w:id="32" w:name="_Toc491355895"/>
      <w:r w:rsidRPr="00342107">
        <w:t>Risk Management</w:t>
      </w:r>
      <w:bookmarkEnd w:id="32"/>
    </w:p>
    <w:p w14:paraId="023A3A0D" w14:textId="03678654" w:rsidR="00F5390C" w:rsidRDefault="00586334" w:rsidP="00342107">
      <w:r>
        <w:t>Overall</w:t>
      </w:r>
      <w:r w:rsidR="00EA5C11">
        <w:t>, risks are managed well – capacity and processes for managing risk are adequate</w:t>
      </w:r>
      <w:r w:rsidR="0065746C">
        <w:t xml:space="preserve"> and </w:t>
      </w:r>
      <w:r w:rsidR="00EA5C11">
        <w:t xml:space="preserve">appropriate. </w:t>
      </w:r>
      <w:r>
        <w:t xml:space="preserve">Partners undertake an annual process of risk assessment and mitigation, which feeds </w:t>
      </w:r>
      <w:r>
        <w:lastRenderedPageBreak/>
        <w:t xml:space="preserve">into the </w:t>
      </w:r>
      <w:r w:rsidR="0008203F">
        <w:t>Trócaire</w:t>
      </w:r>
      <w:r w:rsidR="00E41B20">
        <w:t xml:space="preserve"> </w:t>
      </w:r>
      <w:r>
        <w:t xml:space="preserve">program-level risk matrix. </w:t>
      </w:r>
      <w:r w:rsidR="0008203F">
        <w:rPr>
          <w:b/>
        </w:rPr>
        <w:t>Trócaire</w:t>
      </w:r>
      <w:r w:rsidR="00F5390C" w:rsidRPr="002D514F">
        <w:rPr>
          <w:b/>
        </w:rPr>
        <w:t xml:space="preserve"> should not hesitate in involving DFAT in discussions around risk, and prior to taking major decisions that affect the Program.</w:t>
      </w:r>
      <w:r w:rsidR="00F5390C">
        <w:t xml:space="preserve"> For example, </w:t>
      </w:r>
      <w:r w:rsidR="0008203F">
        <w:t>Trócaire</w:t>
      </w:r>
      <w:r w:rsidR="00F5390C">
        <w:t xml:space="preserve"> could have been more forthcoming in raising issues with DFAT Program Manager about changes in strategy, partners, and issues with NET management. </w:t>
      </w:r>
    </w:p>
    <w:p w14:paraId="1E599B5F" w14:textId="419EF222" w:rsidR="00586334" w:rsidRDefault="000538BE" w:rsidP="00342107">
      <w:r>
        <w:t>Security is a real concern and an</w:t>
      </w:r>
      <w:r w:rsidR="00586334">
        <w:t xml:space="preserve"> ongoing focus on security is required. The upcoming security training is a good investment.</w:t>
      </w:r>
      <w:r w:rsidR="0001367D">
        <w:t xml:space="preserve"> </w:t>
      </w:r>
      <w:r w:rsidR="00FE7308">
        <w:t>Partners manage security risks well and s</w:t>
      </w:r>
      <w:r w:rsidR="0001367D">
        <w:t>ecurity measures at both shelters seem appropriate</w:t>
      </w:r>
      <w:r w:rsidR="0083732E">
        <w:t xml:space="preserve">. </w:t>
      </w:r>
      <w:r w:rsidR="0083732E" w:rsidRPr="00326F45">
        <w:t>P</w:t>
      </w:r>
      <w:r w:rsidR="00586334" w:rsidRPr="00E63E55">
        <w:t xml:space="preserve">ositive consideration should </w:t>
      </w:r>
      <w:r w:rsidR="0083732E" w:rsidRPr="00E63E55">
        <w:t xml:space="preserve">continue to </w:t>
      </w:r>
      <w:r w:rsidR="00586334" w:rsidRPr="00E63E55">
        <w:t>be given to reasonable requests from partners to upgrade security measures</w:t>
      </w:r>
      <w:r w:rsidR="0001367D" w:rsidRPr="00E63E55">
        <w:t xml:space="preserve"> in both shelters and NGO offices (</w:t>
      </w:r>
      <w:r w:rsidR="00C44545" w:rsidRPr="00E63E55">
        <w:t>e.g.</w:t>
      </w:r>
      <w:r w:rsidR="0001367D" w:rsidRPr="00E63E55">
        <w:t xml:space="preserve"> security cameras in SDS office)</w:t>
      </w:r>
      <w:r w:rsidR="0093768E">
        <w:t>.</w:t>
      </w:r>
    </w:p>
    <w:p w14:paraId="6EAA54B7" w14:textId="0E51CD74" w:rsidR="00EA5C11" w:rsidRDefault="00B65900" w:rsidP="005366AC">
      <w:r>
        <w:t xml:space="preserve">The application of the </w:t>
      </w:r>
      <w:r w:rsidR="00EA5C11" w:rsidRPr="00EA5C11">
        <w:t>D</w:t>
      </w:r>
      <w:r w:rsidR="00E41B20">
        <w:t xml:space="preserve">o </w:t>
      </w:r>
      <w:r w:rsidR="00EA5C11" w:rsidRPr="00EA5C11">
        <w:t>N</w:t>
      </w:r>
      <w:r w:rsidR="00E41B20">
        <w:t xml:space="preserve">o </w:t>
      </w:r>
      <w:r w:rsidR="00EA5C11" w:rsidRPr="00EA5C11">
        <w:t>H</w:t>
      </w:r>
      <w:r w:rsidR="00E41B20">
        <w:t>arm</w:t>
      </w:r>
      <w:r w:rsidR="00EA5C11" w:rsidRPr="00EA5C11">
        <w:t xml:space="preserve"> </w:t>
      </w:r>
      <w:r>
        <w:t>Principle in relation to</w:t>
      </w:r>
      <w:r w:rsidR="00EA5C11" w:rsidRPr="00EA5C11">
        <w:t xml:space="preserve"> survivors, partner staff</w:t>
      </w:r>
      <w:r w:rsidR="001F5883">
        <w:t xml:space="preserve">, especially staff working at shelters, </w:t>
      </w:r>
      <w:r w:rsidR="00EA5C11" w:rsidRPr="00EA5C11">
        <w:t>and other beneficiaries need</w:t>
      </w:r>
      <w:r w:rsidR="00BB657F">
        <w:t>s</w:t>
      </w:r>
      <w:r w:rsidR="00EA5C11" w:rsidRPr="00EA5C11">
        <w:t xml:space="preserve"> to be kept at the forefront </w:t>
      </w:r>
      <w:r>
        <w:t xml:space="preserve">the GBV Program </w:t>
      </w:r>
      <w:r w:rsidR="00EA5C11" w:rsidRPr="00EA5C11">
        <w:t>at all times.</w:t>
      </w:r>
      <w:r w:rsidR="00E41B20">
        <w:t xml:space="preserve"> </w:t>
      </w:r>
      <w:r w:rsidR="0008203F">
        <w:rPr>
          <w:b/>
        </w:rPr>
        <w:t>Trócaire</w:t>
      </w:r>
      <w:r w:rsidR="007A137C" w:rsidRPr="002D514F">
        <w:rPr>
          <w:b/>
        </w:rPr>
        <w:t xml:space="preserve"> and NGO s</w:t>
      </w:r>
      <w:r w:rsidR="00EA5C11" w:rsidRPr="002D514F">
        <w:rPr>
          <w:b/>
        </w:rPr>
        <w:t>taff should ensure that consent is</w:t>
      </w:r>
      <w:r w:rsidR="00F5390C" w:rsidRPr="002D514F">
        <w:rPr>
          <w:b/>
        </w:rPr>
        <w:t xml:space="preserve"> </w:t>
      </w:r>
      <w:r w:rsidR="00EA5C11" w:rsidRPr="002D514F">
        <w:rPr>
          <w:b/>
        </w:rPr>
        <w:t>actively sought from survivors in shelters ahead of any future monitoring</w:t>
      </w:r>
      <w:r w:rsidR="007A137C" w:rsidRPr="002D514F">
        <w:rPr>
          <w:b/>
        </w:rPr>
        <w:t xml:space="preserve"> and/or field</w:t>
      </w:r>
      <w:r w:rsidR="00EA5C11" w:rsidRPr="002D514F">
        <w:rPr>
          <w:b/>
        </w:rPr>
        <w:t xml:space="preserve"> visits. Convoy size and police escorts should be kept to a minimum. </w:t>
      </w:r>
      <w:r>
        <w:rPr>
          <w:b/>
        </w:rPr>
        <w:t>Informed</w:t>
      </w:r>
      <w:r w:rsidRPr="002D514F">
        <w:rPr>
          <w:b/>
        </w:rPr>
        <w:t xml:space="preserve"> </w:t>
      </w:r>
      <w:r w:rsidR="00EA5C11" w:rsidRPr="002D514F">
        <w:rPr>
          <w:b/>
        </w:rPr>
        <w:t xml:space="preserve">consent for photographs should also be sought by all staff (including </w:t>
      </w:r>
      <w:r w:rsidR="00EA5C11" w:rsidRPr="002D514F">
        <w:rPr>
          <w:b/>
          <w:i/>
        </w:rPr>
        <w:t>Darul</w:t>
      </w:r>
      <w:r w:rsidR="00F5390C" w:rsidRPr="002D514F">
        <w:rPr>
          <w:b/>
          <w:i/>
        </w:rPr>
        <w:t xml:space="preserve"> </w:t>
      </w:r>
      <w:r w:rsidR="00EA5C11" w:rsidRPr="002D514F">
        <w:rPr>
          <w:b/>
          <w:i/>
        </w:rPr>
        <w:t xml:space="preserve">Aman </w:t>
      </w:r>
      <w:r w:rsidR="00EA5C11" w:rsidRPr="002D514F">
        <w:rPr>
          <w:b/>
        </w:rPr>
        <w:t>staff).</w:t>
      </w:r>
      <w:r w:rsidR="00903DA0">
        <w:rPr>
          <w:b/>
        </w:rPr>
        <w:t xml:space="preserve"> Child </w:t>
      </w:r>
      <w:r>
        <w:rPr>
          <w:b/>
        </w:rPr>
        <w:t>p</w:t>
      </w:r>
      <w:r w:rsidR="00903DA0">
        <w:rPr>
          <w:b/>
        </w:rPr>
        <w:t xml:space="preserve">rotection and </w:t>
      </w:r>
      <w:r>
        <w:rPr>
          <w:b/>
        </w:rPr>
        <w:t>s</w:t>
      </w:r>
      <w:r w:rsidR="00903DA0">
        <w:rPr>
          <w:b/>
        </w:rPr>
        <w:t xml:space="preserve">afeguard policies are in place, but </w:t>
      </w:r>
      <w:r w:rsidR="00F1582F">
        <w:rPr>
          <w:b/>
        </w:rPr>
        <w:t>follow-up</w:t>
      </w:r>
      <w:r w:rsidR="00EA5C11" w:rsidRPr="002D514F">
        <w:rPr>
          <w:b/>
        </w:rPr>
        <w:t xml:space="preserve"> training </w:t>
      </w:r>
      <w:r w:rsidR="00903DA0">
        <w:rPr>
          <w:b/>
        </w:rPr>
        <w:t xml:space="preserve">in these areas </w:t>
      </w:r>
      <w:r w:rsidR="006C3A04" w:rsidRPr="002D514F">
        <w:rPr>
          <w:b/>
        </w:rPr>
        <w:t>is recommended</w:t>
      </w:r>
      <w:r w:rsidR="00F5390C" w:rsidRPr="002D514F">
        <w:rPr>
          <w:b/>
        </w:rPr>
        <w:t xml:space="preserve"> for </w:t>
      </w:r>
      <w:r>
        <w:rPr>
          <w:b/>
        </w:rPr>
        <w:t xml:space="preserve">GBV </w:t>
      </w:r>
      <w:r w:rsidR="00F5390C" w:rsidRPr="002D514F">
        <w:rPr>
          <w:b/>
        </w:rPr>
        <w:t>Program partners and stakeholders</w:t>
      </w:r>
      <w:r w:rsidR="006C3A04" w:rsidRPr="002D514F">
        <w:rPr>
          <w:b/>
        </w:rPr>
        <w:t>.</w:t>
      </w:r>
    </w:p>
    <w:p w14:paraId="4587BED0" w14:textId="77777777" w:rsidR="00D00EC4" w:rsidRPr="005366AC" w:rsidRDefault="002C5962" w:rsidP="005366AC">
      <w:pPr>
        <w:pStyle w:val="Heading3"/>
      </w:pPr>
      <w:bookmarkStart w:id="33" w:name="_Toc491355896"/>
      <w:r>
        <w:t>Partnerships</w:t>
      </w:r>
      <w:bookmarkEnd w:id="33"/>
    </w:p>
    <w:p w14:paraId="03AFF959" w14:textId="2C61BF6C" w:rsidR="00586334" w:rsidRPr="005366AC" w:rsidRDefault="00550A1E" w:rsidP="005366AC">
      <w:r>
        <w:t>M</w:t>
      </w:r>
      <w:r w:rsidR="0065746C">
        <w:t>any</w:t>
      </w:r>
      <w:r>
        <w:t xml:space="preserve"> of the ‘partners’ in the </w:t>
      </w:r>
      <w:r w:rsidR="007A137C">
        <w:t>P</w:t>
      </w:r>
      <w:r>
        <w:t xml:space="preserve">rogram are </w:t>
      </w:r>
      <w:r w:rsidR="00F5390C">
        <w:t>short-term contractors rather than long-term partners</w:t>
      </w:r>
      <w:r>
        <w:t xml:space="preserve">. There are currently five partners – the five Pakistani NGOs implementing the </w:t>
      </w:r>
      <w:r w:rsidR="007A137C">
        <w:t>P</w:t>
      </w:r>
      <w:r>
        <w:t>rogram at th</w:t>
      </w:r>
      <w:r w:rsidR="00283B36">
        <w:t>e provincial and district level</w:t>
      </w:r>
      <w:r w:rsidR="00F5390C">
        <w:t xml:space="preserve"> -</w:t>
      </w:r>
      <w:r w:rsidR="00283B36">
        <w:t xml:space="preserve"> and overall these partnerships are strong and effective.</w:t>
      </w:r>
      <w:r w:rsidR="00F5390C">
        <w:t xml:space="preserve"> </w:t>
      </w:r>
      <w:r w:rsidR="0008203F">
        <w:t>Trócaire</w:t>
      </w:r>
      <w:r>
        <w:t xml:space="preserve"> intends to add two more partners to th</w:t>
      </w:r>
      <w:r w:rsidR="0065746C">
        <w:t>is</w:t>
      </w:r>
      <w:r>
        <w:t xml:space="preserve"> list: SPO as the </w:t>
      </w:r>
      <w:r w:rsidR="0065746C">
        <w:t xml:space="preserve">new </w:t>
      </w:r>
      <w:r>
        <w:t>Sindh provincial advocacy partner; and another NGO</w:t>
      </w:r>
      <w:r w:rsidR="00B65900">
        <w:t xml:space="preserve"> to be determined </w:t>
      </w:r>
      <w:r w:rsidR="00C44545">
        <w:t>later</w:t>
      </w:r>
      <w:r w:rsidR="00B65900">
        <w:t xml:space="preserve">, </w:t>
      </w:r>
      <w:r>
        <w:t xml:space="preserve">as the KP </w:t>
      </w:r>
      <w:r w:rsidRPr="00744D21">
        <w:t>provincial advocacy partner. Other partnerships</w:t>
      </w:r>
      <w:r w:rsidR="00B65900">
        <w:t xml:space="preserve"> </w:t>
      </w:r>
      <w:r w:rsidRPr="00744D21">
        <w:t xml:space="preserve">are better described as short-term consultancies as agreements are based on short-term technical inputs or </w:t>
      </w:r>
      <w:r w:rsidR="00C44545" w:rsidRPr="00744D21">
        <w:t>work plans</w:t>
      </w:r>
      <w:r w:rsidRPr="00744D21">
        <w:t>. For example, the partnership with A</w:t>
      </w:r>
      <w:r w:rsidR="00BB657F">
        <w:t>F</w:t>
      </w:r>
      <w:r w:rsidR="00283B36">
        <w:t xml:space="preserve"> was terminated </w:t>
      </w:r>
      <w:r w:rsidRPr="00744D21">
        <w:t>in May 2016</w:t>
      </w:r>
      <w:r w:rsidR="00283B36">
        <w:t xml:space="preserve"> after two years</w:t>
      </w:r>
      <w:r w:rsidRPr="00744D21">
        <w:t>, due to lack of focus on provin</w:t>
      </w:r>
      <w:r w:rsidR="00B10342" w:rsidRPr="00744D21">
        <w:t>cial level advocacy</w:t>
      </w:r>
      <w:r w:rsidR="00BB657F">
        <w:t xml:space="preserve"> and not meeting targets</w:t>
      </w:r>
      <w:r w:rsidR="00B10342" w:rsidRPr="00744D21">
        <w:t xml:space="preserve">. </w:t>
      </w:r>
      <w:r w:rsidRPr="00744D21">
        <w:t xml:space="preserve">While this approach </w:t>
      </w:r>
      <w:r w:rsidR="00B10342" w:rsidRPr="00744D21">
        <w:t xml:space="preserve">of short-term contracts </w:t>
      </w:r>
      <w:r w:rsidRPr="00744D21">
        <w:t>allows for flexibility, gap-filling and strong performance-based management, it risks affecting effectiveness and sustainability over the longer term by affecting capacity building of local</w:t>
      </w:r>
      <w:r>
        <w:t xml:space="preserve"> partners. </w:t>
      </w:r>
      <w:r w:rsidR="005D260B">
        <w:t xml:space="preserve">Rozan, for example, was originally a partner but withdrew from the </w:t>
      </w:r>
      <w:r w:rsidR="007A137C">
        <w:t>P</w:t>
      </w:r>
      <w:r w:rsidR="005D260B">
        <w:t>rogram</w:t>
      </w:r>
      <w:r w:rsidR="0065746C">
        <w:t xml:space="preserve"> in 2014</w:t>
      </w:r>
      <w:r w:rsidR="005D260B">
        <w:t>; Rozan has now been contracted for 3 months (Nov</w:t>
      </w:r>
      <w:r w:rsidR="00B65900">
        <w:t xml:space="preserve">ember 2016 to </w:t>
      </w:r>
      <w:r w:rsidR="005D260B">
        <w:t>Jan</w:t>
      </w:r>
      <w:r w:rsidR="00B65900">
        <w:t>uary 20</w:t>
      </w:r>
      <w:r w:rsidR="005D260B">
        <w:t>17) to update the police training m</w:t>
      </w:r>
      <w:r w:rsidR="0065746C">
        <w:t>anual</w:t>
      </w:r>
      <w:r w:rsidR="005D260B">
        <w:t xml:space="preserve"> originally developed by SEHER, </w:t>
      </w:r>
      <w:r w:rsidR="0065746C">
        <w:t xml:space="preserve">test it in police trainings in both provinces, and </w:t>
      </w:r>
      <w:r w:rsidR="005D260B">
        <w:t>translate it into Urdu</w:t>
      </w:r>
      <w:r w:rsidR="0065746C">
        <w:t xml:space="preserve">. </w:t>
      </w:r>
      <w:r w:rsidR="00B10342" w:rsidRPr="00586334">
        <w:rPr>
          <w:b/>
        </w:rPr>
        <w:t>As a general rule,</w:t>
      </w:r>
      <w:r w:rsidR="00283B36">
        <w:rPr>
          <w:b/>
        </w:rPr>
        <w:t xml:space="preserve"> </w:t>
      </w:r>
      <w:r w:rsidR="001D7CE2">
        <w:rPr>
          <w:b/>
        </w:rPr>
        <w:t xml:space="preserve">for EVAW programs </w:t>
      </w:r>
      <w:r w:rsidR="00283B36">
        <w:rPr>
          <w:b/>
        </w:rPr>
        <w:t>a</w:t>
      </w:r>
      <w:r w:rsidR="00B10342" w:rsidRPr="00586334">
        <w:rPr>
          <w:b/>
        </w:rPr>
        <w:t xml:space="preserve"> longer-term partnership</w:t>
      </w:r>
      <w:r w:rsidR="00283B36">
        <w:rPr>
          <w:b/>
        </w:rPr>
        <w:t xml:space="preserve"> approach</w:t>
      </w:r>
      <w:r w:rsidR="00B10342" w:rsidRPr="00586334">
        <w:rPr>
          <w:b/>
        </w:rPr>
        <w:t xml:space="preserve"> with local NGOs </w:t>
      </w:r>
      <w:r w:rsidR="00283B36">
        <w:rPr>
          <w:b/>
        </w:rPr>
        <w:t>is</w:t>
      </w:r>
      <w:r w:rsidR="00B10342" w:rsidRPr="00586334">
        <w:rPr>
          <w:b/>
        </w:rPr>
        <w:t xml:space="preserve"> recommended over short-term contracts</w:t>
      </w:r>
      <w:r w:rsidR="00F5390C">
        <w:rPr>
          <w:b/>
        </w:rPr>
        <w:t>, provided the necessary check</w:t>
      </w:r>
      <w:r w:rsidR="001D7CE2">
        <w:rPr>
          <w:b/>
        </w:rPr>
        <w:t>s</w:t>
      </w:r>
      <w:r w:rsidR="00F5390C">
        <w:rPr>
          <w:b/>
        </w:rPr>
        <w:t xml:space="preserve"> and balances are in place to manage risks associated with this approach</w:t>
      </w:r>
      <w:r w:rsidR="00B10342" w:rsidRPr="00586334">
        <w:rPr>
          <w:b/>
        </w:rPr>
        <w:t>.</w:t>
      </w:r>
    </w:p>
    <w:p w14:paraId="3E4F84FA" w14:textId="5047E3E7" w:rsidR="00F5390C" w:rsidRPr="00F5390C" w:rsidRDefault="005D260B">
      <w:r>
        <w:t>There has been significant turnover of partners since the beginning of the investment.</w:t>
      </w:r>
      <w:r w:rsidR="00B10342">
        <w:t xml:space="preserve"> This has impacted </w:t>
      </w:r>
      <w:r w:rsidR="00F5390C">
        <w:t xml:space="preserve">on </w:t>
      </w:r>
      <w:r w:rsidR="00B10342">
        <w:t xml:space="preserve">effectiveness and efficiency and has created a significant additional management burden on both </w:t>
      </w:r>
      <w:r w:rsidR="0008203F">
        <w:t>Trócaire</w:t>
      </w:r>
      <w:r w:rsidR="00B10342">
        <w:t xml:space="preserve"> and partners/contractors.</w:t>
      </w:r>
      <w:r w:rsidR="00054701">
        <w:t xml:space="preserve"> The </w:t>
      </w:r>
      <w:r w:rsidR="00C44545">
        <w:t>one-year</w:t>
      </w:r>
      <w:r w:rsidR="00054701">
        <w:t xml:space="preserve"> project cycle, while understandable from a risk management perspective, </w:t>
      </w:r>
      <w:r w:rsidR="00586334">
        <w:t xml:space="preserve">creates an additional management burden. </w:t>
      </w:r>
      <w:r w:rsidR="00586334" w:rsidRPr="00586334">
        <w:rPr>
          <w:b/>
        </w:rPr>
        <w:t>Where possible such requirements should be minimised in keeping with a partnership approach.</w:t>
      </w:r>
      <w:r w:rsidR="00DB47B0">
        <w:rPr>
          <w:b/>
        </w:rPr>
        <w:t xml:space="preserve"> </w:t>
      </w:r>
    </w:p>
    <w:p w14:paraId="6807DC18" w14:textId="11D226C5" w:rsidR="00586334" w:rsidRPr="005366AC" w:rsidRDefault="00283B36" w:rsidP="00283B36">
      <w:pPr>
        <w:pStyle w:val="Heading3"/>
      </w:pPr>
      <w:bookmarkStart w:id="34" w:name="_Toc491355897"/>
      <w:r>
        <w:t xml:space="preserve">Linkages between partners and </w:t>
      </w:r>
      <w:r w:rsidR="00586334" w:rsidRPr="005366AC">
        <w:t>stakeholders</w:t>
      </w:r>
      <w:bookmarkEnd w:id="34"/>
    </w:p>
    <w:p w14:paraId="10936BC0" w14:textId="3E7096D3" w:rsidR="00694086" w:rsidRPr="00365DD3" w:rsidRDefault="001D7CE2" w:rsidP="005366AC">
      <w:pPr>
        <w:rPr>
          <w:b/>
        </w:rPr>
      </w:pPr>
      <w:r w:rsidRPr="002D514F">
        <w:t xml:space="preserve">A significant part of </w:t>
      </w:r>
      <w:r w:rsidR="0008203F">
        <w:t>Trócaire</w:t>
      </w:r>
      <w:r w:rsidRPr="002D514F">
        <w:t>’s value-add is to link partners and stakeholders to facilitate cross-learning and foster networks and coalitions of actors working in the GBV space.</w:t>
      </w:r>
      <w:r>
        <w:t xml:space="preserve"> While program staff do play this role to some extent, more can be done in this area.</w:t>
      </w:r>
      <w:r>
        <w:rPr>
          <w:b/>
        </w:rPr>
        <w:t xml:space="preserve"> </w:t>
      </w:r>
      <w:r w:rsidR="00CA4FED" w:rsidRPr="005366AC">
        <w:rPr>
          <w:b/>
        </w:rPr>
        <w:t xml:space="preserve">Additional efforts should be made </w:t>
      </w:r>
      <w:r w:rsidR="00CA4FED" w:rsidRPr="005366AC">
        <w:rPr>
          <w:b/>
        </w:rPr>
        <w:lastRenderedPageBreak/>
        <w:t xml:space="preserve">by </w:t>
      </w:r>
      <w:r w:rsidR="0008203F">
        <w:rPr>
          <w:b/>
        </w:rPr>
        <w:t>Trócaire</w:t>
      </w:r>
      <w:r w:rsidR="00CA4FED" w:rsidRPr="005366AC">
        <w:rPr>
          <w:b/>
        </w:rPr>
        <w:t xml:space="preserve"> to link the various partners/stakeholders with the </w:t>
      </w:r>
      <w:r>
        <w:rPr>
          <w:b/>
        </w:rPr>
        <w:t>five</w:t>
      </w:r>
      <w:r w:rsidR="00CA4FED" w:rsidRPr="005366AC">
        <w:rPr>
          <w:b/>
        </w:rPr>
        <w:t xml:space="preserve"> implementing partners, to increase impact and decrease duplication. </w:t>
      </w:r>
      <w:r w:rsidR="00694086" w:rsidRPr="005366AC">
        <w:rPr>
          <w:b/>
        </w:rPr>
        <w:t>The Pakistan EVAW</w:t>
      </w:r>
      <w:r w:rsidR="00E35A3A" w:rsidRPr="005366AC">
        <w:rPr>
          <w:b/>
        </w:rPr>
        <w:t>G</w:t>
      </w:r>
      <w:r>
        <w:rPr>
          <w:b/>
        </w:rPr>
        <w:t xml:space="preserve"> </w:t>
      </w:r>
      <w:r w:rsidR="007A137C">
        <w:rPr>
          <w:b/>
        </w:rPr>
        <w:t>A</w:t>
      </w:r>
      <w:r w:rsidR="00694086" w:rsidRPr="005366AC">
        <w:rPr>
          <w:b/>
        </w:rPr>
        <w:t>lliance</w:t>
      </w:r>
      <w:r>
        <w:rPr>
          <w:b/>
        </w:rPr>
        <w:t xml:space="preserve"> potentially</w:t>
      </w:r>
      <w:r w:rsidR="00694086" w:rsidRPr="005366AC">
        <w:rPr>
          <w:b/>
        </w:rPr>
        <w:t xml:space="preserve"> has a </w:t>
      </w:r>
      <w:r>
        <w:rPr>
          <w:b/>
        </w:rPr>
        <w:t xml:space="preserve">greater coordination </w:t>
      </w:r>
      <w:r w:rsidR="00694086" w:rsidRPr="005366AC">
        <w:rPr>
          <w:b/>
        </w:rPr>
        <w:t>role to play here. There is a need for more opportunities for the five</w:t>
      </w:r>
      <w:r w:rsidR="00BB657F">
        <w:rPr>
          <w:b/>
        </w:rPr>
        <w:t xml:space="preserve"> implementing partners</w:t>
      </w:r>
      <w:r w:rsidR="00694086" w:rsidRPr="005366AC">
        <w:rPr>
          <w:b/>
        </w:rPr>
        <w:t xml:space="preserve"> to physically come together to share models, approaches, experiences, challenges, and lessons.</w:t>
      </w:r>
      <w:r w:rsidR="00694086" w:rsidRPr="005366AC">
        <w:t xml:space="preserve"> For example, ACT and ABAD should physically visit each other’s helpline set up to explore advantages and disadvantages of the different models. At present, partners come together annually in Islamabad for the planning and review workshop, but inadequate time is spent on sharing and discussing approaches, strategies and lessons. </w:t>
      </w:r>
      <w:r w:rsidR="00694086" w:rsidRPr="005366AC">
        <w:rPr>
          <w:b/>
        </w:rPr>
        <w:t xml:space="preserve">Before the end of the investment, a </w:t>
      </w:r>
      <w:r w:rsidR="00B65900">
        <w:rPr>
          <w:b/>
        </w:rPr>
        <w:t xml:space="preserve">two to three </w:t>
      </w:r>
      <w:r w:rsidR="00694086" w:rsidRPr="005366AC">
        <w:rPr>
          <w:b/>
        </w:rPr>
        <w:t xml:space="preserve">day specific lessons learnt workshop should be held to ensure lessons are shared and documented. </w:t>
      </w:r>
      <w:r w:rsidR="00694086" w:rsidRPr="00365DD3">
        <w:rPr>
          <w:b/>
        </w:rPr>
        <w:t xml:space="preserve">Specific time should be set aside for SDS, PVDP and ACT to explore their </w:t>
      </w:r>
      <w:r w:rsidR="00E35A3A" w:rsidRPr="00365DD3">
        <w:rPr>
          <w:b/>
        </w:rPr>
        <w:t>experiences and lessons in implementing the SASA! approach,</w:t>
      </w:r>
      <w:r w:rsidR="00694086" w:rsidRPr="00365DD3">
        <w:rPr>
          <w:b/>
        </w:rPr>
        <w:t xml:space="preserve"> and </w:t>
      </w:r>
      <w:r w:rsidR="00E35A3A" w:rsidRPr="00365DD3">
        <w:rPr>
          <w:b/>
        </w:rPr>
        <w:t xml:space="preserve">for SDS and PVDP to reflect on </w:t>
      </w:r>
      <w:r w:rsidR="00694086" w:rsidRPr="00365DD3">
        <w:rPr>
          <w:b/>
        </w:rPr>
        <w:t>the role of vocational training as a tangible ‘hook’. ABAD</w:t>
      </w:r>
      <w:r w:rsidR="00E35A3A" w:rsidRPr="00365DD3">
        <w:rPr>
          <w:b/>
        </w:rPr>
        <w:t xml:space="preserve"> should share it</w:t>
      </w:r>
      <w:r w:rsidR="00694086" w:rsidRPr="00365DD3">
        <w:rPr>
          <w:b/>
        </w:rPr>
        <w:t>s experience</w:t>
      </w:r>
      <w:r w:rsidR="00E35A3A" w:rsidRPr="00365DD3">
        <w:rPr>
          <w:b/>
        </w:rPr>
        <w:t xml:space="preserve"> and the process it adopted</w:t>
      </w:r>
      <w:r>
        <w:rPr>
          <w:b/>
        </w:rPr>
        <w:t xml:space="preserve"> </w:t>
      </w:r>
      <w:r w:rsidR="00E35A3A" w:rsidRPr="00365DD3">
        <w:rPr>
          <w:b/>
        </w:rPr>
        <w:t xml:space="preserve">of </w:t>
      </w:r>
      <w:r w:rsidR="00694086" w:rsidRPr="00365DD3">
        <w:rPr>
          <w:b/>
        </w:rPr>
        <w:t xml:space="preserve">linking with the </w:t>
      </w:r>
      <w:r w:rsidR="00694086" w:rsidRPr="002D514F">
        <w:rPr>
          <w:b/>
          <w:i/>
        </w:rPr>
        <w:t>Darul</w:t>
      </w:r>
      <w:r w:rsidRPr="002D514F">
        <w:rPr>
          <w:b/>
          <w:i/>
        </w:rPr>
        <w:t xml:space="preserve"> </w:t>
      </w:r>
      <w:r w:rsidR="00694086" w:rsidRPr="002D514F">
        <w:rPr>
          <w:b/>
          <w:i/>
        </w:rPr>
        <w:t>Aman</w:t>
      </w:r>
      <w:r w:rsidR="00694086" w:rsidRPr="00365DD3">
        <w:rPr>
          <w:b/>
        </w:rPr>
        <w:t xml:space="preserve"> in Hyderabad with NET and PVDP. Partners and technical consultants should jointly strategise around media/advocacy approaches</w:t>
      </w:r>
      <w:r w:rsidR="00E35A3A" w:rsidRPr="00365DD3">
        <w:rPr>
          <w:b/>
        </w:rPr>
        <w:t xml:space="preserve">; this will become increasingly important as </w:t>
      </w:r>
      <w:r>
        <w:rPr>
          <w:b/>
        </w:rPr>
        <w:t>the two</w:t>
      </w:r>
      <w:r w:rsidR="00E35A3A" w:rsidRPr="00365DD3">
        <w:rPr>
          <w:b/>
        </w:rPr>
        <w:t xml:space="preserve"> new advocacy partners take on their respective provincial roles</w:t>
      </w:r>
      <w:r w:rsidR="00A72516" w:rsidRPr="00365DD3">
        <w:rPr>
          <w:b/>
        </w:rPr>
        <w:t xml:space="preserve"> in 2017</w:t>
      </w:r>
      <w:r w:rsidR="00694086" w:rsidRPr="00365DD3">
        <w:rPr>
          <w:b/>
        </w:rPr>
        <w:t>.</w:t>
      </w:r>
      <w:r w:rsidR="00365DD3" w:rsidRPr="00365DD3">
        <w:rPr>
          <w:b/>
        </w:rPr>
        <w:t xml:space="preserve"> Additional opportunities to harmonise with other key stakeholders and donor investments in the EVAW sector should be </w:t>
      </w:r>
      <w:r>
        <w:rPr>
          <w:b/>
        </w:rPr>
        <w:t>actively explored</w:t>
      </w:r>
      <w:r w:rsidR="00365DD3" w:rsidRPr="00365DD3">
        <w:rPr>
          <w:b/>
        </w:rPr>
        <w:t>.</w:t>
      </w:r>
      <w:r w:rsidR="00683454">
        <w:rPr>
          <w:b/>
        </w:rPr>
        <w:t xml:space="preserve"> </w:t>
      </w:r>
      <w:r>
        <w:rPr>
          <w:b/>
        </w:rPr>
        <w:t xml:space="preserve">As noted above, a specific indicator to track </w:t>
      </w:r>
      <w:r w:rsidR="0008203F">
        <w:rPr>
          <w:b/>
        </w:rPr>
        <w:t>Trócaire</w:t>
      </w:r>
      <w:r>
        <w:rPr>
          <w:b/>
        </w:rPr>
        <w:t>’s performance in this area would be valuable</w:t>
      </w:r>
      <w:r w:rsidR="00DB47B0">
        <w:rPr>
          <w:b/>
        </w:rPr>
        <w:t>.</w:t>
      </w:r>
    </w:p>
    <w:p w14:paraId="02994EDD" w14:textId="77777777" w:rsidR="00A678E3" w:rsidRDefault="00A678E3" w:rsidP="005366AC">
      <w:pPr>
        <w:pStyle w:val="Heading3"/>
      </w:pPr>
      <w:bookmarkStart w:id="35" w:name="_Toc491355898"/>
      <w:r>
        <w:t>Role of the Australian High Commission</w:t>
      </w:r>
      <w:bookmarkEnd w:id="35"/>
    </w:p>
    <w:p w14:paraId="4E732AE8" w14:textId="09255B3F" w:rsidR="00A678E3" w:rsidRPr="00283B36" w:rsidRDefault="00A678E3" w:rsidP="00A678E3">
      <w:r>
        <w:t>The AHC is very active in promoting gender equality</w:t>
      </w:r>
      <w:r w:rsidR="001D7CE2">
        <w:t xml:space="preserve"> and women’s empowerment</w:t>
      </w:r>
      <w:r>
        <w:t xml:space="preserve"> in Pakistan, led by a proactive High Commissioner and supported by a dedicated team. The AHC (particularly DFAT and</w:t>
      </w:r>
      <w:r w:rsidR="00597984">
        <w:t xml:space="preserve"> Australian Federal Police</w:t>
      </w:r>
      <w:r w:rsidR="00484EE4">
        <w:t xml:space="preserve"> to some extent</w:t>
      </w:r>
      <w:r>
        <w:t>) is already playing an important linking, leverag</w:t>
      </w:r>
      <w:r w:rsidR="001D7CE2">
        <w:t>ing</w:t>
      </w:r>
      <w:r>
        <w:t xml:space="preserve"> and convening role in the EVAW sector, but these efforts could be strengthened</w:t>
      </w:r>
      <w:r w:rsidRPr="00A678E3">
        <w:rPr>
          <w:b/>
        </w:rPr>
        <w:t xml:space="preserve">. In particular, DFAT should ensure the </w:t>
      </w:r>
      <w:r w:rsidR="00B65900">
        <w:rPr>
          <w:b/>
        </w:rPr>
        <w:t>Program Manager (Gender)</w:t>
      </w:r>
      <w:r w:rsidRPr="00A678E3">
        <w:rPr>
          <w:b/>
        </w:rPr>
        <w:t xml:space="preserve"> has adequate time to devote to the GBV </w:t>
      </w:r>
      <w:r w:rsidR="00B65900">
        <w:rPr>
          <w:b/>
        </w:rPr>
        <w:t>Program</w:t>
      </w:r>
      <w:r w:rsidR="009061AB">
        <w:rPr>
          <w:b/>
        </w:rPr>
        <w:t>, including connecting with the AFP</w:t>
      </w:r>
      <w:r w:rsidRPr="00A678E3">
        <w:rPr>
          <w:b/>
        </w:rPr>
        <w:t xml:space="preserve">. </w:t>
      </w:r>
      <w:r w:rsidR="00283B36" w:rsidRPr="005366AC">
        <w:rPr>
          <w:b/>
        </w:rPr>
        <w:t xml:space="preserve">There should be increased information sharing between </w:t>
      </w:r>
      <w:r w:rsidR="0008203F">
        <w:rPr>
          <w:b/>
        </w:rPr>
        <w:t>Trócaire</w:t>
      </w:r>
      <w:r w:rsidR="00283B36" w:rsidRPr="005366AC">
        <w:rPr>
          <w:b/>
        </w:rPr>
        <w:t xml:space="preserve"> and the AHC and it is recommended that a quarterly minuted meeting be held to discuss outstanding program related issues</w:t>
      </w:r>
      <w:r w:rsidR="001D7CE2">
        <w:rPr>
          <w:b/>
        </w:rPr>
        <w:t xml:space="preserve"> and advocacy opportunities</w:t>
      </w:r>
      <w:r w:rsidR="00283B36" w:rsidRPr="005366AC">
        <w:rPr>
          <w:b/>
        </w:rPr>
        <w:t>.</w:t>
      </w:r>
      <w:r w:rsidR="001D7CE2">
        <w:rPr>
          <w:b/>
        </w:rPr>
        <w:t xml:space="preserve"> </w:t>
      </w:r>
      <w:r w:rsidR="0008203F">
        <w:rPr>
          <w:b/>
        </w:rPr>
        <w:t>Trócaire</w:t>
      </w:r>
      <w:r w:rsidR="00283B36" w:rsidRPr="005366AC">
        <w:rPr>
          <w:b/>
        </w:rPr>
        <w:t xml:space="preserve"> should </w:t>
      </w:r>
      <w:r w:rsidR="001D7CE2">
        <w:rPr>
          <w:b/>
        </w:rPr>
        <w:t>strategically engage</w:t>
      </w:r>
      <w:r w:rsidR="001D7CE2" w:rsidRPr="005366AC">
        <w:rPr>
          <w:b/>
        </w:rPr>
        <w:t xml:space="preserve"> </w:t>
      </w:r>
      <w:r w:rsidR="00283B36" w:rsidRPr="005366AC">
        <w:rPr>
          <w:b/>
        </w:rPr>
        <w:t xml:space="preserve">AHC </w:t>
      </w:r>
      <w:r w:rsidR="001D7CE2">
        <w:rPr>
          <w:b/>
        </w:rPr>
        <w:t>to utilise</w:t>
      </w:r>
      <w:r w:rsidR="001D7CE2" w:rsidRPr="005366AC">
        <w:rPr>
          <w:b/>
        </w:rPr>
        <w:t xml:space="preserve"> </w:t>
      </w:r>
      <w:r w:rsidR="00283B36" w:rsidRPr="005366AC">
        <w:rPr>
          <w:b/>
        </w:rPr>
        <w:t>its convening power and leverage when required, particularly for fostering linkages with relevant Government Ministries, Departments and Commissions</w:t>
      </w:r>
      <w:r w:rsidR="00283B36">
        <w:rPr>
          <w:b/>
        </w:rPr>
        <w:t xml:space="preserve">. </w:t>
      </w:r>
      <w:r w:rsidR="001D7CE2">
        <w:rPr>
          <w:b/>
        </w:rPr>
        <w:t xml:space="preserve"> </w:t>
      </w:r>
      <w:r w:rsidR="00484EE4" w:rsidRPr="00484EE4">
        <w:rPr>
          <w:b/>
          <w:shd w:val="clear" w:color="auto" w:fill="FFFFFF"/>
        </w:rPr>
        <w:t xml:space="preserve">If </w:t>
      </w:r>
      <w:r w:rsidR="00C92B44">
        <w:rPr>
          <w:b/>
          <w:shd w:val="clear" w:color="auto" w:fill="FFFFFF"/>
        </w:rPr>
        <w:t xml:space="preserve">the </w:t>
      </w:r>
      <w:r w:rsidR="00484EE4" w:rsidRPr="00484EE4">
        <w:rPr>
          <w:b/>
          <w:shd w:val="clear" w:color="auto" w:fill="FFFFFF"/>
        </w:rPr>
        <w:t>Australia</w:t>
      </w:r>
      <w:r w:rsidR="00C92B44">
        <w:rPr>
          <w:b/>
          <w:shd w:val="clear" w:color="auto" w:fill="FFFFFF"/>
        </w:rPr>
        <w:t>n Government</w:t>
      </w:r>
      <w:r w:rsidR="00484EE4" w:rsidRPr="00484EE4">
        <w:rPr>
          <w:b/>
          <w:shd w:val="clear" w:color="auto" w:fill="FFFFFF"/>
        </w:rPr>
        <w:t xml:space="preserve"> is to continue support for this </w:t>
      </w:r>
      <w:r w:rsidR="00C92B44">
        <w:rPr>
          <w:b/>
          <w:shd w:val="clear" w:color="auto" w:fill="FFFFFF"/>
        </w:rPr>
        <w:t xml:space="preserve">GBV </w:t>
      </w:r>
      <w:r w:rsidR="00484EE4" w:rsidRPr="00484EE4">
        <w:rPr>
          <w:b/>
          <w:shd w:val="clear" w:color="auto" w:fill="FFFFFF"/>
        </w:rPr>
        <w:t xml:space="preserve">program </w:t>
      </w:r>
      <w:r w:rsidR="00B65900">
        <w:rPr>
          <w:b/>
          <w:shd w:val="clear" w:color="auto" w:fill="FFFFFF"/>
        </w:rPr>
        <w:t>beyond program completion</w:t>
      </w:r>
      <w:r w:rsidR="00484EE4" w:rsidRPr="00484EE4">
        <w:rPr>
          <w:b/>
          <w:shd w:val="clear" w:color="auto" w:fill="FFFFFF"/>
        </w:rPr>
        <w:t xml:space="preserve">, planning should commence </w:t>
      </w:r>
      <w:r w:rsidR="0083732E">
        <w:rPr>
          <w:b/>
          <w:shd w:val="clear" w:color="auto" w:fill="FFFFFF"/>
        </w:rPr>
        <w:t>by mid</w:t>
      </w:r>
      <w:r w:rsidR="00B65900">
        <w:rPr>
          <w:b/>
          <w:shd w:val="clear" w:color="auto" w:fill="FFFFFF"/>
        </w:rPr>
        <w:t>-</w:t>
      </w:r>
      <w:r w:rsidR="00484EE4" w:rsidRPr="00484EE4">
        <w:rPr>
          <w:b/>
          <w:shd w:val="clear" w:color="auto" w:fill="FFFFFF"/>
        </w:rPr>
        <w:t>2017 to ensure there is no gap between the current phase and next phase, as this would have significant impact on effectiveness and efficiency.</w:t>
      </w:r>
    </w:p>
    <w:p w14:paraId="357DBA56" w14:textId="77777777" w:rsidR="005753B6" w:rsidRPr="00342107" w:rsidRDefault="005753B6" w:rsidP="002D514F">
      <w:pPr>
        <w:pStyle w:val="Heading2"/>
      </w:pPr>
      <w:bookmarkStart w:id="36" w:name="_Toc491355899"/>
      <w:r w:rsidRPr="00342107">
        <w:t>Monitoring, Evaluation and Learning (MEL)</w:t>
      </w:r>
      <w:bookmarkEnd w:id="36"/>
    </w:p>
    <w:p w14:paraId="0B5FA756" w14:textId="792A46D7" w:rsidR="005753B6" w:rsidRDefault="005753B6" w:rsidP="002D514F">
      <w:pPr>
        <w:pStyle w:val="Heading3"/>
      </w:pPr>
      <w:bookmarkStart w:id="37" w:name="_Toc491355900"/>
      <w:r>
        <w:t xml:space="preserve">Theory of Change </w:t>
      </w:r>
      <w:bookmarkEnd w:id="37"/>
    </w:p>
    <w:p w14:paraId="336254C7" w14:textId="1BD0622F" w:rsidR="005753B6" w:rsidRDefault="005753B6" w:rsidP="005753B6">
      <w:r>
        <w:t xml:space="preserve">As outlined above, there are weaknesses in the original </w:t>
      </w:r>
      <w:r w:rsidR="00B65900">
        <w:t>TOC</w:t>
      </w:r>
      <w:r>
        <w:t xml:space="preserve"> (in particular on advocacy, and reintegration of survivors), but </w:t>
      </w:r>
      <w:r w:rsidR="0008203F">
        <w:t>Trócaire</w:t>
      </w:r>
      <w:r>
        <w:t xml:space="preserve"> has demonstrated that it is actively using lessons learnt to inform programming decisions and address some of these weaknesses</w:t>
      </w:r>
      <w:r w:rsidR="002625F0">
        <w:t>. However</w:t>
      </w:r>
      <w:r>
        <w:t xml:space="preserve">, with 18 months remaining, there are risks to effectiveness and efficiency of further changes to partners or strategies. </w:t>
      </w:r>
      <w:r w:rsidRPr="002D514F">
        <w:rPr>
          <w:b/>
        </w:rPr>
        <w:t>All c</w:t>
      </w:r>
      <w:r w:rsidR="002625F0" w:rsidRPr="002D514F">
        <w:rPr>
          <w:b/>
        </w:rPr>
        <w:t>hanges in strategy or partners</w:t>
      </w:r>
      <w:r w:rsidR="002625F0">
        <w:rPr>
          <w:b/>
        </w:rPr>
        <w:t>, the basis for these changes and the underlying assumptions</w:t>
      </w:r>
      <w:r w:rsidRPr="002D514F">
        <w:rPr>
          <w:b/>
        </w:rPr>
        <w:t xml:space="preserve"> should be clearly documented.</w:t>
      </w:r>
      <w:r>
        <w:t xml:space="preserve"> </w:t>
      </w:r>
    </w:p>
    <w:p w14:paraId="62B4FB4A" w14:textId="5B8CF0A5" w:rsidR="005753B6" w:rsidRDefault="005753B6" w:rsidP="002D514F">
      <w:pPr>
        <w:pStyle w:val="Heading3"/>
      </w:pPr>
      <w:bookmarkStart w:id="38" w:name="_Toc491355901"/>
      <w:r>
        <w:lastRenderedPageBreak/>
        <w:t>Monitoring and Evaluation Strategy and Results Framework</w:t>
      </w:r>
      <w:bookmarkEnd w:id="38"/>
    </w:p>
    <w:p w14:paraId="5E90D16C" w14:textId="2A3CE647" w:rsidR="0023798A" w:rsidRDefault="005753B6" w:rsidP="0023798A">
      <w:r>
        <w:t xml:space="preserve">Overall, the </w:t>
      </w:r>
      <w:r w:rsidR="00B65900">
        <w:t>M&amp;E</w:t>
      </w:r>
      <w:r>
        <w:t xml:space="preserve"> system is strong, with clearly articulated short-term and long- term outcomes, as well as clear strategies for collecting and verifying data. The </w:t>
      </w:r>
      <w:r w:rsidR="00B65900">
        <w:t xml:space="preserve">M&amp;E </w:t>
      </w:r>
      <w:r>
        <w:t xml:space="preserve">Strategy enables </w:t>
      </w:r>
      <w:r w:rsidR="0008203F">
        <w:t>Trócaire</w:t>
      </w:r>
      <w:r>
        <w:t xml:space="preserve"> to provide DFAT with timely </w:t>
      </w:r>
      <w:r w:rsidR="0023798A">
        <w:t xml:space="preserve">quantitative </w:t>
      </w:r>
      <w:r>
        <w:t>progress data against</w:t>
      </w:r>
      <w:r w:rsidR="0023798A">
        <w:t xml:space="preserve"> indicators under</w:t>
      </w:r>
      <w:r>
        <w:t xml:space="preserve"> the four outcome areas.</w:t>
      </w:r>
      <w:r w:rsidR="0023798A">
        <w:t xml:space="preserve"> The weakness of the current system is its ability to report at the outcome level and demonstrate that the individual components are adding up to ‘more than the sum of the parts’. </w:t>
      </w:r>
      <w:r w:rsidR="0023798A" w:rsidRPr="00E63E55">
        <w:rPr>
          <w:b/>
        </w:rPr>
        <w:t>One way to improve this is to include a substantial comment about progress towards outcomes under each Outcome area in progress reports, in addition to reporting against individual targets or indicators.</w:t>
      </w:r>
      <w:r w:rsidR="0023798A" w:rsidRPr="0023798A">
        <w:t xml:space="preserve"> </w:t>
      </w:r>
    </w:p>
    <w:p w14:paraId="6525E1A1" w14:textId="3835ED93" w:rsidR="0023798A" w:rsidRDefault="0023798A" w:rsidP="002625F0">
      <w:r w:rsidRPr="0021285B">
        <w:t xml:space="preserve">Several MEL </w:t>
      </w:r>
      <w:r>
        <w:t xml:space="preserve">indicators and </w:t>
      </w:r>
      <w:r w:rsidRPr="0021285B">
        <w:t xml:space="preserve">targets have </w:t>
      </w:r>
      <w:r>
        <w:t xml:space="preserve">recently </w:t>
      </w:r>
      <w:r w:rsidRPr="0021285B">
        <w:t xml:space="preserve">been revised (June 2016) and this is appropriate active management of the </w:t>
      </w:r>
      <w:r>
        <w:t>Results Framework</w:t>
      </w:r>
      <w:r w:rsidRPr="0021285B">
        <w:t>.</w:t>
      </w:r>
      <w:r w:rsidRPr="00342107">
        <w:rPr>
          <w:b/>
        </w:rPr>
        <w:t xml:space="preserve"> </w:t>
      </w:r>
      <w:r>
        <w:t>In some cases, current indicators are unable to provide a good indication of progress towards an outcome area (see TOC section above). For</w:t>
      </w:r>
      <w:r w:rsidR="0093768E">
        <w:t xml:space="preserve"> </w:t>
      </w:r>
      <w:r>
        <w:t>example, the number of police officers trained (indicator 1.5.1) does not necessarily lead to improved capacity to sensitively handle GBV cases (Short-term Outcome 1.5) – progress on implementation of action plans 6 months after the training would be a reasonable additional indicator and would assist in making an assessment of outcomes in this area.</w:t>
      </w:r>
      <w:r w:rsidRPr="002625F0">
        <w:rPr>
          <w:b/>
        </w:rPr>
        <w:t xml:space="preserve"> </w:t>
      </w:r>
    </w:p>
    <w:p w14:paraId="024DA7D9" w14:textId="7D5AED48" w:rsidR="002625F0" w:rsidRPr="0021285B" w:rsidRDefault="0023798A" w:rsidP="002625F0">
      <w:pPr>
        <w:rPr>
          <w:b/>
        </w:rPr>
      </w:pPr>
      <w:r>
        <w:rPr>
          <w:b/>
        </w:rPr>
        <w:t xml:space="preserve">Furthermore, </w:t>
      </w:r>
      <w:r w:rsidR="0008203F">
        <w:rPr>
          <w:b/>
        </w:rPr>
        <w:t>Trócaire</w:t>
      </w:r>
      <w:r w:rsidR="002625F0" w:rsidRPr="0021285B">
        <w:rPr>
          <w:b/>
        </w:rPr>
        <w:t xml:space="preserve"> should take</w:t>
      </w:r>
      <w:r w:rsidR="002625F0">
        <w:t xml:space="preserve"> </w:t>
      </w:r>
      <w:r w:rsidR="002625F0">
        <w:rPr>
          <w:b/>
        </w:rPr>
        <w:t>c</w:t>
      </w:r>
      <w:r w:rsidR="002625F0" w:rsidRPr="00342107">
        <w:rPr>
          <w:b/>
        </w:rPr>
        <w:t xml:space="preserve">are to ensure that </w:t>
      </w:r>
      <w:r w:rsidR="002625F0">
        <w:rPr>
          <w:b/>
        </w:rPr>
        <w:t xml:space="preserve">achievement of </w:t>
      </w:r>
      <w:r w:rsidR="002625F0" w:rsidRPr="00342107">
        <w:rPr>
          <w:b/>
        </w:rPr>
        <w:t xml:space="preserve">targets and numbers are not over-emphasised </w:t>
      </w:r>
      <w:r w:rsidR="002625F0">
        <w:rPr>
          <w:b/>
        </w:rPr>
        <w:t xml:space="preserve">in agreements with partners </w:t>
      </w:r>
      <w:r w:rsidR="002625F0" w:rsidRPr="00342107">
        <w:rPr>
          <w:b/>
        </w:rPr>
        <w:t>at the expense of qualitative evi</w:t>
      </w:r>
      <w:r w:rsidR="002625F0">
        <w:rPr>
          <w:b/>
        </w:rPr>
        <w:t xml:space="preserve">dence of longer-term progress. </w:t>
      </w:r>
      <w:r w:rsidR="002625F0" w:rsidRPr="00342107">
        <w:rPr>
          <w:b/>
        </w:rPr>
        <w:t xml:space="preserve">It is recommended that the </w:t>
      </w:r>
      <w:r w:rsidR="00505844">
        <w:rPr>
          <w:b/>
        </w:rPr>
        <w:t>Results Framework</w:t>
      </w:r>
      <w:r w:rsidR="002625F0">
        <w:rPr>
          <w:b/>
        </w:rPr>
        <w:t xml:space="preserve"> (and</w:t>
      </w:r>
      <w:r w:rsidR="002625F0" w:rsidRPr="00342107">
        <w:rPr>
          <w:b/>
        </w:rPr>
        <w:t xml:space="preserve"> </w:t>
      </w:r>
      <w:r w:rsidR="002625F0">
        <w:rPr>
          <w:b/>
        </w:rPr>
        <w:t xml:space="preserve">Knowledge, Attitudes and Practices Survey) </w:t>
      </w:r>
      <w:r w:rsidR="002625F0" w:rsidRPr="00342107">
        <w:rPr>
          <w:b/>
        </w:rPr>
        <w:t>include tracking of unintended consequences (both positive and negative), including conflict sensitivity indicators to ensure the investment is not exacerbating conflict/violence against women in target communities.</w:t>
      </w:r>
      <w:r w:rsidR="002625F0">
        <w:rPr>
          <w:b/>
        </w:rPr>
        <w:t xml:space="preserve"> Corporate indicators to track and give value to areas of </w:t>
      </w:r>
      <w:r w:rsidR="0008203F">
        <w:rPr>
          <w:b/>
        </w:rPr>
        <w:t>Trócaire</w:t>
      </w:r>
      <w:r w:rsidR="002625F0">
        <w:rPr>
          <w:b/>
        </w:rPr>
        <w:t xml:space="preserve"> management (</w:t>
      </w:r>
      <w:r w:rsidR="00C44545">
        <w:rPr>
          <w:b/>
        </w:rPr>
        <w:t>e.g.</w:t>
      </w:r>
      <w:r w:rsidR="002625F0">
        <w:rPr>
          <w:b/>
        </w:rPr>
        <w:t xml:space="preserve"> gender equality indicators, linking and leveraging indicators) are also recommended.</w:t>
      </w:r>
    </w:p>
    <w:p w14:paraId="4D2DFB39" w14:textId="44926A35" w:rsidR="00A12D80" w:rsidRPr="005366AC" w:rsidRDefault="00A12D80" w:rsidP="005366AC">
      <w:pPr>
        <w:pStyle w:val="Heading2"/>
      </w:pPr>
      <w:bookmarkStart w:id="39" w:name="_Toc491355902"/>
      <w:r w:rsidRPr="005366AC">
        <w:t>Sustainability</w:t>
      </w:r>
      <w:bookmarkEnd w:id="39"/>
    </w:p>
    <w:p w14:paraId="15F92723" w14:textId="122A4CC0" w:rsidR="00EA5C11" w:rsidRPr="005366AC" w:rsidRDefault="00EA5C11" w:rsidP="005366AC">
      <w:pPr>
        <w:pStyle w:val="Heading3"/>
      </w:pPr>
      <w:bookmarkStart w:id="40" w:name="_Toc491355903"/>
      <w:r w:rsidRPr="005366AC">
        <w:t xml:space="preserve">Partner </w:t>
      </w:r>
      <w:r w:rsidR="0029753D">
        <w:t xml:space="preserve">Capacity and </w:t>
      </w:r>
      <w:r w:rsidRPr="005366AC">
        <w:t>Sustainability Plans</w:t>
      </w:r>
      <w:bookmarkEnd w:id="40"/>
    </w:p>
    <w:p w14:paraId="46169529" w14:textId="5C5FC36D" w:rsidR="0029753D" w:rsidRDefault="00EA5C11" w:rsidP="005366AC">
      <w:r w:rsidRPr="005366AC">
        <w:t xml:space="preserve">Sustainability of the </w:t>
      </w:r>
      <w:r w:rsidR="00A72516">
        <w:t>P</w:t>
      </w:r>
      <w:r w:rsidRPr="005366AC">
        <w:t xml:space="preserve">rogram is clearly a key concern, but </w:t>
      </w:r>
      <w:r w:rsidR="0008203F">
        <w:t>Trócaire</w:t>
      </w:r>
      <w:r w:rsidRPr="005366AC">
        <w:t xml:space="preserve"> and partners are actively addressing this by</w:t>
      </w:r>
      <w:r w:rsidR="0029753D">
        <w:t xml:space="preserve"> addressing capacity gaps and</w:t>
      </w:r>
      <w:r w:rsidRPr="005366AC">
        <w:t xml:space="preserve"> incorporating sustainability strategies into </w:t>
      </w:r>
      <w:r w:rsidR="00555999" w:rsidRPr="005366AC">
        <w:t xml:space="preserve">annual </w:t>
      </w:r>
      <w:r w:rsidR="00C44545" w:rsidRPr="005366AC">
        <w:t>work plans</w:t>
      </w:r>
      <w:r w:rsidRPr="005366AC">
        <w:t>. For example, both ABAD and ACT have M</w:t>
      </w:r>
      <w:r w:rsidR="00B65900">
        <w:t>o</w:t>
      </w:r>
      <w:r w:rsidRPr="005366AC">
        <w:t>Us with government to ensure helpline funding is included in government budgets post</w:t>
      </w:r>
      <w:r w:rsidR="0029753D">
        <w:t>-</w:t>
      </w:r>
      <w:r w:rsidRPr="005366AC">
        <w:t xml:space="preserve">2018. ABAD is increasing efforts to work with </w:t>
      </w:r>
      <w:r w:rsidR="001F1ED0" w:rsidRPr="005366AC">
        <w:t xml:space="preserve">the </w:t>
      </w:r>
      <w:r w:rsidRPr="002D514F">
        <w:rPr>
          <w:i/>
        </w:rPr>
        <w:t>Darul</w:t>
      </w:r>
      <w:r w:rsidR="0029753D">
        <w:rPr>
          <w:i/>
        </w:rPr>
        <w:t xml:space="preserve"> </w:t>
      </w:r>
      <w:r w:rsidRPr="002D514F">
        <w:rPr>
          <w:i/>
        </w:rPr>
        <w:t xml:space="preserve">Aman </w:t>
      </w:r>
      <w:r w:rsidRPr="005366AC">
        <w:t>in Hyderabad</w:t>
      </w:r>
      <w:r w:rsidR="0029753D">
        <w:t>,</w:t>
      </w:r>
      <w:r w:rsidR="001F1ED0" w:rsidRPr="005366AC">
        <w:t xml:space="preserve"> </w:t>
      </w:r>
      <w:r w:rsidR="0083732E">
        <w:t>and</w:t>
      </w:r>
      <w:r w:rsidR="001F1ED0" w:rsidRPr="005366AC">
        <w:t xml:space="preserve"> PVDP </w:t>
      </w:r>
      <w:r w:rsidR="0083732E">
        <w:t xml:space="preserve">continues efforts to engage with the Swat </w:t>
      </w:r>
      <w:r w:rsidR="0083732E" w:rsidRPr="00E63E55">
        <w:rPr>
          <w:i/>
        </w:rPr>
        <w:t>Darul Aman</w:t>
      </w:r>
      <w:r w:rsidRPr="00E63E55">
        <w:rPr>
          <w:i/>
        </w:rPr>
        <w:t>.</w:t>
      </w:r>
      <w:r w:rsidR="00A71DE5">
        <w:t xml:space="preserve"> It is crucial that NET improve its linkages with government.</w:t>
      </w:r>
      <w:r w:rsidR="0029753D">
        <w:t xml:space="preserve"> </w:t>
      </w:r>
    </w:p>
    <w:p w14:paraId="125F1866" w14:textId="0068AD68" w:rsidR="00EA5C11" w:rsidRPr="005366AC" w:rsidRDefault="009C3CFA" w:rsidP="0029753D">
      <w:r>
        <w:t>It is hoped that th</w:t>
      </w:r>
      <w:r w:rsidR="0029753D">
        <w:t xml:space="preserve">e SASA! </w:t>
      </w:r>
      <w:r w:rsidR="004B2DD4">
        <w:t>a</w:t>
      </w:r>
      <w:r w:rsidR="0029753D">
        <w:t xml:space="preserve">pproach now being implemented by ACT, SDS and PVDP </w:t>
      </w:r>
      <w:r>
        <w:t>will</w:t>
      </w:r>
      <w:r w:rsidR="0029753D">
        <w:t xml:space="preserve"> be </w:t>
      </w:r>
      <w:r w:rsidR="0029753D" w:rsidRPr="005366AC">
        <w:rPr>
          <w:lang w:val="en-US"/>
        </w:rPr>
        <w:t>a more effective strategy to achieve sustained change within communities</w:t>
      </w:r>
      <w:r w:rsidR="0029753D">
        <w:rPr>
          <w:lang w:val="en-US"/>
        </w:rPr>
        <w:t xml:space="preserve">. </w:t>
      </w:r>
      <w:r w:rsidR="0029753D">
        <w:t>S</w:t>
      </w:r>
      <w:r w:rsidR="0029753D" w:rsidRPr="002A3395">
        <w:t>ocial mobilization</w:t>
      </w:r>
      <w:r w:rsidR="0029753D" w:rsidRPr="005366AC">
        <w:rPr>
          <w:lang w:val="en-US"/>
        </w:rPr>
        <w:t xml:space="preserve"> requires i</w:t>
      </w:r>
      <w:r>
        <w:rPr>
          <w:lang w:val="en-US"/>
        </w:rPr>
        <w:t xml:space="preserve">ntensive efforts to build trust and </w:t>
      </w:r>
      <w:r w:rsidR="0029753D" w:rsidRPr="005366AC">
        <w:rPr>
          <w:lang w:val="en-US"/>
        </w:rPr>
        <w:t>ownership</w:t>
      </w:r>
      <w:r>
        <w:rPr>
          <w:lang w:val="en-US"/>
        </w:rPr>
        <w:t xml:space="preserve"> that could eventually lead to</w:t>
      </w:r>
      <w:r w:rsidR="0029753D" w:rsidRPr="005366AC">
        <w:rPr>
          <w:lang w:val="en-US"/>
        </w:rPr>
        <w:t xml:space="preserve"> </w:t>
      </w:r>
      <w:r w:rsidR="00C44545" w:rsidRPr="005366AC">
        <w:rPr>
          <w:lang w:val="en-US"/>
        </w:rPr>
        <w:t>behavioral</w:t>
      </w:r>
      <w:r w:rsidR="00C44545">
        <w:rPr>
          <w:lang w:val="en-US"/>
        </w:rPr>
        <w:t xml:space="preserve"> and attitudinal change</w:t>
      </w:r>
      <w:r>
        <w:rPr>
          <w:lang w:val="en-US"/>
        </w:rPr>
        <w:t xml:space="preserve"> and it is a positive sign </w:t>
      </w:r>
      <w:r w:rsidRPr="005366AC">
        <w:rPr>
          <w:lang w:val="en-US"/>
        </w:rPr>
        <w:t xml:space="preserve">that </w:t>
      </w:r>
      <w:r>
        <w:rPr>
          <w:lang w:val="en-US"/>
        </w:rPr>
        <w:t xml:space="preserve">under SASA! </w:t>
      </w:r>
      <w:r w:rsidRPr="005366AC">
        <w:rPr>
          <w:lang w:val="en-US"/>
        </w:rPr>
        <w:t>male and female CAs are embedded within their communities and will have the capacity to continue to work for social change after the investment ends.</w:t>
      </w:r>
    </w:p>
    <w:p w14:paraId="6537BABF" w14:textId="77777777" w:rsidR="001052CC" w:rsidRPr="005366AC" w:rsidRDefault="001052CC" w:rsidP="005366AC">
      <w:pPr>
        <w:pStyle w:val="Heading3"/>
      </w:pPr>
      <w:bookmarkStart w:id="41" w:name="_Toc491355904"/>
      <w:r w:rsidRPr="005366AC">
        <w:t>Private Sector / C</w:t>
      </w:r>
      <w:r w:rsidR="00581416" w:rsidRPr="005366AC">
        <w:t xml:space="preserve">orporate </w:t>
      </w:r>
      <w:r w:rsidRPr="005366AC">
        <w:t>S</w:t>
      </w:r>
      <w:r w:rsidR="00581416" w:rsidRPr="005366AC">
        <w:t xml:space="preserve">ocial </w:t>
      </w:r>
      <w:r w:rsidRPr="005366AC">
        <w:t>R</w:t>
      </w:r>
      <w:r w:rsidR="00581416" w:rsidRPr="005366AC">
        <w:t>esponsibility (CSR)</w:t>
      </w:r>
      <w:r w:rsidRPr="005366AC">
        <w:t xml:space="preserve"> / Philanthropy</w:t>
      </w:r>
      <w:bookmarkEnd w:id="41"/>
    </w:p>
    <w:p w14:paraId="26042C59" w14:textId="5521A3E1" w:rsidR="00EA5C11" w:rsidRPr="005366AC" w:rsidRDefault="00EA5C11" w:rsidP="005366AC">
      <w:r w:rsidRPr="005366AC">
        <w:rPr>
          <w:b/>
        </w:rPr>
        <w:t xml:space="preserve">Significant opportunities exist to partner with philanthropists and the private sector through CSR </w:t>
      </w:r>
      <w:r w:rsidR="004F0D84">
        <w:rPr>
          <w:b/>
        </w:rPr>
        <w:t xml:space="preserve">and corporate sponsorship </w:t>
      </w:r>
      <w:r w:rsidRPr="005366AC">
        <w:rPr>
          <w:b/>
        </w:rPr>
        <w:t>to leverage greater impact and assist with sustainability.</w:t>
      </w:r>
      <w:r w:rsidRPr="005366AC">
        <w:t xml:space="preserve"> For example, a </w:t>
      </w:r>
      <w:r w:rsidRPr="005366AC">
        <w:lastRenderedPageBreak/>
        <w:t>male community activist in Jamshoro</w:t>
      </w:r>
      <w:r w:rsidR="00584302">
        <w:t xml:space="preserve"> (SDS)</w:t>
      </w:r>
      <w:r w:rsidRPr="005366AC">
        <w:t xml:space="preserve"> lobbied Novartis </w:t>
      </w:r>
      <w:r w:rsidR="00584302">
        <w:t>Pharma (Pakistan) Limited</w:t>
      </w:r>
      <w:r w:rsidR="009C3CFA">
        <w:t>,</w:t>
      </w:r>
      <w:r w:rsidR="00584302">
        <w:t xml:space="preserve"> a global healthcare </w:t>
      </w:r>
      <w:r w:rsidRPr="005366AC">
        <w:t>company</w:t>
      </w:r>
      <w:r w:rsidR="009C3CFA">
        <w:t>,</w:t>
      </w:r>
      <w:r w:rsidRPr="005366AC">
        <w:t xml:space="preserve"> to provide 40 wheelchairs to community members</w:t>
      </w:r>
      <w:r w:rsidR="009C3CFA">
        <w:t xml:space="preserve"> with disabilities</w:t>
      </w:r>
      <w:r w:rsidRPr="005366AC">
        <w:t>. As discussed above, opportunities to partner with Zong to cover helpline costs</w:t>
      </w:r>
      <w:r w:rsidR="00567C34" w:rsidRPr="005366AC">
        <w:t xml:space="preserve"> in Hyderabad</w:t>
      </w:r>
      <w:r w:rsidR="009C3CFA">
        <w:t xml:space="preserve"> </w:t>
      </w:r>
      <w:r w:rsidRPr="005366AC">
        <w:t>should be explored</w:t>
      </w:r>
      <w:r w:rsidR="00567C34" w:rsidRPr="005366AC">
        <w:t xml:space="preserve"> by </w:t>
      </w:r>
      <w:r w:rsidR="0008203F">
        <w:t>Trócaire</w:t>
      </w:r>
      <w:r w:rsidRPr="005366AC">
        <w:t>.</w:t>
      </w:r>
    </w:p>
    <w:p w14:paraId="09260895" w14:textId="77777777" w:rsidR="00B314D9" w:rsidRPr="005366AC" w:rsidRDefault="004F0D84" w:rsidP="005366AC">
      <w:pPr>
        <w:pStyle w:val="Heading3"/>
      </w:pPr>
      <w:bookmarkStart w:id="42" w:name="_Toc491355905"/>
      <w:r>
        <w:t>Linkages with</w:t>
      </w:r>
      <w:r w:rsidR="00B314D9" w:rsidRPr="005366AC">
        <w:t xml:space="preserve"> Government</w:t>
      </w:r>
      <w:r>
        <w:t>, especially provincial Government</w:t>
      </w:r>
      <w:bookmarkEnd w:id="42"/>
    </w:p>
    <w:p w14:paraId="13240317" w14:textId="31B4E083" w:rsidR="004F0D84" w:rsidRPr="005366AC" w:rsidRDefault="00EA5C11" w:rsidP="00EA6BF6">
      <w:r w:rsidRPr="005366AC">
        <w:t xml:space="preserve">There are some very strong linkages with government at different levels, but there are </w:t>
      </w:r>
      <w:r w:rsidR="00567C34" w:rsidRPr="005366AC">
        <w:t xml:space="preserve">also </w:t>
      </w:r>
      <w:r w:rsidRPr="005366AC">
        <w:t>significant gaps at federal, provincial and district levels</w:t>
      </w:r>
      <w:r w:rsidR="00382210" w:rsidRPr="005366AC">
        <w:t xml:space="preserve">. </w:t>
      </w:r>
      <w:r w:rsidR="00694086" w:rsidRPr="005366AC">
        <w:t>At the federal level, NET has linkages with provincial presence of Ministry of Human Rights</w:t>
      </w:r>
      <w:r w:rsidR="00B65900">
        <w:t xml:space="preserve">, </w:t>
      </w:r>
      <w:r w:rsidR="0008203F">
        <w:t>Trócaire</w:t>
      </w:r>
      <w:r w:rsidR="00694086" w:rsidRPr="005366AC">
        <w:t xml:space="preserve"> has linkages with </w:t>
      </w:r>
      <w:r w:rsidR="00BC0D60">
        <w:t xml:space="preserve">the </w:t>
      </w:r>
      <w:r w:rsidR="00694086" w:rsidRPr="005366AC">
        <w:t>NCSW and W</w:t>
      </w:r>
      <w:r w:rsidR="00B65900">
        <w:t xml:space="preserve">omen’s </w:t>
      </w:r>
      <w:r w:rsidR="00694086" w:rsidRPr="005366AC">
        <w:t>P</w:t>
      </w:r>
      <w:r w:rsidR="00B65900">
        <w:t xml:space="preserve">arliamentary </w:t>
      </w:r>
      <w:r w:rsidR="00694086" w:rsidRPr="005366AC">
        <w:t>C</w:t>
      </w:r>
      <w:r w:rsidR="00B65900">
        <w:t>aucus (WPC)</w:t>
      </w:r>
      <w:r w:rsidR="004F0D84">
        <w:t xml:space="preserve">, but there are currently no linkages with the </w:t>
      </w:r>
      <w:r w:rsidR="00B65900">
        <w:t>NCHR</w:t>
      </w:r>
      <w:r w:rsidR="004F0D84" w:rsidRPr="00744D21">
        <w:t>.</w:t>
      </w:r>
      <w:r w:rsidR="00EA6BF6" w:rsidRPr="00EA6BF6">
        <w:t xml:space="preserve"> </w:t>
      </w:r>
    </w:p>
    <w:p w14:paraId="3019A826" w14:textId="76931385" w:rsidR="00694086" w:rsidRDefault="00694086">
      <w:r w:rsidRPr="005366AC">
        <w:t xml:space="preserve">At the provincial level, ACT has strong linkages with Social Welfare KP. In Sindh, linkages with the provincial government are weak – all linkages are at the district level. </w:t>
      </w:r>
      <w:r w:rsidR="004F0D84">
        <w:rPr>
          <w:b/>
        </w:rPr>
        <w:t>Program partners should consider</w:t>
      </w:r>
      <w:r w:rsidRPr="004F0D84">
        <w:rPr>
          <w:b/>
        </w:rPr>
        <w:t xml:space="preserve"> linking with the Sindh Human Rights </w:t>
      </w:r>
      <w:r w:rsidR="00C44545" w:rsidRPr="004F0D84">
        <w:rPr>
          <w:b/>
        </w:rPr>
        <w:t>Commission, which</w:t>
      </w:r>
      <w:r w:rsidRPr="004F0D84">
        <w:rPr>
          <w:b/>
        </w:rPr>
        <w:t xml:space="preserve"> is active in th</w:t>
      </w:r>
      <w:r w:rsidR="009C3CFA">
        <w:rPr>
          <w:b/>
        </w:rPr>
        <w:t xml:space="preserve">e </w:t>
      </w:r>
      <w:r w:rsidRPr="004F0D84">
        <w:rPr>
          <w:b/>
        </w:rPr>
        <w:t>area</w:t>
      </w:r>
      <w:r w:rsidR="009C3CFA">
        <w:rPr>
          <w:b/>
        </w:rPr>
        <w:t xml:space="preserve"> of GBV</w:t>
      </w:r>
      <w:r w:rsidRPr="004F0D84">
        <w:rPr>
          <w:b/>
        </w:rPr>
        <w:t>.</w:t>
      </w:r>
      <w:r w:rsidRPr="005366AC">
        <w:t xml:space="preserve"> There are </w:t>
      </w:r>
      <w:r w:rsidR="004F0D84">
        <w:t xml:space="preserve">currently </w:t>
      </w:r>
      <w:r w:rsidRPr="005366AC">
        <w:t>no linkages with Provincial Women’s Parliamentary Caucuses</w:t>
      </w:r>
      <w:r w:rsidR="00567C34" w:rsidRPr="005366AC">
        <w:t xml:space="preserve"> in Sindh </w:t>
      </w:r>
      <w:r w:rsidR="004F0D84">
        <w:t>or</w:t>
      </w:r>
      <w:r w:rsidR="00567C34" w:rsidRPr="005366AC">
        <w:t xml:space="preserve"> KP</w:t>
      </w:r>
      <w:r w:rsidRPr="005366AC">
        <w:t>.</w:t>
      </w:r>
      <w:r w:rsidR="009C3CFA">
        <w:t xml:space="preserve"> </w:t>
      </w:r>
    </w:p>
    <w:p w14:paraId="25D58815" w14:textId="6AFF12C7" w:rsidR="009C3CFA" w:rsidRDefault="004F0D84" w:rsidP="009C3CFA">
      <w:r w:rsidRPr="005366AC">
        <w:rPr>
          <w:b/>
        </w:rPr>
        <w:t xml:space="preserve">Greater effort is required overall to build linkages with government and for greater coordination and leverage. </w:t>
      </w:r>
      <w:r w:rsidR="009C3CFA" w:rsidRPr="002D514F">
        <w:t xml:space="preserve">For example, </w:t>
      </w:r>
      <w:r w:rsidR="009C3CFA" w:rsidRPr="009C3CFA">
        <w:t>PVDP</w:t>
      </w:r>
      <w:r w:rsidR="009C3CFA" w:rsidRPr="005366AC">
        <w:t xml:space="preserve"> is having </w:t>
      </w:r>
      <w:r w:rsidR="009C3CFA">
        <w:t>some trouble engaging</w:t>
      </w:r>
      <w:r w:rsidR="009C3CFA" w:rsidRPr="005366AC">
        <w:t xml:space="preserve"> with the Social Welfare Department at the district level in Swat to work with the </w:t>
      </w:r>
      <w:r w:rsidR="009C3CFA" w:rsidRPr="00CF21FA">
        <w:rPr>
          <w:i/>
        </w:rPr>
        <w:t>Darul</w:t>
      </w:r>
      <w:r w:rsidR="009C3CFA">
        <w:rPr>
          <w:i/>
        </w:rPr>
        <w:t xml:space="preserve"> </w:t>
      </w:r>
      <w:r w:rsidR="009C3CFA" w:rsidRPr="00CF21FA">
        <w:rPr>
          <w:i/>
        </w:rPr>
        <w:t>Aman</w:t>
      </w:r>
      <w:r w:rsidR="009C3CFA">
        <w:t xml:space="preserve">, and </w:t>
      </w:r>
      <w:r w:rsidR="0008203F">
        <w:rPr>
          <w:b/>
        </w:rPr>
        <w:t>Trócaire</w:t>
      </w:r>
      <w:r w:rsidR="009C3CFA" w:rsidRPr="004F0D84">
        <w:rPr>
          <w:b/>
        </w:rPr>
        <w:t xml:space="preserve"> </w:t>
      </w:r>
      <w:r w:rsidR="009C3CFA">
        <w:rPr>
          <w:b/>
        </w:rPr>
        <w:t>c</w:t>
      </w:r>
      <w:r w:rsidR="009C3CFA" w:rsidRPr="004F0D84">
        <w:rPr>
          <w:b/>
        </w:rPr>
        <w:t>ould be more proactive in using ACT</w:t>
      </w:r>
      <w:r w:rsidR="009C3CFA">
        <w:rPr>
          <w:b/>
        </w:rPr>
        <w:t>’</w:t>
      </w:r>
      <w:r w:rsidR="009C3CFA" w:rsidRPr="004F0D84">
        <w:rPr>
          <w:b/>
        </w:rPr>
        <w:t>s relationship with the Social Welfare Department in KP to leverage outcomes at the district level</w:t>
      </w:r>
      <w:r w:rsidR="009C3CFA" w:rsidRPr="005366AC">
        <w:t>.</w:t>
      </w:r>
      <w:r w:rsidR="009C3CFA">
        <w:t xml:space="preserve"> </w:t>
      </w:r>
      <w:r w:rsidR="00EA6BF6" w:rsidRPr="002D514F">
        <w:rPr>
          <w:b/>
        </w:rPr>
        <w:t>At the provincial level,</w:t>
      </w:r>
      <w:r w:rsidR="00EA6BF6">
        <w:t xml:space="preserve"> </w:t>
      </w:r>
      <w:r w:rsidR="00EA6BF6">
        <w:rPr>
          <w:b/>
        </w:rPr>
        <w:t xml:space="preserve">there </w:t>
      </w:r>
      <w:r w:rsidR="00EA6BF6" w:rsidRPr="004F0D84">
        <w:rPr>
          <w:b/>
        </w:rPr>
        <w:t xml:space="preserve">is a need for more constructive and strategic engagement, proactive networking and strengthened collaboration with </w:t>
      </w:r>
      <w:r w:rsidR="00EA6BF6">
        <w:rPr>
          <w:b/>
        </w:rPr>
        <w:t xml:space="preserve">the </w:t>
      </w:r>
      <w:r w:rsidR="00EA6BF6" w:rsidRPr="004F0D84">
        <w:rPr>
          <w:b/>
        </w:rPr>
        <w:t xml:space="preserve">Social Welfare and Women Development Departments by </w:t>
      </w:r>
      <w:r w:rsidR="0008203F">
        <w:rPr>
          <w:b/>
        </w:rPr>
        <w:t>Trócaire</w:t>
      </w:r>
      <w:r w:rsidR="00EA6BF6" w:rsidRPr="004F0D84">
        <w:rPr>
          <w:b/>
        </w:rPr>
        <w:t xml:space="preserve"> and </w:t>
      </w:r>
      <w:r w:rsidR="00EA6BF6">
        <w:rPr>
          <w:b/>
        </w:rPr>
        <w:t xml:space="preserve">potentially the </w:t>
      </w:r>
      <w:r w:rsidR="00EA6BF6" w:rsidRPr="004F0D84">
        <w:rPr>
          <w:b/>
        </w:rPr>
        <w:t>AHC</w:t>
      </w:r>
      <w:r w:rsidR="00EA6BF6" w:rsidRPr="00E63E55">
        <w:t>.</w:t>
      </w:r>
      <w:r w:rsidR="0083732E" w:rsidRPr="00E63E55">
        <w:t xml:space="preserve"> </w:t>
      </w:r>
    </w:p>
    <w:p w14:paraId="63547658" w14:textId="34EF17F0" w:rsidR="004F0D84" w:rsidRPr="004F0D84" w:rsidRDefault="004F0D84" w:rsidP="009C3CFA">
      <w:r w:rsidRPr="005366AC">
        <w:rPr>
          <w:b/>
        </w:rPr>
        <w:t>Government linkages are often based on individuals and there is significant staff turnover</w:t>
      </w:r>
      <w:r w:rsidR="00B65900">
        <w:rPr>
          <w:b/>
        </w:rPr>
        <w:t>.</w:t>
      </w:r>
      <w:r w:rsidRPr="005366AC">
        <w:rPr>
          <w:b/>
        </w:rPr>
        <w:t xml:space="preserve"> </w:t>
      </w:r>
      <w:r w:rsidR="0008203F">
        <w:rPr>
          <w:b/>
        </w:rPr>
        <w:t>Trócaire</w:t>
      </w:r>
      <w:r w:rsidR="009C3CFA">
        <w:rPr>
          <w:b/>
        </w:rPr>
        <w:t xml:space="preserve"> </w:t>
      </w:r>
      <w:r w:rsidRPr="005366AC">
        <w:rPr>
          <w:b/>
        </w:rPr>
        <w:t>need</w:t>
      </w:r>
      <w:r w:rsidR="009C3CFA">
        <w:rPr>
          <w:b/>
        </w:rPr>
        <w:t>s</w:t>
      </w:r>
      <w:r w:rsidRPr="005366AC">
        <w:rPr>
          <w:b/>
        </w:rPr>
        <w:t xml:space="preserve"> to proactively cultivate other relationships for ‘pipeline planning’ </w:t>
      </w:r>
      <w:r>
        <w:rPr>
          <w:b/>
        </w:rPr>
        <w:t xml:space="preserve">and sustainability </w:t>
      </w:r>
      <w:r w:rsidRPr="005366AC">
        <w:rPr>
          <w:b/>
        </w:rPr>
        <w:t>purposes</w:t>
      </w:r>
      <w:r w:rsidRPr="004F0D84">
        <w:rPr>
          <w:b/>
        </w:rPr>
        <w:t xml:space="preserve">. </w:t>
      </w:r>
      <w:r w:rsidR="00EA6BF6">
        <w:rPr>
          <w:b/>
        </w:rPr>
        <w:t>Furthermore</w:t>
      </w:r>
      <w:r w:rsidRPr="004F0D84">
        <w:rPr>
          <w:b/>
        </w:rPr>
        <w:t xml:space="preserve">, </w:t>
      </w:r>
      <w:r w:rsidR="0008203F">
        <w:rPr>
          <w:b/>
        </w:rPr>
        <w:t>Trócaire</w:t>
      </w:r>
      <w:r w:rsidRPr="004F0D84">
        <w:rPr>
          <w:b/>
        </w:rPr>
        <w:t xml:space="preserve"> needs to continue to work at the policy level and identify the actors and </w:t>
      </w:r>
      <w:r w:rsidR="00C44545" w:rsidRPr="004F0D84">
        <w:rPr>
          <w:b/>
        </w:rPr>
        <w:t>issues, which</w:t>
      </w:r>
      <w:r w:rsidRPr="004F0D84">
        <w:rPr>
          <w:b/>
        </w:rPr>
        <w:t xml:space="preserve"> are the barriers to approval of pro-women legislation, particularly in KP. </w:t>
      </w:r>
      <w:r w:rsidR="008463E8" w:rsidRPr="00334A11">
        <w:t xml:space="preserve">The evaluation teams recognises that this work is challenging and resource intensive, and is occurring within an increasingly difficult environment for NGOs. </w:t>
      </w:r>
      <w:r w:rsidR="008463E8" w:rsidRPr="008463E8">
        <w:rPr>
          <w:b/>
        </w:rPr>
        <w:t>Consideration should be given to increasing</w:t>
      </w:r>
      <w:r w:rsidR="008463E8" w:rsidRPr="00334A11">
        <w:rPr>
          <w:b/>
        </w:rPr>
        <w:t xml:space="preserve"> Trocaire’s</w:t>
      </w:r>
      <w:r w:rsidR="008463E8" w:rsidRPr="008463E8">
        <w:rPr>
          <w:b/>
        </w:rPr>
        <w:t xml:space="preserve"> resou</w:t>
      </w:r>
      <w:r w:rsidR="008463E8" w:rsidRPr="00334A11">
        <w:rPr>
          <w:b/>
        </w:rPr>
        <w:t>rces in this area in a</w:t>
      </w:r>
      <w:r w:rsidR="008463E8" w:rsidRPr="008463E8">
        <w:rPr>
          <w:b/>
        </w:rPr>
        <w:t xml:space="preserve"> potential </w:t>
      </w:r>
      <w:r w:rsidR="008463E8" w:rsidRPr="00334A11">
        <w:rPr>
          <w:b/>
        </w:rPr>
        <w:t>next</w:t>
      </w:r>
      <w:r w:rsidR="008463E8" w:rsidRPr="008463E8">
        <w:rPr>
          <w:b/>
        </w:rPr>
        <w:t xml:space="preserve"> phase of the program.</w:t>
      </w:r>
    </w:p>
    <w:p w14:paraId="3A4D052E" w14:textId="69107076" w:rsidR="00C86D19" w:rsidRDefault="001F2BFE" w:rsidP="00140131">
      <w:pPr>
        <w:pStyle w:val="Heading1"/>
      </w:pPr>
      <w:bookmarkStart w:id="43" w:name="_Toc491355906"/>
      <w:r>
        <w:t xml:space="preserve">Key </w:t>
      </w:r>
      <w:r w:rsidR="00C86D19">
        <w:t>Lessons Learnt</w:t>
      </w:r>
      <w:bookmarkEnd w:id="43"/>
      <w:r w:rsidR="00C86D19">
        <w:t xml:space="preserve"> </w:t>
      </w:r>
    </w:p>
    <w:p w14:paraId="3D9D868B" w14:textId="77777777" w:rsidR="00C86D19" w:rsidRDefault="00C86D19" w:rsidP="00C86D19">
      <w:pPr>
        <w:ind w:left="360" w:hanging="360"/>
        <w:jc w:val="both"/>
      </w:pPr>
      <w:r>
        <w:t>Key learnings from the Pakistan EVAW program include:</w:t>
      </w:r>
    </w:p>
    <w:p w14:paraId="5F3F4A20" w14:textId="72272BB2" w:rsidR="00C86D19" w:rsidRPr="002D514F" w:rsidRDefault="00C86D19" w:rsidP="00C86D19">
      <w:pPr>
        <w:pStyle w:val="ListParagraph"/>
        <w:numPr>
          <w:ilvl w:val="0"/>
          <w:numId w:val="20"/>
        </w:numPr>
        <w:jc w:val="both"/>
        <w:rPr>
          <w:rFonts w:asciiTheme="minorHAnsi" w:hAnsiTheme="minorHAnsi"/>
          <w:color w:val="000000" w:themeColor="text1"/>
          <w:sz w:val="22"/>
          <w:szCs w:val="22"/>
        </w:rPr>
      </w:pPr>
      <w:r w:rsidRPr="002D514F">
        <w:rPr>
          <w:rFonts w:asciiTheme="minorHAnsi" w:hAnsiTheme="minorHAnsi"/>
          <w:color w:val="000000" w:themeColor="text1"/>
          <w:sz w:val="22"/>
          <w:szCs w:val="22"/>
        </w:rPr>
        <w:t xml:space="preserve">A holistic, integrated approach, working in </w:t>
      </w:r>
      <w:r w:rsidR="001F2BFE">
        <w:rPr>
          <w:rFonts w:asciiTheme="minorHAnsi" w:hAnsiTheme="minorHAnsi"/>
          <w:color w:val="000000" w:themeColor="text1"/>
          <w:sz w:val="22"/>
          <w:szCs w:val="22"/>
        </w:rPr>
        <w:t xml:space="preserve">long-term </w:t>
      </w:r>
      <w:r w:rsidRPr="002D514F">
        <w:rPr>
          <w:rFonts w:asciiTheme="minorHAnsi" w:hAnsiTheme="minorHAnsi"/>
          <w:color w:val="000000" w:themeColor="text1"/>
          <w:sz w:val="22"/>
          <w:szCs w:val="22"/>
        </w:rPr>
        <w:t>partnership with NGOs, government and private sector is an effective model for EVAW programs</w:t>
      </w:r>
      <w:r w:rsidR="004B2DD4">
        <w:rPr>
          <w:rFonts w:asciiTheme="minorHAnsi" w:hAnsiTheme="minorHAnsi"/>
          <w:color w:val="000000" w:themeColor="text1"/>
          <w:sz w:val="22"/>
          <w:szCs w:val="22"/>
        </w:rPr>
        <w:t>.</w:t>
      </w:r>
    </w:p>
    <w:p w14:paraId="1A0BA058" w14:textId="63C4506F" w:rsidR="00C86D19" w:rsidRPr="002D514F" w:rsidRDefault="00C86D19" w:rsidP="00C86D19">
      <w:pPr>
        <w:pStyle w:val="ListParagraph"/>
        <w:numPr>
          <w:ilvl w:val="0"/>
          <w:numId w:val="20"/>
        </w:numPr>
        <w:jc w:val="both"/>
        <w:rPr>
          <w:rFonts w:asciiTheme="minorHAnsi" w:hAnsiTheme="minorHAnsi"/>
          <w:color w:val="000000" w:themeColor="text1"/>
          <w:sz w:val="22"/>
          <w:szCs w:val="22"/>
        </w:rPr>
      </w:pPr>
      <w:r w:rsidRPr="002D514F">
        <w:rPr>
          <w:rFonts w:asciiTheme="minorHAnsi" w:hAnsiTheme="minorHAnsi"/>
          <w:color w:val="000000" w:themeColor="text1"/>
          <w:sz w:val="22"/>
          <w:szCs w:val="22"/>
        </w:rPr>
        <w:t>Working with men and boys, religious and community leaders is critical to achieve long-term change to prevent violence against women and girls</w:t>
      </w:r>
      <w:r w:rsidR="004B2DD4">
        <w:rPr>
          <w:rFonts w:asciiTheme="minorHAnsi" w:hAnsiTheme="minorHAnsi"/>
          <w:color w:val="000000" w:themeColor="text1"/>
          <w:sz w:val="22"/>
          <w:szCs w:val="22"/>
        </w:rPr>
        <w:t>.</w:t>
      </w:r>
    </w:p>
    <w:p w14:paraId="4B1306F7" w14:textId="7D4EAD6E" w:rsidR="00C86D19" w:rsidRPr="002D514F" w:rsidRDefault="00C86D19" w:rsidP="00C86D19">
      <w:pPr>
        <w:pStyle w:val="ListParagraph"/>
        <w:numPr>
          <w:ilvl w:val="0"/>
          <w:numId w:val="20"/>
        </w:numPr>
        <w:jc w:val="both"/>
        <w:rPr>
          <w:rFonts w:asciiTheme="minorHAnsi" w:hAnsiTheme="minorHAnsi"/>
          <w:color w:val="000000" w:themeColor="text1"/>
          <w:sz w:val="22"/>
          <w:szCs w:val="22"/>
        </w:rPr>
      </w:pPr>
      <w:r w:rsidRPr="002D514F">
        <w:rPr>
          <w:rFonts w:asciiTheme="minorHAnsi" w:hAnsiTheme="minorHAnsi"/>
          <w:color w:val="000000" w:themeColor="text1"/>
          <w:sz w:val="22"/>
          <w:szCs w:val="22"/>
        </w:rPr>
        <w:t>Ongoing effort to build and maintain relationships and partnerships with Government at different levels is critical for effectiveness and sustainability</w:t>
      </w:r>
      <w:r w:rsidR="00AE4A13" w:rsidRPr="002D514F">
        <w:rPr>
          <w:rFonts w:asciiTheme="minorHAnsi" w:hAnsiTheme="minorHAnsi"/>
          <w:color w:val="000000" w:themeColor="text1"/>
          <w:sz w:val="22"/>
          <w:szCs w:val="22"/>
        </w:rPr>
        <w:t xml:space="preserve"> of EVAW programs</w:t>
      </w:r>
      <w:r w:rsidR="004B2DD4">
        <w:rPr>
          <w:rFonts w:asciiTheme="minorHAnsi" w:hAnsiTheme="minorHAnsi"/>
          <w:color w:val="000000" w:themeColor="text1"/>
          <w:sz w:val="22"/>
          <w:szCs w:val="22"/>
        </w:rPr>
        <w:t>.</w:t>
      </w:r>
    </w:p>
    <w:p w14:paraId="33FF1802" w14:textId="4D5BF6A0" w:rsidR="00C86D19" w:rsidRPr="002D514F" w:rsidRDefault="00C86D19" w:rsidP="00C86D19">
      <w:pPr>
        <w:pStyle w:val="ListParagraph"/>
        <w:numPr>
          <w:ilvl w:val="0"/>
          <w:numId w:val="20"/>
        </w:numPr>
        <w:jc w:val="both"/>
        <w:rPr>
          <w:rFonts w:asciiTheme="minorHAnsi" w:hAnsiTheme="minorHAnsi"/>
          <w:color w:val="000000" w:themeColor="text1"/>
          <w:sz w:val="22"/>
          <w:szCs w:val="22"/>
        </w:rPr>
      </w:pPr>
      <w:r w:rsidRPr="002D514F">
        <w:rPr>
          <w:rFonts w:asciiTheme="minorHAnsi" w:hAnsiTheme="minorHAnsi"/>
          <w:color w:val="000000" w:themeColor="text1"/>
          <w:sz w:val="22"/>
          <w:szCs w:val="22"/>
        </w:rPr>
        <w:t xml:space="preserve">Care should be taken to manage expectations around the extent to which an EVAW program can </w:t>
      </w:r>
      <w:r w:rsidR="00AE4A13" w:rsidRPr="002D514F">
        <w:rPr>
          <w:rFonts w:asciiTheme="minorHAnsi" w:hAnsiTheme="minorHAnsi"/>
          <w:color w:val="000000" w:themeColor="text1"/>
          <w:sz w:val="22"/>
          <w:szCs w:val="22"/>
        </w:rPr>
        <w:t>assist with economic/livelihood</w:t>
      </w:r>
      <w:r w:rsidRPr="002D514F">
        <w:rPr>
          <w:rFonts w:asciiTheme="minorHAnsi" w:hAnsiTheme="minorHAnsi"/>
          <w:color w:val="000000" w:themeColor="text1"/>
          <w:sz w:val="22"/>
          <w:szCs w:val="22"/>
        </w:rPr>
        <w:t xml:space="preserve"> opportunities to help reintegrate </w:t>
      </w:r>
      <w:r w:rsidR="00AE4A13" w:rsidRPr="002D514F">
        <w:rPr>
          <w:rFonts w:asciiTheme="minorHAnsi" w:hAnsiTheme="minorHAnsi"/>
          <w:color w:val="000000" w:themeColor="text1"/>
          <w:sz w:val="22"/>
          <w:szCs w:val="22"/>
        </w:rPr>
        <w:t xml:space="preserve">women </w:t>
      </w:r>
      <w:r w:rsidRPr="002D514F">
        <w:rPr>
          <w:rFonts w:asciiTheme="minorHAnsi" w:hAnsiTheme="minorHAnsi"/>
          <w:color w:val="000000" w:themeColor="text1"/>
          <w:sz w:val="22"/>
          <w:szCs w:val="22"/>
        </w:rPr>
        <w:t>survivors of violence back into their communities</w:t>
      </w:r>
      <w:r w:rsidR="00AE4A13" w:rsidRPr="002D514F">
        <w:rPr>
          <w:rFonts w:asciiTheme="minorHAnsi" w:hAnsiTheme="minorHAnsi"/>
          <w:color w:val="000000" w:themeColor="text1"/>
          <w:sz w:val="22"/>
          <w:szCs w:val="22"/>
        </w:rPr>
        <w:t xml:space="preserve"> and/or society</w:t>
      </w:r>
      <w:r w:rsidRPr="002D514F">
        <w:rPr>
          <w:rFonts w:asciiTheme="minorHAnsi" w:hAnsiTheme="minorHAnsi"/>
          <w:color w:val="000000" w:themeColor="text1"/>
          <w:sz w:val="22"/>
          <w:szCs w:val="22"/>
        </w:rPr>
        <w:t xml:space="preserve">. </w:t>
      </w:r>
    </w:p>
    <w:p w14:paraId="5C48DC3E" w14:textId="73646797" w:rsidR="00C86D19" w:rsidRPr="002D514F" w:rsidRDefault="00C86D19" w:rsidP="00C86D19">
      <w:pPr>
        <w:pStyle w:val="ListParagraph"/>
        <w:numPr>
          <w:ilvl w:val="0"/>
          <w:numId w:val="20"/>
        </w:numPr>
        <w:jc w:val="both"/>
        <w:rPr>
          <w:rFonts w:asciiTheme="minorHAnsi" w:hAnsiTheme="minorHAnsi"/>
          <w:color w:val="000000" w:themeColor="text1"/>
          <w:sz w:val="22"/>
          <w:szCs w:val="22"/>
        </w:rPr>
      </w:pPr>
      <w:r w:rsidRPr="002D514F">
        <w:rPr>
          <w:rFonts w:asciiTheme="minorHAnsi" w:hAnsiTheme="minorHAnsi"/>
          <w:sz w:val="22"/>
          <w:szCs w:val="22"/>
        </w:rPr>
        <w:t xml:space="preserve">Advocacy work is a </w:t>
      </w:r>
      <w:r w:rsidR="00C44545" w:rsidRPr="002D514F">
        <w:rPr>
          <w:rFonts w:asciiTheme="minorHAnsi" w:hAnsiTheme="minorHAnsi"/>
          <w:sz w:val="22"/>
          <w:szCs w:val="22"/>
        </w:rPr>
        <w:t>long-term</w:t>
      </w:r>
      <w:r w:rsidRPr="002D514F">
        <w:rPr>
          <w:rFonts w:asciiTheme="minorHAnsi" w:hAnsiTheme="minorHAnsi"/>
          <w:sz w:val="22"/>
          <w:szCs w:val="22"/>
        </w:rPr>
        <w:t xml:space="preserve"> endeavour that requires persistence and flexibility, and outcomes are often unpredictable and non-linear. Overall, realistic expectations are required, </w:t>
      </w:r>
      <w:r w:rsidRPr="002D514F">
        <w:rPr>
          <w:rFonts w:asciiTheme="minorHAnsi" w:hAnsiTheme="minorHAnsi"/>
          <w:sz w:val="22"/>
          <w:szCs w:val="22"/>
        </w:rPr>
        <w:lastRenderedPageBreak/>
        <w:t>along with a long-term partnership approach that builds capacity, networks and ability to respond quickly to windows of opportunity that may arise.</w:t>
      </w:r>
      <w:r w:rsidR="00A63FF5">
        <w:rPr>
          <w:rFonts w:asciiTheme="minorHAnsi" w:hAnsiTheme="minorHAnsi"/>
          <w:sz w:val="22"/>
          <w:szCs w:val="22"/>
        </w:rPr>
        <w:t xml:space="preserve"> </w:t>
      </w:r>
    </w:p>
    <w:p w14:paraId="2004871D" w14:textId="13824434" w:rsidR="00C86D19" w:rsidRPr="002D514F" w:rsidRDefault="00C86D19" w:rsidP="002D514F">
      <w:pPr>
        <w:pStyle w:val="ListParagraph"/>
        <w:numPr>
          <w:ilvl w:val="0"/>
          <w:numId w:val="20"/>
        </w:numPr>
        <w:jc w:val="both"/>
        <w:rPr>
          <w:rFonts w:asciiTheme="minorHAnsi" w:hAnsiTheme="minorHAnsi"/>
          <w:color w:val="000000" w:themeColor="text1"/>
          <w:sz w:val="22"/>
          <w:szCs w:val="22"/>
        </w:rPr>
      </w:pPr>
      <w:r w:rsidRPr="002D514F">
        <w:rPr>
          <w:rFonts w:asciiTheme="minorHAnsi" w:hAnsiTheme="minorHAnsi"/>
          <w:sz w:val="22"/>
          <w:szCs w:val="22"/>
        </w:rPr>
        <w:t xml:space="preserve">Big dividends can </w:t>
      </w:r>
      <w:r w:rsidR="00AE4A13" w:rsidRPr="002D514F">
        <w:rPr>
          <w:rFonts w:asciiTheme="minorHAnsi" w:hAnsiTheme="minorHAnsi"/>
          <w:sz w:val="22"/>
          <w:szCs w:val="22"/>
        </w:rPr>
        <w:t xml:space="preserve">potentially </w:t>
      </w:r>
      <w:r w:rsidRPr="002D514F">
        <w:rPr>
          <w:rFonts w:asciiTheme="minorHAnsi" w:hAnsiTheme="minorHAnsi"/>
          <w:sz w:val="22"/>
          <w:szCs w:val="22"/>
        </w:rPr>
        <w:t xml:space="preserve">be gained by the implementing partner </w:t>
      </w:r>
      <w:r w:rsidR="00D42AB4">
        <w:rPr>
          <w:rFonts w:asciiTheme="minorHAnsi" w:hAnsiTheme="minorHAnsi"/>
          <w:sz w:val="22"/>
          <w:szCs w:val="22"/>
        </w:rPr>
        <w:t xml:space="preserve">(Trócaire) </w:t>
      </w:r>
      <w:r w:rsidRPr="002D514F">
        <w:rPr>
          <w:rFonts w:asciiTheme="minorHAnsi" w:hAnsiTheme="minorHAnsi"/>
          <w:sz w:val="22"/>
          <w:szCs w:val="22"/>
        </w:rPr>
        <w:t xml:space="preserve">actively playing a </w:t>
      </w:r>
      <w:r w:rsidRPr="002D514F">
        <w:rPr>
          <w:rFonts w:asciiTheme="minorHAnsi" w:hAnsiTheme="minorHAnsi"/>
          <w:color w:val="000000" w:themeColor="text1"/>
          <w:sz w:val="22"/>
          <w:szCs w:val="22"/>
        </w:rPr>
        <w:t>linking and leveraging role</w:t>
      </w:r>
      <w:r w:rsidR="00555D90">
        <w:rPr>
          <w:rFonts w:asciiTheme="minorHAnsi" w:hAnsiTheme="minorHAnsi"/>
          <w:color w:val="000000" w:themeColor="text1"/>
          <w:sz w:val="22"/>
          <w:szCs w:val="22"/>
        </w:rPr>
        <w:t>. There are opportunities to strategically engage the AHC to support efforts in this regard.</w:t>
      </w:r>
      <w:r w:rsidR="00AE4A13" w:rsidRPr="002D514F">
        <w:rPr>
          <w:rFonts w:asciiTheme="minorHAnsi" w:hAnsiTheme="minorHAnsi"/>
          <w:color w:val="000000" w:themeColor="text1"/>
          <w:sz w:val="22"/>
          <w:szCs w:val="22"/>
        </w:rPr>
        <w:t xml:space="preserve"> </w:t>
      </w:r>
    </w:p>
    <w:p w14:paraId="3030F006" w14:textId="04AB7319" w:rsidR="00930305" w:rsidRPr="00930305" w:rsidRDefault="00925795" w:rsidP="002D514F">
      <w:pPr>
        <w:pStyle w:val="Heading1"/>
      </w:pPr>
      <w:bookmarkStart w:id="44" w:name="_Toc491355907"/>
      <w:r>
        <w:t xml:space="preserve">Summary of </w:t>
      </w:r>
      <w:r w:rsidR="00C736C2">
        <w:t xml:space="preserve">Key </w:t>
      </w:r>
      <w:r w:rsidR="00A12D80" w:rsidRPr="00140131">
        <w:t>Recommendations</w:t>
      </w:r>
      <w:bookmarkEnd w:id="44"/>
    </w:p>
    <w:p w14:paraId="6074EC6C" w14:textId="4074AD17" w:rsidR="001052CC" w:rsidRPr="005366AC" w:rsidRDefault="00B314D9" w:rsidP="005366AC">
      <w:pPr>
        <w:pStyle w:val="Heading2"/>
      </w:pPr>
      <w:bookmarkStart w:id="45" w:name="_Toc491355908"/>
      <w:r w:rsidRPr="005366AC">
        <w:t xml:space="preserve">For </w:t>
      </w:r>
      <w:r w:rsidR="0008203F">
        <w:t>Trócaire</w:t>
      </w:r>
      <w:r w:rsidR="009A2C0F">
        <w:t xml:space="preserve"> and Implementing Partners</w:t>
      </w:r>
      <w:bookmarkEnd w:id="45"/>
    </w:p>
    <w:p w14:paraId="7ACCB86E" w14:textId="6B06082D" w:rsidR="00E63E55" w:rsidRDefault="004F193A" w:rsidP="00E63E55">
      <w:pPr>
        <w:pStyle w:val="ListParagraph"/>
        <w:numPr>
          <w:ilvl w:val="0"/>
          <w:numId w:val="22"/>
        </w:numPr>
        <w:rPr>
          <w:rFonts w:asciiTheme="minorHAnsi" w:hAnsiTheme="minorHAnsi"/>
          <w:sz w:val="22"/>
          <w:szCs w:val="22"/>
        </w:rPr>
      </w:pPr>
      <w:r w:rsidRPr="002D514F">
        <w:rPr>
          <w:rFonts w:asciiTheme="minorHAnsi" w:hAnsiTheme="minorHAnsi"/>
          <w:sz w:val="22"/>
          <w:szCs w:val="22"/>
        </w:rPr>
        <w:t xml:space="preserve">Develop a revised </w:t>
      </w:r>
      <w:r w:rsidR="00300E7E">
        <w:rPr>
          <w:rFonts w:asciiTheme="minorHAnsi" w:hAnsiTheme="minorHAnsi"/>
          <w:sz w:val="22"/>
          <w:szCs w:val="22"/>
        </w:rPr>
        <w:t>TOC</w:t>
      </w:r>
      <w:r w:rsidRPr="002D514F">
        <w:rPr>
          <w:rFonts w:asciiTheme="minorHAnsi" w:hAnsiTheme="minorHAnsi"/>
          <w:sz w:val="22"/>
          <w:szCs w:val="22"/>
        </w:rPr>
        <w:t xml:space="preserve"> that clearly articulates how the changes in Phase </w:t>
      </w:r>
      <w:r w:rsidR="00300E7E">
        <w:rPr>
          <w:rFonts w:asciiTheme="minorHAnsi" w:hAnsiTheme="minorHAnsi"/>
          <w:sz w:val="22"/>
          <w:szCs w:val="22"/>
        </w:rPr>
        <w:t>Two</w:t>
      </w:r>
      <w:r w:rsidRPr="002D514F">
        <w:rPr>
          <w:rFonts w:asciiTheme="minorHAnsi" w:hAnsiTheme="minorHAnsi"/>
          <w:sz w:val="22"/>
          <w:szCs w:val="22"/>
        </w:rPr>
        <w:t xml:space="preserve"> are expected to lead to program outcomes, including assumptions</w:t>
      </w:r>
      <w:r w:rsidR="00925795" w:rsidRPr="002D514F">
        <w:rPr>
          <w:rFonts w:asciiTheme="minorHAnsi" w:hAnsiTheme="minorHAnsi"/>
          <w:sz w:val="22"/>
          <w:szCs w:val="22"/>
        </w:rPr>
        <w:t xml:space="preserve"> and lessons learnt from Phase 1.</w:t>
      </w:r>
    </w:p>
    <w:p w14:paraId="3ED408D8" w14:textId="6174A400" w:rsidR="00326F45" w:rsidRPr="00E63E55" w:rsidRDefault="00E63E55" w:rsidP="00E63E55">
      <w:pPr>
        <w:pStyle w:val="ListParagraph"/>
        <w:numPr>
          <w:ilvl w:val="0"/>
          <w:numId w:val="22"/>
        </w:numPr>
        <w:rPr>
          <w:rFonts w:asciiTheme="minorHAnsi" w:hAnsiTheme="minorHAnsi"/>
          <w:sz w:val="22"/>
          <w:szCs w:val="22"/>
        </w:rPr>
      </w:pPr>
      <w:r>
        <w:rPr>
          <w:rFonts w:asciiTheme="minorHAnsi" w:hAnsiTheme="minorHAnsi"/>
          <w:sz w:val="22"/>
          <w:szCs w:val="22"/>
        </w:rPr>
        <w:t>Revise the M&amp;E Strategy to ensure the Results Framework</w:t>
      </w:r>
      <w:r w:rsidR="00326F45" w:rsidRPr="00E63E55">
        <w:rPr>
          <w:rFonts w:asciiTheme="minorHAnsi" w:hAnsiTheme="minorHAnsi"/>
          <w:sz w:val="22"/>
          <w:szCs w:val="22"/>
        </w:rPr>
        <w:t xml:space="preserve"> (and Knowledge, Attitudes and Practices Survey) </w:t>
      </w:r>
      <w:r>
        <w:rPr>
          <w:rFonts w:asciiTheme="minorHAnsi" w:hAnsiTheme="minorHAnsi"/>
          <w:sz w:val="22"/>
          <w:szCs w:val="22"/>
        </w:rPr>
        <w:t>tracks</w:t>
      </w:r>
      <w:r w:rsidR="00326F45" w:rsidRPr="00E63E55">
        <w:rPr>
          <w:rFonts w:asciiTheme="minorHAnsi" w:hAnsiTheme="minorHAnsi"/>
          <w:sz w:val="22"/>
          <w:szCs w:val="22"/>
        </w:rPr>
        <w:t xml:space="preserve"> unintended consequences (both positive and negative)</w:t>
      </w:r>
      <w:r w:rsidR="00C44545" w:rsidRPr="00E63E55">
        <w:rPr>
          <w:rFonts w:asciiTheme="minorHAnsi" w:hAnsiTheme="minorHAnsi"/>
          <w:sz w:val="22"/>
          <w:szCs w:val="22"/>
        </w:rPr>
        <w:t>;</w:t>
      </w:r>
      <w:r w:rsidR="00326F45" w:rsidRPr="00E63E55">
        <w:rPr>
          <w:rFonts w:asciiTheme="minorHAnsi" w:hAnsiTheme="minorHAnsi"/>
          <w:sz w:val="22"/>
          <w:szCs w:val="22"/>
        </w:rPr>
        <w:t xml:space="preserve"> including conflict sensitivity indicators to ensure the investment is not exacerbating conflict/violence against women in target communities. </w:t>
      </w:r>
      <w:r>
        <w:rPr>
          <w:rFonts w:asciiTheme="minorHAnsi" w:hAnsiTheme="minorHAnsi"/>
          <w:sz w:val="22"/>
          <w:szCs w:val="22"/>
        </w:rPr>
        <w:t>Include c</w:t>
      </w:r>
      <w:r w:rsidR="00326F45" w:rsidRPr="00E63E55">
        <w:rPr>
          <w:rFonts w:asciiTheme="minorHAnsi" w:hAnsiTheme="minorHAnsi"/>
          <w:sz w:val="22"/>
          <w:szCs w:val="22"/>
        </w:rPr>
        <w:t xml:space="preserve">orporate indicators </w:t>
      </w:r>
      <w:r>
        <w:rPr>
          <w:rFonts w:asciiTheme="minorHAnsi" w:hAnsiTheme="minorHAnsi"/>
          <w:sz w:val="22"/>
          <w:szCs w:val="22"/>
        </w:rPr>
        <w:t>for Trocaire and partners in areas such as gender equality and linking/leveraging (e</w:t>
      </w:r>
      <w:r w:rsidR="00300E7E">
        <w:rPr>
          <w:rFonts w:asciiTheme="minorHAnsi" w:hAnsiTheme="minorHAnsi"/>
          <w:sz w:val="22"/>
          <w:szCs w:val="22"/>
        </w:rPr>
        <w:t>.</w:t>
      </w:r>
      <w:r>
        <w:rPr>
          <w:rFonts w:asciiTheme="minorHAnsi" w:hAnsiTheme="minorHAnsi"/>
          <w:sz w:val="22"/>
          <w:szCs w:val="22"/>
        </w:rPr>
        <w:t>g</w:t>
      </w:r>
      <w:r w:rsidR="00300E7E">
        <w:rPr>
          <w:rFonts w:asciiTheme="minorHAnsi" w:hAnsiTheme="minorHAnsi"/>
          <w:sz w:val="22"/>
          <w:szCs w:val="22"/>
        </w:rPr>
        <w:t>.</w:t>
      </w:r>
      <w:r>
        <w:rPr>
          <w:rFonts w:asciiTheme="minorHAnsi" w:hAnsiTheme="minorHAnsi"/>
          <w:sz w:val="22"/>
          <w:szCs w:val="22"/>
        </w:rPr>
        <w:t xml:space="preserve"> include specific indicators to track promotion of gender equality and women’s empowerment internally within the organisations). Include g</w:t>
      </w:r>
      <w:r w:rsidR="00326F45" w:rsidRPr="00E63E55">
        <w:rPr>
          <w:rFonts w:asciiTheme="minorHAnsi" w:hAnsiTheme="minorHAnsi"/>
          <w:sz w:val="22"/>
          <w:szCs w:val="22"/>
        </w:rPr>
        <w:t>reater emphasis on outcome reporting in progress reports.</w:t>
      </w:r>
      <w:r>
        <w:rPr>
          <w:rFonts w:asciiTheme="minorHAnsi" w:hAnsiTheme="minorHAnsi"/>
          <w:sz w:val="22"/>
          <w:szCs w:val="22"/>
        </w:rPr>
        <w:t xml:space="preserve"> </w:t>
      </w:r>
    </w:p>
    <w:p w14:paraId="18998792" w14:textId="5D1B6100" w:rsidR="004F193A" w:rsidRPr="002D514F" w:rsidRDefault="004F193A" w:rsidP="002D514F">
      <w:pPr>
        <w:pStyle w:val="ListParagraph"/>
        <w:numPr>
          <w:ilvl w:val="0"/>
          <w:numId w:val="22"/>
        </w:numPr>
        <w:rPr>
          <w:rFonts w:asciiTheme="minorHAnsi" w:hAnsiTheme="minorHAnsi"/>
          <w:sz w:val="22"/>
          <w:szCs w:val="22"/>
        </w:rPr>
      </w:pPr>
      <w:r w:rsidRPr="002D514F">
        <w:rPr>
          <w:rFonts w:asciiTheme="minorHAnsi" w:hAnsiTheme="minorHAnsi"/>
          <w:sz w:val="22"/>
          <w:szCs w:val="22"/>
        </w:rPr>
        <w:t>Collect data on UNHCR referrals and report on Afghan survivors in shelters in progress reports, in consultation with the AHC</w:t>
      </w:r>
      <w:r w:rsidR="001F25A0">
        <w:rPr>
          <w:rFonts w:asciiTheme="minorHAnsi" w:hAnsiTheme="minorHAnsi"/>
          <w:sz w:val="22"/>
          <w:szCs w:val="22"/>
        </w:rPr>
        <w:t>.</w:t>
      </w:r>
    </w:p>
    <w:p w14:paraId="05D0CCEA" w14:textId="466D8942" w:rsidR="004F193A" w:rsidRPr="002D514F" w:rsidRDefault="004F193A" w:rsidP="002D514F">
      <w:pPr>
        <w:pStyle w:val="ListParagraph"/>
        <w:numPr>
          <w:ilvl w:val="0"/>
          <w:numId w:val="22"/>
        </w:numPr>
        <w:rPr>
          <w:rFonts w:asciiTheme="minorHAnsi" w:hAnsiTheme="minorHAnsi"/>
          <w:sz w:val="22"/>
          <w:szCs w:val="22"/>
        </w:rPr>
      </w:pPr>
      <w:r w:rsidRPr="002D514F">
        <w:rPr>
          <w:rFonts w:asciiTheme="minorHAnsi" w:hAnsiTheme="minorHAnsi"/>
          <w:sz w:val="22"/>
          <w:szCs w:val="22"/>
        </w:rPr>
        <w:t xml:space="preserve">Progress discussions with UNHCR around </w:t>
      </w:r>
      <w:r w:rsidR="001F25A0" w:rsidRPr="002D514F">
        <w:rPr>
          <w:rFonts w:asciiTheme="minorHAnsi" w:hAnsiTheme="minorHAnsi"/>
          <w:sz w:val="22"/>
          <w:szCs w:val="22"/>
        </w:rPr>
        <w:t xml:space="preserve">increasing </w:t>
      </w:r>
      <w:r w:rsidR="00C60691" w:rsidRPr="002D514F">
        <w:rPr>
          <w:rFonts w:asciiTheme="minorHAnsi" w:hAnsiTheme="minorHAnsi"/>
          <w:sz w:val="22"/>
          <w:szCs w:val="22"/>
        </w:rPr>
        <w:t xml:space="preserve">institutional </w:t>
      </w:r>
      <w:r w:rsidRPr="002D514F">
        <w:rPr>
          <w:rFonts w:asciiTheme="minorHAnsi" w:hAnsiTheme="minorHAnsi"/>
          <w:sz w:val="22"/>
          <w:szCs w:val="22"/>
        </w:rPr>
        <w:t xml:space="preserve">support for </w:t>
      </w:r>
      <w:r w:rsidR="00C60691" w:rsidRPr="002D514F">
        <w:rPr>
          <w:rFonts w:asciiTheme="minorHAnsi" w:hAnsiTheme="minorHAnsi"/>
          <w:sz w:val="22"/>
          <w:szCs w:val="22"/>
        </w:rPr>
        <w:t>NET</w:t>
      </w:r>
      <w:r w:rsidRPr="002D514F">
        <w:rPr>
          <w:rFonts w:asciiTheme="minorHAnsi" w:hAnsiTheme="minorHAnsi"/>
          <w:sz w:val="22"/>
          <w:szCs w:val="22"/>
        </w:rPr>
        <w:t xml:space="preserve"> shelter</w:t>
      </w:r>
      <w:r w:rsidR="001F25A0">
        <w:rPr>
          <w:rFonts w:asciiTheme="minorHAnsi" w:hAnsiTheme="minorHAnsi"/>
          <w:sz w:val="22"/>
          <w:szCs w:val="22"/>
        </w:rPr>
        <w:t>.</w:t>
      </w:r>
    </w:p>
    <w:p w14:paraId="6EFB3160" w14:textId="52C4855E" w:rsidR="00C60691" w:rsidRPr="002D514F" w:rsidRDefault="00925795" w:rsidP="002D514F">
      <w:pPr>
        <w:pStyle w:val="ListParagraph"/>
        <w:numPr>
          <w:ilvl w:val="0"/>
          <w:numId w:val="22"/>
        </w:numPr>
        <w:rPr>
          <w:rFonts w:asciiTheme="minorHAnsi" w:hAnsiTheme="minorHAnsi"/>
          <w:sz w:val="22"/>
          <w:szCs w:val="22"/>
        </w:rPr>
      </w:pPr>
      <w:r w:rsidRPr="002D514F">
        <w:rPr>
          <w:rFonts w:asciiTheme="minorHAnsi" w:hAnsiTheme="minorHAnsi"/>
          <w:sz w:val="22"/>
          <w:szCs w:val="22"/>
        </w:rPr>
        <w:t>Continue</w:t>
      </w:r>
      <w:r w:rsidR="00C60691" w:rsidRPr="002D514F">
        <w:rPr>
          <w:rFonts w:asciiTheme="minorHAnsi" w:hAnsiTheme="minorHAnsi"/>
          <w:sz w:val="22"/>
          <w:szCs w:val="22"/>
        </w:rPr>
        <w:t xml:space="preserve"> to set clear timeframes and targets with NET</w:t>
      </w:r>
      <w:r>
        <w:rPr>
          <w:rFonts w:asciiTheme="minorHAnsi" w:hAnsiTheme="minorHAnsi"/>
          <w:sz w:val="22"/>
          <w:szCs w:val="22"/>
        </w:rPr>
        <w:t xml:space="preserve"> management</w:t>
      </w:r>
      <w:r w:rsidR="00C60691" w:rsidRPr="002D514F">
        <w:rPr>
          <w:rFonts w:asciiTheme="minorHAnsi" w:hAnsiTheme="minorHAnsi"/>
          <w:sz w:val="22"/>
          <w:szCs w:val="22"/>
        </w:rPr>
        <w:t xml:space="preserve"> regarding the need </w:t>
      </w:r>
      <w:r w:rsidRPr="002D514F">
        <w:rPr>
          <w:rFonts w:asciiTheme="minorHAnsi" w:hAnsiTheme="minorHAnsi"/>
          <w:sz w:val="22"/>
          <w:szCs w:val="22"/>
        </w:rPr>
        <w:t>for</w:t>
      </w:r>
      <w:r>
        <w:rPr>
          <w:rFonts w:asciiTheme="minorHAnsi" w:hAnsiTheme="minorHAnsi"/>
          <w:sz w:val="22"/>
          <w:szCs w:val="22"/>
        </w:rPr>
        <w:t xml:space="preserve"> regular</w:t>
      </w:r>
      <w:r w:rsidRPr="002D514F">
        <w:rPr>
          <w:rFonts w:asciiTheme="minorHAnsi" w:hAnsiTheme="minorHAnsi"/>
          <w:sz w:val="22"/>
          <w:szCs w:val="22"/>
        </w:rPr>
        <w:t xml:space="preserve"> senior management engagement with the Program and for </w:t>
      </w:r>
      <w:r w:rsidR="00C60691" w:rsidRPr="002D514F">
        <w:rPr>
          <w:rFonts w:asciiTheme="minorHAnsi" w:hAnsiTheme="minorHAnsi"/>
          <w:sz w:val="22"/>
          <w:szCs w:val="22"/>
        </w:rPr>
        <w:t>better link</w:t>
      </w:r>
      <w:r w:rsidRPr="002D514F">
        <w:rPr>
          <w:rFonts w:asciiTheme="minorHAnsi" w:hAnsiTheme="minorHAnsi"/>
          <w:sz w:val="22"/>
          <w:szCs w:val="22"/>
        </w:rPr>
        <w:t>ages</w:t>
      </w:r>
      <w:r w:rsidR="00C60691" w:rsidRPr="002D514F">
        <w:rPr>
          <w:rFonts w:asciiTheme="minorHAnsi" w:hAnsiTheme="minorHAnsi"/>
          <w:sz w:val="22"/>
          <w:szCs w:val="22"/>
        </w:rPr>
        <w:t xml:space="preserve"> with government to increase government referrals</w:t>
      </w:r>
      <w:r>
        <w:rPr>
          <w:rFonts w:asciiTheme="minorHAnsi" w:hAnsiTheme="minorHAnsi"/>
          <w:sz w:val="22"/>
          <w:szCs w:val="22"/>
        </w:rPr>
        <w:t xml:space="preserve"> to the shelter</w:t>
      </w:r>
      <w:r w:rsidR="00C60691" w:rsidRPr="002D514F">
        <w:rPr>
          <w:rFonts w:asciiTheme="minorHAnsi" w:hAnsiTheme="minorHAnsi"/>
          <w:sz w:val="22"/>
          <w:szCs w:val="22"/>
        </w:rPr>
        <w:t xml:space="preserve">. NET should be informed that, if these matters are not addressed, funding </w:t>
      </w:r>
      <w:r w:rsidR="00C44545" w:rsidRPr="002D514F">
        <w:rPr>
          <w:rFonts w:asciiTheme="minorHAnsi" w:hAnsiTheme="minorHAnsi"/>
          <w:sz w:val="22"/>
          <w:szCs w:val="22"/>
        </w:rPr>
        <w:t>might</w:t>
      </w:r>
      <w:r w:rsidR="00C60691" w:rsidRPr="002D514F">
        <w:rPr>
          <w:rFonts w:asciiTheme="minorHAnsi" w:hAnsiTheme="minorHAnsi"/>
          <w:sz w:val="22"/>
          <w:szCs w:val="22"/>
        </w:rPr>
        <w:t xml:space="preserve"> be withdrawn. </w:t>
      </w:r>
    </w:p>
    <w:p w14:paraId="6C5FEEDE" w14:textId="3FED675A" w:rsidR="00C60691" w:rsidRPr="002D514F" w:rsidRDefault="00C60691" w:rsidP="002D514F">
      <w:pPr>
        <w:pStyle w:val="ListParagraph"/>
        <w:numPr>
          <w:ilvl w:val="0"/>
          <w:numId w:val="22"/>
        </w:numPr>
        <w:rPr>
          <w:rFonts w:asciiTheme="minorHAnsi" w:hAnsiTheme="minorHAnsi"/>
          <w:sz w:val="22"/>
          <w:szCs w:val="22"/>
        </w:rPr>
      </w:pPr>
      <w:r w:rsidRPr="002D514F">
        <w:rPr>
          <w:rFonts w:asciiTheme="minorHAnsi" w:hAnsiTheme="minorHAnsi"/>
          <w:sz w:val="22"/>
          <w:szCs w:val="22"/>
        </w:rPr>
        <w:t>Priority should continue to be given to strengthening links between the private and government shelters (</w:t>
      </w:r>
      <w:r w:rsidRPr="002D514F">
        <w:rPr>
          <w:rFonts w:asciiTheme="minorHAnsi" w:hAnsiTheme="minorHAnsi"/>
          <w:i/>
          <w:sz w:val="22"/>
          <w:szCs w:val="22"/>
        </w:rPr>
        <w:t>Darul Aman</w:t>
      </w:r>
      <w:r w:rsidRPr="002D514F">
        <w:rPr>
          <w:rFonts w:asciiTheme="minorHAnsi" w:hAnsiTheme="minorHAnsi"/>
          <w:sz w:val="22"/>
          <w:szCs w:val="22"/>
        </w:rPr>
        <w:t xml:space="preserve"> and </w:t>
      </w:r>
      <w:r w:rsidR="009B5796">
        <w:rPr>
          <w:rFonts w:asciiTheme="minorHAnsi" w:hAnsiTheme="minorHAnsi"/>
          <w:sz w:val="22"/>
          <w:szCs w:val="22"/>
        </w:rPr>
        <w:t>WCCs</w:t>
      </w:r>
      <w:r w:rsidR="00925795" w:rsidRPr="002D514F">
        <w:rPr>
          <w:rFonts w:asciiTheme="minorHAnsi" w:hAnsiTheme="minorHAnsi"/>
          <w:sz w:val="22"/>
          <w:szCs w:val="22"/>
        </w:rPr>
        <w:t xml:space="preserve">) in both provinces, and </w:t>
      </w:r>
      <w:r w:rsidR="00925795">
        <w:rPr>
          <w:rFonts w:asciiTheme="minorHAnsi" w:hAnsiTheme="minorHAnsi"/>
          <w:sz w:val="22"/>
          <w:szCs w:val="22"/>
        </w:rPr>
        <w:t>improving</w:t>
      </w:r>
      <w:r w:rsidR="00925795" w:rsidRPr="002D514F">
        <w:rPr>
          <w:rFonts w:asciiTheme="minorHAnsi" w:hAnsiTheme="minorHAnsi"/>
          <w:sz w:val="22"/>
          <w:szCs w:val="22"/>
        </w:rPr>
        <w:t xml:space="preserve"> </w:t>
      </w:r>
      <w:r w:rsidR="00925795">
        <w:rPr>
          <w:rFonts w:asciiTheme="minorHAnsi" w:hAnsiTheme="minorHAnsi"/>
          <w:sz w:val="22"/>
          <w:szCs w:val="22"/>
        </w:rPr>
        <w:t>the quality of services in Government shelters.</w:t>
      </w:r>
    </w:p>
    <w:p w14:paraId="2B406000" w14:textId="77B4D391" w:rsidR="00C60691" w:rsidRPr="002D514F" w:rsidRDefault="0008203F" w:rsidP="002D514F">
      <w:pPr>
        <w:pStyle w:val="ListParagraph"/>
        <w:numPr>
          <w:ilvl w:val="0"/>
          <w:numId w:val="22"/>
        </w:numPr>
        <w:rPr>
          <w:rFonts w:asciiTheme="minorHAnsi" w:hAnsiTheme="minorHAnsi"/>
          <w:sz w:val="22"/>
          <w:szCs w:val="22"/>
        </w:rPr>
      </w:pPr>
      <w:r>
        <w:rPr>
          <w:rFonts w:asciiTheme="minorHAnsi" w:hAnsiTheme="minorHAnsi"/>
          <w:sz w:val="22"/>
          <w:szCs w:val="22"/>
        </w:rPr>
        <w:t>Trócaire</w:t>
      </w:r>
      <w:r w:rsidR="00C60691" w:rsidRPr="002D514F">
        <w:rPr>
          <w:rFonts w:asciiTheme="minorHAnsi" w:hAnsiTheme="minorHAnsi"/>
          <w:sz w:val="22"/>
          <w:szCs w:val="22"/>
        </w:rPr>
        <w:t xml:space="preserve"> and the two partners should strongly advocate for Government funds to be allocated for the helplines in the next budget for 2017-18 to ensure ongoing operation and sustainability of this component post-2018.</w:t>
      </w:r>
    </w:p>
    <w:p w14:paraId="6C86F307" w14:textId="71350950" w:rsidR="00C60691" w:rsidRPr="002D514F" w:rsidRDefault="00E34FC9" w:rsidP="002D514F">
      <w:pPr>
        <w:pStyle w:val="ListParagraph"/>
        <w:numPr>
          <w:ilvl w:val="0"/>
          <w:numId w:val="22"/>
        </w:numPr>
        <w:rPr>
          <w:rFonts w:asciiTheme="minorHAnsi" w:hAnsiTheme="minorHAnsi"/>
          <w:sz w:val="22"/>
          <w:szCs w:val="22"/>
        </w:rPr>
      </w:pPr>
      <w:r w:rsidRPr="002D514F">
        <w:rPr>
          <w:rFonts w:asciiTheme="minorHAnsi" w:hAnsiTheme="minorHAnsi"/>
          <w:sz w:val="22"/>
          <w:szCs w:val="22"/>
        </w:rPr>
        <w:t xml:space="preserve">Consider </w:t>
      </w:r>
      <w:r>
        <w:rPr>
          <w:rFonts w:asciiTheme="minorHAnsi" w:hAnsiTheme="minorHAnsi"/>
          <w:sz w:val="22"/>
          <w:szCs w:val="22"/>
        </w:rPr>
        <w:t>moving the</w:t>
      </w:r>
      <w:r w:rsidR="00C60691" w:rsidRPr="002D514F">
        <w:rPr>
          <w:rFonts w:asciiTheme="minorHAnsi" w:hAnsiTheme="minorHAnsi"/>
          <w:sz w:val="22"/>
          <w:szCs w:val="22"/>
        </w:rPr>
        <w:t xml:space="preserve"> vocational training compon</w:t>
      </w:r>
      <w:r w:rsidRPr="002D514F">
        <w:rPr>
          <w:rFonts w:asciiTheme="minorHAnsi" w:hAnsiTheme="minorHAnsi"/>
          <w:sz w:val="22"/>
          <w:szCs w:val="22"/>
        </w:rPr>
        <w:t>ent</w:t>
      </w:r>
      <w:r w:rsidR="00C60691" w:rsidRPr="002D514F">
        <w:rPr>
          <w:rFonts w:asciiTheme="minorHAnsi" w:hAnsiTheme="minorHAnsi"/>
          <w:sz w:val="22"/>
          <w:szCs w:val="22"/>
        </w:rPr>
        <w:t xml:space="preserve"> under Objective 2</w:t>
      </w:r>
      <w:r w:rsidRPr="002D514F">
        <w:rPr>
          <w:rFonts w:asciiTheme="minorHAnsi" w:hAnsiTheme="minorHAnsi"/>
          <w:sz w:val="22"/>
          <w:szCs w:val="22"/>
        </w:rPr>
        <w:t xml:space="preserve"> as a tangible incentive for </w:t>
      </w:r>
      <w:r w:rsidR="001F25A0">
        <w:rPr>
          <w:rFonts w:asciiTheme="minorHAnsi" w:hAnsiTheme="minorHAnsi"/>
          <w:sz w:val="22"/>
          <w:szCs w:val="22"/>
        </w:rPr>
        <w:t xml:space="preserve">female </w:t>
      </w:r>
      <w:r w:rsidRPr="002D514F">
        <w:rPr>
          <w:rFonts w:asciiTheme="minorHAnsi" w:hAnsiTheme="minorHAnsi"/>
          <w:sz w:val="22"/>
          <w:szCs w:val="22"/>
        </w:rPr>
        <w:t>community activists</w:t>
      </w:r>
      <w:r w:rsidR="001F25A0" w:rsidRPr="002D514F">
        <w:rPr>
          <w:rFonts w:asciiTheme="minorHAnsi" w:hAnsiTheme="minorHAnsi"/>
          <w:sz w:val="22"/>
          <w:szCs w:val="22"/>
        </w:rPr>
        <w:t xml:space="preserve"> </w:t>
      </w:r>
      <w:r w:rsidRPr="002D514F">
        <w:rPr>
          <w:rFonts w:asciiTheme="minorHAnsi" w:hAnsiTheme="minorHAnsi"/>
          <w:sz w:val="22"/>
          <w:szCs w:val="22"/>
        </w:rPr>
        <w:t xml:space="preserve">involved in community mobilisation work. </w:t>
      </w:r>
      <w:r w:rsidRPr="007666CC">
        <w:rPr>
          <w:rFonts w:asciiTheme="minorHAnsi" w:hAnsiTheme="minorHAnsi"/>
          <w:sz w:val="22"/>
          <w:szCs w:val="22"/>
        </w:rPr>
        <w:t xml:space="preserve">ACT should be provided with the vocational training component if requested. </w:t>
      </w:r>
      <w:r>
        <w:rPr>
          <w:rFonts w:asciiTheme="minorHAnsi" w:hAnsiTheme="minorHAnsi"/>
          <w:sz w:val="22"/>
          <w:szCs w:val="22"/>
        </w:rPr>
        <w:t>However, c</w:t>
      </w:r>
      <w:r w:rsidRPr="007666CC">
        <w:rPr>
          <w:rFonts w:asciiTheme="minorHAnsi" w:hAnsiTheme="minorHAnsi"/>
          <w:sz w:val="22"/>
          <w:szCs w:val="22"/>
        </w:rPr>
        <w:t>are needs to be taken to ensure partners do not lose the focus on GBV and start to turn the Program more into a livelihoods activity.</w:t>
      </w:r>
      <w:r>
        <w:rPr>
          <w:rFonts w:asciiTheme="minorHAnsi" w:hAnsiTheme="minorHAnsi"/>
          <w:sz w:val="22"/>
          <w:szCs w:val="22"/>
        </w:rPr>
        <w:t xml:space="preserve"> </w:t>
      </w:r>
      <w:r w:rsidRPr="002D514F">
        <w:rPr>
          <w:rFonts w:asciiTheme="minorHAnsi" w:hAnsiTheme="minorHAnsi"/>
          <w:sz w:val="22"/>
          <w:szCs w:val="22"/>
        </w:rPr>
        <w:t>Shelters should</w:t>
      </w:r>
      <w:r w:rsidR="00C60691" w:rsidRPr="002D514F">
        <w:rPr>
          <w:rFonts w:asciiTheme="minorHAnsi" w:hAnsiTheme="minorHAnsi"/>
          <w:sz w:val="22"/>
          <w:szCs w:val="22"/>
        </w:rPr>
        <w:t xml:space="preserve"> focus on literacy and life skills</w:t>
      </w:r>
      <w:r w:rsidRPr="002D514F">
        <w:rPr>
          <w:rFonts w:asciiTheme="minorHAnsi" w:hAnsiTheme="minorHAnsi"/>
          <w:sz w:val="22"/>
          <w:szCs w:val="22"/>
        </w:rPr>
        <w:t xml:space="preserve"> rather than vocational training, but shelter survivors should continue to have access to </w:t>
      </w:r>
      <w:r>
        <w:rPr>
          <w:rFonts w:asciiTheme="minorHAnsi" w:hAnsiTheme="minorHAnsi"/>
          <w:sz w:val="22"/>
          <w:szCs w:val="22"/>
        </w:rPr>
        <w:t>vocational</w:t>
      </w:r>
      <w:r w:rsidRPr="002D514F">
        <w:rPr>
          <w:rFonts w:asciiTheme="minorHAnsi" w:hAnsiTheme="minorHAnsi"/>
          <w:sz w:val="22"/>
          <w:szCs w:val="22"/>
        </w:rPr>
        <w:t xml:space="preserve"> training if requested.</w:t>
      </w:r>
      <w:r>
        <w:rPr>
          <w:rFonts w:asciiTheme="minorHAnsi" w:hAnsiTheme="minorHAnsi"/>
          <w:sz w:val="22"/>
          <w:szCs w:val="22"/>
        </w:rPr>
        <w:t xml:space="preserve"> Handholding support should be phased out.</w:t>
      </w:r>
    </w:p>
    <w:p w14:paraId="3EBFC46C" w14:textId="7477158D" w:rsidR="00C60691" w:rsidRPr="002D514F" w:rsidRDefault="00C60691" w:rsidP="002D514F">
      <w:pPr>
        <w:pStyle w:val="ListParagraph"/>
        <w:numPr>
          <w:ilvl w:val="0"/>
          <w:numId w:val="22"/>
        </w:numPr>
        <w:rPr>
          <w:rFonts w:asciiTheme="minorHAnsi" w:hAnsiTheme="minorHAnsi"/>
          <w:sz w:val="22"/>
          <w:szCs w:val="22"/>
        </w:rPr>
      </w:pPr>
      <w:r w:rsidRPr="002D514F">
        <w:rPr>
          <w:rFonts w:asciiTheme="minorHAnsi" w:hAnsiTheme="minorHAnsi"/>
          <w:sz w:val="22"/>
          <w:szCs w:val="22"/>
        </w:rPr>
        <w:t>The risks associated with women</w:t>
      </w:r>
      <w:r w:rsidR="001F25A0">
        <w:rPr>
          <w:rFonts w:asciiTheme="minorHAnsi" w:hAnsiTheme="minorHAnsi"/>
          <w:sz w:val="22"/>
          <w:szCs w:val="22"/>
        </w:rPr>
        <w:t xml:space="preserve"> and girls</w:t>
      </w:r>
      <w:r w:rsidRPr="002D514F">
        <w:rPr>
          <w:rFonts w:asciiTheme="minorHAnsi" w:hAnsiTheme="minorHAnsi"/>
          <w:sz w:val="22"/>
          <w:szCs w:val="22"/>
        </w:rPr>
        <w:t xml:space="preserve"> increasingly speaking out should conti</w:t>
      </w:r>
      <w:r w:rsidR="00A63FF5" w:rsidRPr="002D514F">
        <w:rPr>
          <w:rFonts w:asciiTheme="minorHAnsi" w:hAnsiTheme="minorHAnsi"/>
          <w:sz w:val="22"/>
          <w:szCs w:val="22"/>
        </w:rPr>
        <w:t xml:space="preserve">nue to be closely monitored. A </w:t>
      </w:r>
      <w:r w:rsidRPr="002D514F">
        <w:rPr>
          <w:rFonts w:asciiTheme="minorHAnsi" w:hAnsiTheme="minorHAnsi"/>
          <w:sz w:val="22"/>
          <w:szCs w:val="22"/>
        </w:rPr>
        <w:t>specific ‘conflict sensitivity’ indicator in the M&amp;E framework is recommended to track any unintended consequences of the intervention.</w:t>
      </w:r>
    </w:p>
    <w:p w14:paraId="1343288B" w14:textId="6B651627" w:rsidR="00F1582F" w:rsidRPr="002D514F" w:rsidRDefault="0008203F" w:rsidP="002D514F">
      <w:pPr>
        <w:pStyle w:val="ListParagraph"/>
        <w:numPr>
          <w:ilvl w:val="0"/>
          <w:numId w:val="22"/>
        </w:numPr>
        <w:rPr>
          <w:rFonts w:asciiTheme="minorHAnsi" w:hAnsiTheme="minorHAnsi"/>
          <w:sz w:val="22"/>
          <w:szCs w:val="22"/>
        </w:rPr>
      </w:pPr>
      <w:r>
        <w:rPr>
          <w:rFonts w:asciiTheme="minorHAnsi" w:hAnsiTheme="minorHAnsi"/>
          <w:sz w:val="22"/>
          <w:szCs w:val="22"/>
        </w:rPr>
        <w:t>Trócaire</w:t>
      </w:r>
      <w:r w:rsidR="00F1582F" w:rsidRPr="002D514F">
        <w:rPr>
          <w:rFonts w:asciiTheme="minorHAnsi" w:hAnsiTheme="minorHAnsi"/>
          <w:sz w:val="22"/>
          <w:szCs w:val="22"/>
        </w:rPr>
        <w:t xml:space="preserve"> should move to appoint a KP advocacy partner/s as soon as possible.</w:t>
      </w:r>
      <w:r w:rsidR="00A63FF5">
        <w:rPr>
          <w:rFonts w:asciiTheme="minorHAnsi" w:hAnsiTheme="minorHAnsi"/>
          <w:sz w:val="22"/>
          <w:szCs w:val="22"/>
        </w:rPr>
        <w:t xml:space="preserve"> </w:t>
      </w:r>
      <w:r>
        <w:rPr>
          <w:rFonts w:asciiTheme="minorHAnsi" w:hAnsiTheme="minorHAnsi"/>
          <w:sz w:val="22"/>
          <w:szCs w:val="22"/>
        </w:rPr>
        <w:t>Trócaire</w:t>
      </w:r>
      <w:r w:rsidR="00F1582F" w:rsidRPr="002D514F">
        <w:rPr>
          <w:rFonts w:asciiTheme="minorHAnsi" w:hAnsiTheme="minorHAnsi"/>
          <w:sz w:val="22"/>
          <w:szCs w:val="22"/>
        </w:rPr>
        <w:t xml:space="preserve"> should ensure there is a clear </w:t>
      </w:r>
      <w:r w:rsidR="001F25A0">
        <w:rPr>
          <w:rFonts w:asciiTheme="minorHAnsi" w:hAnsiTheme="minorHAnsi"/>
          <w:sz w:val="22"/>
          <w:szCs w:val="22"/>
        </w:rPr>
        <w:t>strategy</w:t>
      </w:r>
      <w:r w:rsidR="00F1582F" w:rsidRPr="002D514F">
        <w:rPr>
          <w:rFonts w:asciiTheme="minorHAnsi" w:hAnsiTheme="minorHAnsi"/>
          <w:sz w:val="22"/>
          <w:szCs w:val="22"/>
        </w:rPr>
        <w:t xml:space="preserve"> and coordination between SAC, the provincial advocacy partners </w:t>
      </w:r>
      <w:r w:rsidR="00A63FF5" w:rsidRPr="002D514F">
        <w:rPr>
          <w:rFonts w:asciiTheme="minorHAnsi" w:hAnsiTheme="minorHAnsi"/>
          <w:sz w:val="22"/>
          <w:szCs w:val="22"/>
        </w:rPr>
        <w:t>and the five</w:t>
      </w:r>
      <w:r w:rsidR="00F1582F" w:rsidRPr="002D514F">
        <w:rPr>
          <w:rFonts w:asciiTheme="minorHAnsi" w:hAnsiTheme="minorHAnsi"/>
          <w:sz w:val="22"/>
          <w:szCs w:val="22"/>
        </w:rPr>
        <w:t xml:space="preserve"> local implementing partners’ media work, for maximum impact.</w:t>
      </w:r>
      <w:r w:rsidR="00A63FF5" w:rsidRPr="002D514F">
        <w:rPr>
          <w:rFonts w:asciiTheme="minorHAnsi" w:hAnsiTheme="minorHAnsi"/>
          <w:sz w:val="22"/>
          <w:szCs w:val="22"/>
        </w:rPr>
        <w:t xml:space="preserve"> Further analysis of the impact of the </w:t>
      </w:r>
      <w:r w:rsidR="00A63FF5" w:rsidRPr="002D514F">
        <w:rPr>
          <w:rFonts w:asciiTheme="minorHAnsi" w:hAnsiTheme="minorHAnsi"/>
          <w:i/>
          <w:sz w:val="22"/>
          <w:szCs w:val="22"/>
        </w:rPr>
        <w:t>Pur Azm</w:t>
      </w:r>
      <w:r w:rsidR="00A63FF5" w:rsidRPr="002D514F">
        <w:rPr>
          <w:rFonts w:asciiTheme="minorHAnsi" w:hAnsiTheme="minorHAnsi"/>
          <w:sz w:val="22"/>
          <w:szCs w:val="22"/>
        </w:rPr>
        <w:t xml:space="preserve"> campaign and advocacy work of the five implementing partners is recommended prior to the end of the investment.</w:t>
      </w:r>
    </w:p>
    <w:p w14:paraId="16FCEDD9" w14:textId="77777777" w:rsidR="00E63E55" w:rsidRDefault="00A63FF5" w:rsidP="003E62E1">
      <w:pPr>
        <w:pStyle w:val="ListParagraph"/>
        <w:numPr>
          <w:ilvl w:val="0"/>
          <w:numId w:val="22"/>
        </w:numPr>
        <w:rPr>
          <w:rFonts w:asciiTheme="minorHAnsi" w:hAnsiTheme="minorHAnsi"/>
          <w:sz w:val="22"/>
          <w:szCs w:val="22"/>
        </w:rPr>
      </w:pPr>
      <w:r w:rsidRPr="00E63E55">
        <w:rPr>
          <w:rFonts w:asciiTheme="minorHAnsi" w:hAnsiTheme="minorHAnsi"/>
          <w:sz w:val="22"/>
          <w:szCs w:val="22"/>
        </w:rPr>
        <w:t>Consider</w:t>
      </w:r>
      <w:r w:rsidR="00F1582F" w:rsidRPr="00E63E55">
        <w:rPr>
          <w:rFonts w:asciiTheme="minorHAnsi" w:hAnsiTheme="minorHAnsi"/>
          <w:sz w:val="22"/>
          <w:szCs w:val="22"/>
        </w:rPr>
        <w:t xml:space="preserve"> conducting awareness raising and capacity building of parliamentarians on GBV. Greater focus on provincial parliamentarians and local government representatives is</w:t>
      </w:r>
      <w:r w:rsidR="00E63E55" w:rsidRPr="00E63E55">
        <w:rPr>
          <w:rFonts w:asciiTheme="minorHAnsi" w:hAnsiTheme="minorHAnsi"/>
          <w:sz w:val="22"/>
          <w:szCs w:val="22"/>
        </w:rPr>
        <w:t xml:space="preserve"> </w:t>
      </w:r>
      <w:r w:rsidR="00F1582F" w:rsidRPr="00E63E55">
        <w:rPr>
          <w:rFonts w:asciiTheme="minorHAnsi" w:hAnsiTheme="minorHAnsi"/>
          <w:sz w:val="22"/>
          <w:szCs w:val="22"/>
        </w:rPr>
        <w:t>recommended as part of the advocacy strategy, as well as greater linkages with the Provincial Women’s Parliamentary Caucuses in Sindh and KP.</w:t>
      </w:r>
    </w:p>
    <w:p w14:paraId="193E1F58" w14:textId="11A2B879" w:rsidR="00F1582F" w:rsidRPr="00E63E55" w:rsidRDefault="00A63FF5" w:rsidP="003E62E1">
      <w:pPr>
        <w:pStyle w:val="ListParagraph"/>
        <w:numPr>
          <w:ilvl w:val="0"/>
          <w:numId w:val="22"/>
        </w:numPr>
        <w:rPr>
          <w:rFonts w:asciiTheme="minorHAnsi" w:hAnsiTheme="minorHAnsi"/>
          <w:sz w:val="22"/>
          <w:szCs w:val="22"/>
        </w:rPr>
      </w:pPr>
      <w:r w:rsidRPr="00E63E55">
        <w:rPr>
          <w:rFonts w:asciiTheme="minorHAnsi" w:hAnsiTheme="minorHAnsi"/>
          <w:sz w:val="22"/>
          <w:szCs w:val="22"/>
        </w:rPr>
        <w:lastRenderedPageBreak/>
        <w:t>Ensure</w:t>
      </w:r>
      <w:r w:rsidR="00F1582F" w:rsidRPr="00E63E55">
        <w:rPr>
          <w:rFonts w:asciiTheme="minorHAnsi" w:hAnsiTheme="minorHAnsi"/>
          <w:sz w:val="22"/>
          <w:szCs w:val="22"/>
        </w:rPr>
        <w:t xml:space="preserve"> disability considerations are integrated throughout the Program</w:t>
      </w:r>
      <w:r w:rsidR="003F4504" w:rsidRPr="00E63E55">
        <w:rPr>
          <w:rFonts w:asciiTheme="minorHAnsi" w:hAnsiTheme="minorHAnsi"/>
          <w:sz w:val="22"/>
          <w:szCs w:val="22"/>
        </w:rPr>
        <w:t>.</w:t>
      </w:r>
      <w:r w:rsidR="001F25A0" w:rsidRPr="00E63E55">
        <w:rPr>
          <w:rFonts w:asciiTheme="minorHAnsi" w:hAnsiTheme="minorHAnsi"/>
          <w:sz w:val="22"/>
          <w:szCs w:val="22"/>
        </w:rPr>
        <w:t xml:space="preserve"> </w:t>
      </w:r>
      <w:r w:rsidR="00F1582F" w:rsidRPr="00E63E55">
        <w:rPr>
          <w:rFonts w:asciiTheme="minorHAnsi" w:hAnsiTheme="minorHAnsi"/>
          <w:sz w:val="22"/>
          <w:szCs w:val="22"/>
        </w:rPr>
        <w:t xml:space="preserve">Ongoing messaging is required from </w:t>
      </w:r>
      <w:r w:rsidR="0008203F" w:rsidRPr="00E63E55">
        <w:rPr>
          <w:rFonts w:asciiTheme="minorHAnsi" w:hAnsiTheme="minorHAnsi"/>
          <w:sz w:val="22"/>
          <w:szCs w:val="22"/>
        </w:rPr>
        <w:t>Trócaire</w:t>
      </w:r>
      <w:r w:rsidR="00F1582F" w:rsidRPr="00E63E55">
        <w:rPr>
          <w:rFonts w:asciiTheme="minorHAnsi" w:hAnsiTheme="minorHAnsi"/>
          <w:sz w:val="22"/>
          <w:szCs w:val="22"/>
        </w:rPr>
        <w:t xml:space="preserve"> and AHC to ensure DID remains a focus. Partnerships with disabled people’s organisations are highly recommended to ensure people with disability are </w:t>
      </w:r>
      <w:r w:rsidR="00300E7E">
        <w:rPr>
          <w:rFonts w:asciiTheme="minorHAnsi" w:hAnsiTheme="minorHAnsi"/>
          <w:sz w:val="22"/>
          <w:szCs w:val="22"/>
        </w:rPr>
        <w:t>consulted in identifying</w:t>
      </w:r>
      <w:r w:rsidR="00300E7E" w:rsidRPr="00E63E55">
        <w:rPr>
          <w:rFonts w:asciiTheme="minorHAnsi" w:hAnsiTheme="minorHAnsi"/>
          <w:sz w:val="22"/>
          <w:szCs w:val="22"/>
        </w:rPr>
        <w:t xml:space="preserve"> </w:t>
      </w:r>
      <w:r w:rsidR="00F1582F" w:rsidRPr="00E63E55">
        <w:rPr>
          <w:rFonts w:asciiTheme="minorHAnsi" w:hAnsiTheme="minorHAnsi"/>
          <w:sz w:val="22"/>
          <w:szCs w:val="22"/>
        </w:rPr>
        <w:t xml:space="preserve">actions </w:t>
      </w:r>
      <w:r w:rsidR="00300E7E">
        <w:rPr>
          <w:rFonts w:asciiTheme="minorHAnsi" w:hAnsiTheme="minorHAnsi"/>
          <w:sz w:val="22"/>
          <w:szCs w:val="22"/>
        </w:rPr>
        <w:t xml:space="preserve">to be </w:t>
      </w:r>
      <w:r w:rsidR="00F1582F" w:rsidRPr="00E63E55">
        <w:rPr>
          <w:rFonts w:asciiTheme="minorHAnsi" w:hAnsiTheme="minorHAnsi"/>
          <w:sz w:val="22"/>
          <w:szCs w:val="22"/>
        </w:rPr>
        <w:t>taken, and to expand understanding of disability inclusiveness beyond physical access considerations.</w:t>
      </w:r>
    </w:p>
    <w:p w14:paraId="6C7FA35C" w14:textId="10F51531" w:rsidR="00F1582F" w:rsidRPr="002D514F" w:rsidRDefault="001F25A0" w:rsidP="002D514F">
      <w:pPr>
        <w:pStyle w:val="ListParagraph"/>
        <w:numPr>
          <w:ilvl w:val="0"/>
          <w:numId w:val="22"/>
        </w:numPr>
        <w:rPr>
          <w:rFonts w:asciiTheme="minorHAnsi" w:hAnsiTheme="minorHAnsi"/>
          <w:sz w:val="22"/>
          <w:szCs w:val="22"/>
        </w:rPr>
      </w:pPr>
      <w:r>
        <w:rPr>
          <w:rFonts w:asciiTheme="minorHAnsi" w:hAnsiTheme="minorHAnsi"/>
          <w:sz w:val="22"/>
          <w:szCs w:val="22"/>
        </w:rPr>
        <w:t xml:space="preserve">On ongoing focus on </w:t>
      </w:r>
      <w:r w:rsidR="003F4504">
        <w:rPr>
          <w:rFonts w:asciiTheme="minorHAnsi" w:hAnsiTheme="minorHAnsi"/>
          <w:sz w:val="22"/>
          <w:szCs w:val="22"/>
        </w:rPr>
        <w:t xml:space="preserve">security, </w:t>
      </w:r>
      <w:r>
        <w:rPr>
          <w:rFonts w:asciiTheme="minorHAnsi" w:hAnsiTheme="minorHAnsi"/>
          <w:sz w:val="22"/>
          <w:szCs w:val="22"/>
        </w:rPr>
        <w:t>safeguards and Do No Harm is essential.</w:t>
      </w:r>
      <w:r w:rsidRPr="002D514F">
        <w:rPr>
          <w:rFonts w:asciiTheme="minorHAnsi" w:hAnsiTheme="minorHAnsi"/>
          <w:sz w:val="22"/>
          <w:szCs w:val="22"/>
        </w:rPr>
        <w:t xml:space="preserve"> </w:t>
      </w:r>
      <w:r w:rsidR="0008203F">
        <w:rPr>
          <w:rFonts w:asciiTheme="minorHAnsi" w:hAnsiTheme="minorHAnsi"/>
          <w:sz w:val="22"/>
          <w:szCs w:val="22"/>
        </w:rPr>
        <w:t>Trócaire</w:t>
      </w:r>
      <w:r w:rsidR="00F1582F" w:rsidRPr="002D514F">
        <w:rPr>
          <w:rFonts w:asciiTheme="minorHAnsi" w:hAnsiTheme="minorHAnsi"/>
          <w:sz w:val="22"/>
          <w:szCs w:val="22"/>
        </w:rPr>
        <w:t xml:space="preserve"> and NGO staff should ensure consent is actively sought from survivors in shelters ahead of any future monitoring and/or field visits. Convoy size and police escorts should be kept to a minimum. Proper consent for photographs should be sought by all staff (including </w:t>
      </w:r>
      <w:r w:rsidR="00F1582F" w:rsidRPr="002D514F">
        <w:rPr>
          <w:rFonts w:asciiTheme="minorHAnsi" w:hAnsiTheme="minorHAnsi"/>
          <w:i/>
          <w:sz w:val="22"/>
          <w:szCs w:val="22"/>
        </w:rPr>
        <w:t xml:space="preserve">Darul Aman </w:t>
      </w:r>
      <w:r w:rsidR="00F1582F" w:rsidRPr="002D514F">
        <w:rPr>
          <w:rFonts w:asciiTheme="minorHAnsi" w:hAnsiTheme="minorHAnsi"/>
          <w:sz w:val="22"/>
          <w:szCs w:val="22"/>
        </w:rPr>
        <w:t>staff).</w:t>
      </w:r>
    </w:p>
    <w:p w14:paraId="4FABF622" w14:textId="77777777" w:rsidR="005F71BB" w:rsidRDefault="00F1582F" w:rsidP="00326F45">
      <w:pPr>
        <w:pStyle w:val="ListParagraph"/>
        <w:numPr>
          <w:ilvl w:val="0"/>
          <w:numId w:val="22"/>
        </w:numPr>
        <w:rPr>
          <w:rFonts w:asciiTheme="minorHAnsi" w:hAnsiTheme="minorHAnsi"/>
          <w:sz w:val="22"/>
          <w:szCs w:val="22"/>
        </w:rPr>
      </w:pPr>
      <w:r w:rsidRPr="00326F45">
        <w:rPr>
          <w:rFonts w:asciiTheme="minorHAnsi" w:hAnsiTheme="minorHAnsi"/>
          <w:sz w:val="22"/>
          <w:szCs w:val="22"/>
        </w:rPr>
        <w:t xml:space="preserve">Additional efforts should be made by </w:t>
      </w:r>
      <w:r w:rsidR="0008203F" w:rsidRPr="00326F45">
        <w:rPr>
          <w:rFonts w:asciiTheme="minorHAnsi" w:hAnsiTheme="minorHAnsi"/>
          <w:sz w:val="22"/>
          <w:szCs w:val="22"/>
        </w:rPr>
        <w:t>Trócaire</w:t>
      </w:r>
      <w:r w:rsidRPr="00326F45">
        <w:rPr>
          <w:rFonts w:asciiTheme="minorHAnsi" w:hAnsiTheme="minorHAnsi"/>
          <w:sz w:val="22"/>
          <w:szCs w:val="22"/>
        </w:rPr>
        <w:t xml:space="preserve"> to link the various partners/stakeholders with the five implementing partners, to increase impact and decrease duplication. The Pakistan EVAWG Alliance potentially has a greater coordination role t</w:t>
      </w:r>
      <w:r w:rsidRPr="00E63E55">
        <w:rPr>
          <w:rFonts w:asciiTheme="minorHAnsi" w:hAnsiTheme="minorHAnsi"/>
          <w:sz w:val="22"/>
          <w:szCs w:val="22"/>
        </w:rPr>
        <w:t>o play here</w:t>
      </w:r>
      <w:r w:rsidR="001F25A0" w:rsidRPr="00E63E55">
        <w:rPr>
          <w:rFonts w:asciiTheme="minorHAnsi" w:hAnsiTheme="minorHAnsi"/>
          <w:sz w:val="22"/>
          <w:szCs w:val="22"/>
        </w:rPr>
        <w:t>.</w:t>
      </w:r>
      <w:r w:rsidR="005F71BB">
        <w:rPr>
          <w:rFonts w:asciiTheme="minorHAnsi" w:hAnsiTheme="minorHAnsi"/>
          <w:sz w:val="22"/>
          <w:szCs w:val="22"/>
        </w:rPr>
        <w:t xml:space="preserve"> </w:t>
      </w:r>
    </w:p>
    <w:p w14:paraId="761AAB2D" w14:textId="2A8BA617" w:rsidR="00C012FB" w:rsidRDefault="00C012FB" w:rsidP="00C012FB">
      <w:pPr>
        <w:pStyle w:val="ListParagraph"/>
        <w:numPr>
          <w:ilvl w:val="0"/>
          <w:numId w:val="22"/>
        </w:numPr>
        <w:rPr>
          <w:rFonts w:asciiTheme="minorHAnsi" w:hAnsiTheme="minorHAnsi"/>
          <w:sz w:val="22"/>
          <w:szCs w:val="22"/>
        </w:rPr>
      </w:pPr>
      <w:r w:rsidRPr="008463E8">
        <w:rPr>
          <w:rFonts w:asciiTheme="minorHAnsi" w:hAnsiTheme="minorHAnsi"/>
          <w:sz w:val="22"/>
          <w:szCs w:val="22"/>
        </w:rPr>
        <w:t>Greater effort is required overall to build linkages with government and for greater coordination</w:t>
      </w:r>
      <w:r w:rsidRPr="00E63E55">
        <w:rPr>
          <w:rFonts w:asciiTheme="minorHAnsi" w:hAnsiTheme="minorHAnsi"/>
          <w:sz w:val="22"/>
          <w:szCs w:val="22"/>
        </w:rPr>
        <w:t xml:space="preserve">, linking and leveraging by Trócaire. At the provincial level, there is a need for more constructive and strategic engagement, proactive networking and strengthened collaboration with the Social Welfare and Women Development Departments. </w:t>
      </w:r>
      <w:r w:rsidRPr="002D514F">
        <w:rPr>
          <w:rFonts w:asciiTheme="minorHAnsi" w:hAnsiTheme="minorHAnsi"/>
          <w:sz w:val="22"/>
          <w:szCs w:val="22"/>
        </w:rPr>
        <w:t xml:space="preserve">Program partners should consider linking with the Sindh Human Rights </w:t>
      </w:r>
      <w:r w:rsidR="00C44545" w:rsidRPr="002D514F">
        <w:rPr>
          <w:rFonts w:asciiTheme="minorHAnsi" w:hAnsiTheme="minorHAnsi"/>
          <w:sz w:val="22"/>
          <w:szCs w:val="22"/>
        </w:rPr>
        <w:t>Commission, which</w:t>
      </w:r>
      <w:r w:rsidRPr="002D514F">
        <w:rPr>
          <w:rFonts w:asciiTheme="minorHAnsi" w:hAnsiTheme="minorHAnsi"/>
          <w:sz w:val="22"/>
          <w:szCs w:val="22"/>
        </w:rPr>
        <w:t xml:space="preserve"> is active in the area of GBV. </w:t>
      </w:r>
    </w:p>
    <w:p w14:paraId="4EFA1BA4" w14:textId="132463F0" w:rsidR="00C012FB" w:rsidRPr="00C012FB" w:rsidRDefault="00C012FB" w:rsidP="00C012FB">
      <w:pPr>
        <w:pStyle w:val="ListParagraph"/>
        <w:numPr>
          <w:ilvl w:val="0"/>
          <w:numId w:val="22"/>
        </w:numPr>
        <w:rPr>
          <w:rFonts w:asciiTheme="minorHAnsi" w:hAnsiTheme="minorHAnsi"/>
          <w:sz w:val="22"/>
          <w:szCs w:val="22"/>
        </w:rPr>
      </w:pPr>
      <w:r w:rsidRPr="00C012FB">
        <w:rPr>
          <w:rFonts w:asciiTheme="minorHAnsi" w:hAnsiTheme="minorHAnsi"/>
          <w:sz w:val="22"/>
          <w:szCs w:val="22"/>
        </w:rPr>
        <w:t>Additional opportunities to harmonise with other key stakeholders and donor investments in the EVAW sector should be actively explored.</w:t>
      </w:r>
    </w:p>
    <w:p w14:paraId="022D96DD" w14:textId="2DACA2E6" w:rsidR="00A63FF5" w:rsidRPr="00E63E55" w:rsidRDefault="001F25A0" w:rsidP="00326F45">
      <w:pPr>
        <w:pStyle w:val="ListParagraph"/>
        <w:numPr>
          <w:ilvl w:val="0"/>
          <w:numId w:val="22"/>
        </w:numPr>
        <w:rPr>
          <w:rFonts w:asciiTheme="minorHAnsi" w:hAnsiTheme="minorHAnsi"/>
          <w:sz w:val="22"/>
          <w:szCs w:val="22"/>
        </w:rPr>
      </w:pPr>
      <w:r w:rsidRPr="00326F45">
        <w:rPr>
          <w:rFonts w:asciiTheme="minorHAnsi" w:hAnsiTheme="minorHAnsi"/>
          <w:sz w:val="22"/>
          <w:szCs w:val="22"/>
        </w:rPr>
        <w:t xml:space="preserve">There is a need for more opportunities for the five implementing partners to physically come together to share models, approaches, experiences, challenges, and lessons. </w:t>
      </w:r>
      <w:r w:rsidR="00F1582F" w:rsidRPr="00326F45">
        <w:rPr>
          <w:rFonts w:asciiTheme="minorHAnsi" w:hAnsiTheme="minorHAnsi"/>
          <w:sz w:val="22"/>
          <w:szCs w:val="22"/>
        </w:rPr>
        <w:t xml:space="preserve">Before the end of the investment, a </w:t>
      </w:r>
      <w:r w:rsidR="00300E7E">
        <w:rPr>
          <w:rFonts w:asciiTheme="minorHAnsi" w:hAnsiTheme="minorHAnsi"/>
          <w:sz w:val="22"/>
          <w:szCs w:val="22"/>
        </w:rPr>
        <w:t xml:space="preserve">two to three day </w:t>
      </w:r>
      <w:r w:rsidR="00F1582F" w:rsidRPr="00326F45">
        <w:rPr>
          <w:rFonts w:asciiTheme="minorHAnsi" w:hAnsiTheme="minorHAnsi"/>
          <w:sz w:val="22"/>
          <w:szCs w:val="22"/>
        </w:rPr>
        <w:t>specific lessons learnt worksh</w:t>
      </w:r>
      <w:r w:rsidR="00F1582F" w:rsidRPr="00E63E55">
        <w:rPr>
          <w:rFonts w:asciiTheme="minorHAnsi" w:hAnsiTheme="minorHAnsi"/>
          <w:sz w:val="22"/>
          <w:szCs w:val="22"/>
        </w:rPr>
        <w:t xml:space="preserve">op should be held to ensure lessons are shared and documented. Specific time should be set aside for SDS, PVDP and ACT to explore their experiences and lessons in implementing the SASA! approach, and for SDS and PVDP to reflect on the role of vocational training as a tangible hook. ABAD should share its experience and the process it adopted of linking with the </w:t>
      </w:r>
      <w:r w:rsidR="00F1582F" w:rsidRPr="00E63E55">
        <w:rPr>
          <w:rFonts w:asciiTheme="minorHAnsi" w:hAnsiTheme="minorHAnsi"/>
          <w:i/>
          <w:sz w:val="22"/>
          <w:szCs w:val="22"/>
        </w:rPr>
        <w:t>Darul Aman</w:t>
      </w:r>
      <w:r w:rsidR="00F1582F" w:rsidRPr="00E63E55">
        <w:rPr>
          <w:rFonts w:asciiTheme="minorHAnsi" w:hAnsiTheme="minorHAnsi"/>
          <w:sz w:val="22"/>
          <w:szCs w:val="22"/>
        </w:rPr>
        <w:t xml:space="preserve"> in Hyderabad with NET and PVDP. </w:t>
      </w:r>
    </w:p>
    <w:p w14:paraId="43C79056" w14:textId="52F21D28" w:rsidR="00046814" w:rsidRPr="002D514F" w:rsidRDefault="00046814" w:rsidP="002D514F">
      <w:pPr>
        <w:pStyle w:val="ListParagraph"/>
        <w:numPr>
          <w:ilvl w:val="0"/>
          <w:numId w:val="22"/>
        </w:numPr>
        <w:rPr>
          <w:rFonts w:asciiTheme="minorHAnsi" w:hAnsiTheme="minorHAnsi"/>
          <w:sz w:val="22"/>
          <w:szCs w:val="22"/>
        </w:rPr>
      </w:pPr>
      <w:r w:rsidRPr="002D514F">
        <w:rPr>
          <w:rFonts w:asciiTheme="minorHAnsi" w:hAnsiTheme="minorHAnsi"/>
          <w:sz w:val="22"/>
          <w:szCs w:val="22"/>
        </w:rPr>
        <w:t>Significant opportunities exist to partner with philanthropists and the private sector through CSR and corporate sponsorship to leverage greater impact and assist with sustainability</w:t>
      </w:r>
      <w:r w:rsidR="00925795" w:rsidRPr="002D514F">
        <w:rPr>
          <w:rFonts w:asciiTheme="minorHAnsi" w:hAnsiTheme="minorHAnsi"/>
          <w:sz w:val="22"/>
          <w:szCs w:val="22"/>
        </w:rPr>
        <w:t xml:space="preserve">, </w:t>
      </w:r>
      <w:r w:rsidR="00C44545" w:rsidRPr="002D514F">
        <w:rPr>
          <w:rFonts w:asciiTheme="minorHAnsi" w:hAnsiTheme="minorHAnsi"/>
          <w:sz w:val="22"/>
          <w:szCs w:val="22"/>
        </w:rPr>
        <w:t>e.g.</w:t>
      </w:r>
      <w:r w:rsidR="00925795" w:rsidRPr="002D514F">
        <w:rPr>
          <w:rFonts w:asciiTheme="minorHAnsi" w:hAnsiTheme="minorHAnsi"/>
          <w:sz w:val="22"/>
          <w:szCs w:val="22"/>
        </w:rPr>
        <w:t xml:space="preserve"> cellular telephone company Zong </w:t>
      </w:r>
      <w:r w:rsidR="00A63FF5">
        <w:rPr>
          <w:rFonts w:asciiTheme="minorHAnsi" w:hAnsiTheme="minorHAnsi"/>
          <w:sz w:val="22"/>
          <w:szCs w:val="22"/>
        </w:rPr>
        <w:t>as a possible</w:t>
      </w:r>
      <w:r w:rsidR="00925795" w:rsidRPr="002D514F">
        <w:rPr>
          <w:rFonts w:asciiTheme="minorHAnsi" w:hAnsiTheme="minorHAnsi"/>
          <w:sz w:val="22"/>
          <w:szCs w:val="22"/>
        </w:rPr>
        <w:t xml:space="preserve"> corporate sponsor</w:t>
      </w:r>
      <w:r w:rsidR="00A63FF5">
        <w:rPr>
          <w:rFonts w:asciiTheme="minorHAnsi" w:hAnsiTheme="minorHAnsi"/>
          <w:sz w:val="22"/>
          <w:szCs w:val="22"/>
        </w:rPr>
        <w:t xml:space="preserve"> for the Hyderabad hotline</w:t>
      </w:r>
      <w:r w:rsidR="00925795" w:rsidRPr="002D514F">
        <w:rPr>
          <w:rFonts w:asciiTheme="minorHAnsi" w:hAnsiTheme="minorHAnsi"/>
          <w:sz w:val="22"/>
          <w:szCs w:val="22"/>
        </w:rPr>
        <w:t>.</w:t>
      </w:r>
    </w:p>
    <w:p w14:paraId="26A129EE" w14:textId="7507FF88" w:rsidR="004829A1" w:rsidRPr="00E63E55" w:rsidRDefault="008463E8" w:rsidP="008463E8">
      <w:pPr>
        <w:pStyle w:val="ListParagraph"/>
        <w:numPr>
          <w:ilvl w:val="0"/>
          <w:numId w:val="22"/>
        </w:numPr>
        <w:rPr>
          <w:rFonts w:asciiTheme="minorHAnsi" w:hAnsiTheme="minorHAnsi"/>
          <w:sz w:val="22"/>
          <w:szCs w:val="22"/>
        </w:rPr>
      </w:pPr>
      <w:r w:rsidRPr="008463E8">
        <w:rPr>
          <w:rFonts w:asciiTheme="minorHAnsi" w:hAnsiTheme="minorHAnsi"/>
          <w:sz w:val="22"/>
          <w:szCs w:val="22"/>
        </w:rPr>
        <w:t xml:space="preserve">Greater information sharing between Trócaire and AHC is recommended. Trócaire should </w:t>
      </w:r>
      <w:r w:rsidRPr="00E63E55">
        <w:rPr>
          <w:rFonts w:asciiTheme="minorHAnsi" w:hAnsiTheme="minorHAnsi"/>
          <w:sz w:val="22"/>
          <w:szCs w:val="22"/>
        </w:rPr>
        <w:t xml:space="preserve">involve DFAT in discussions around risk, and prior to taking major decisions that affect the Program. </w:t>
      </w:r>
      <w:r w:rsidR="003F4504" w:rsidRPr="00E63E55">
        <w:rPr>
          <w:rFonts w:asciiTheme="minorHAnsi" w:hAnsiTheme="minorHAnsi"/>
          <w:sz w:val="22"/>
          <w:szCs w:val="22"/>
        </w:rPr>
        <w:t>Trócaire should</w:t>
      </w:r>
      <w:r w:rsidR="00E63E55">
        <w:rPr>
          <w:rFonts w:asciiTheme="minorHAnsi" w:hAnsiTheme="minorHAnsi"/>
          <w:sz w:val="22"/>
          <w:szCs w:val="22"/>
        </w:rPr>
        <w:t xml:space="preserve"> </w:t>
      </w:r>
      <w:r w:rsidR="003F4504" w:rsidRPr="00E63E55">
        <w:rPr>
          <w:rFonts w:asciiTheme="minorHAnsi" w:hAnsiTheme="minorHAnsi"/>
          <w:sz w:val="22"/>
          <w:szCs w:val="22"/>
        </w:rPr>
        <w:t>st</w:t>
      </w:r>
      <w:r w:rsidR="00E34FC9" w:rsidRPr="00E63E55">
        <w:rPr>
          <w:rFonts w:asciiTheme="minorHAnsi" w:hAnsiTheme="minorHAnsi"/>
          <w:sz w:val="22"/>
          <w:szCs w:val="22"/>
        </w:rPr>
        <w:t>rategically engage the AHC to leverage Australian relationships to progress EVAW</w:t>
      </w:r>
      <w:r w:rsidR="00555D90" w:rsidRPr="00E63E55">
        <w:rPr>
          <w:rFonts w:asciiTheme="minorHAnsi" w:hAnsiTheme="minorHAnsi"/>
          <w:sz w:val="22"/>
          <w:szCs w:val="22"/>
        </w:rPr>
        <w:t xml:space="preserve"> program objectives and</w:t>
      </w:r>
      <w:r w:rsidR="00E34FC9" w:rsidRPr="00E63E55">
        <w:rPr>
          <w:rFonts w:asciiTheme="minorHAnsi" w:hAnsiTheme="minorHAnsi"/>
          <w:sz w:val="22"/>
          <w:szCs w:val="22"/>
        </w:rPr>
        <w:t xml:space="preserve"> advocacy efforts</w:t>
      </w:r>
      <w:r w:rsidR="00807A4C" w:rsidRPr="00E63E55">
        <w:rPr>
          <w:rFonts w:asciiTheme="minorHAnsi" w:hAnsiTheme="minorHAnsi"/>
          <w:sz w:val="22"/>
          <w:szCs w:val="22"/>
        </w:rPr>
        <w:t>.</w:t>
      </w:r>
    </w:p>
    <w:p w14:paraId="36EC5CB6" w14:textId="081484E4" w:rsidR="00807A4C" w:rsidRPr="002D514F" w:rsidRDefault="00807A4C" w:rsidP="002D514F">
      <w:pPr>
        <w:pStyle w:val="ListParagraph"/>
        <w:numPr>
          <w:ilvl w:val="0"/>
          <w:numId w:val="22"/>
        </w:numPr>
        <w:rPr>
          <w:rFonts w:asciiTheme="minorHAnsi" w:hAnsiTheme="minorHAnsi"/>
          <w:sz w:val="22"/>
          <w:szCs w:val="22"/>
        </w:rPr>
      </w:pPr>
      <w:r w:rsidRPr="002D514F">
        <w:rPr>
          <w:rFonts w:asciiTheme="minorHAnsi" w:hAnsiTheme="minorHAnsi"/>
          <w:sz w:val="22"/>
          <w:szCs w:val="22"/>
        </w:rPr>
        <w:t xml:space="preserve">In upcoming progress reports, </w:t>
      </w:r>
      <w:r w:rsidR="0008203F">
        <w:rPr>
          <w:rFonts w:asciiTheme="minorHAnsi" w:hAnsiTheme="minorHAnsi"/>
          <w:sz w:val="22"/>
          <w:szCs w:val="22"/>
        </w:rPr>
        <w:t>Trócaire</w:t>
      </w:r>
      <w:r w:rsidRPr="002D514F">
        <w:rPr>
          <w:rFonts w:asciiTheme="minorHAnsi" w:hAnsiTheme="minorHAnsi"/>
          <w:sz w:val="22"/>
          <w:szCs w:val="22"/>
        </w:rPr>
        <w:t xml:space="preserve"> is requested to </w:t>
      </w:r>
      <w:r w:rsidR="001F25A0">
        <w:rPr>
          <w:rFonts w:asciiTheme="minorHAnsi" w:hAnsiTheme="minorHAnsi"/>
          <w:sz w:val="22"/>
          <w:szCs w:val="22"/>
        </w:rPr>
        <w:t>specific</w:t>
      </w:r>
      <w:r w:rsidR="00326F45">
        <w:rPr>
          <w:rFonts w:asciiTheme="minorHAnsi" w:hAnsiTheme="minorHAnsi"/>
          <w:sz w:val="22"/>
          <w:szCs w:val="22"/>
        </w:rPr>
        <w:t>ally</w:t>
      </w:r>
      <w:r w:rsidR="001F25A0">
        <w:rPr>
          <w:rFonts w:asciiTheme="minorHAnsi" w:hAnsiTheme="minorHAnsi"/>
          <w:sz w:val="22"/>
          <w:szCs w:val="22"/>
        </w:rPr>
        <w:t xml:space="preserve"> </w:t>
      </w:r>
      <w:r w:rsidRPr="002D514F">
        <w:rPr>
          <w:rFonts w:asciiTheme="minorHAnsi" w:hAnsiTheme="minorHAnsi"/>
          <w:sz w:val="22"/>
          <w:szCs w:val="22"/>
        </w:rPr>
        <w:t>cover the following areas:</w:t>
      </w:r>
    </w:p>
    <w:p w14:paraId="24AD734F" w14:textId="126A5996" w:rsidR="00807A4C" w:rsidRPr="002D514F" w:rsidRDefault="00807A4C" w:rsidP="002D514F">
      <w:pPr>
        <w:pStyle w:val="ListParagraph"/>
        <w:numPr>
          <w:ilvl w:val="1"/>
          <w:numId w:val="22"/>
        </w:numPr>
        <w:rPr>
          <w:rFonts w:asciiTheme="minorHAnsi" w:hAnsiTheme="minorHAnsi"/>
          <w:sz w:val="22"/>
          <w:szCs w:val="22"/>
        </w:rPr>
      </w:pPr>
      <w:r w:rsidRPr="002D514F">
        <w:rPr>
          <w:rFonts w:asciiTheme="minorHAnsi" w:hAnsiTheme="minorHAnsi"/>
          <w:sz w:val="22"/>
          <w:szCs w:val="22"/>
        </w:rPr>
        <w:t xml:space="preserve">Post-training assessments and broader outcomes of training of police, judiciary and medico-legal officers (beyond numbers trained) </w:t>
      </w:r>
    </w:p>
    <w:p w14:paraId="2D2D523A" w14:textId="163ACC9D" w:rsidR="00807A4C" w:rsidRPr="0021285B" w:rsidRDefault="00807A4C" w:rsidP="002D514F">
      <w:pPr>
        <w:pStyle w:val="ListParagraph"/>
        <w:numPr>
          <w:ilvl w:val="1"/>
          <w:numId w:val="22"/>
        </w:numPr>
        <w:rPr>
          <w:rFonts w:asciiTheme="minorHAnsi" w:hAnsiTheme="minorHAnsi"/>
          <w:sz w:val="22"/>
          <w:szCs w:val="22"/>
        </w:rPr>
      </w:pPr>
      <w:r w:rsidRPr="002D514F">
        <w:rPr>
          <w:rFonts w:asciiTheme="minorHAnsi" w:hAnsiTheme="minorHAnsi"/>
          <w:sz w:val="22"/>
          <w:szCs w:val="22"/>
        </w:rPr>
        <w:t>Outcomes</w:t>
      </w:r>
      <w:r>
        <w:rPr>
          <w:rFonts w:asciiTheme="minorHAnsi" w:hAnsiTheme="minorHAnsi"/>
          <w:sz w:val="22"/>
          <w:szCs w:val="22"/>
        </w:rPr>
        <w:t xml:space="preserve"> of engaging with boys for prevention of GBV</w:t>
      </w:r>
    </w:p>
    <w:p w14:paraId="0EE8769B" w14:textId="1EAD4A70" w:rsidR="00807A4C" w:rsidRPr="002D514F" w:rsidRDefault="004829A1" w:rsidP="002D514F">
      <w:pPr>
        <w:pStyle w:val="ListParagraph"/>
        <w:numPr>
          <w:ilvl w:val="1"/>
          <w:numId w:val="22"/>
        </w:numPr>
        <w:rPr>
          <w:rFonts w:asciiTheme="minorHAnsi" w:hAnsiTheme="minorHAnsi"/>
          <w:sz w:val="22"/>
          <w:szCs w:val="22"/>
        </w:rPr>
      </w:pPr>
      <w:r>
        <w:rPr>
          <w:rFonts w:asciiTheme="minorHAnsi" w:hAnsiTheme="minorHAnsi"/>
          <w:sz w:val="22"/>
          <w:szCs w:val="22"/>
        </w:rPr>
        <w:t xml:space="preserve">Outcomes of support to </w:t>
      </w:r>
      <w:r w:rsidR="00807A4C" w:rsidRPr="002D514F">
        <w:rPr>
          <w:rFonts w:asciiTheme="minorHAnsi" w:hAnsiTheme="minorHAnsi"/>
          <w:sz w:val="22"/>
          <w:szCs w:val="22"/>
        </w:rPr>
        <w:t>students in four public sector universities in KP to un</w:t>
      </w:r>
      <w:r w:rsidRPr="002D514F">
        <w:rPr>
          <w:rFonts w:asciiTheme="minorHAnsi" w:hAnsiTheme="minorHAnsi"/>
          <w:sz w:val="22"/>
          <w:szCs w:val="22"/>
        </w:rPr>
        <w:t>dertake action research on GBV</w:t>
      </w:r>
      <w:r w:rsidR="00807A4C" w:rsidRPr="002D514F">
        <w:rPr>
          <w:rFonts w:asciiTheme="minorHAnsi" w:hAnsiTheme="minorHAnsi"/>
          <w:sz w:val="22"/>
          <w:szCs w:val="22"/>
        </w:rPr>
        <w:t>.</w:t>
      </w:r>
    </w:p>
    <w:p w14:paraId="71102E05" w14:textId="6891D26C" w:rsidR="00807A4C" w:rsidRPr="002D514F" w:rsidRDefault="00807A4C" w:rsidP="00E63E55">
      <w:pPr>
        <w:pStyle w:val="ListParagraph"/>
        <w:ind w:left="1440"/>
        <w:rPr>
          <w:rFonts w:asciiTheme="minorHAnsi" w:hAnsiTheme="minorHAnsi"/>
          <w:sz w:val="22"/>
          <w:szCs w:val="22"/>
        </w:rPr>
      </w:pPr>
    </w:p>
    <w:p w14:paraId="665FD70C" w14:textId="3A2D5817" w:rsidR="001052CC" w:rsidRDefault="00B314D9" w:rsidP="00365DD3">
      <w:pPr>
        <w:pStyle w:val="Heading2"/>
      </w:pPr>
      <w:bookmarkStart w:id="46" w:name="_Toc491355909"/>
      <w:r w:rsidRPr="005366AC">
        <w:t xml:space="preserve">For </w:t>
      </w:r>
      <w:r w:rsidR="001F2BFE">
        <w:t xml:space="preserve">the </w:t>
      </w:r>
      <w:r w:rsidR="001052CC" w:rsidRPr="005366AC">
        <w:t>Australian High Commission</w:t>
      </w:r>
      <w:r w:rsidRPr="005366AC">
        <w:t xml:space="preserve"> / DFAT</w:t>
      </w:r>
      <w:bookmarkEnd w:id="46"/>
    </w:p>
    <w:p w14:paraId="3659D59C" w14:textId="7451CBA7" w:rsidR="00AE4A13" w:rsidRPr="002D514F" w:rsidRDefault="00AE4A13" w:rsidP="002D514F">
      <w:pPr>
        <w:pStyle w:val="ListParagraph"/>
        <w:numPr>
          <w:ilvl w:val="0"/>
          <w:numId w:val="23"/>
        </w:numPr>
        <w:rPr>
          <w:rFonts w:asciiTheme="minorHAnsi" w:hAnsiTheme="minorHAnsi"/>
          <w:sz w:val="22"/>
          <w:szCs w:val="22"/>
        </w:rPr>
      </w:pPr>
      <w:r w:rsidRPr="002D514F">
        <w:rPr>
          <w:rFonts w:asciiTheme="minorHAnsi" w:hAnsiTheme="minorHAnsi"/>
          <w:sz w:val="22"/>
          <w:szCs w:val="22"/>
        </w:rPr>
        <w:t xml:space="preserve">Consider </w:t>
      </w:r>
      <w:r w:rsidR="004679F2">
        <w:rPr>
          <w:rFonts w:asciiTheme="minorHAnsi" w:hAnsiTheme="minorHAnsi"/>
          <w:sz w:val="22"/>
          <w:szCs w:val="22"/>
        </w:rPr>
        <w:t>supporting</w:t>
      </w:r>
      <w:r w:rsidRPr="002D514F">
        <w:rPr>
          <w:rFonts w:asciiTheme="minorHAnsi" w:hAnsiTheme="minorHAnsi"/>
          <w:sz w:val="22"/>
          <w:szCs w:val="22"/>
        </w:rPr>
        <w:t xml:space="preserve"> the 2017 </w:t>
      </w:r>
      <w:r w:rsidR="004F193A" w:rsidRPr="002D514F">
        <w:rPr>
          <w:rFonts w:asciiTheme="minorHAnsi" w:hAnsiTheme="minorHAnsi"/>
          <w:sz w:val="22"/>
          <w:szCs w:val="22"/>
        </w:rPr>
        <w:t xml:space="preserve">NCSW </w:t>
      </w:r>
      <w:r w:rsidRPr="002D514F">
        <w:rPr>
          <w:rFonts w:asciiTheme="minorHAnsi" w:hAnsiTheme="minorHAnsi"/>
          <w:sz w:val="22"/>
          <w:szCs w:val="22"/>
        </w:rPr>
        <w:t>national survey on violence against women in Pakistan.</w:t>
      </w:r>
    </w:p>
    <w:p w14:paraId="519EF52D" w14:textId="02CDE621" w:rsidR="00C60691" w:rsidRPr="002D514F" w:rsidRDefault="004679F2" w:rsidP="002D514F">
      <w:pPr>
        <w:pStyle w:val="ListParagraph"/>
        <w:numPr>
          <w:ilvl w:val="0"/>
          <w:numId w:val="23"/>
        </w:numPr>
        <w:rPr>
          <w:rFonts w:asciiTheme="minorHAnsi" w:hAnsiTheme="minorHAnsi"/>
          <w:sz w:val="22"/>
          <w:szCs w:val="22"/>
        </w:rPr>
      </w:pPr>
      <w:r>
        <w:rPr>
          <w:rFonts w:asciiTheme="minorHAnsi" w:hAnsiTheme="minorHAnsi"/>
          <w:sz w:val="22"/>
          <w:szCs w:val="22"/>
        </w:rPr>
        <w:t>Provide consistent messaging around the importance of disability inclusiveness, and l</w:t>
      </w:r>
      <w:r w:rsidR="00807A4C" w:rsidRPr="00C22DAD">
        <w:rPr>
          <w:rFonts w:asciiTheme="minorHAnsi" w:hAnsiTheme="minorHAnsi"/>
          <w:sz w:val="22"/>
          <w:szCs w:val="22"/>
        </w:rPr>
        <w:t xml:space="preserve">ink </w:t>
      </w:r>
      <w:r w:rsidR="0008203F">
        <w:rPr>
          <w:rFonts w:asciiTheme="minorHAnsi" w:hAnsiTheme="minorHAnsi"/>
          <w:sz w:val="22"/>
          <w:szCs w:val="22"/>
        </w:rPr>
        <w:t>Trócaire</w:t>
      </w:r>
      <w:r w:rsidR="00807A4C" w:rsidRPr="00C22DAD">
        <w:rPr>
          <w:rFonts w:asciiTheme="minorHAnsi" w:hAnsiTheme="minorHAnsi"/>
          <w:sz w:val="22"/>
          <w:szCs w:val="22"/>
        </w:rPr>
        <w:t xml:space="preserve"> to support provided by DFAT Canberra</w:t>
      </w:r>
      <w:r w:rsidR="00807A4C">
        <w:rPr>
          <w:rFonts w:asciiTheme="minorHAnsi" w:hAnsiTheme="minorHAnsi"/>
          <w:sz w:val="22"/>
          <w:szCs w:val="22"/>
        </w:rPr>
        <w:t>.</w:t>
      </w:r>
    </w:p>
    <w:p w14:paraId="68DDEC1C" w14:textId="460B5832" w:rsidR="00C60691" w:rsidRPr="002D514F" w:rsidRDefault="00C60691" w:rsidP="002D514F">
      <w:pPr>
        <w:pStyle w:val="ListParagraph"/>
        <w:numPr>
          <w:ilvl w:val="0"/>
          <w:numId w:val="23"/>
        </w:numPr>
        <w:rPr>
          <w:rFonts w:asciiTheme="minorHAnsi" w:hAnsiTheme="minorHAnsi"/>
          <w:sz w:val="22"/>
          <w:szCs w:val="22"/>
        </w:rPr>
      </w:pPr>
      <w:r w:rsidRPr="002D514F">
        <w:rPr>
          <w:rFonts w:asciiTheme="minorHAnsi" w:hAnsiTheme="minorHAnsi"/>
          <w:sz w:val="22"/>
          <w:szCs w:val="22"/>
        </w:rPr>
        <w:t xml:space="preserve">Ensure the DFAT program manager </w:t>
      </w:r>
      <w:r w:rsidR="004679F2">
        <w:rPr>
          <w:rFonts w:asciiTheme="minorHAnsi" w:hAnsiTheme="minorHAnsi"/>
          <w:sz w:val="22"/>
          <w:szCs w:val="22"/>
        </w:rPr>
        <w:t>h</w:t>
      </w:r>
      <w:r w:rsidRPr="002D514F">
        <w:rPr>
          <w:rFonts w:asciiTheme="minorHAnsi" w:hAnsiTheme="minorHAnsi"/>
          <w:sz w:val="22"/>
          <w:szCs w:val="22"/>
        </w:rPr>
        <w:t>as adequate time to dedicate to the EVAW program</w:t>
      </w:r>
      <w:r w:rsidR="00807A4C">
        <w:rPr>
          <w:rFonts w:asciiTheme="minorHAnsi" w:hAnsiTheme="minorHAnsi"/>
          <w:sz w:val="22"/>
          <w:szCs w:val="22"/>
        </w:rPr>
        <w:t>.</w:t>
      </w:r>
      <w:r w:rsidR="00807A4C" w:rsidRPr="00807A4C">
        <w:rPr>
          <w:rFonts w:asciiTheme="minorHAnsi" w:hAnsiTheme="minorHAnsi"/>
          <w:sz w:val="22"/>
          <w:szCs w:val="22"/>
        </w:rPr>
        <w:t xml:space="preserve"> </w:t>
      </w:r>
      <w:r w:rsidR="00807A4C">
        <w:rPr>
          <w:rFonts w:asciiTheme="minorHAnsi" w:hAnsiTheme="minorHAnsi"/>
          <w:sz w:val="22"/>
          <w:szCs w:val="22"/>
        </w:rPr>
        <w:t>A</w:t>
      </w:r>
      <w:r w:rsidR="00807A4C" w:rsidRPr="0021125C">
        <w:rPr>
          <w:rFonts w:asciiTheme="minorHAnsi" w:hAnsiTheme="minorHAnsi"/>
          <w:sz w:val="22"/>
          <w:szCs w:val="22"/>
        </w:rPr>
        <w:t xml:space="preserve"> quarterly minuted meeting </w:t>
      </w:r>
      <w:r w:rsidR="00807A4C">
        <w:rPr>
          <w:rFonts w:asciiTheme="minorHAnsi" w:hAnsiTheme="minorHAnsi"/>
          <w:sz w:val="22"/>
          <w:szCs w:val="22"/>
        </w:rPr>
        <w:t>is recommended</w:t>
      </w:r>
      <w:r w:rsidR="00807A4C" w:rsidRPr="0021125C">
        <w:rPr>
          <w:rFonts w:asciiTheme="minorHAnsi" w:hAnsiTheme="minorHAnsi"/>
          <w:sz w:val="22"/>
          <w:szCs w:val="22"/>
        </w:rPr>
        <w:t xml:space="preserve"> </w:t>
      </w:r>
      <w:r w:rsidR="00807A4C">
        <w:rPr>
          <w:rFonts w:asciiTheme="minorHAnsi" w:hAnsiTheme="minorHAnsi"/>
          <w:sz w:val="22"/>
          <w:szCs w:val="22"/>
        </w:rPr>
        <w:t>to discuss strategic approach, program-</w:t>
      </w:r>
      <w:r w:rsidR="00807A4C" w:rsidRPr="0021125C">
        <w:rPr>
          <w:rFonts w:asciiTheme="minorHAnsi" w:hAnsiTheme="minorHAnsi"/>
          <w:sz w:val="22"/>
          <w:szCs w:val="22"/>
        </w:rPr>
        <w:t>related issues and advocacy opportunities.</w:t>
      </w:r>
    </w:p>
    <w:p w14:paraId="185C8F0E" w14:textId="4B99F58B" w:rsidR="00E63E55" w:rsidRDefault="00807A4C" w:rsidP="00E63E55">
      <w:pPr>
        <w:pStyle w:val="ListParagraph"/>
        <w:numPr>
          <w:ilvl w:val="0"/>
          <w:numId w:val="23"/>
        </w:numPr>
        <w:rPr>
          <w:rFonts w:asciiTheme="minorHAnsi" w:hAnsiTheme="minorHAnsi"/>
          <w:sz w:val="22"/>
          <w:szCs w:val="22"/>
        </w:rPr>
      </w:pPr>
      <w:r>
        <w:rPr>
          <w:rFonts w:asciiTheme="minorHAnsi" w:hAnsiTheme="minorHAnsi"/>
          <w:sz w:val="22"/>
          <w:szCs w:val="22"/>
        </w:rPr>
        <w:lastRenderedPageBreak/>
        <w:t xml:space="preserve">Continue efforts to </w:t>
      </w:r>
      <w:r w:rsidR="00555D90">
        <w:rPr>
          <w:rFonts w:asciiTheme="minorHAnsi" w:hAnsiTheme="minorHAnsi"/>
          <w:sz w:val="22"/>
          <w:szCs w:val="22"/>
        </w:rPr>
        <w:t xml:space="preserve">advocate for </w:t>
      </w:r>
      <w:r>
        <w:rPr>
          <w:rFonts w:asciiTheme="minorHAnsi" w:hAnsiTheme="minorHAnsi"/>
          <w:sz w:val="22"/>
          <w:szCs w:val="22"/>
        </w:rPr>
        <w:t>EVAW</w:t>
      </w:r>
      <w:r w:rsidRPr="002D514F">
        <w:rPr>
          <w:rFonts w:asciiTheme="minorHAnsi" w:hAnsiTheme="minorHAnsi"/>
          <w:sz w:val="22"/>
          <w:szCs w:val="22"/>
        </w:rPr>
        <w:t xml:space="preserve"> through Australia</w:t>
      </w:r>
      <w:r>
        <w:rPr>
          <w:rFonts w:asciiTheme="minorHAnsi" w:hAnsiTheme="minorHAnsi"/>
          <w:sz w:val="22"/>
          <w:szCs w:val="22"/>
        </w:rPr>
        <w:t>’s</w:t>
      </w:r>
      <w:r w:rsidR="00D50407">
        <w:rPr>
          <w:rFonts w:asciiTheme="minorHAnsi" w:hAnsiTheme="minorHAnsi"/>
          <w:sz w:val="22"/>
          <w:szCs w:val="22"/>
        </w:rPr>
        <w:t xml:space="preserve"> </w:t>
      </w:r>
      <w:r w:rsidR="00F1582F" w:rsidRPr="002D514F">
        <w:rPr>
          <w:rFonts w:asciiTheme="minorHAnsi" w:hAnsiTheme="minorHAnsi"/>
          <w:sz w:val="22"/>
          <w:szCs w:val="22"/>
        </w:rPr>
        <w:t>diplomatic and public diplomacy work</w:t>
      </w:r>
      <w:r>
        <w:rPr>
          <w:rFonts w:asciiTheme="minorHAnsi" w:hAnsiTheme="minorHAnsi"/>
          <w:sz w:val="22"/>
          <w:szCs w:val="22"/>
        </w:rPr>
        <w:t xml:space="preserve"> in Pakistan</w:t>
      </w:r>
      <w:r w:rsidR="00F1582F" w:rsidRPr="002D514F">
        <w:rPr>
          <w:rFonts w:asciiTheme="minorHAnsi" w:hAnsiTheme="minorHAnsi"/>
          <w:sz w:val="22"/>
          <w:szCs w:val="22"/>
        </w:rPr>
        <w:t xml:space="preserve">. </w:t>
      </w:r>
    </w:p>
    <w:p w14:paraId="05C9C9F8" w14:textId="4D39C181" w:rsidR="00365DD3" w:rsidRPr="00E63E55" w:rsidRDefault="00F1582F" w:rsidP="00E63E55">
      <w:pPr>
        <w:pStyle w:val="ListParagraph"/>
        <w:numPr>
          <w:ilvl w:val="0"/>
          <w:numId w:val="23"/>
        </w:numPr>
        <w:rPr>
          <w:rFonts w:asciiTheme="minorHAnsi" w:hAnsiTheme="minorHAnsi"/>
          <w:sz w:val="22"/>
          <w:szCs w:val="22"/>
        </w:rPr>
      </w:pPr>
      <w:r w:rsidRPr="00E63E55">
        <w:rPr>
          <w:rFonts w:asciiTheme="minorHAnsi" w:hAnsiTheme="minorHAnsi"/>
          <w:sz w:val="22"/>
          <w:szCs w:val="22"/>
          <w:shd w:val="clear" w:color="auto" w:fill="FFFFFF"/>
        </w:rPr>
        <w:t xml:space="preserve">If the Australian Government is to continue support for this GBV program beyond 2018, planning should commence </w:t>
      </w:r>
      <w:r w:rsidR="00B57CB7">
        <w:rPr>
          <w:rFonts w:asciiTheme="minorHAnsi" w:hAnsiTheme="minorHAnsi"/>
          <w:sz w:val="22"/>
          <w:szCs w:val="22"/>
          <w:shd w:val="clear" w:color="auto" w:fill="FFFFFF"/>
        </w:rPr>
        <w:t>mid</w:t>
      </w:r>
      <w:r w:rsidR="00300E7E">
        <w:rPr>
          <w:rFonts w:asciiTheme="minorHAnsi" w:hAnsiTheme="minorHAnsi"/>
          <w:sz w:val="22"/>
          <w:szCs w:val="22"/>
          <w:shd w:val="clear" w:color="auto" w:fill="FFFFFF"/>
        </w:rPr>
        <w:t>-</w:t>
      </w:r>
      <w:r w:rsidRPr="00E63E55">
        <w:rPr>
          <w:rFonts w:asciiTheme="minorHAnsi" w:hAnsiTheme="minorHAnsi"/>
          <w:sz w:val="22"/>
          <w:szCs w:val="22"/>
          <w:shd w:val="clear" w:color="auto" w:fill="FFFFFF"/>
        </w:rPr>
        <w:t>2017 to ensure there is no gap between the current phase and next phase, as this would have significant impact on effectiveness and efficiency.</w:t>
      </w:r>
    </w:p>
    <w:p w14:paraId="41E3FCD9" w14:textId="77777777" w:rsidR="0028612D" w:rsidRPr="00AB2500" w:rsidRDefault="0028612D" w:rsidP="00AB2500">
      <w:pPr>
        <w:rPr>
          <w:b/>
        </w:rPr>
      </w:pPr>
    </w:p>
    <w:sectPr w:rsidR="0028612D" w:rsidRPr="00AB2500" w:rsidSect="00506601">
      <w:footerReference w:type="default" r:id="rId15"/>
      <w:pgSz w:w="11906" w:h="16838"/>
      <w:pgMar w:top="1440" w:right="1440" w:bottom="1440" w:left="1440" w:header="708" w:footer="708"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DDBA7" w14:textId="77777777" w:rsidR="00893175" w:rsidRDefault="00893175" w:rsidP="00360443">
      <w:pPr>
        <w:spacing w:after="0" w:line="240" w:lineRule="auto"/>
      </w:pPr>
      <w:r>
        <w:separator/>
      </w:r>
    </w:p>
  </w:endnote>
  <w:endnote w:type="continuationSeparator" w:id="0">
    <w:p w14:paraId="1D8BA0EF" w14:textId="77777777" w:rsidR="00893175" w:rsidRDefault="00893175" w:rsidP="0036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1A4FB" w14:textId="77777777" w:rsidR="00BC6182" w:rsidRDefault="00BC6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1930F" w14:textId="77777777" w:rsidR="00893175" w:rsidRDefault="00893175">
    <w:pPr>
      <w:pStyle w:val="Footer"/>
      <w:jc w:val="center"/>
      <w:rPr>
        <w:caps/>
        <w:noProof/>
        <w:color w:val="4F81BD" w:themeColor="accent1"/>
      </w:rPr>
    </w:pPr>
  </w:p>
  <w:p w14:paraId="51A3962B" w14:textId="77777777" w:rsidR="00893175" w:rsidRDefault="00893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15424" w14:textId="77777777" w:rsidR="00BC6182" w:rsidRDefault="00BC61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819265"/>
      <w:docPartObj>
        <w:docPartGallery w:val="Page Numbers (Bottom of Page)"/>
        <w:docPartUnique/>
      </w:docPartObj>
    </w:sdtPr>
    <w:sdtEndPr>
      <w:rPr>
        <w:noProof/>
      </w:rPr>
    </w:sdtEndPr>
    <w:sdtContent>
      <w:p w14:paraId="1671B10D" w14:textId="0009D4B6" w:rsidR="00893175" w:rsidRDefault="00893175">
        <w:pPr>
          <w:pStyle w:val="Footer"/>
          <w:jc w:val="center"/>
        </w:pPr>
        <w:r>
          <w:fldChar w:fldCharType="begin"/>
        </w:r>
        <w:r>
          <w:instrText xml:space="preserve"> PAGE   \* MERGEFORMAT </w:instrText>
        </w:r>
        <w:r>
          <w:fldChar w:fldCharType="separate"/>
        </w:r>
        <w:r w:rsidR="00EA73F1">
          <w:rPr>
            <w:noProof/>
          </w:rPr>
          <w:t>18</w:t>
        </w:r>
        <w:r>
          <w:rPr>
            <w:noProof/>
          </w:rPr>
          <w:fldChar w:fldCharType="end"/>
        </w:r>
      </w:p>
    </w:sdtContent>
  </w:sdt>
  <w:p w14:paraId="22A20841" w14:textId="77777777" w:rsidR="00893175" w:rsidRDefault="00893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F46D0" w14:textId="77777777" w:rsidR="00893175" w:rsidRDefault="00893175" w:rsidP="00360443">
      <w:pPr>
        <w:spacing w:after="0" w:line="240" w:lineRule="auto"/>
      </w:pPr>
      <w:r>
        <w:separator/>
      </w:r>
    </w:p>
  </w:footnote>
  <w:footnote w:type="continuationSeparator" w:id="0">
    <w:p w14:paraId="0505EAF5" w14:textId="77777777" w:rsidR="00893175" w:rsidRDefault="00893175" w:rsidP="00360443">
      <w:pPr>
        <w:spacing w:after="0" w:line="240" w:lineRule="auto"/>
      </w:pPr>
      <w:r>
        <w:continuationSeparator/>
      </w:r>
    </w:p>
  </w:footnote>
  <w:footnote w:id="1">
    <w:p w14:paraId="7F23DC92" w14:textId="77777777" w:rsidR="00893175" w:rsidRDefault="00893175" w:rsidP="00342DF3">
      <w:pPr>
        <w:pStyle w:val="FootnoteText"/>
      </w:pPr>
      <w:r>
        <w:rPr>
          <w:rStyle w:val="FootnoteReference"/>
        </w:rPr>
        <w:footnoteRef/>
      </w:r>
      <w:r>
        <w:t xml:space="preserve"> Gender Based Violence (GBV) and Ending Violence Against Women (EVAW) are used interchangeably in this report. Australian Government Policy documents use EVAW, but the investment under review is called the Pakistan GBV Program, and the program stakeholders in Pakistan use GBV. </w:t>
      </w:r>
    </w:p>
  </w:footnote>
  <w:footnote w:id="2">
    <w:p w14:paraId="1DD1C706" w14:textId="77777777" w:rsidR="00893175" w:rsidRDefault="00893175" w:rsidP="00FE1148">
      <w:pPr>
        <w:pStyle w:val="FootnoteText"/>
      </w:pPr>
      <w:r>
        <w:rPr>
          <w:rStyle w:val="FootnoteReference"/>
        </w:rPr>
        <w:footnoteRef/>
      </w:r>
      <w:r>
        <w:t xml:space="preserve"> The evaluation was originally planned as a mid-term review in late 2015, but was delayed on two occasions due to unforeseen circumstances.</w:t>
      </w:r>
    </w:p>
  </w:footnote>
  <w:footnote w:id="3">
    <w:p w14:paraId="13CCFFEF" w14:textId="77777777" w:rsidR="00893175" w:rsidRPr="00767B54" w:rsidRDefault="00893175" w:rsidP="00E57D84">
      <w:pPr>
        <w:pStyle w:val="FootnoteText"/>
      </w:pPr>
      <w:r w:rsidRPr="00767B54">
        <w:rPr>
          <w:rStyle w:val="FootnoteReference"/>
          <w:rFonts w:cs="Arial"/>
          <w:sz w:val="18"/>
          <w:szCs w:val="18"/>
        </w:rPr>
        <w:footnoteRef/>
      </w:r>
      <w:r w:rsidRPr="00767B54">
        <w:t xml:space="preserve"> The </w:t>
      </w:r>
      <w:r>
        <w:t xml:space="preserve">evaluation </w:t>
      </w:r>
      <w:r w:rsidRPr="00767B54">
        <w:t>team consisted of:</w:t>
      </w:r>
    </w:p>
    <w:p w14:paraId="3A8323A1" w14:textId="77777777" w:rsidR="00893175" w:rsidRPr="006D768C" w:rsidRDefault="00893175" w:rsidP="00E57D84">
      <w:pPr>
        <w:pStyle w:val="FootnoteText"/>
        <w:rPr>
          <w:color w:val="000000" w:themeColor="text1"/>
        </w:rPr>
      </w:pPr>
      <w:r>
        <w:t xml:space="preserve">- </w:t>
      </w:r>
      <w:r w:rsidRPr="006D768C">
        <w:t>Ulla Keech-Marx, Performance and Gender Specialis</w:t>
      </w:r>
      <w:r>
        <w:t>t,</w:t>
      </w:r>
      <w:r w:rsidRPr="006D768C">
        <w:rPr>
          <w:color w:val="000000" w:themeColor="text1"/>
        </w:rPr>
        <w:t xml:space="preserve"> Australian Department of Foreign Affairs and Trade</w:t>
      </w:r>
    </w:p>
    <w:p w14:paraId="53FAACFB" w14:textId="77777777" w:rsidR="00893175" w:rsidRPr="006D768C" w:rsidRDefault="00893175" w:rsidP="00E57D84">
      <w:pPr>
        <w:pStyle w:val="FootnoteText"/>
        <w:rPr>
          <w:color w:val="000000" w:themeColor="text1"/>
        </w:rPr>
      </w:pPr>
      <w:r>
        <w:rPr>
          <w:color w:val="000000" w:themeColor="text1"/>
        </w:rPr>
        <w:t xml:space="preserve">- </w:t>
      </w:r>
      <w:r w:rsidRPr="006D768C">
        <w:rPr>
          <w:color w:val="000000" w:themeColor="text1"/>
        </w:rPr>
        <w:t>Rukhsana Rashid, Development Consultant (Gender Specialist)</w:t>
      </w:r>
    </w:p>
    <w:p w14:paraId="52CAFCB0" w14:textId="77777777" w:rsidR="00893175" w:rsidRDefault="00893175" w:rsidP="00E57D84">
      <w:pPr>
        <w:pStyle w:val="FootnoteText"/>
        <w:rPr>
          <w:color w:val="000000" w:themeColor="text1"/>
        </w:rPr>
      </w:pPr>
      <w:r>
        <w:rPr>
          <w:color w:val="000000" w:themeColor="text1"/>
        </w:rPr>
        <w:t xml:space="preserve">The team was accompanied at times by the following staff from the </w:t>
      </w:r>
      <w:r w:rsidRPr="00767B54">
        <w:t>Australian High</w:t>
      </w:r>
      <w:r w:rsidRPr="00767B54">
        <w:rPr>
          <w:color w:val="000000" w:themeColor="text1"/>
        </w:rPr>
        <w:t xml:space="preserve"> Commission Islamabad</w:t>
      </w:r>
      <w:r>
        <w:rPr>
          <w:color w:val="000000" w:themeColor="text1"/>
        </w:rPr>
        <w:t>:</w:t>
      </w:r>
    </w:p>
    <w:p w14:paraId="504CCE2B" w14:textId="77777777" w:rsidR="00893175" w:rsidRPr="00767B54" w:rsidRDefault="00893175" w:rsidP="00E57D84">
      <w:pPr>
        <w:pStyle w:val="FootnoteText"/>
        <w:rPr>
          <w:color w:val="000000" w:themeColor="text1"/>
        </w:rPr>
      </w:pPr>
      <w:r>
        <w:t>- Stacey Greene</w:t>
      </w:r>
      <w:r w:rsidRPr="00767B54">
        <w:t>, First Secre</w:t>
      </w:r>
      <w:r>
        <w:t>tary (Development Cooperation)</w:t>
      </w:r>
    </w:p>
    <w:p w14:paraId="2D8E267B" w14:textId="77777777" w:rsidR="00893175" w:rsidRDefault="00893175" w:rsidP="00E57D84">
      <w:pPr>
        <w:pStyle w:val="FootnoteText"/>
        <w:rPr>
          <w:color w:val="000000" w:themeColor="text1"/>
        </w:rPr>
      </w:pPr>
      <w:r>
        <w:rPr>
          <w:color w:val="000000" w:themeColor="text1"/>
        </w:rPr>
        <w:t xml:space="preserve">- Najma Khan, </w:t>
      </w:r>
      <w:r w:rsidRPr="00767B54">
        <w:rPr>
          <w:color w:val="000000" w:themeColor="text1"/>
        </w:rPr>
        <w:t xml:space="preserve">Program </w:t>
      </w:r>
      <w:r>
        <w:rPr>
          <w:color w:val="000000" w:themeColor="text1"/>
        </w:rPr>
        <w:t>Manager, Gender</w:t>
      </w:r>
    </w:p>
    <w:p w14:paraId="416714E0" w14:textId="27D7A083" w:rsidR="00893175" w:rsidRPr="00310961" w:rsidRDefault="00893175" w:rsidP="00E57D84">
      <w:pPr>
        <w:pStyle w:val="FootnoteText"/>
      </w:pPr>
      <w:r>
        <w:rPr>
          <w:color w:val="000000" w:themeColor="text1"/>
        </w:rPr>
        <w:t xml:space="preserve">- </w:t>
      </w:r>
      <w:r w:rsidRPr="00767B54">
        <w:rPr>
          <w:color w:val="000000" w:themeColor="text1"/>
        </w:rPr>
        <w:t>Humaira Ibrahim,</w:t>
      </w:r>
      <w:r>
        <w:rPr>
          <w:color w:val="000000" w:themeColor="text1"/>
        </w:rPr>
        <w:t xml:space="preserve"> Program Manager, Performance and Quality.</w:t>
      </w:r>
    </w:p>
  </w:footnote>
  <w:footnote w:id="4">
    <w:p w14:paraId="2A98A733" w14:textId="501EECB6" w:rsidR="00893175" w:rsidRPr="005110B4" w:rsidRDefault="00893175" w:rsidP="00E57D84">
      <w:pPr>
        <w:pStyle w:val="FootnoteText"/>
      </w:pPr>
      <w:r w:rsidRPr="005110B4">
        <w:rPr>
          <w:rStyle w:val="FootnoteReference"/>
          <w:rFonts w:ascii="Times New Roman" w:hAnsi="Times New Roman"/>
        </w:rPr>
        <w:footnoteRef/>
      </w:r>
      <w:r w:rsidRPr="005110B4">
        <w:t xml:space="preserve"> World Economic Forum</w:t>
      </w:r>
      <w:r>
        <w:t xml:space="preserve"> (2016)</w:t>
      </w:r>
      <w:r w:rsidRPr="005110B4">
        <w:t xml:space="preserve"> </w:t>
      </w:r>
      <w:r w:rsidRPr="004D4C14">
        <w:rPr>
          <w:i/>
        </w:rPr>
        <w:t>The Global Gender Gap Report.</w:t>
      </w:r>
    </w:p>
  </w:footnote>
  <w:footnote w:id="5">
    <w:p w14:paraId="3AA0771E" w14:textId="7DB77E3F" w:rsidR="00893175" w:rsidRPr="005110B4" w:rsidRDefault="00893175" w:rsidP="00E57D84">
      <w:pPr>
        <w:pStyle w:val="FootnoteText"/>
      </w:pPr>
      <w:r w:rsidRPr="005110B4">
        <w:rPr>
          <w:rStyle w:val="FootnoteReference"/>
          <w:rFonts w:ascii="Times New Roman" w:hAnsi="Times New Roman"/>
        </w:rPr>
        <w:footnoteRef/>
      </w:r>
      <w:r w:rsidRPr="005110B4">
        <w:t xml:space="preserve"> National Institute of Population Studies </w:t>
      </w:r>
      <w:r>
        <w:t xml:space="preserve">(2013) </w:t>
      </w:r>
      <w:r w:rsidRPr="004D4C14">
        <w:rPr>
          <w:i/>
        </w:rPr>
        <w:t xml:space="preserve">Pakistan Demographic and Health Survey 2012-13 </w:t>
      </w:r>
      <w:r>
        <w:t xml:space="preserve">(Available at </w:t>
      </w:r>
      <w:hyperlink r:id="rId1" w:history="1">
        <w:r w:rsidRPr="00662390">
          <w:rPr>
            <w:rStyle w:val="Hyperlink"/>
          </w:rPr>
          <w:t>http://nips.org.pk/abstract_files/PDHS%20Final%20Report%20as%20of%20Jan%2022-2014.pdf</w:t>
        </w:r>
      </w:hyperlink>
      <w:r>
        <w:t xml:space="preserve">) </w:t>
      </w:r>
    </w:p>
  </w:footnote>
  <w:footnote w:id="6">
    <w:p w14:paraId="64A1F6EB" w14:textId="2D64B77B" w:rsidR="00893175" w:rsidRPr="005110B4" w:rsidRDefault="00893175" w:rsidP="00413C75">
      <w:pPr>
        <w:pStyle w:val="FootnoteText"/>
      </w:pPr>
      <w:r w:rsidRPr="005110B4">
        <w:rPr>
          <w:rStyle w:val="FootnoteReference"/>
          <w:rFonts w:ascii="Times New Roman" w:hAnsi="Times New Roman"/>
        </w:rPr>
        <w:footnoteRef/>
      </w:r>
      <w:r w:rsidRPr="005110B4">
        <w:t xml:space="preserve"> The Human Rights Commission of Pakistan</w:t>
      </w:r>
      <w:r>
        <w:t xml:space="preserve"> (2015)</w:t>
      </w:r>
      <w:r w:rsidRPr="005110B4">
        <w:t xml:space="preserve"> </w:t>
      </w:r>
      <w:r w:rsidRPr="004D4C14">
        <w:rPr>
          <w:i/>
          <w:color w:val="212121"/>
          <w:spacing w:val="3"/>
          <w:shd w:val="clear" w:color="auto" w:fill="FFFFFF"/>
        </w:rPr>
        <w:t>Annual Report 2015: State of Human Rights in Pakistan</w:t>
      </w:r>
      <w:r w:rsidRPr="005110B4">
        <w:rPr>
          <w:color w:val="212121"/>
          <w:spacing w:val="3"/>
          <w:shd w:val="clear" w:color="auto" w:fill="FFFFFF"/>
        </w:rPr>
        <w:t>, April 2016.</w:t>
      </w:r>
      <w:r>
        <w:rPr>
          <w:color w:val="212121"/>
          <w:spacing w:val="3"/>
          <w:shd w:val="clear" w:color="auto" w:fill="FFFFFF"/>
        </w:rPr>
        <w:t xml:space="preserve"> (Available at </w:t>
      </w:r>
      <w:hyperlink r:id="rId2" w:history="1">
        <w:r w:rsidRPr="00662390">
          <w:rPr>
            <w:rStyle w:val="Hyperlink"/>
            <w:rFonts w:eastAsia="Times New Roman"/>
            <w:bCs/>
          </w:rPr>
          <w:t>http://www.newsmedialive.com/hrcp-annual-report-2015-state-hman-rights-pakistan/</w:t>
        </w:r>
      </w:hyperlink>
      <w:r>
        <w:rPr>
          <w:rFonts w:eastAsia="Times New Roman"/>
          <w:bCs/>
        </w:rPr>
        <w:t xml:space="preserve">) </w:t>
      </w:r>
    </w:p>
  </w:footnote>
  <w:footnote w:id="7">
    <w:p w14:paraId="390697EF" w14:textId="2630605D" w:rsidR="00893175" w:rsidRPr="0018780D" w:rsidRDefault="00893175">
      <w:pPr>
        <w:pStyle w:val="FootnoteText"/>
        <w:rPr>
          <w:lang w:val="en-AU"/>
        </w:rPr>
      </w:pPr>
      <w:r>
        <w:rPr>
          <w:rStyle w:val="FootnoteReference"/>
        </w:rPr>
        <w:footnoteRef/>
      </w:r>
      <w:r>
        <w:rPr>
          <w:color w:val="212121"/>
          <w:spacing w:val="2"/>
        </w:rPr>
        <w:t xml:space="preserve">The Express Tribune (2011) </w:t>
      </w:r>
      <w:r w:rsidRPr="004D4C14">
        <w:rPr>
          <w:i/>
          <w:color w:val="212121"/>
          <w:spacing w:val="2"/>
        </w:rPr>
        <w:t>‘Pakistan Ranks 3</w:t>
      </w:r>
      <w:r w:rsidRPr="004D4C14">
        <w:rPr>
          <w:i/>
          <w:color w:val="212121"/>
          <w:spacing w:val="2"/>
          <w:vertAlign w:val="superscript"/>
        </w:rPr>
        <w:t>rd</w:t>
      </w:r>
      <w:r w:rsidRPr="004D4C14">
        <w:rPr>
          <w:i/>
          <w:color w:val="212121"/>
          <w:spacing w:val="2"/>
        </w:rPr>
        <w:t xml:space="preserve"> on List of Most Dangerous Countries for Women.’</w:t>
      </w:r>
      <w:r>
        <w:rPr>
          <w:color w:val="212121"/>
          <w:spacing w:val="2"/>
        </w:rPr>
        <w:t xml:space="preserve"> Reuters. (Available at </w:t>
      </w:r>
      <w:hyperlink r:id="rId3" w:history="1">
        <w:r w:rsidRPr="00662390">
          <w:rPr>
            <w:rStyle w:val="Hyperlink"/>
            <w:spacing w:val="2"/>
          </w:rPr>
          <w:t>http://tribune.com.pk/story/189294/pakistan-ranks-3rd-on-list-of-most-dangerous-countries-for-women/</w:t>
        </w:r>
      </w:hyperlink>
      <w:r>
        <w:rPr>
          <w:color w:val="212121"/>
          <w:spacing w:val="2"/>
        </w:rPr>
        <w:t xml:space="preserve">). </w:t>
      </w:r>
    </w:p>
  </w:footnote>
  <w:footnote w:id="8">
    <w:p w14:paraId="48FBE5F7" w14:textId="195D2A6A" w:rsidR="00893175" w:rsidRPr="002D514F" w:rsidRDefault="00893175" w:rsidP="00712BB9">
      <w:pPr>
        <w:pStyle w:val="FootnoteText"/>
        <w:rPr>
          <w:lang w:val="en-AU"/>
        </w:rPr>
      </w:pPr>
      <w:r>
        <w:rPr>
          <w:rStyle w:val="FootnoteReference"/>
        </w:rPr>
        <w:footnoteRef/>
      </w:r>
      <w:r>
        <w:t xml:space="preserve"> In 2010, decentralisation was introduced in Pakistan and became part of the Constitution, meaning responsibility and resources were transferred to the provinces. GBV laws must now also be passed at the provincial level.</w:t>
      </w:r>
    </w:p>
  </w:footnote>
  <w:footnote w:id="9">
    <w:p w14:paraId="703251A5" w14:textId="3EB784DC" w:rsidR="00893175" w:rsidRPr="008F034C" w:rsidRDefault="00893175" w:rsidP="008A37E7">
      <w:pPr>
        <w:pStyle w:val="FootnoteText"/>
        <w:rPr>
          <w:rFonts w:cs="Calibri"/>
        </w:rPr>
      </w:pPr>
      <w:r w:rsidRPr="008F034C">
        <w:rPr>
          <w:rStyle w:val="FootnoteReference"/>
          <w:rFonts w:cs="Calibri"/>
          <w:vertAlign w:val="baseline"/>
        </w:rPr>
        <w:footnoteRef/>
      </w:r>
      <w:r w:rsidRPr="008F034C">
        <w:rPr>
          <w:rFonts w:cs="Calibri"/>
        </w:rPr>
        <w:t xml:space="preserve"> </w:t>
      </w:r>
      <w:r>
        <w:rPr>
          <w:rFonts w:cs="Calibri"/>
        </w:rPr>
        <w:t xml:space="preserve">Medecins du Monde (2007) </w:t>
      </w:r>
      <w:r w:rsidRPr="008F034C">
        <w:rPr>
          <w:rFonts w:cs="Calibri"/>
        </w:rPr>
        <w:t xml:space="preserve">Dar-Ul-Aman Survey, </w:t>
      </w:r>
      <w:r w:rsidRPr="00002962">
        <w:rPr>
          <w:rFonts w:cs="Calibri"/>
          <w:i/>
        </w:rPr>
        <w:t>Healing the Wounds of Domestic Violence Project,</w:t>
      </w:r>
      <w:r w:rsidRPr="008F034C">
        <w:rPr>
          <w:rFonts w:cs="Calibri"/>
        </w:rPr>
        <w:t xml:space="preserve"> Médecins du Monde Pakistan, February 2007</w:t>
      </w:r>
      <w:r>
        <w:rPr>
          <w:rFonts w:cs="Calibri"/>
        </w:rPr>
        <w:t xml:space="preserve">. (Available at </w:t>
      </w:r>
      <w:hyperlink r:id="rId4" w:history="1">
        <w:r w:rsidRPr="00662390">
          <w:rPr>
            <w:rStyle w:val="Hyperlink"/>
            <w:rFonts w:cs="Calibri"/>
          </w:rPr>
          <w:t>http://www.medecinsdumonde.org/en/news/publications</w:t>
        </w:r>
      </w:hyperlink>
      <w:r>
        <w:rPr>
          <w:rFonts w:cs="Calibri"/>
        </w:rPr>
        <w:t xml:space="preserve">). </w:t>
      </w:r>
    </w:p>
  </w:footnote>
  <w:footnote w:id="10">
    <w:p w14:paraId="1E46D01C" w14:textId="4ACC562C" w:rsidR="00893175" w:rsidRPr="00E63E55" w:rsidRDefault="00893175">
      <w:pPr>
        <w:pStyle w:val="FootnoteText"/>
        <w:rPr>
          <w:lang w:val="en-AU"/>
        </w:rPr>
      </w:pPr>
      <w:r>
        <w:rPr>
          <w:rStyle w:val="FootnoteReference"/>
        </w:rPr>
        <w:footnoteRef/>
      </w:r>
      <w:r>
        <w:t xml:space="preserve"> </w:t>
      </w:r>
      <w:r>
        <w:rPr>
          <w:lang w:val="en-AU"/>
        </w:rPr>
        <w:t>The Law has been passed for Sindh PCSW but the Chairperson and members have not yet been appointed.</w:t>
      </w:r>
    </w:p>
  </w:footnote>
  <w:footnote w:id="11">
    <w:p w14:paraId="735D0C88" w14:textId="77777777" w:rsidR="00893175" w:rsidRDefault="00893175" w:rsidP="00D12CAE">
      <w:pPr>
        <w:pStyle w:val="FootnoteText"/>
      </w:pPr>
      <w:r>
        <w:rPr>
          <w:rStyle w:val="FootnoteReference"/>
        </w:rPr>
        <w:footnoteRef/>
      </w:r>
      <w:r w:rsidRPr="00F13A3D">
        <w:t xml:space="preserve">PDHS </w:t>
      </w:r>
      <w:r w:rsidRPr="005110B4">
        <w:t xml:space="preserve">2012-13, </w:t>
      </w:r>
      <w:r w:rsidRPr="00F13A3D">
        <w:t>page 22</w:t>
      </w:r>
      <w:r>
        <w:t>2</w:t>
      </w:r>
      <w:r w:rsidRPr="00F13A3D">
        <w:t>.</w:t>
      </w:r>
    </w:p>
  </w:footnote>
  <w:footnote w:id="12">
    <w:p w14:paraId="3AC6355A" w14:textId="77777777" w:rsidR="00893175" w:rsidRPr="00F13A3D" w:rsidRDefault="00893175" w:rsidP="00E57D84">
      <w:pPr>
        <w:pStyle w:val="FootnoteText"/>
      </w:pPr>
      <w:r w:rsidRPr="00F13A3D">
        <w:rPr>
          <w:rStyle w:val="FootnoteReference"/>
          <w:rFonts w:ascii="Times New Roman" w:hAnsi="Times New Roman"/>
        </w:rPr>
        <w:footnoteRef/>
      </w:r>
      <w:r w:rsidRPr="00F13A3D">
        <w:t xml:space="preserve"> Evidence collected from a meeting with Afiya Zia, member Women’s Action Forum, Karachi</w:t>
      </w:r>
      <w:r>
        <w:t>, Nov 16</w:t>
      </w:r>
      <w:r w:rsidRPr="00F13A3D">
        <w:t>.</w:t>
      </w:r>
    </w:p>
  </w:footnote>
  <w:footnote w:id="13">
    <w:p w14:paraId="0BB21A79" w14:textId="77777777" w:rsidR="00893175" w:rsidRPr="00E63E55" w:rsidRDefault="00893175" w:rsidP="005075C0">
      <w:pPr>
        <w:pStyle w:val="FootnoteText"/>
        <w:rPr>
          <w:lang w:val="fr-FR"/>
        </w:rPr>
      </w:pPr>
      <w:r w:rsidRPr="00F57C87">
        <w:rPr>
          <w:rStyle w:val="FootnoteReference"/>
          <w:rFonts w:ascii="Times New Roman" w:hAnsi="Times New Roman"/>
        </w:rPr>
        <w:footnoteRef/>
      </w:r>
      <w:r w:rsidRPr="00E63E55">
        <w:rPr>
          <w:lang w:val="fr-FR"/>
        </w:rPr>
        <w:t xml:space="preserve"> PDHS 2012-2013 pages 221 to 224.</w:t>
      </w:r>
    </w:p>
  </w:footnote>
  <w:footnote w:id="14">
    <w:p w14:paraId="3F6EE443" w14:textId="7D58A31F" w:rsidR="00893175" w:rsidRPr="0040235A" w:rsidRDefault="00893175" w:rsidP="005075C0">
      <w:pPr>
        <w:pStyle w:val="FootnoteText"/>
      </w:pPr>
      <w:r w:rsidRPr="00F57C87">
        <w:rPr>
          <w:rStyle w:val="FootnoteReference"/>
          <w:rFonts w:ascii="Times New Roman" w:hAnsi="Times New Roman"/>
        </w:rPr>
        <w:footnoteRef/>
      </w:r>
      <w:r w:rsidRPr="00F80D50">
        <w:rPr>
          <w:lang w:val="fr-FR"/>
        </w:rPr>
        <w:t xml:space="preserve"> PDHS 2012-2013 page 210. </w:t>
      </w:r>
      <w:r>
        <w:rPr>
          <w:lang w:val="fr-FR"/>
        </w:rPr>
        <w:t xml:space="preserve">(Available at </w:t>
      </w:r>
      <w:hyperlink r:id="rId5" w:history="1">
        <w:r w:rsidRPr="0040235A">
          <w:rPr>
            <w:rStyle w:val="Hyperlink"/>
          </w:rPr>
          <w:t>http://nips.org.pk/abstract_files/PDHS%20Final%20Report%20as%20of%20Jan%2022-2014.pdf</w:t>
        </w:r>
      </w:hyperlink>
      <w:r>
        <w:t>).</w:t>
      </w:r>
    </w:p>
  </w:footnote>
  <w:footnote w:id="15">
    <w:p w14:paraId="60F99A4E" w14:textId="50D202DC" w:rsidR="00893175" w:rsidRPr="00F57C87" w:rsidRDefault="00893175" w:rsidP="00E57D84">
      <w:pPr>
        <w:pStyle w:val="FootnoteText"/>
      </w:pPr>
      <w:r w:rsidRPr="00F57C87">
        <w:rPr>
          <w:rStyle w:val="FootnoteReference"/>
          <w:rFonts w:ascii="Times New Roman" w:hAnsi="Times New Roman"/>
        </w:rPr>
        <w:footnoteRef/>
      </w:r>
      <w:r w:rsidRPr="00787B56">
        <w:rPr>
          <w:i/>
        </w:rPr>
        <w:t>Swara</w:t>
      </w:r>
      <w:r w:rsidRPr="00F57C87">
        <w:t xml:space="preserve"> is a Pashto word </w:t>
      </w:r>
      <w:r w:rsidRPr="00F57C87">
        <w:rPr>
          <w:iCs/>
        </w:rPr>
        <w:t xml:space="preserve">denoting a child marriage custom in tribal areas, which is tied to blood feuds between different tribes where young </w:t>
      </w:r>
      <w:r w:rsidRPr="00F57C87">
        <w:t>girls are given in marriage to members of different tribes to</w:t>
      </w:r>
      <w:r>
        <w:t xml:space="preserve"> </w:t>
      </w:r>
      <w:r w:rsidRPr="00F57C87">
        <w:t>settle feuds.</w:t>
      </w:r>
    </w:p>
  </w:footnote>
  <w:footnote w:id="16">
    <w:p w14:paraId="0CEE9574" w14:textId="75DBE5E3" w:rsidR="00893175" w:rsidRPr="00A32520" w:rsidRDefault="00893175" w:rsidP="007C0615">
      <w:pPr>
        <w:pStyle w:val="FootnoteText"/>
        <w:rPr>
          <w:lang w:val="en-AU"/>
        </w:rPr>
      </w:pPr>
      <w:r>
        <w:rPr>
          <w:rStyle w:val="FootnoteReference"/>
        </w:rPr>
        <w:footnoteRef/>
      </w:r>
      <w:r>
        <w:t xml:space="preserve"> Ashfaq, M (2008) </w:t>
      </w:r>
      <w:r w:rsidRPr="004D4C14">
        <w:rPr>
          <w:i/>
        </w:rPr>
        <w:t>‘KP Assembly bans forced marriage under ghag’</w:t>
      </w:r>
      <w:r>
        <w:rPr>
          <w:i/>
        </w:rPr>
        <w:t xml:space="preserve"> January 8, 2008 </w:t>
      </w:r>
      <w:r w:rsidRPr="004D4C14">
        <w:rPr>
          <w:color w:val="auto"/>
        </w:rPr>
        <w:t>in</w:t>
      </w:r>
      <w:r w:rsidRPr="004D4C14">
        <w:rPr>
          <w:i/>
          <w:color w:val="auto"/>
        </w:rPr>
        <w:t xml:space="preserve"> </w:t>
      </w:r>
      <w:r w:rsidRPr="004D4C14">
        <w:rPr>
          <w:rStyle w:val="Hyperlink"/>
          <w:color w:val="auto"/>
          <w:u w:val="none"/>
        </w:rPr>
        <w:t xml:space="preserve">Dawn, </w:t>
      </w:r>
      <w:r>
        <w:rPr>
          <w:rStyle w:val="Hyperlink"/>
          <w:color w:val="auto"/>
          <w:u w:val="none"/>
        </w:rPr>
        <w:t>(A</w:t>
      </w:r>
      <w:r w:rsidRPr="004D4C14">
        <w:rPr>
          <w:rStyle w:val="Hyperlink"/>
          <w:color w:val="auto"/>
          <w:u w:val="none"/>
        </w:rPr>
        <w:t xml:space="preserve">vailable at </w:t>
      </w:r>
      <w:hyperlink r:id="rId6" w:history="1">
        <w:r w:rsidRPr="001C7A58">
          <w:rPr>
            <w:rStyle w:val="Hyperlink"/>
          </w:rPr>
          <w:t>http://www.dawn.com/news/777316</w:t>
        </w:r>
      </w:hyperlink>
      <w:r>
        <w:rPr>
          <w:rStyle w:val="Hyperlink"/>
        </w:rPr>
        <w:t>.</w:t>
      </w:r>
      <w:r>
        <w:rPr>
          <w:rStyle w:val="Hyperlink"/>
          <w:u w:val="none"/>
        </w:rPr>
        <w:t xml:space="preserve"> </w:t>
      </w:r>
      <w:r w:rsidRPr="000335E9">
        <w:rPr>
          <w:i/>
        </w:rPr>
        <w:t>Ghag</w:t>
      </w:r>
      <w:r w:rsidRPr="000335E9">
        <w:t xml:space="preserve"> </w:t>
      </w:r>
      <w:r>
        <w:t xml:space="preserve">is defined </w:t>
      </w:r>
      <w:r w:rsidRPr="000335E9">
        <w:t>as a custom, usage, tradition or practice whereby a person forcibly demands or claims the hand of a woman, without consent</w:t>
      </w:r>
      <w:r>
        <w:t>.</w:t>
      </w:r>
    </w:p>
  </w:footnote>
  <w:footnote w:id="17">
    <w:p w14:paraId="430D554B" w14:textId="7EA9917B" w:rsidR="00893175" w:rsidRPr="007F2823" w:rsidRDefault="00893175" w:rsidP="007C0615">
      <w:pPr>
        <w:pStyle w:val="FootnoteText"/>
      </w:pPr>
      <w:r w:rsidRPr="007F2823">
        <w:rPr>
          <w:rStyle w:val="FootnoteReference"/>
          <w:rFonts w:ascii="Times New Roman" w:hAnsi="Times New Roman"/>
        </w:rPr>
        <w:footnoteRef/>
      </w:r>
      <w:r w:rsidRPr="000335E9">
        <w:t>Tabassum Adnan received the US State Department's 2015 International Women of Courage Award and following the publicity she had to relocate to another city due to anonymous threats.</w:t>
      </w:r>
      <w:r>
        <w:t xml:space="preserve"> </w:t>
      </w:r>
      <w:r w:rsidRPr="007F2823">
        <w:t xml:space="preserve">Amnesty International </w:t>
      </w:r>
      <w:r>
        <w:t xml:space="preserve">UK, </w:t>
      </w:r>
      <w:hyperlink r:id="rId7" w:history="1">
        <w:r w:rsidRPr="00973A7B">
          <w:rPr>
            <w:rStyle w:val="Hyperlink"/>
          </w:rPr>
          <w:t>https://www.amnesty.org/en/countries/asia-and-the-pacific/pakistan/report-pakistan/</w:t>
        </w:r>
      </w:hyperlink>
    </w:p>
  </w:footnote>
  <w:footnote w:id="18">
    <w:p w14:paraId="2E9E663F" w14:textId="1BF2046B" w:rsidR="00893175" w:rsidRPr="00E57D84" w:rsidRDefault="00893175" w:rsidP="00E57D84">
      <w:pPr>
        <w:pStyle w:val="FootnoteText"/>
      </w:pPr>
      <w:r w:rsidRPr="00E63E55">
        <w:rPr>
          <w:rStyle w:val="FootnoteReference"/>
          <w:rFonts w:ascii="Times New Roman" w:hAnsi="Times New Roman"/>
        </w:rPr>
        <w:footnoteRef/>
      </w:r>
      <w:r w:rsidRPr="00E63E55">
        <w:rPr>
          <w:rStyle w:val="FootnoteReference"/>
          <w:rFonts w:ascii="Times New Roman" w:hAnsi="Times New Roman"/>
        </w:rPr>
        <w:t xml:space="preserve"> </w:t>
      </w:r>
      <w:r w:rsidRPr="00E57D84">
        <w:t>The five NGO partners are:</w:t>
      </w:r>
    </w:p>
    <w:p w14:paraId="0DC5543C" w14:textId="77777777" w:rsidR="00893175" w:rsidRPr="00E57D84" w:rsidRDefault="00893175" w:rsidP="00E57D84">
      <w:pPr>
        <w:pStyle w:val="FootnoteText"/>
      </w:pPr>
      <w:r w:rsidRPr="00E57D84">
        <w:t>- Association for Betterment And Development of Human Beings (ABAD) – Sindh</w:t>
      </w:r>
    </w:p>
    <w:p w14:paraId="663D3100" w14:textId="77777777" w:rsidR="00893175" w:rsidRPr="00E57D84" w:rsidRDefault="00893175" w:rsidP="00E57D84">
      <w:pPr>
        <w:pStyle w:val="FootnoteText"/>
      </w:pPr>
      <w:r w:rsidRPr="00E57D84">
        <w:t>- Noor Education Trust (NET) – KP</w:t>
      </w:r>
    </w:p>
    <w:p w14:paraId="548DB779" w14:textId="77777777" w:rsidR="00893175" w:rsidRPr="00E57D84" w:rsidRDefault="00893175" w:rsidP="00E57D84">
      <w:pPr>
        <w:pStyle w:val="FootnoteText"/>
      </w:pPr>
      <w:r w:rsidRPr="00E57D84">
        <w:t>- Sindh Development Society (SDS) - Sindh</w:t>
      </w:r>
    </w:p>
    <w:p w14:paraId="5BC47B11" w14:textId="77777777" w:rsidR="00893175" w:rsidRPr="00E57D84" w:rsidRDefault="00893175" w:rsidP="00E57D84">
      <w:pPr>
        <w:pStyle w:val="FootnoteText"/>
      </w:pPr>
      <w:r w:rsidRPr="00E57D84">
        <w:t>- Aiming Change for Tomorrow (ACT) – KP</w:t>
      </w:r>
    </w:p>
    <w:p w14:paraId="1BB21A6A" w14:textId="77777777" w:rsidR="00893175" w:rsidRPr="004338AE" w:rsidRDefault="00893175" w:rsidP="00E57D84">
      <w:pPr>
        <w:pStyle w:val="FootnoteText"/>
        <w:rPr>
          <w:lang w:val="en-AU"/>
        </w:rPr>
      </w:pPr>
      <w:r w:rsidRPr="00E57D84">
        <w:t>- Pakistan Village Development Program (PVDP) – KP</w:t>
      </w:r>
    </w:p>
  </w:footnote>
  <w:footnote w:id="19">
    <w:p w14:paraId="56717092" w14:textId="4E6D7FE1" w:rsidR="00893175" w:rsidRPr="00E63E55" w:rsidRDefault="00893175">
      <w:pPr>
        <w:pStyle w:val="FootnoteText"/>
        <w:rPr>
          <w:lang w:val="en-AU"/>
        </w:rPr>
      </w:pPr>
      <w:r>
        <w:rPr>
          <w:rStyle w:val="FootnoteReference"/>
        </w:rPr>
        <w:footnoteRef/>
      </w:r>
      <w:r>
        <w:t xml:space="preserve"> </w:t>
      </w:r>
      <w:r>
        <w:rPr>
          <w:lang w:val="en-AU"/>
        </w:rPr>
        <w:t>Strengthening  Participatory Organisation (SPO), Women’s Parliamentary Caucus (WPC) and Raising Voices formally became program partners in early 2017, following the evaluation mission.</w:t>
      </w:r>
    </w:p>
  </w:footnote>
  <w:footnote w:id="20">
    <w:p w14:paraId="29938870" w14:textId="77777777" w:rsidR="00893175" w:rsidRPr="009A14CB" w:rsidRDefault="00893175" w:rsidP="008B5A84">
      <w:pPr>
        <w:pStyle w:val="FootnoteText"/>
        <w:rPr>
          <w:lang w:val="en-AU"/>
        </w:rPr>
      </w:pPr>
      <w:r>
        <w:rPr>
          <w:rStyle w:val="FootnoteReference"/>
        </w:rPr>
        <w:footnoteRef/>
      </w:r>
      <w:r>
        <w:rPr>
          <w:lang w:val="en-AU"/>
        </w:rPr>
        <w:t xml:space="preserve"> The evaluation team was unable to meet the head of NET in Peshawar. Trocaire has provided evidence of email communications sent to NET’s Board of Trustees and staff regarding these ongoing issues.</w:t>
      </w:r>
    </w:p>
  </w:footnote>
  <w:footnote w:id="21">
    <w:p w14:paraId="39355790" w14:textId="47FB94F3" w:rsidR="00893175" w:rsidRPr="002D514F" w:rsidRDefault="00893175" w:rsidP="00527160">
      <w:pPr>
        <w:pStyle w:val="FootnoteText"/>
        <w:rPr>
          <w:lang w:val="en-AU"/>
        </w:rPr>
      </w:pPr>
      <w:r>
        <w:rPr>
          <w:rStyle w:val="FootnoteReference"/>
        </w:rPr>
        <w:footnoteRef/>
      </w:r>
      <w:r>
        <w:t xml:space="preserve"> SASA! was developed in the Ugandan context as a revolutionary approach to reducing VAW and HIV through a focus on the imbalance in power relations. SASA! stands for Start, Awareness, Support, Action which are the four stages of the program.</w:t>
      </w:r>
    </w:p>
  </w:footnote>
  <w:footnote w:id="22">
    <w:p w14:paraId="2514C627" w14:textId="4340BB8E" w:rsidR="00893175" w:rsidRPr="00E63E55" w:rsidRDefault="00893175">
      <w:pPr>
        <w:pStyle w:val="FootnoteText"/>
        <w:rPr>
          <w:lang w:val="en-AU"/>
        </w:rPr>
      </w:pPr>
      <w:r>
        <w:rPr>
          <w:rStyle w:val="FootnoteReference"/>
        </w:rPr>
        <w:footnoteRef/>
      </w:r>
      <w:r>
        <w:t xml:space="preserve"> </w:t>
      </w:r>
      <w:r>
        <w:rPr>
          <w:lang w:val="en-AU"/>
        </w:rPr>
        <w:t>SDS has since made changes to the fee structure based on concerns raised. For example, reduced fees and scholarships have been introduced to ensure training remains financially accessible.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38A3B" w14:textId="77777777" w:rsidR="00BC6182" w:rsidRDefault="00BC6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6CD95" w14:textId="77777777" w:rsidR="00BC6182" w:rsidRDefault="00BC61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ED5F2" w14:textId="77777777" w:rsidR="00BC6182" w:rsidRDefault="00BC6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231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C5245D"/>
    <w:multiLevelType w:val="hybridMultilevel"/>
    <w:tmpl w:val="406CF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B2F41"/>
    <w:multiLevelType w:val="hybridMultilevel"/>
    <w:tmpl w:val="2154F794"/>
    <w:lvl w:ilvl="0" w:tplc="97CA8572">
      <w:start w:val="1"/>
      <w:numFmt w:val="bullet"/>
      <w:lvlText w:val="•"/>
      <w:lvlJc w:val="left"/>
      <w:pPr>
        <w:tabs>
          <w:tab w:val="num" w:pos="720"/>
        </w:tabs>
        <w:ind w:left="720" w:hanging="360"/>
      </w:pPr>
      <w:rPr>
        <w:rFonts w:ascii="Arial" w:hAnsi="Arial" w:hint="default"/>
      </w:rPr>
    </w:lvl>
    <w:lvl w:ilvl="1" w:tplc="E760F4D0" w:tentative="1">
      <w:start w:val="1"/>
      <w:numFmt w:val="bullet"/>
      <w:lvlText w:val="•"/>
      <w:lvlJc w:val="left"/>
      <w:pPr>
        <w:tabs>
          <w:tab w:val="num" w:pos="1440"/>
        </w:tabs>
        <w:ind w:left="1440" w:hanging="360"/>
      </w:pPr>
      <w:rPr>
        <w:rFonts w:ascii="Arial" w:hAnsi="Arial" w:hint="default"/>
      </w:rPr>
    </w:lvl>
    <w:lvl w:ilvl="2" w:tplc="89064970">
      <w:start w:val="303"/>
      <w:numFmt w:val="bullet"/>
      <w:lvlText w:val="•"/>
      <w:lvlJc w:val="left"/>
      <w:pPr>
        <w:tabs>
          <w:tab w:val="num" w:pos="2160"/>
        </w:tabs>
        <w:ind w:left="2160" w:hanging="360"/>
      </w:pPr>
      <w:rPr>
        <w:rFonts w:ascii="Arial" w:hAnsi="Arial" w:hint="default"/>
      </w:rPr>
    </w:lvl>
    <w:lvl w:ilvl="3" w:tplc="DAD80E4C" w:tentative="1">
      <w:start w:val="1"/>
      <w:numFmt w:val="bullet"/>
      <w:lvlText w:val="•"/>
      <w:lvlJc w:val="left"/>
      <w:pPr>
        <w:tabs>
          <w:tab w:val="num" w:pos="2880"/>
        </w:tabs>
        <w:ind w:left="2880" w:hanging="360"/>
      </w:pPr>
      <w:rPr>
        <w:rFonts w:ascii="Arial" w:hAnsi="Arial" w:hint="default"/>
      </w:rPr>
    </w:lvl>
    <w:lvl w:ilvl="4" w:tplc="B808928C" w:tentative="1">
      <w:start w:val="1"/>
      <w:numFmt w:val="bullet"/>
      <w:lvlText w:val="•"/>
      <w:lvlJc w:val="left"/>
      <w:pPr>
        <w:tabs>
          <w:tab w:val="num" w:pos="3600"/>
        </w:tabs>
        <w:ind w:left="3600" w:hanging="360"/>
      </w:pPr>
      <w:rPr>
        <w:rFonts w:ascii="Arial" w:hAnsi="Arial" w:hint="default"/>
      </w:rPr>
    </w:lvl>
    <w:lvl w:ilvl="5" w:tplc="8EDAA834" w:tentative="1">
      <w:start w:val="1"/>
      <w:numFmt w:val="bullet"/>
      <w:lvlText w:val="•"/>
      <w:lvlJc w:val="left"/>
      <w:pPr>
        <w:tabs>
          <w:tab w:val="num" w:pos="4320"/>
        </w:tabs>
        <w:ind w:left="4320" w:hanging="360"/>
      </w:pPr>
      <w:rPr>
        <w:rFonts w:ascii="Arial" w:hAnsi="Arial" w:hint="default"/>
      </w:rPr>
    </w:lvl>
    <w:lvl w:ilvl="6" w:tplc="579ECA52" w:tentative="1">
      <w:start w:val="1"/>
      <w:numFmt w:val="bullet"/>
      <w:lvlText w:val="•"/>
      <w:lvlJc w:val="left"/>
      <w:pPr>
        <w:tabs>
          <w:tab w:val="num" w:pos="5040"/>
        </w:tabs>
        <w:ind w:left="5040" w:hanging="360"/>
      </w:pPr>
      <w:rPr>
        <w:rFonts w:ascii="Arial" w:hAnsi="Arial" w:hint="default"/>
      </w:rPr>
    </w:lvl>
    <w:lvl w:ilvl="7" w:tplc="54386210" w:tentative="1">
      <w:start w:val="1"/>
      <w:numFmt w:val="bullet"/>
      <w:lvlText w:val="•"/>
      <w:lvlJc w:val="left"/>
      <w:pPr>
        <w:tabs>
          <w:tab w:val="num" w:pos="5760"/>
        </w:tabs>
        <w:ind w:left="5760" w:hanging="360"/>
      </w:pPr>
      <w:rPr>
        <w:rFonts w:ascii="Arial" w:hAnsi="Arial" w:hint="default"/>
      </w:rPr>
    </w:lvl>
    <w:lvl w:ilvl="8" w:tplc="65F6E4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6D1A99"/>
    <w:multiLevelType w:val="hybridMultilevel"/>
    <w:tmpl w:val="076882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BE41F4B"/>
    <w:multiLevelType w:val="hybridMultilevel"/>
    <w:tmpl w:val="4BA8D2E2"/>
    <w:lvl w:ilvl="0" w:tplc="A002D65A">
      <w:start w:val="1"/>
      <w:numFmt w:val="bullet"/>
      <w:lvlText w:val="•"/>
      <w:lvlJc w:val="left"/>
      <w:pPr>
        <w:tabs>
          <w:tab w:val="num" w:pos="720"/>
        </w:tabs>
        <w:ind w:left="720" w:hanging="360"/>
      </w:pPr>
      <w:rPr>
        <w:rFonts w:ascii="Arial" w:hAnsi="Arial" w:hint="default"/>
      </w:rPr>
    </w:lvl>
    <w:lvl w:ilvl="1" w:tplc="F8986B28" w:tentative="1">
      <w:start w:val="1"/>
      <w:numFmt w:val="bullet"/>
      <w:lvlText w:val="•"/>
      <w:lvlJc w:val="left"/>
      <w:pPr>
        <w:tabs>
          <w:tab w:val="num" w:pos="1440"/>
        </w:tabs>
        <w:ind w:left="1440" w:hanging="360"/>
      </w:pPr>
      <w:rPr>
        <w:rFonts w:ascii="Arial" w:hAnsi="Arial" w:hint="default"/>
      </w:rPr>
    </w:lvl>
    <w:lvl w:ilvl="2" w:tplc="3E50D744" w:tentative="1">
      <w:start w:val="1"/>
      <w:numFmt w:val="bullet"/>
      <w:lvlText w:val="•"/>
      <w:lvlJc w:val="left"/>
      <w:pPr>
        <w:tabs>
          <w:tab w:val="num" w:pos="2160"/>
        </w:tabs>
        <w:ind w:left="2160" w:hanging="360"/>
      </w:pPr>
      <w:rPr>
        <w:rFonts w:ascii="Arial" w:hAnsi="Arial" w:hint="default"/>
      </w:rPr>
    </w:lvl>
    <w:lvl w:ilvl="3" w:tplc="FA7E3794" w:tentative="1">
      <w:start w:val="1"/>
      <w:numFmt w:val="bullet"/>
      <w:lvlText w:val="•"/>
      <w:lvlJc w:val="left"/>
      <w:pPr>
        <w:tabs>
          <w:tab w:val="num" w:pos="2880"/>
        </w:tabs>
        <w:ind w:left="2880" w:hanging="360"/>
      </w:pPr>
      <w:rPr>
        <w:rFonts w:ascii="Arial" w:hAnsi="Arial" w:hint="default"/>
      </w:rPr>
    </w:lvl>
    <w:lvl w:ilvl="4" w:tplc="BA1E8536" w:tentative="1">
      <w:start w:val="1"/>
      <w:numFmt w:val="bullet"/>
      <w:lvlText w:val="•"/>
      <w:lvlJc w:val="left"/>
      <w:pPr>
        <w:tabs>
          <w:tab w:val="num" w:pos="3600"/>
        </w:tabs>
        <w:ind w:left="3600" w:hanging="360"/>
      </w:pPr>
      <w:rPr>
        <w:rFonts w:ascii="Arial" w:hAnsi="Arial" w:hint="default"/>
      </w:rPr>
    </w:lvl>
    <w:lvl w:ilvl="5" w:tplc="F22E8BCC" w:tentative="1">
      <w:start w:val="1"/>
      <w:numFmt w:val="bullet"/>
      <w:lvlText w:val="•"/>
      <w:lvlJc w:val="left"/>
      <w:pPr>
        <w:tabs>
          <w:tab w:val="num" w:pos="4320"/>
        </w:tabs>
        <w:ind w:left="4320" w:hanging="360"/>
      </w:pPr>
      <w:rPr>
        <w:rFonts w:ascii="Arial" w:hAnsi="Arial" w:hint="default"/>
      </w:rPr>
    </w:lvl>
    <w:lvl w:ilvl="6" w:tplc="95543910" w:tentative="1">
      <w:start w:val="1"/>
      <w:numFmt w:val="bullet"/>
      <w:lvlText w:val="•"/>
      <w:lvlJc w:val="left"/>
      <w:pPr>
        <w:tabs>
          <w:tab w:val="num" w:pos="5040"/>
        </w:tabs>
        <w:ind w:left="5040" w:hanging="360"/>
      </w:pPr>
      <w:rPr>
        <w:rFonts w:ascii="Arial" w:hAnsi="Arial" w:hint="default"/>
      </w:rPr>
    </w:lvl>
    <w:lvl w:ilvl="7" w:tplc="85BABC0C" w:tentative="1">
      <w:start w:val="1"/>
      <w:numFmt w:val="bullet"/>
      <w:lvlText w:val="•"/>
      <w:lvlJc w:val="left"/>
      <w:pPr>
        <w:tabs>
          <w:tab w:val="num" w:pos="5760"/>
        </w:tabs>
        <w:ind w:left="5760" w:hanging="360"/>
      </w:pPr>
      <w:rPr>
        <w:rFonts w:ascii="Arial" w:hAnsi="Arial" w:hint="default"/>
      </w:rPr>
    </w:lvl>
    <w:lvl w:ilvl="8" w:tplc="D1F082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3326EB"/>
    <w:multiLevelType w:val="hybridMultilevel"/>
    <w:tmpl w:val="9AF64CBC"/>
    <w:lvl w:ilvl="0" w:tplc="0AB87ED0">
      <w:start w:val="1"/>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8B86757"/>
    <w:multiLevelType w:val="hybridMultilevel"/>
    <w:tmpl w:val="80CEB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2D1AF7"/>
    <w:multiLevelType w:val="hybridMultilevel"/>
    <w:tmpl w:val="4E7C7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C14346"/>
    <w:multiLevelType w:val="hybridMultilevel"/>
    <w:tmpl w:val="4EFA5AF0"/>
    <w:lvl w:ilvl="0" w:tplc="0AB87ED0">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F46795"/>
    <w:multiLevelType w:val="hybridMultilevel"/>
    <w:tmpl w:val="2FE23B2C"/>
    <w:lvl w:ilvl="0" w:tplc="0AB87ED0">
      <w:start w:val="1"/>
      <w:numFmt w:val="bullet"/>
      <w:lvlText w:val="-"/>
      <w:lvlJc w:val="left"/>
      <w:pPr>
        <w:ind w:left="1800" w:hanging="360"/>
      </w:pPr>
      <w:rPr>
        <w:rFonts w:ascii="Calibri" w:eastAsiaTheme="minorHAnsi"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CDF7FC5"/>
    <w:multiLevelType w:val="hybridMultilevel"/>
    <w:tmpl w:val="E10E56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9D6BE8"/>
    <w:multiLevelType w:val="hybridMultilevel"/>
    <w:tmpl w:val="CDE2F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602915"/>
    <w:multiLevelType w:val="hybridMultilevel"/>
    <w:tmpl w:val="AD1A3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BC0146"/>
    <w:multiLevelType w:val="hybridMultilevel"/>
    <w:tmpl w:val="03BE0D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01208D9"/>
    <w:multiLevelType w:val="hybridMultilevel"/>
    <w:tmpl w:val="482E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B87E18"/>
    <w:multiLevelType w:val="hybridMultilevel"/>
    <w:tmpl w:val="62720F5A"/>
    <w:lvl w:ilvl="0" w:tplc="515A66FE">
      <w:start w:val="1"/>
      <w:numFmt w:val="bullet"/>
      <w:lvlText w:val="•"/>
      <w:lvlJc w:val="left"/>
      <w:pPr>
        <w:tabs>
          <w:tab w:val="num" w:pos="720"/>
        </w:tabs>
        <w:ind w:left="720" w:hanging="360"/>
      </w:pPr>
      <w:rPr>
        <w:rFonts w:ascii="Arial" w:hAnsi="Arial" w:hint="default"/>
      </w:rPr>
    </w:lvl>
    <w:lvl w:ilvl="1" w:tplc="B16047D2" w:tentative="1">
      <w:start w:val="1"/>
      <w:numFmt w:val="bullet"/>
      <w:lvlText w:val="•"/>
      <w:lvlJc w:val="left"/>
      <w:pPr>
        <w:tabs>
          <w:tab w:val="num" w:pos="1440"/>
        </w:tabs>
        <w:ind w:left="1440" w:hanging="360"/>
      </w:pPr>
      <w:rPr>
        <w:rFonts w:ascii="Arial" w:hAnsi="Arial" w:hint="default"/>
      </w:rPr>
    </w:lvl>
    <w:lvl w:ilvl="2" w:tplc="A2B44840" w:tentative="1">
      <w:start w:val="1"/>
      <w:numFmt w:val="bullet"/>
      <w:lvlText w:val="•"/>
      <w:lvlJc w:val="left"/>
      <w:pPr>
        <w:tabs>
          <w:tab w:val="num" w:pos="2160"/>
        </w:tabs>
        <w:ind w:left="2160" w:hanging="360"/>
      </w:pPr>
      <w:rPr>
        <w:rFonts w:ascii="Arial" w:hAnsi="Arial" w:hint="default"/>
      </w:rPr>
    </w:lvl>
    <w:lvl w:ilvl="3" w:tplc="563A5FB8" w:tentative="1">
      <w:start w:val="1"/>
      <w:numFmt w:val="bullet"/>
      <w:lvlText w:val="•"/>
      <w:lvlJc w:val="left"/>
      <w:pPr>
        <w:tabs>
          <w:tab w:val="num" w:pos="2880"/>
        </w:tabs>
        <w:ind w:left="2880" w:hanging="360"/>
      </w:pPr>
      <w:rPr>
        <w:rFonts w:ascii="Arial" w:hAnsi="Arial" w:hint="default"/>
      </w:rPr>
    </w:lvl>
    <w:lvl w:ilvl="4" w:tplc="8B884282" w:tentative="1">
      <w:start w:val="1"/>
      <w:numFmt w:val="bullet"/>
      <w:lvlText w:val="•"/>
      <w:lvlJc w:val="left"/>
      <w:pPr>
        <w:tabs>
          <w:tab w:val="num" w:pos="3600"/>
        </w:tabs>
        <w:ind w:left="3600" w:hanging="360"/>
      </w:pPr>
      <w:rPr>
        <w:rFonts w:ascii="Arial" w:hAnsi="Arial" w:hint="default"/>
      </w:rPr>
    </w:lvl>
    <w:lvl w:ilvl="5" w:tplc="C7E058AC" w:tentative="1">
      <w:start w:val="1"/>
      <w:numFmt w:val="bullet"/>
      <w:lvlText w:val="•"/>
      <w:lvlJc w:val="left"/>
      <w:pPr>
        <w:tabs>
          <w:tab w:val="num" w:pos="4320"/>
        </w:tabs>
        <w:ind w:left="4320" w:hanging="360"/>
      </w:pPr>
      <w:rPr>
        <w:rFonts w:ascii="Arial" w:hAnsi="Arial" w:hint="default"/>
      </w:rPr>
    </w:lvl>
    <w:lvl w:ilvl="6" w:tplc="244AAB88" w:tentative="1">
      <w:start w:val="1"/>
      <w:numFmt w:val="bullet"/>
      <w:lvlText w:val="•"/>
      <w:lvlJc w:val="left"/>
      <w:pPr>
        <w:tabs>
          <w:tab w:val="num" w:pos="5040"/>
        </w:tabs>
        <w:ind w:left="5040" w:hanging="360"/>
      </w:pPr>
      <w:rPr>
        <w:rFonts w:ascii="Arial" w:hAnsi="Arial" w:hint="default"/>
      </w:rPr>
    </w:lvl>
    <w:lvl w:ilvl="7" w:tplc="0D76C136" w:tentative="1">
      <w:start w:val="1"/>
      <w:numFmt w:val="bullet"/>
      <w:lvlText w:val="•"/>
      <w:lvlJc w:val="left"/>
      <w:pPr>
        <w:tabs>
          <w:tab w:val="num" w:pos="5760"/>
        </w:tabs>
        <w:ind w:left="5760" w:hanging="360"/>
      </w:pPr>
      <w:rPr>
        <w:rFonts w:ascii="Arial" w:hAnsi="Arial" w:hint="default"/>
      </w:rPr>
    </w:lvl>
    <w:lvl w:ilvl="8" w:tplc="D398073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323961"/>
    <w:multiLevelType w:val="hybridMultilevel"/>
    <w:tmpl w:val="D8F487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ED31006"/>
    <w:multiLevelType w:val="hybridMultilevel"/>
    <w:tmpl w:val="2FEA7DA0"/>
    <w:lvl w:ilvl="0" w:tplc="659463D4">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5B2459"/>
    <w:multiLevelType w:val="hybridMultilevel"/>
    <w:tmpl w:val="5434A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C26D10"/>
    <w:multiLevelType w:val="hybridMultilevel"/>
    <w:tmpl w:val="823CD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C52E71"/>
    <w:multiLevelType w:val="hybridMultilevel"/>
    <w:tmpl w:val="A33A82C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0A3B71"/>
    <w:multiLevelType w:val="hybridMultilevel"/>
    <w:tmpl w:val="721E8B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6A7311"/>
    <w:multiLevelType w:val="hybridMultilevel"/>
    <w:tmpl w:val="406CF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26658"/>
    <w:multiLevelType w:val="hybridMultilevel"/>
    <w:tmpl w:val="5D2CD5F4"/>
    <w:lvl w:ilvl="0" w:tplc="7BAE4E62">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3"/>
  </w:num>
  <w:num w:numId="4">
    <w:abstractNumId w:val="8"/>
  </w:num>
  <w:num w:numId="5">
    <w:abstractNumId w:val="5"/>
  </w:num>
  <w:num w:numId="6">
    <w:abstractNumId w:val="21"/>
  </w:num>
  <w:num w:numId="7">
    <w:abstractNumId w:val="4"/>
  </w:num>
  <w:num w:numId="8">
    <w:abstractNumId w:val="9"/>
  </w:num>
  <w:num w:numId="9">
    <w:abstractNumId w:val="2"/>
  </w:num>
  <w:num w:numId="10">
    <w:abstractNumId w:val="22"/>
  </w:num>
  <w:num w:numId="11">
    <w:abstractNumId w:val="1"/>
  </w:num>
  <w:num w:numId="12">
    <w:abstractNumId w:val="15"/>
  </w:num>
  <w:num w:numId="13">
    <w:abstractNumId w:val="19"/>
  </w:num>
  <w:num w:numId="14">
    <w:abstractNumId w:val="16"/>
  </w:num>
  <w:num w:numId="15">
    <w:abstractNumId w:val="7"/>
  </w:num>
  <w:num w:numId="16">
    <w:abstractNumId w:val="6"/>
  </w:num>
  <w:num w:numId="17">
    <w:abstractNumId w:val="17"/>
  </w:num>
  <w:num w:numId="18">
    <w:abstractNumId w:val="20"/>
  </w:num>
  <w:num w:numId="19">
    <w:abstractNumId w:val="12"/>
  </w:num>
  <w:num w:numId="20">
    <w:abstractNumId w:val="13"/>
  </w:num>
  <w:num w:numId="21">
    <w:abstractNumId w:val="14"/>
  </w:num>
  <w:num w:numId="22">
    <w:abstractNumId w:val="10"/>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80"/>
    <w:rsid w:val="00002962"/>
    <w:rsid w:val="00003A09"/>
    <w:rsid w:val="000066E4"/>
    <w:rsid w:val="00007A2F"/>
    <w:rsid w:val="00011337"/>
    <w:rsid w:val="0001367D"/>
    <w:rsid w:val="00015773"/>
    <w:rsid w:val="00015DDB"/>
    <w:rsid w:val="00020275"/>
    <w:rsid w:val="00024F86"/>
    <w:rsid w:val="0002589D"/>
    <w:rsid w:val="00025EA9"/>
    <w:rsid w:val="0003182B"/>
    <w:rsid w:val="00035AA4"/>
    <w:rsid w:val="00035B98"/>
    <w:rsid w:val="0004020C"/>
    <w:rsid w:val="0004220B"/>
    <w:rsid w:val="00042B53"/>
    <w:rsid w:val="00046814"/>
    <w:rsid w:val="000538BE"/>
    <w:rsid w:val="00054701"/>
    <w:rsid w:val="0005732A"/>
    <w:rsid w:val="00057A57"/>
    <w:rsid w:val="00060299"/>
    <w:rsid w:val="00061237"/>
    <w:rsid w:val="00061AC1"/>
    <w:rsid w:val="000655E4"/>
    <w:rsid w:val="000708EE"/>
    <w:rsid w:val="00071281"/>
    <w:rsid w:val="0007527D"/>
    <w:rsid w:val="0007576B"/>
    <w:rsid w:val="0007636C"/>
    <w:rsid w:val="00081362"/>
    <w:rsid w:val="00081BB3"/>
    <w:rsid w:val="0008203F"/>
    <w:rsid w:val="000827C1"/>
    <w:rsid w:val="00090285"/>
    <w:rsid w:val="00090414"/>
    <w:rsid w:val="0009106E"/>
    <w:rsid w:val="000925BF"/>
    <w:rsid w:val="0009286A"/>
    <w:rsid w:val="00095694"/>
    <w:rsid w:val="000B3BEC"/>
    <w:rsid w:val="000B452D"/>
    <w:rsid w:val="000B54FD"/>
    <w:rsid w:val="000C0292"/>
    <w:rsid w:val="000C2621"/>
    <w:rsid w:val="000D30BB"/>
    <w:rsid w:val="000D5B50"/>
    <w:rsid w:val="000D5BA3"/>
    <w:rsid w:val="000D7CFB"/>
    <w:rsid w:val="000E01F8"/>
    <w:rsid w:val="000F341A"/>
    <w:rsid w:val="000F4FAB"/>
    <w:rsid w:val="00103E2A"/>
    <w:rsid w:val="001052CC"/>
    <w:rsid w:val="00106280"/>
    <w:rsid w:val="00107D74"/>
    <w:rsid w:val="00110D13"/>
    <w:rsid w:val="00113592"/>
    <w:rsid w:val="0011630E"/>
    <w:rsid w:val="001179C2"/>
    <w:rsid w:val="00123BA7"/>
    <w:rsid w:val="00123D29"/>
    <w:rsid w:val="00133637"/>
    <w:rsid w:val="00137B73"/>
    <w:rsid w:val="00140131"/>
    <w:rsid w:val="00143743"/>
    <w:rsid w:val="00143975"/>
    <w:rsid w:val="00144DE8"/>
    <w:rsid w:val="00147B1F"/>
    <w:rsid w:val="00155B29"/>
    <w:rsid w:val="001715FE"/>
    <w:rsid w:val="0017234D"/>
    <w:rsid w:val="001726E1"/>
    <w:rsid w:val="001777BF"/>
    <w:rsid w:val="001805F0"/>
    <w:rsid w:val="00180E40"/>
    <w:rsid w:val="001814EB"/>
    <w:rsid w:val="0018780D"/>
    <w:rsid w:val="00190D90"/>
    <w:rsid w:val="001921C7"/>
    <w:rsid w:val="00196E90"/>
    <w:rsid w:val="001A475B"/>
    <w:rsid w:val="001A6C69"/>
    <w:rsid w:val="001B3648"/>
    <w:rsid w:val="001C4602"/>
    <w:rsid w:val="001C51CA"/>
    <w:rsid w:val="001C6C4D"/>
    <w:rsid w:val="001D1025"/>
    <w:rsid w:val="001D27DD"/>
    <w:rsid w:val="001D4CB2"/>
    <w:rsid w:val="001D637D"/>
    <w:rsid w:val="001D6EC9"/>
    <w:rsid w:val="001D72D7"/>
    <w:rsid w:val="001D7CE2"/>
    <w:rsid w:val="001E6ABE"/>
    <w:rsid w:val="001E6F00"/>
    <w:rsid w:val="001F1ED0"/>
    <w:rsid w:val="001F25A0"/>
    <w:rsid w:val="001F2BFE"/>
    <w:rsid w:val="001F2EB1"/>
    <w:rsid w:val="001F5883"/>
    <w:rsid w:val="0020010F"/>
    <w:rsid w:val="00203388"/>
    <w:rsid w:val="00205F31"/>
    <w:rsid w:val="002067D6"/>
    <w:rsid w:val="00211395"/>
    <w:rsid w:val="00216049"/>
    <w:rsid w:val="00227B15"/>
    <w:rsid w:val="0023043B"/>
    <w:rsid w:val="00230523"/>
    <w:rsid w:val="00235ACF"/>
    <w:rsid w:val="0023798A"/>
    <w:rsid w:val="002423C4"/>
    <w:rsid w:val="00242791"/>
    <w:rsid w:val="0024339E"/>
    <w:rsid w:val="002436F0"/>
    <w:rsid w:val="00253B40"/>
    <w:rsid w:val="002542DE"/>
    <w:rsid w:val="00254EB8"/>
    <w:rsid w:val="002574DA"/>
    <w:rsid w:val="002577DB"/>
    <w:rsid w:val="002603D2"/>
    <w:rsid w:val="00261D11"/>
    <w:rsid w:val="002625F0"/>
    <w:rsid w:val="0026453E"/>
    <w:rsid w:val="00267147"/>
    <w:rsid w:val="0027309C"/>
    <w:rsid w:val="0028283C"/>
    <w:rsid w:val="00282A6E"/>
    <w:rsid w:val="00283B36"/>
    <w:rsid w:val="0028612D"/>
    <w:rsid w:val="00292DA6"/>
    <w:rsid w:val="002952FE"/>
    <w:rsid w:val="0029753D"/>
    <w:rsid w:val="00297942"/>
    <w:rsid w:val="002A3395"/>
    <w:rsid w:val="002B68BC"/>
    <w:rsid w:val="002C25D6"/>
    <w:rsid w:val="002C3EBE"/>
    <w:rsid w:val="002C5962"/>
    <w:rsid w:val="002C7A2D"/>
    <w:rsid w:val="002D0336"/>
    <w:rsid w:val="002D383A"/>
    <w:rsid w:val="002D384F"/>
    <w:rsid w:val="002D4BEC"/>
    <w:rsid w:val="002D514F"/>
    <w:rsid w:val="002D5ED4"/>
    <w:rsid w:val="002E0F95"/>
    <w:rsid w:val="002E1336"/>
    <w:rsid w:val="002E5311"/>
    <w:rsid w:val="002E6E66"/>
    <w:rsid w:val="002E760A"/>
    <w:rsid w:val="002F548D"/>
    <w:rsid w:val="002F6DF1"/>
    <w:rsid w:val="002F7044"/>
    <w:rsid w:val="003003F1"/>
    <w:rsid w:val="00300E7E"/>
    <w:rsid w:val="00305115"/>
    <w:rsid w:val="00312C18"/>
    <w:rsid w:val="00312F45"/>
    <w:rsid w:val="003167E8"/>
    <w:rsid w:val="00321203"/>
    <w:rsid w:val="003218A0"/>
    <w:rsid w:val="00326F45"/>
    <w:rsid w:val="003327E4"/>
    <w:rsid w:val="0033435B"/>
    <w:rsid w:val="0033702F"/>
    <w:rsid w:val="0033792F"/>
    <w:rsid w:val="00337F05"/>
    <w:rsid w:val="00340441"/>
    <w:rsid w:val="00341EAB"/>
    <w:rsid w:val="00342107"/>
    <w:rsid w:val="00342DF3"/>
    <w:rsid w:val="003457A1"/>
    <w:rsid w:val="00355EAF"/>
    <w:rsid w:val="00356829"/>
    <w:rsid w:val="00356AA1"/>
    <w:rsid w:val="00360443"/>
    <w:rsid w:val="00360C63"/>
    <w:rsid w:val="00364C47"/>
    <w:rsid w:val="00365DD3"/>
    <w:rsid w:val="00371FB7"/>
    <w:rsid w:val="00372985"/>
    <w:rsid w:val="003738F9"/>
    <w:rsid w:val="003752F6"/>
    <w:rsid w:val="00375E9F"/>
    <w:rsid w:val="00382210"/>
    <w:rsid w:val="00382E52"/>
    <w:rsid w:val="00383996"/>
    <w:rsid w:val="003873DC"/>
    <w:rsid w:val="00387D78"/>
    <w:rsid w:val="0039179E"/>
    <w:rsid w:val="003936EA"/>
    <w:rsid w:val="00396927"/>
    <w:rsid w:val="003A4225"/>
    <w:rsid w:val="003B04A3"/>
    <w:rsid w:val="003B29F7"/>
    <w:rsid w:val="003B2E3E"/>
    <w:rsid w:val="003B5EBA"/>
    <w:rsid w:val="003B788F"/>
    <w:rsid w:val="003C0EF4"/>
    <w:rsid w:val="003D5C19"/>
    <w:rsid w:val="003E1970"/>
    <w:rsid w:val="003E33D0"/>
    <w:rsid w:val="003E3F0D"/>
    <w:rsid w:val="003E4B46"/>
    <w:rsid w:val="003E62E1"/>
    <w:rsid w:val="003F089B"/>
    <w:rsid w:val="003F4504"/>
    <w:rsid w:val="003F5589"/>
    <w:rsid w:val="003F5A8B"/>
    <w:rsid w:val="0040235A"/>
    <w:rsid w:val="0040470C"/>
    <w:rsid w:val="00404AE4"/>
    <w:rsid w:val="004050ED"/>
    <w:rsid w:val="00405F1F"/>
    <w:rsid w:val="00413C75"/>
    <w:rsid w:val="00415728"/>
    <w:rsid w:val="0042126A"/>
    <w:rsid w:val="00421993"/>
    <w:rsid w:val="00430DD1"/>
    <w:rsid w:val="00435AF0"/>
    <w:rsid w:val="0044018E"/>
    <w:rsid w:val="00440658"/>
    <w:rsid w:val="004545BA"/>
    <w:rsid w:val="004634E7"/>
    <w:rsid w:val="004640F8"/>
    <w:rsid w:val="00466C1A"/>
    <w:rsid w:val="004679F2"/>
    <w:rsid w:val="0047156E"/>
    <w:rsid w:val="004746AC"/>
    <w:rsid w:val="004746E9"/>
    <w:rsid w:val="004801AE"/>
    <w:rsid w:val="004829A1"/>
    <w:rsid w:val="00484EE4"/>
    <w:rsid w:val="004851C5"/>
    <w:rsid w:val="00493E5F"/>
    <w:rsid w:val="004A2043"/>
    <w:rsid w:val="004A25C2"/>
    <w:rsid w:val="004A3D9A"/>
    <w:rsid w:val="004A6FC3"/>
    <w:rsid w:val="004B1618"/>
    <w:rsid w:val="004B17BE"/>
    <w:rsid w:val="004B2DD4"/>
    <w:rsid w:val="004B6825"/>
    <w:rsid w:val="004C0A5E"/>
    <w:rsid w:val="004C32CE"/>
    <w:rsid w:val="004C6493"/>
    <w:rsid w:val="004D1740"/>
    <w:rsid w:val="004D49FB"/>
    <w:rsid w:val="004D4C14"/>
    <w:rsid w:val="004D4E8F"/>
    <w:rsid w:val="004D5A21"/>
    <w:rsid w:val="004E5B3F"/>
    <w:rsid w:val="004E768A"/>
    <w:rsid w:val="004F0B5A"/>
    <w:rsid w:val="004F0D84"/>
    <w:rsid w:val="004F193A"/>
    <w:rsid w:val="004F4AEB"/>
    <w:rsid w:val="005014C6"/>
    <w:rsid w:val="00502EF0"/>
    <w:rsid w:val="00504471"/>
    <w:rsid w:val="00504B6B"/>
    <w:rsid w:val="00505844"/>
    <w:rsid w:val="00505F58"/>
    <w:rsid w:val="00506601"/>
    <w:rsid w:val="005071CC"/>
    <w:rsid w:val="005075C0"/>
    <w:rsid w:val="00510F34"/>
    <w:rsid w:val="00512193"/>
    <w:rsid w:val="00513691"/>
    <w:rsid w:val="005209D0"/>
    <w:rsid w:val="00521F59"/>
    <w:rsid w:val="00522885"/>
    <w:rsid w:val="00524273"/>
    <w:rsid w:val="00527160"/>
    <w:rsid w:val="00531A44"/>
    <w:rsid w:val="005366AC"/>
    <w:rsid w:val="005369B7"/>
    <w:rsid w:val="00542430"/>
    <w:rsid w:val="005473F9"/>
    <w:rsid w:val="00550A1E"/>
    <w:rsid w:val="005543F4"/>
    <w:rsid w:val="00555999"/>
    <w:rsid w:val="00555D90"/>
    <w:rsid w:val="005574ED"/>
    <w:rsid w:val="00557F1F"/>
    <w:rsid w:val="00560254"/>
    <w:rsid w:val="00562BDC"/>
    <w:rsid w:val="00563659"/>
    <w:rsid w:val="0056559D"/>
    <w:rsid w:val="00567C34"/>
    <w:rsid w:val="00570696"/>
    <w:rsid w:val="00574A04"/>
    <w:rsid w:val="005753B6"/>
    <w:rsid w:val="00581416"/>
    <w:rsid w:val="00583359"/>
    <w:rsid w:val="00584302"/>
    <w:rsid w:val="005857F1"/>
    <w:rsid w:val="00586334"/>
    <w:rsid w:val="005903F8"/>
    <w:rsid w:val="0059066C"/>
    <w:rsid w:val="00590A0F"/>
    <w:rsid w:val="00592005"/>
    <w:rsid w:val="00593F40"/>
    <w:rsid w:val="00594A43"/>
    <w:rsid w:val="00597984"/>
    <w:rsid w:val="005B14CC"/>
    <w:rsid w:val="005B5FC1"/>
    <w:rsid w:val="005C3887"/>
    <w:rsid w:val="005C3E1E"/>
    <w:rsid w:val="005C44F6"/>
    <w:rsid w:val="005D1199"/>
    <w:rsid w:val="005D11C4"/>
    <w:rsid w:val="005D260B"/>
    <w:rsid w:val="005D5FEE"/>
    <w:rsid w:val="005E36FD"/>
    <w:rsid w:val="005E38D9"/>
    <w:rsid w:val="005E56B5"/>
    <w:rsid w:val="005E5931"/>
    <w:rsid w:val="005E7462"/>
    <w:rsid w:val="005F3AB9"/>
    <w:rsid w:val="005F71BB"/>
    <w:rsid w:val="00602478"/>
    <w:rsid w:val="00622F87"/>
    <w:rsid w:val="006236DE"/>
    <w:rsid w:val="00634024"/>
    <w:rsid w:val="006368B3"/>
    <w:rsid w:val="006376FA"/>
    <w:rsid w:val="00645771"/>
    <w:rsid w:val="0064650B"/>
    <w:rsid w:val="00656B46"/>
    <w:rsid w:val="0065746C"/>
    <w:rsid w:val="006605BE"/>
    <w:rsid w:val="006629CD"/>
    <w:rsid w:val="00662A67"/>
    <w:rsid w:val="0066301F"/>
    <w:rsid w:val="00663F93"/>
    <w:rsid w:val="006732CE"/>
    <w:rsid w:val="00673572"/>
    <w:rsid w:val="00673F9C"/>
    <w:rsid w:val="00674287"/>
    <w:rsid w:val="006809BC"/>
    <w:rsid w:val="00681647"/>
    <w:rsid w:val="006833AD"/>
    <w:rsid w:val="00683454"/>
    <w:rsid w:val="006927BA"/>
    <w:rsid w:val="00694086"/>
    <w:rsid w:val="006976C6"/>
    <w:rsid w:val="006A47B6"/>
    <w:rsid w:val="006B0EF2"/>
    <w:rsid w:val="006B482C"/>
    <w:rsid w:val="006B6E36"/>
    <w:rsid w:val="006C0367"/>
    <w:rsid w:val="006C19EF"/>
    <w:rsid w:val="006C3A04"/>
    <w:rsid w:val="006C56CA"/>
    <w:rsid w:val="006C7EF0"/>
    <w:rsid w:val="006D57F0"/>
    <w:rsid w:val="006D73B3"/>
    <w:rsid w:val="006E3B66"/>
    <w:rsid w:val="006E54E1"/>
    <w:rsid w:val="006F2927"/>
    <w:rsid w:val="006F41F5"/>
    <w:rsid w:val="007029F0"/>
    <w:rsid w:val="007032B9"/>
    <w:rsid w:val="0070427F"/>
    <w:rsid w:val="00705F7A"/>
    <w:rsid w:val="00706393"/>
    <w:rsid w:val="00706CE8"/>
    <w:rsid w:val="00712BB9"/>
    <w:rsid w:val="00716D3B"/>
    <w:rsid w:val="0071758B"/>
    <w:rsid w:val="007336AF"/>
    <w:rsid w:val="00744D21"/>
    <w:rsid w:val="007526E8"/>
    <w:rsid w:val="007551BF"/>
    <w:rsid w:val="00757044"/>
    <w:rsid w:val="00760230"/>
    <w:rsid w:val="007625EA"/>
    <w:rsid w:val="0076715C"/>
    <w:rsid w:val="00770FD6"/>
    <w:rsid w:val="007714D1"/>
    <w:rsid w:val="007724D8"/>
    <w:rsid w:val="00773884"/>
    <w:rsid w:val="00775560"/>
    <w:rsid w:val="007756F0"/>
    <w:rsid w:val="00775C7A"/>
    <w:rsid w:val="00776A76"/>
    <w:rsid w:val="00777588"/>
    <w:rsid w:val="00777E9F"/>
    <w:rsid w:val="00782AE2"/>
    <w:rsid w:val="0078477D"/>
    <w:rsid w:val="00786FD6"/>
    <w:rsid w:val="00787B56"/>
    <w:rsid w:val="00787F01"/>
    <w:rsid w:val="007A0969"/>
    <w:rsid w:val="007A137C"/>
    <w:rsid w:val="007B0D9D"/>
    <w:rsid w:val="007C0615"/>
    <w:rsid w:val="007C1DAF"/>
    <w:rsid w:val="007C2948"/>
    <w:rsid w:val="007D2EB4"/>
    <w:rsid w:val="007D5F0C"/>
    <w:rsid w:val="007D78C1"/>
    <w:rsid w:val="007E4696"/>
    <w:rsid w:val="007E5D99"/>
    <w:rsid w:val="007F0DB4"/>
    <w:rsid w:val="007F33C6"/>
    <w:rsid w:val="007F36C7"/>
    <w:rsid w:val="007F3EA8"/>
    <w:rsid w:val="007F586B"/>
    <w:rsid w:val="007F60E2"/>
    <w:rsid w:val="0080010E"/>
    <w:rsid w:val="00807A4C"/>
    <w:rsid w:val="00813502"/>
    <w:rsid w:val="00815FA3"/>
    <w:rsid w:val="00816AD3"/>
    <w:rsid w:val="0083732E"/>
    <w:rsid w:val="00842F5C"/>
    <w:rsid w:val="008463E8"/>
    <w:rsid w:val="008531F3"/>
    <w:rsid w:val="008558DA"/>
    <w:rsid w:val="008637AD"/>
    <w:rsid w:val="008643F7"/>
    <w:rsid w:val="00865D52"/>
    <w:rsid w:val="00871E45"/>
    <w:rsid w:val="00872E78"/>
    <w:rsid w:val="00881A9B"/>
    <w:rsid w:val="00882C84"/>
    <w:rsid w:val="0088689A"/>
    <w:rsid w:val="008875ED"/>
    <w:rsid w:val="00893175"/>
    <w:rsid w:val="008A37E7"/>
    <w:rsid w:val="008A580C"/>
    <w:rsid w:val="008A6E8A"/>
    <w:rsid w:val="008B07AE"/>
    <w:rsid w:val="008B42E5"/>
    <w:rsid w:val="008B5A84"/>
    <w:rsid w:val="008B7F81"/>
    <w:rsid w:val="008C54AD"/>
    <w:rsid w:val="008C721F"/>
    <w:rsid w:val="008D7C4E"/>
    <w:rsid w:val="008E257E"/>
    <w:rsid w:val="008F034C"/>
    <w:rsid w:val="008F510F"/>
    <w:rsid w:val="008F6541"/>
    <w:rsid w:val="00902B63"/>
    <w:rsid w:val="00903DA0"/>
    <w:rsid w:val="009060D9"/>
    <w:rsid w:val="009061AB"/>
    <w:rsid w:val="00910702"/>
    <w:rsid w:val="00911D60"/>
    <w:rsid w:val="0092025D"/>
    <w:rsid w:val="00925795"/>
    <w:rsid w:val="0092626B"/>
    <w:rsid w:val="00930305"/>
    <w:rsid w:val="00933CA9"/>
    <w:rsid w:val="0093665C"/>
    <w:rsid w:val="0093768E"/>
    <w:rsid w:val="00940951"/>
    <w:rsid w:val="00941796"/>
    <w:rsid w:val="00945873"/>
    <w:rsid w:val="00946F5C"/>
    <w:rsid w:val="00947813"/>
    <w:rsid w:val="00957BB7"/>
    <w:rsid w:val="00960499"/>
    <w:rsid w:val="0096154B"/>
    <w:rsid w:val="00962E09"/>
    <w:rsid w:val="00965D4E"/>
    <w:rsid w:val="0096605E"/>
    <w:rsid w:val="00966BA5"/>
    <w:rsid w:val="0096742A"/>
    <w:rsid w:val="00970D28"/>
    <w:rsid w:val="0097431E"/>
    <w:rsid w:val="009760DA"/>
    <w:rsid w:val="00987F1A"/>
    <w:rsid w:val="00994E5A"/>
    <w:rsid w:val="009A14CB"/>
    <w:rsid w:val="009A2C0F"/>
    <w:rsid w:val="009A3D0E"/>
    <w:rsid w:val="009A46A5"/>
    <w:rsid w:val="009B259F"/>
    <w:rsid w:val="009B3434"/>
    <w:rsid w:val="009B5796"/>
    <w:rsid w:val="009C1664"/>
    <w:rsid w:val="009C3CFA"/>
    <w:rsid w:val="009C403C"/>
    <w:rsid w:val="009C5858"/>
    <w:rsid w:val="009C741A"/>
    <w:rsid w:val="009D1E94"/>
    <w:rsid w:val="009D6729"/>
    <w:rsid w:val="009E7AA3"/>
    <w:rsid w:val="009F3229"/>
    <w:rsid w:val="009F6958"/>
    <w:rsid w:val="00A01871"/>
    <w:rsid w:val="00A02D81"/>
    <w:rsid w:val="00A0360F"/>
    <w:rsid w:val="00A06BA7"/>
    <w:rsid w:val="00A10A89"/>
    <w:rsid w:val="00A10DE9"/>
    <w:rsid w:val="00A12D80"/>
    <w:rsid w:val="00A24D44"/>
    <w:rsid w:val="00A27C05"/>
    <w:rsid w:val="00A3460C"/>
    <w:rsid w:val="00A35E63"/>
    <w:rsid w:val="00A3736E"/>
    <w:rsid w:val="00A429E6"/>
    <w:rsid w:val="00A4669D"/>
    <w:rsid w:val="00A5067F"/>
    <w:rsid w:val="00A508C0"/>
    <w:rsid w:val="00A53A5A"/>
    <w:rsid w:val="00A57F91"/>
    <w:rsid w:val="00A60076"/>
    <w:rsid w:val="00A62EFE"/>
    <w:rsid w:val="00A6370F"/>
    <w:rsid w:val="00A63FF5"/>
    <w:rsid w:val="00A678E3"/>
    <w:rsid w:val="00A70FC7"/>
    <w:rsid w:val="00A716D0"/>
    <w:rsid w:val="00A71DE5"/>
    <w:rsid w:val="00A72516"/>
    <w:rsid w:val="00A7469C"/>
    <w:rsid w:val="00A767C3"/>
    <w:rsid w:val="00A805A2"/>
    <w:rsid w:val="00A82790"/>
    <w:rsid w:val="00A83E9A"/>
    <w:rsid w:val="00A846C5"/>
    <w:rsid w:val="00A85692"/>
    <w:rsid w:val="00A902C4"/>
    <w:rsid w:val="00A9042B"/>
    <w:rsid w:val="00AA269D"/>
    <w:rsid w:val="00AA4FD5"/>
    <w:rsid w:val="00AA5056"/>
    <w:rsid w:val="00AA69CF"/>
    <w:rsid w:val="00AB11F3"/>
    <w:rsid w:val="00AB240B"/>
    <w:rsid w:val="00AB2500"/>
    <w:rsid w:val="00AC00DF"/>
    <w:rsid w:val="00AC5786"/>
    <w:rsid w:val="00AC5B84"/>
    <w:rsid w:val="00AC6389"/>
    <w:rsid w:val="00AC7E1D"/>
    <w:rsid w:val="00AD0E72"/>
    <w:rsid w:val="00AD1269"/>
    <w:rsid w:val="00AD18C7"/>
    <w:rsid w:val="00AD60BE"/>
    <w:rsid w:val="00AE0811"/>
    <w:rsid w:val="00AE4A13"/>
    <w:rsid w:val="00AE6C77"/>
    <w:rsid w:val="00AF1B1D"/>
    <w:rsid w:val="00AF21E1"/>
    <w:rsid w:val="00AF35EF"/>
    <w:rsid w:val="00B021CF"/>
    <w:rsid w:val="00B035DE"/>
    <w:rsid w:val="00B066BA"/>
    <w:rsid w:val="00B07B2A"/>
    <w:rsid w:val="00B10342"/>
    <w:rsid w:val="00B1071C"/>
    <w:rsid w:val="00B12EA6"/>
    <w:rsid w:val="00B24783"/>
    <w:rsid w:val="00B25A7C"/>
    <w:rsid w:val="00B26241"/>
    <w:rsid w:val="00B314D9"/>
    <w:rsid w:val="00B34CA7"/>
    <w:rsid w:val="00B406C0"/>
    <w:rsid w:val="00B407DE"/>
    <w:rsid w:val="00B5273E"/>
    <w:rsid w:val="00B54953"/>
    <w:rsid w:val="00B56211"/>
    <w:rsid w:val="00B57CB7"/>
    <w:rsid w:val="00B65900"/>
    <w:rsid w:val="00B672B6"/>
    <w:rsid w:val="00B67A6B"/>
    <w:rsid w:val="00B8138E"/>
    <w:rsid w:val="00B83BDB"/>
    <w:rsid w:val="00B84C49"/>
    <w:rsid w:val="00B8532E"/>
    <w:rsid w:val="00B94226"/>
    <w:rsid w:val="00BA04AA"/>
    <w:rsid w:val="00BA089B"/>
    <w:rsid w:val="00BA3C7D"/>
    <w:rsid w:val="00BA4573"/>
    <w:rsid w:val="00BB00AE"/>
    <w:rsid w:val="00BB0CAC"/>
    <w:rsid w:val="00BB138A"/>
    <w:rsid w:val="00BB657F"/>
    <w:rsid w:val="00BC0D60"/>
    <w:rsid w:val="00BC30A3"/>
    <w:rsid w:val="00BC4D73"/>
    <w:rsid w:val="00BC5933"/>
    <w:rsid w:val="00BC6182"/>
    <w:rsid w:val="00BD1308"/>
    <w:rsid w:val="00BD6E0D"/>
    <w:rsid w:val="00BD7C10"/>
    <w:rsid w:val="00BE316E"/>
    <w:rsid w:val="00BE3A45"/>
    <w:rsid w:val="00BE4094"/>
    <w:rsid w:val="00BF3DE8"/>
    <w:rsid w:val="00C0086A"/>
    <w:rsid w:val="00C012FB"/>
    <w:rsid w:val="00C05899"/>
    <w:rsid w:val="00C05DE8"/>
    <w:rsid w:val="00C0794F"/>
    <w:rsid w:val="00C119BF"/>
    <w:rsid w:val="00C132F2"/>
    <w:rsid w:val="00C1408C"/>
    <w:rsid w:val="00C15A7B"/>
    <w:rsid w:val="00C22B6C"/>
    <w:rsid w:val="00C33A59"/>
    <w:rsid w:val="00C344B7"/>
    <w:rsid w:val="00C34941"/>
    <w:rsid w:val="00C36314"/>
    <w:rsid w:val="00C44545"/>
    <w:rsid w:val="00C44783"/>
    <w:rsid w:val="00C4590F"/>
    <w:rsid w:val="00C47EEB"/>
    <w:rsid w:val="00C514FF"/>
    <w:rsid w:val="00C52D51"/>
    <w:rsid w:val="00C60691"/>
    <w:rsid w:val="00C60AD8"/>
    <w:rsid w:val="00C62858"/>
    <w:rsid w:val="00C65C5B"/>
    <w:rsid w:val="00C66872"/>
    <w:rsid w:val="00C7005E"/>
    <w:rsid w:val="00C736C2"/>
    <w:rsid w:val="00C75125"/>
    <w:rsid w:val="00C80172"/>
    <w:rsid w:val="00C86D19"/>
    <w:rsid w:val="00C915C3"/>
    <w:rsid w:val="00C92B44"/>
    <w:rsid w:val="00C976AB"/>
    <w:rsid w:val="00CA45AB"/>
    <w:rsid w:val="00CA4FED"/>
    <w:rsid w:val="00CA52F9"/>
    <w:rsid w:val="00CB047D"/>
    <w:rsid w:val="00CB18F3"/>
    <w:rsid w:val="00CB4D4B"/>
    <w:rsid w:val="00CB5DC0"/>
    <w:rsid w:val="00CC3818"/>
    <w:rsid w:val="00CD2A5A"/>
    <w:rsid w:val="00CE0FDA"/>
    <w:rsid w:val="00CE1DF0"/>
    <w:rsid w:val="00CF0B01"/>
    <w:rsid w:val="00CF2A7A"/>
    <w:rsid w:val="00CF76F1"/>
    <w:rsid w:val="00D00EC4"/>
    <w:rsid w:val="00D05733"/>
    <w:rsid w:val="00D07B64"/>
    <w:rsid w:val="00D100B5"/>
    <w:rsid w:val="00D12CAE"/>
    <w:rsid w:val="00D166EB"/>
    <w:rsid w:val="00D16F9F"/>
    <w:rsid w:val="00D202D1"/>
    <w:rsid w:val="00D20C89"/>
    <w:rsid w:val="00D25948"/>
    <w:rsid w:val="00D27DD9"/>
    <w:rsid w:val="00D30A78"/>
    <w:rsid w:val="00D3212B"/>
    <w:rsid w:val="00D35CF0"/>
    <w:rsid w:val="00D36236"/>
    <w:rsid w:val="00D403DF"/>
    <w:rsid w:val="00D42AB4"/>
    <w:rsid w:val="00D47702"/>
    <w:rsid w:val="00D47EA2"/>
    <w:rsid w:val="00D50407"/>
    <w:rsid w:val="00D512CF"/>
    <w:rsid w:val="00D52D91"/>
    <w:rsid w:val="00D57E97"/>
    <w:rsid w:val="00D651FF"/>
    <w:rsid w:val="00D71834"/>
    <w:rsid w:val="00D723C7"/>
    <w:rsid w:val="00D73E95"/>
    <w:rsid w:val="00D83A59"/>
    <w:rsid w:val="00D84906"/>
    <w:rsid w:val="00D862CD"/>
    <w:rsid w:val="00D87D93"/>
    <w:rsid w:val="00D902A3"/>
    <w:rsid w:val="00D90B05"/>
    <w:rsid w:val="00D9317C"/>
    <w:rsid w:val="00DA00D1"/>
    <w:rsid w:val="00DB47B0"/>
    <w:rsid w:val="00DD5674"/>
    <w:rsid w:val="00DE1044"/>
    <w:rsid w:val="00DE134A"/>
    <w:rsid w:val="00DE26AD"/>
    <w:rsid w:val="00DE6036"/>
    <w:rsid w:val="00DF1465"/>
    <w:rsid w:val="00DF4E46"/>
    <w:rsid w:val="00DF59F1"/>
    <w:rsid w:val="00E02277"/>
    <w:rsid w:val="00E02ECF"/>
    <w:rsid w:val="00E0726A"/>
    <w:rsid w:val="00E07E9C"/>
    <w:rsid w:val="00E10DF1"/>
    <w:rsid w:val="00E129D8"/>
    <w:rsid w:val="00E14EF5"/>
    <w:rsid w:val="00E1646B"/>
    <w:rsid w:val="00E20A5F"/>
    <w:rsid w:val="00E332A7"/>
    <w:rsid w:val="00E34FC9"/>
    <w:rsid w:val="00E35A3A"/>
    <w:rsid w:val="00E41B20"/>
    <w:rsid w:val="00E57D84"/>
    <w:rsid w:val="00E60B29"/>
    <w:rsid w:val="00E617AF"/>
    <w:rsid w:val="00E635C0"/>
    <w:rsid w:val="00E63E55"/>
    <w:rsid w:val="00E66218"/>
    <w:rsid w:val="00E66FEF"/>
    <w:rsid w:val="00E738F2"/>
    <w:rsid w:val="00E77ECD"/>
    <w:rsid w:val="00E77EE9"/>
    <w:rsid w:val="00E82272"/>
    <w:rsid w:val="00E83F17"/>
    <w:rsid w:val="00E844CC"/>
    <w:rsid w:val="00E85908"/>
    <w:rsid w:val="00E926B9"/>
    <w:rsid w:val="00E92FF8"/>
    <w:rsid w:val="00E96D2C"/>
    <w:rsid w:val="00EA4567"/>
    <w:rsid w:val="00EA5C11"/>
    <w:rsid w:val="00EA6BF6"/>
    <w:rsid w:val="00EA73F1"/>
    <w:rsid w:val="00EA7674"/>
    <w:rsid w:val="00EB199F"/>
    <w:rsid w:val="00EB46F2"/>
    <w:rsid w:val="00EB51A0"/>
    <w:rsid w:val="00EC1CB3"/>
    <w:rsid w:val="00EC306E"/>
    <w:rsid w:val="00EC3663"/>
    <w:rsid w:val="00EC5E97"/>
    <w:rsid w:val="00ED7404"/>
    <w:rsid w:val="00EE6E8E"/>
    <w:rsid w:val="00EF49D7"/>
    <w:rsid w:val="00EF5008"/>
    <w:rsid w:val="00EF60A4"/>
    <w:rsid w:val="00F11E99"/>
    <w:rsid w:val="00F134F4"/>
    <w:rsid w:val="00F1582F"/>
    <w:rsid w:val="00F24E63"/>
    <w:rsid w:val="00F40691"/>
    <w:rsid w:val="00F427D0"/>
    <w:rsid w:val="00F42B70"/>
    <w:rsid w:val="00F44449"/>
    <w:rsid w:val="00F463E5"/>
    <w:rsid w:val="00F4711E"/>
    <w:rsid w:val="00F478BE"/>
    <w:rsid w:val="00F50E30"/>
    <w:rsid w:val="00F51593"/>
    <w:rsid w:val="00F517EA"/>
    <w:rsid w:val="00F5390C"/>
    <w:rsid w:val="00F57FBD"/>
    <w:rsid w:val="00F72C46"/>
    <w:rsid w:val="00F73A8F"/>
    <w:rsid w:val="00F779BF"/>
    <w:rsid w:val="00F80D50"/>
    <w:rsid w:val="00F82625"/>
    <w:rsid w:val="00F87FC6"/>
    <w:rsid w:val="00F91612"/>
    <w:rsid w:val="00F9562E"/>
    <w:rsid w:val="00FA26C0"/>
    <w:rsid w:val="00FA27FB"/>
    <w:rsid w:val="00FB0623"/>
    <w:rsid w:val="00FB092E"/>
    <w:rsid w:val="00FB0FA4"/>
    <w:rsid w:val="00FB582A"/>
    <w:rsid w:val="00FC4962"/>
    <w:rsid w:val="00FC5AE9"/>
    <w:rsid w:val="00FD6258"/>
    <w:rsid w:val="00FE1148"/>
    <w:rsid w:val="00FE3C90"/>
    <w:rsid w:val="00FE5D44"/>
    <w:rsid w:val="00FE7308"/>
    <w:rsid w:val="00FF02B4"/>
    <w:rsid w:val="00FF1C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E8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621"/>
  </w:style>
  <w:style w:type="paragraph" w:styleId="Heading1">
    <w:name w:val="heading 1"/>
    <w:basedOn w:val="Normal"/>
    <w:next w:val="Normal"/>
    <w:link w:val="Heading1Char"/>
    <w:uiPriority w:val="9"/>
    <w:qFormat/>
    <w:rsid w:val="003E33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33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7D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57D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CV text,Table text,List Paragraph2,ADB List Paragraph"/>
    <w:basedOn w:val="Normal"/>
    <w:link w:val="ListParagraphChar"/>
    <w:uiPriority w:val="34"/>
    <w:qFormat/>
    <w:rsid w:val="00A12D80"/>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List Paragraph1 Char,Recommendation Char,List Paragraph11 Char,L Char,CV text Char,Table text Char,List Paragraph2 Char,ADB List Paragraph Char"/>
    <w:link w:val="ListParagraph"/>
    <w:locked/>
    <w:rsid w:val="00A12D8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16049"/>
    <w:rPr>
      <w:sz w:val="16"/>
      <w:szCs w:val="16"/>
    </w:rPr>
  </w:style>
  <w:style w:type="paragraph" w:styleId="CommentText">
    <w:name w:val="annotation text"/>
    <w:basedOn w:val="Normal"/>
    <w:link w:val="CommentTextChar"/>
    <w:uiPriority w:val="99"/>
    <w:unhideWhenUsed/>
    <w:rsid w:val="00216049"/>
    <w:pPr>
      <w:spacing w:line="240" w:lineRule="auto"/>
    </w:pPr>
    <w:rPr>
      <w:sz w:val="20"/>
      <w:szCs w:val="20"/>
    </w:rPr>
  </w:style>
  <w:style w:type="character" w:customStyle="1" w:styleId="CommentTextChar">
    <w:name w:val="Comment Text Char"/>
    <w:basedOn w:val="DefaultParagraphFont"/>
    <w:link w:val="CommentText"/>
    <w:uiPriority w:val="99"/>
    <w:rsid w:val="00216049"/>
    <w:rPr>
      <w:sz w:val="20"/>
      <w:szCs w:val="20"/>
    </w:rPr>
  </w:style>
  <w:style w:type="paragraph" w:styleId="CommentSubject">
    <w:name w:val="annotation subject"/>
    <w:basedOn w:val="CommentText"/>
    <w:next w:val="CommentText"/>
    <w:link w:val="CommentSubjectChar"/>
    <w:uiPriority w:val="99"/>
    <w:semiHidden/>
    <w:unhideWhenUsed/>
    <w:rsid w:val="00216049"/>
    <w:rPr>
      <w:b/>
      <w:bCs/>
    </w:rPr>
  </w:style>
  <w:style w:type="character" w:customStyle="1" w:styleId="CommentSubjectChar">
    <w:name w:val="Comment Subject Char"/>
    <w:basedOn w:val="CommentTextChar"/>
    <w:link w:val="CommentSubject"/>
    <w:uiPriority w:val="99"/>
    <w:semiHidden/>
    <w:rsid w:val="00216049"/>
    <w:rPr>
      <w:b/>
      <w:bCs/>
      <w:sz w:val="20"/>
      <w:szCs w:val="20"/>
    </w:rPr>
  </w:style>
  <w:style w:type="paragraph" w:styleId="BalloonText">
    <w:name w:val="Balloon Text"/>
    <w:basedOn w:val="Normal"/>
    <w:link w:val="BalloonTextChar"/>
    <w:uiPriority w:val="99"/>
    <w:semiHidden/>
    <w:unhideWhenUsed/>
    <w:rsid w:val="00216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049"/>
    <w:rPr>
      <w:rFonts w:ascii="Tahoma" w:hAnsi="Tahoma" w:cs="Tahoma"/>
      <w:sz w:val="16"/>
      <w:szCs w:val="16"/>
    </w:rPr>
  </w:style>
  <w:style w:type="paragraph" w:styleId="FootnoteText">
    <w:name w:val="footnote text"/>
    <w:aliases w:val="Texto nota pie Car Car Car,FOOTNOTES,fn,single space,Footnote Text Char Char Char,Footnote Text1 Char,Footnote Text2,Footnote Text Char Char Char1 Char,Footnote Text Char Char Char1,ft,ADB,Footnote Text Ch,Geneva 9,f,footnote text,Fußnote"/>
    <w:basedOn w:val="Normal"/>
    <w:link w:val="FootnoteTextChar"/>
    <w:uiPriority w:val="99"/>
    <w:unhideWhenUsed/>
    <w:qFormat/>
    <w:rsid w:val="00594A43"/>
    <w:pPr>
      <w:spacing w:after="0" w:line="240" w:lineRule="auto"/>
    </w:pPr>
    <w:rPr>
      <w:rFonts w:ascii="Calibri" w:eastAsia="Calibri" w:hAnsi="Calibri" w:cs="Times New Roman"/>
      <w:color w:val="000000"/>
      <w:sz w:val="20"/>
      <w:szCs w:val="20"/>
      <w:lang w:val="en-US"/>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uiPriority w:val="99"/>
    <w:rsid w:val="00594A43"/>
    <w:rPr>
      <w:rFonts w:ascii="Calibri" w:eastAsia="Calibri" w:hAnsi="Calibri" w:cs="Times New Roman"/>
      <w:color w:val="000000"/>
      <w:sz w:val="20"/>
      <w:szCs w:val="20"/>
      <w:lang w:val="en-US"/>
    </w:rPr>
  </w:style>
  <w:style w:type="character" w:styleId="FootnoteReference">
    <w:name w:val="footnote reference"/>
    <w:aliases w:val="BVI fnr,ftref,16 Point,Superscript 6 Point,Footnotes refss, Char Char,ASI Footer,BVI fnr Char Char Char Char Char Char1,BVI fnr Car Car Char Char Char Char Char Char,BVI fnr Car Char Char Char Char Char Char,FnR-ANZDEC,de nota al pie"/>
    <w:basedOn w:val="DefaultParagraphFont"/>
    <w:link w:val="BVIfnrCharCharCharCharChar"/>
    <w:uiPriority w:val="99"/>
    <w:unhideWhenUsed/>
    <w:rsid w:val="00360443"/>
    <w:rPr>
      <w:vertAlign w:val="superscript"/>
    </w:rPr>
  </w:style>
  <w:style w:type="paragraph" w:customStyle="1" w:styleId="BVIfnrCharCharCharCharChar">
    <w:name w:val="BVI fnr Char Char Char Char Char"/>
    <w:aliases w:val="BVI fnr Car Car Char Char Char Char Char,BVI fnr Car Char Char Char Char Char,BVI fnr Car Car Car Car Char Char Char1 Char Char Char,BVI fnr Char Char Char Char Char Char Char Char"/>
    <w:basedOn w:val="Normal"/>
    <w:link w:val="FootnoteReference"/>
    <w:rsid w:val="00360443"/>
    <w:pPr>
      <w:spacing w:after="160" w:line="240" w:lineRule="exact"/>
    </w:pPr>
    <w:rPr>
      <w:vertAlign w:val="superscript"/>
    </w:rPr>
  </w:style>
  <w:style w:type="paragraph" w:styleId="NormalWeb">
    <w:name w:val="Normal (Web)"/>
    <w:basedOn w:val="Normal"/>
    <w:uiPriority w:val="99"/>
    <w:unhideWhenUsed/>
    <w:rsid w:val="003212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A269D"/>
    <w:pPr>
      <w:autoSpaceDE w:val="0"/>
      <w:autoSpaceDN w:val="0"/>
      <w:adjustRightInd w:val="0"/>
      <w:spacing w:after="0" w:line="240" w:lineRule="auto"/>
    </w:pPr>
    <w:rPr>
      <w:rFonts w:ascii="Calibri" w:hAnsi="Calibri" w:cs="Calibri"/>
      <w:color w:val="000000"/>
      <w:sz w:val="24"/>
      <w:szCs w:val="24"/>
      <w:lang w:val="en-US"/>
    </w:rPr>
  </w:style>
  <w:style w:type="paragraph" w:customStyle="1" w:styleId="Char2">
    <w:name w:val="Char2"/>
    <w:basedOn w:val="Normal"/>
    <w:rsid w:val="005473F9"/>
    <w:pPr>
      <w:spacing w:after="160" w:line="240" w:lineRule="exact"/>
    </w:pPr>
    <w:rPr>
      <w:vertAlign w:val="superscript"/>
      <w:lang w:val="en-US" w:bidi="en-US"/>
    </w:rPr>
  </w:style>
  <w:style w:type="paragraph" w:styleId="Title">
    <w:name w:val="Title"/>
    <w:basedOn w:val="Normal"/>
    <w:next w:val="Normal"/>
    <w:link w:val="TitleChar"/>
    <w:uiPriority w:val="10"/>
    <w:qFormat/>
    <w:rsid w:val="00AD18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18C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E33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33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7D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57D84"/>
    <w:rPr>
      <w:rFonts w:asciiTheme="majorHAnsi" w:eastAsiaTheme="majorEastAsia" w:hAnsiTheme="majorHAnsi" w:cstheme="majorBidi"/>
      <w:b/>
      <w:bCs/>
      <w:i/>
      <w:iCs/>
      <w:color w:val="4F81BD" w:themeColor="accent1"/>
    </w:rPr>
  </w:style>
  <w:style w:type="character" w:styleId="Strong">
    <w:name w:val="Strong"/>
    <w:uiPriority w:val="22"/>
    <w:qFormat/>
    <w:rsid w:val="00673572"/>
    <w:rPr>
      <w:b/>
      <w:bCs/>
    </w:rPr>
  </w:style>
  <w:style w:type="character" w:customStyle="1" w:styleId="apple-converted-space">
    <w:name w:val="apple-converted-space"/>
    <w:basedOn w:val="DefaultParagraphFont"/>
    <w:rsid w:val="00090285"/>
  </w:style>
  <w:style w:type="character" w:styleId="Hyperlink">
    <w:name w:val="Hyperlink"/>
    <w:basedOn w:val="DefaultParagraphFont"/>
    <w:uiPriority w:val="99"/>
    <w:unhideWhenUsed/>
    <w:rsid w:val="00020275"/>
    <w:rPr>
      <w:color w:val="0000FF" w:themeColor="hyperlink"/>
      <w:u w:val="single"/>
    </w:rPr>
  </w:style>
  <w:style w:type="paragraph" w:styleId="NoSpacing">
    <w:name w:val="No Spacing"/>
    <w:link w:val="NoSpacingChar"/>
    <w:uiPriority w:val="1"/>
    <w:qFormat/>
    <w:rsid w:val="00A0360F"/>
    <w:pPr>
      <w:spacing w:after="0" w:line="240" w:lineRule="auto"/>
    </w:pPr>
    <w:rPr>
      <w:rFonts w:ascii="Calibri" w:eastAsia="Calibri" w:hAnsi="Calibri" w:cs="Times New Roman"/>
      <w:lang w:val="en-IE"/>
    </w:rPr>
  </w:style>
  <w:style w:type="paragraph" w:styleId="Quote">
    <w:name w:val="Quote"/>
    <w:basedOn w:val="Normal"/>
    <w:next w:val="Normal"/>
    <w:link w:val="QuoteChar"/>
    <w:uiPriority w:val="29"/>
    <w:qFormat/>
    <w:rsid w:val="003B2E3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B2E3E"/>
    <w:rPr>
      <w:i/>
      <w:iCs/>
      <w:color w:val="404040" w:themeColor="text1" w:themeTint="BF"/>
    </w:rPr>
  </w:style>
  <w:style w:type="paragraph" w:styleId="Header">
    <w:name w:val="header"/>
    <w:basedOn w:val="Normal"/>
    <w:link w:val="HeaderChar"/>
    <w:uiPriority w:val="99"/>
    <w:unhideWhenUsed/>
    <w:rsid w:val="00FE1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148"/>
  </w:style>
  <w:style w:type="paragraph" w:styleId="Footer">
    <w:name w:val="footer"/>
    <w:basedOn w:val="Normal"/>
    <w:link w:val="FooterChar"/>
    <w:uiPriority w:val="99"/>
    <w:unhideWhenUsed/>
    <w:rsid w:val="00FE1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148"/>
  </w:style>
  <w:style w:type="character" w:customStyle="1" w:styleId="NoSpacingChar">
    <w:name w:val="No Spacing Char"/>
    <w:basedOn w:val="DefaultParagraphFont"/>
    <w:link w:val="NoSpacing"/>
    <w:uiPriority w:val="1"/>
    <w:rsid w:val="00FE1148"/>
    <w:rPr>
      <w:rFonts w:ascii="Calibri" w:eastAsia="Calibri" w:hAnsi="Calibri" w:cs="Times New Roman"/>
      <w:lang w:val="en-IE"/>
    </w:rPr>
  </w:style>
  <w:style w:type="paragraph" w:styleId="TOCHeading">
    <w:name w:val="TOC Heading"/>
    <w:basedOn w:val="Heading1"/>
    <w:next w:val="Normal"/>
    <w:uiPriority w:val="39"/>
    <w:unhideWhenUsed/>
    <w:qFormat/>
    <w:rsid w:val="00506601"/>
    <w:pPr>
      <w:spacing w:before="240" w:line="259" w:lineRule="auto"/>
      <w:outlineLvl w:val="9"/>
    </w:pPr>
    <w:rPr>
      <w:b w:val="0"/>
      <w:bCs w:val="0"/>
      <w:sz w:val="32"/>
      <w:szCs w:val="32"/>
      <w:lang w:val="en-US"/>
    </w:rPr>
  </w:style>
  <w:style w:type="paragraph" w:styleId="TOC2">
    <w:name w:val="toc 2"/>
    <w:basedOn w:val="Normal"/>
    <w:next w:val="Normal"/>
    <w:autoRedefine/>
    <w:uiPriority w:val="39"/>
    <w:unhideWhenUsed/>
    <w:rsid w:val="00506601"/>
    <w:pPr>
      <w:spacing w:after="100"/>
      <w:ind w:left="220"/>
    </w:pPr>
  </w:style>
  <w:style w:type="paragraph" w:styleId="TOC1">
    <w:name w:val="toc 1"/>
    <w:basedOn w:val="Normal"/>
    <w:next w:val="Normal"/>
    <w:autoRedefine/>
    <w:uiPriority w:val="39"/>
    <w:unhideWhenUsed/>
    <w:rsid w:val="00506601"/>
    <w:pPr>
      <w:spacing w:after="100"/>
    </w:pPr>
  </w:style>
  <w:style w:type="paragraph" w:styleId="TOC3">
    <w:name w:val="toc 3"/>
    <w:basedOn w:val="Normal"/>
    <w:next w:val="Normal"/>
    <w:autoRedefine/>
    <w:uiPriority w:val="39"/>
    <w:unhideWhenUsed/>
    <w:rsid w:val="00506601"/>
    <w:pPr>
      <w:spacing w:after="100"/>
      <w:ind w:left="440"/>
    </w:pPr>
  </w:style>
  <w:style w:type="character" w:styleId="FollowedHyperlink">
    <w:name w:val="FollowedHyperlink"/>
    <w:basedOn w:val="DefaultParagraphFont"/>
    <w:uiPriority w:val="99"/>
    <w:semiHidden/>
    <w:unhideWhenUsed/>
    <w:rsid w:val="000029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3674">
      <w:bodyDiv w:val="1"/>
      <w:marLeft w:val="0"/>
      <w:marRight w:val="0"/>
      <w:marTop w:val="0"/>
      <w:marBottom w:val="0"/>
      <w:divBdr>
        <w:top w:val="none" w:sz="0" w:space="0" w:color="auto"/>
        <w:left w:val="none" w:sz="0" w:space="0" w:color="auto"/>
        <w:bottom w:val="none" w:sz="0" w:space="0" w:color="auto"/>
        <w:right w:val="none" w:sz="0" w:space="0" w:color="auto"/>
      </w:divBdr>
    </w:div>
    <w:div w:id="248000661">
      <w:bodyDiv w:val="1"/>
      <w:marLeft w:val="0"/>
      <w:marRight w:val="0"/>
      <w:marTop w:val="0"/>
      <w:marBottom w:val="0"/>
      <w:divBdr>
        <w:top w:val="none" w:sz="0" w:space="0" w:color="auto"/>
        <w:left w:val="none" w:sz="0" w:space="0" w:color="auto"/>
        <w:bottom w:val="none" w:sz="0" w:space="0" w:color="auto"/>
        <w:right w:val="none" w:sz="0" w:space="0" w:color="auto"/>
      </w:divBdr>
    </w:div>
    <w:div w:id="358048080">
      <w:bodyDiv w:val="1"/>
      <w:marLeft w:val="0"/>
      <w:marRight w:val="0"/>
      <w:marTop w:val="0"/>
      <w:marBottom w:val="0"/>
      <w:divBdr>
        <w:top w:val="none" w:sz="0" w:space="0" w:color="auto"/>
        <w:left w:val="none" w:sz="0" w:space="0" w:color="auto"/>
        <w:bottom w:val="none" w:sz="0" w:space="0" w:color="auto"/>
        <w:right w:val="none" w:sz="0" w:space="0" w:color="auto"/>
      </w:divBdr>
    </w:div>
    <w:div w:id="935096017">
      <w:bodyDiv w:val="1"/>
      <w:marLeft w:val="0"/>
      <w:marRight w:val="0"/>
      <w:marTop w:val="0"/>
      <w:marBottom w:val="0"/>
      <w:divBdr>
        <w:top w:val="none" w:sz="0" w:space="0" w:color="auto"/>
        <w:left w:val="none" w:sz="0" w:space="0" w:color="auto"/>
        <w:bottom w:val="none" w:sz="0" w:space="0" w:color="auto"/>
        <w:right w:val="none" w:sz="0" w:space="0" w:color="auto"/>
      </w:divBdr>
      <w:divsChild>
        <w:div w:id="1592397208">
          <w:marLeft w:val="547"/>
          <w:marRight w:val="0"/>
          <w:marTop w:val="154"/>
          <w:marBottom w:val="0"/>
          <w:divBdr>
            <w:top w:val="none" w:sz="0" w:space="0" w:color="auto"/>
            <w:left w:val="none" w:sz="0" w:space="0" w:color="auto"/>
            <w:bottom w:val="none" w:sz="0" w:space="0" w:color="auto"/>
            <w:right w:val="none" w:sz="0" w:space="0" w:color="auto"/>
          </w:divBdr>
        </w:div>
        <w:div w:id="492643819">
          <w:marLeft w:val="547"/>
          <w:marRight w:val="0"/>
          <w:marTop w:val="154"/>
          <w:marBottom w:val="0"/>
          <w:divBdr>
            <w:top w:val="none" w:sz="0" w:space="0" w:color="auto"/>
            <w:left w:val="none" w:sz="0" w:space="0" w:color="auto"/>
            <w:bottom w:val="none" w:sz="0" w:space="0" w:color="auto"/>
            <w:right w:val="none" w:sz="0" w:space="0" w:color="auto"/>
          </w:divBdr>
        </w:div>
        <w:div w:id="1752922118">
          <w:marLeft w:val="547"/>
          <w:marRight w:val="0"/>
          <w:marTop w:val="154"/>
          <w:marBottom w:val="0"/>
          <w:divBdr>
            <w:top w:val="none" w:sz="0" w:space="0" w:color="auto"/>
            <w:left w:val="none" w:sz="0" w:space="0" w:color="auto"/>
            <w:bottom w:val="none" w:sz="0" w:space="0" w:color="auto"/>
            <w:right w:val="none" w:sz="0" w:space="0" w:color="auto"/>
          </w:divBdr>
        </w:div>
      </w:divsChild>
    </w:div>
    <w:div w:id="1040781447">
      <w:bodyDiv w:val="1"/>
      <w:marLeft w:val="0"/>
      <w:marRight w:val="0"/>
      <w:marTop w:val="0"/>
      <w:marBottom w:val="0"/>
      <w:divBdr>
        <w:top w:val="none" w:sz="0" w:space="0" w:color="auto"/>
        <w:left w:val="none" w:sz="0" w:space="0" w:color="auto"/>
        <w:bottom w:val="none" w:sz="0" w:space="0" w:color="auto"/>
        <w:right w:val="none" w:sz="0" w:space="0" w:color="auto"/>
      </w:divBdr>
    </w:div>
    <w:div w:id="1093476928">
      <w:bodyDiv w:val="1"/>
      <w:marLeft w:val="0"/>
      <w:marRight w:val="0"/>
      <w:marTop w:val="0"/>
      <w:marBottom w:val="0"/>
      <w:divBdr>
        <w:top w:val="none" w:sz="0" w:space="0" w:color="auto"/>
        <w:left w:val="none" w:sz="0" w:space="0" w:color="auto"/>
        <w:bottom w:val="none" w:sz="0" w:space="0" w:color="auto"/>
        <w:right w:val="none" w:sz="0" w:space="0" w:color="auto"/>
      </w:divBdr>
    </w:div>
    <w:div w:id="1098137795">
      <w:bodyDiv w:val="1"/>
      <w:marLeft w:val="0"/>
      <w:marRight w:val="0"/>
      <w:marTop w:val="0"/>
      <w:marBottom w:val="0"/>
      <w:divBdr>
        <w:top w:val="none" w:sz="0" w:space="0" w:color="auto"/>
        <w:left w:val="none" w:sz="0" w:space="0" w:color="auto"/>
        <w:bottom w:val="none" w:sz="0" w:space="0" w:color="auto"/>
        <w:right w:val="none" w:sz="0" w:space="0" w:color="auto"/>
      </w:divBdr>
    </w:div>
    <w:div w:id="1170633187">
      <w:bodyDiv w:val="1"/>
      <w:marLeft w:val="0"/>
      <w:marRight w:val="0"/>
      <w:marTop w:val="0"/>
      <w:marBottom w:val="0"/>
      <w:divBdr>
        <w:top w:val="none" w:sz="0" w:space="0" w:color="auto"/>
        <w:left w:val="none" w:sz="0" w:space="0" w:color="auto"/>
        <w:bottom w:val="none" w:sz="0" w:space="0" w:color="auto"/>
        <w:right w:val="none" w:sz="0" w:space="0" w:color="auto"/>
      </w:divBdr>
      <w:divsChild>
        <w:div w:id="316425659">
          <w:marLeft w:val="547"/>
          <w:marRight w:val="0"/>
          <w:marTop w:val="115"/>
          <w:marBottom w:val="0"/>
          <w:divBdr>
            <w:top w:val="none" w:sz="0" w:space="0" w:color="auto"/>
            <w:left w:val="none" w:sz="0" w:space="0" w:color="auto"/>
            <w:bottom w:val="none" w:sz="0" w:space="0" w:color="auto"/>
            <w:right w:val="none" w:sz="0" w:space="0" w:color="auto"/>
          </w:divBdr>
        </w:div>
        <w:div w:id="408619467">
          <w:marLeft w:val="1267"/>
          <w:marRight w:val="0"/>
          <w:marTop w:val="96"/>
          <w:marBottom w:val="0"/>
          <w:divBdr>
            <w:top w:val="none" w:sz="0" w:space="0" w:color="auto"/>
            <w:left w:val="none" w:sz="0" w:space="0" w:color="auto"/>
            <w:bottom w:val="none" w:sz="0" w:space="0" w:color="auto"/>
            <w:right w:val="none" w:sz="0" w:space="0" w:color="auto"/>
          </w:divBdr>
        </w:div>
        <w:div w:id="1534461831">
          <w:marLeft w:val="1267"/>
          <w:marRight w:val="0"/>
          <w:marTop w:val="96"/>
          <w:marBottom w:val="0"/>
          <w:divBdr>
            <w:top w:val="none" w:sz="0" w:space="0" w:color="auto"/>
            <w:left w:val="none" w:sz="0" w:space="0" w:color="auto"/>
            <w:bottom w:val="none" w:sz="0" w:space="0" w:color="auto"/>
            <w:right w:val="none" w:sz="0" w:space="0" w:color="auto"/>
          </w:divBdr>
        </w:div>
        <w:div w:id="108594341">
          <w:marLeft w:val="1267"/>
          <w:marRight w:val="0"/>
          <w:marTop w:val="96"/>
          <w:marBottom w:val="0"/>
          <w:divBdr>
            <w:top w:val="none" w:sz="0" w:space="0" w:color="auto"/>
            <w:left w:val="none" w:sz="0" w:space="0" w:color="auto"/>
            <w:bottom w:val="none" w:sz="0" w:space="0" w:color="auto"/>
            <w:right w:val="none" w:sz="0" w:space="0" w:color="auto"/>
          </w:divBdr>
        </w:div>
      </w:divsChild>
    </w:div>
    <w:div w:id="1173909727">
      <w:bodyDiv w:val="1"/>
      <w:marLeft w:val="0"/>
      <w:marRight w:val="0"/>
      <w:marTop w:val="0"/>
      <w:marBottom w:val="0"/>
      <w:divBdr>
        <w:top w:val="none" w:sz="0" w:space="0" w:color="auto"/>
        <w:left w:val="none" w:sz="0" w:space="0" w:color="auto"/>
        <w:bottom w:val="none" w:sz="0" w:space="0" w:color="auto"/>
        <w:right w:val="none" w:sz="0" w:space="0" w:color="auto"/>
      </w:divBdr>
      <w:divsChild>
        <w:div w:id="229191098">
          <w:marLeft w:val="547"/>
          <w:marRight w:val="0"/>
          <w:marTop w:val="115"/>
          <w:marBottom w:val="0"/>
          <w:divBdr>
            <w:top w:val="none" w:sz="0" w:space="0" w:color="auto"/>
            <w:left w:val="none" w:sz="0" w:space="0" w:color="auto"/>
            <w:bottom w:val="none" w:sz="0" w:space="0" w:color="auto"/>
            <w:right w:val="none" w:sz="0" w:space="0" w:color="auto"/>
          </w:divBdr>
        </w:div>
        <w:div w:id="228927851">
          <w:marLeft w:val="1267"/>
          <w:marRight w:val="0"/>
          <w:marTop w:val="96"/>
          <w:marBottom w:val="0"/>
          <w:divBdr>
            <w:top w:val="none" w:sz="0" w:space="0" w:color="auto"/>
            <w:left w:val="none" w:sz="0" w:space="0" w:color="auto"/>
            <w:bottom w:val="none" w:sz="0" w:space="0" w:color="auto"/>
            <w:right w:val="none" w:sz="0" w:space="0" w:color="auto"/>
          </w:divBdr>
        </w:div>
        <w:div w:id="310446377">
          <w:marLeft w:val="1267"/>
          <w:marRight w:val="0"/>
          <w:marTop w:val="96"/>
          <w:marBottom w:val="0"/>
          <w:divBdr>
            <w:top w:val="none" w:sz="0" w:space="0" w:color="auto"/>
            <w:left w:val="none" w:sz="0" w:space="0" w:color="auto"/>
            <w:bottom w:val="none" w:sz="0" w:space="0" w:color="auto"/>
            <w:right w:val="none" w:sz="0" w:space="0" w:color="auto"/>
          </w:divBdr>
        </w:div>
        <w:div w:id="2018188488">
          <w:marLeft w:val="1267"/>
          <w:marRight w:val="0"/>
          <w:marTop w:val="96"/>
          <w:marBottom w:val="0"/>
          <w:divBdr>
            <w:top w:val="none" w:sz="0" w:space="0" w:color="auto"/>
            <w:left w:val="none" w:sz="0" w:space="0" w:color="auto"/>
            <w:bottom w:val="none" w:sz="0" w:space="0" w:color="auto"/>
            <w:right w:val="none" w:sz="0" w:space="0" w:color="auto"/>
          </w:divBdr>
        </w:div>
      </w:divsChild>
    </w:div>
    <w:div w:id="1290747065">
      <w:bodyDiv w:val="1"/>
      <w:marLeft w:val="0"/>
      <w:marRight w:val="0"/>
      <w:marTop w:val="0"/>
      <w:marBottom w:val="0"/>
      <w:divBdr>
        <w:top w:val="none" w:sz="0" w:space="0" w:color="auto"/>
        <w:left w:val="none" w:sz="0" w:space="0" w:color="auto"/>
        <w:bottom w:val="none" w:sz="0" w:space="0" w:color="auto"/>
        <w:right w:val="none" w:sz="0" w:space="0" w:color="auto"/>
      </w:divBdr>
    </w:div>
    <w:div w:id="1600021425">
      <w:bodyDiv w:val="1"/>
      <w:marLeft w:val="0"/>
      <w:marRight w:val="0"/>
      <w:marTop w:val="0"/>
      <w:marBottom w:val="0"/>
      <w:divBdr>
        <w:top w:val="none" w:sz="0" w:space="0" w:color="auto"/>
        <w:left w:val="none" w:sz="0" w:space="0" w:color="auto"/>
        <w:bottom w:val="none" w:sz="0" w:space="0" w:color="auto"/>
        <w:right w:val="none" w:sz="0" w:space="0" w:color="auto"/>
      </w:divBdr>
    </w:div>
    <w:div w:id="1664158388">
      <w:bodyDiv w:val="1"/>
      <w:marLeft w:val="0"/>
      <w:marRight w:val="0"/>
      <w:marTop w:val="0"/>
      <w:marBottom w:val="0"/>
      <w:divBdr>
        <w:top w:val="none" w:sz="0" w:space="0" w:color="auto"/>
        <w:left w:val="none" w:sz="0" w:space="0" w:color="auto"/>
        <w:bottom w:val="none" w:sz="0" w:space="0" w:color="auto"/>
        <w:right w:val="none" w:sz="0" w:space="0" w:color="auto"/>
      </w:divBdr>
    </w:div>
    <w:div w:id="1743062276">
      <w:bodyDiv w:val="1"/>
      <w:marLeft w:val="0"/>
      <w:marRight w:val="0"/>
      <w:marTop w:val="0"/>
      <w:marBottom w:val="0"/>
      <w:divBdr>
        <w:top w:val="none" w:sz="0" w:space="0" w:color="auto"/>
        <w:left w:val="none" w:sz="0" w:space="0" w:color="auto"/>
        <w:bottom w:val="none" w:sz="0" w:space="0" w:color="auto"/>
        <w:right w:val="none" w:sz="0" w:space="0" w:color="auto"/>
      </w:divBdr>
    </w:div>
    <w:div w:id="179189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tribune.com.pk/story/189294/pakistan-ranks-3rd-on-list-of-most-dangerous-countries-for-women/" TargetMode="External"/><Relationship Id="rId7" Type="http://schemas.openxmlformats.org/officeDocument/2006/relationships/hyperlink" Target="https://www.amnesty.org/en/countries/asia-and-the-pacific/pakistan/report-pakistan/" TargetMode="External"/><Relationship Id="rId2" Type="http://schemas.openxmlformats.org/officeDocument/2006/relationships/hyperlink" Target="http://www.newsmedialive.com/hrcp-annual-report-2015-state-hman-rights-pakistan/" TargetMode="External"/><Relationship Id="rId1" Type="http://schemas.openxmlformats.org/officeDocument/2006/relationships/hyperlink" Target="http://nips.org.pk/abstract_files/PDHS%20Final%20Report%20as%20of%20Jan%2022-2014.pdf" TargetMode="External"/><Relationship Id="rId6" Type="http://schemas.openxmlformats.org/officeDocument/2006/relationships/hyperlink" Target="http://www.dawn.com/news/777316" TargetMode="External"/><Relationship Id="rId5" Type="http://schemas.openxmlformats.org/officeDocument/2006/relationships/hyperlink" Target="http://nips.org.pk/abstract_files/PDHS%20Final%20Report%20as%20of%20Jan%2022-2014.pdf" TargetMode="External"/><Relationship Id="rId4" Type="http://schemas.openxmlformats.org/officeDocument/2006/relationships/hyperlink" Target="http://www.medecinsdumonde.org/en/news/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8B5E01-798A-4243-9D1F-7FFB164D0E52}"/>
</file>

<file path=customXml/itemProps2.xml><?xml version="1.0" encoding="utf-8"?>
<ds:datastoreItem xmlns:ds="http://schemas.openxmlformats.org/officeDocument/2006/customXml" ds:itemID="{DEBDA0F6-CAE2-4197-B9EF-9ADB298FC77D}"/>
</file>

<file path=customXml/itemProps3.xml><?xml version="1.0" encoding="utf-8"?>
<ds:datastoreItem xmlns:ds="http://schemas.openxmlformats.org/officeDocument/2006/customXml" ds:itemID="{5FAE7C3C-9472-4422-BD9D-55EAC4725BA3}"/>
</file>

<file path=customXml/itemProps4.xml><?xml version="1.0" encoding="utf-8"?>
<ds:datastoreItem xmlns:ds="http://schemas.openxmlformats.org/officeDocument/2006/customXml" ds:itemID="{54D3413D-FA36-4B71-9560-05156A8AE2A0}"/>
</file>

<file path=docProps/app.xml><?xml version="1.0" encoding="utf-8"?>
<Properties xmlns="http://schemas.openxmlformats.org/officeDocument/2006/extended-properties" xmlns:vt="http://schemas.openxmlformats.org/officeDocument/2006/docPropsVTypes">
  <Template>Normal.dotm</Template>
  <TotalTime>0</TotalTime>
  <Pages>35</Pages>
  <Words>15952</Words>
  <Characters>90929</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Challenging Gender Based Violence in Pakistan Program: independent evaluation report</vt:lpstr>
    </vt:vector>
  </TitlesOfParts>
  <Company/>
  <LinksUpToDate>false</LinksUpToDate>
  <CharactersWithSpaces>106668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Challenging Gender Based Violence in Pakistan Program: independent evaluation report</dc:title>
  <dc:creator/>
  <cp:lastModifiedBy/>
  <cp:revision>1</cp:revision>
  <dcterms:created xsi:type="dcterms:W3CDTF">2017-09-15T00:05:00Z</dcterms:created>
  <dcterms:modified xsi:type="dcterms:W3CDTF">2017-09-15T00:11:00Z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25498bb7-5117-4354-bc93-113ef9b3a576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1120800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