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8C01" w14:textId="77777777" w:rsidR="00A12EB6" w:rsidRDefault="00A12EB6" w:rsidP="00A12EB6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sz w:val="24"/>
          <w:lang w:eastAsia="en-AU"/>
        </w:rPr>
      </w:pPr>
      <w:bookmarkStart w:id="0" w:name="_GoBack"/>
      <w:bookmarkEnd w:id="0"/>
      <w:r>
        <w:rPr>
          <w:sz w:val="24"/>
          <w:lang w:eastAsia="en-AU"/>
        </w:rPr>
        <w:t>Independent Evaluation of ‘Challenging Gender Based Violence in Khyber Pakhtunkhwa and Sindh, Pakistan’ Program.</w:t>
      </w:r>
    </w:p>
    <w:p w14:paraId="7401F779" w14:textId="77777777" w:rsidR="00A12EB6" w:rsidRDefault="00A12EB6" w:rsidP="00A12EB6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sz w:val="24"/>
          <w:lang w:eastAsia="en-AU"/>
        </w:rPr>
      </w:pPr>
      <w:r>
        <w:rPr>
          <w:sz w:val="24"/>
          <w:lang w:eastAsia="en-AU"/>
        </w:rPr>
        <w:t>MANAGEMENT RESPONSE</w:t>
      </w:r>
    </w:p>
    <w:p w14:paraId="66636594" w14:textId="0A7FD97E" w:rsidR="00C657FB" w:rsidRDefault="00A12EB6" w:rsidP="00A12EB6">
      <w:pPr>
        <w:pStyle w:val="Heading2"/>
      </w:pPr>
      <w:r>
        <w:t xml:space="preserve"> </w:t>
      </w:r>
      <w:r w:rsidR="000B520A">
        <w:t xml:space="preserve">Initiative </w:t>
      </w:r>
      <w:r w:rsidR="00C657FB">
        <w:t>Summary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60"/>
        <w:gridCol w:w="2693"/>
        <w:gridCol w:w="1843"/>
        <w:gridCol w:w="2693"/>
      </w:tblGrid>
      <w:tr w:rsidR="00C657FB" w:rsidRPr="00F43CEC" w14:paraId="66636597" w14:textId="77777777" w:rsidTr="00175FFC">
        <w:trPr>
          <w:cantSplit/>
          <w:tblHeader/>
        </w:trPr>
        <w:tc>
          <w:tcPr>
            <w:tcW w:w="2660" w:type="dxa"/>
            <w:shd w:val="clear" w:color="auto" w:fill="E0E0E0"/>
            <w:vAlign w:val="center"/>
          </w:tcPr>
          <w:p w14:paraId="66636595" w14:textId="77777777" w:rsidR="00C657FB" w:rsidRPr="00C148E8" w:rsidRDefault="00EF02B3" w:rsidP="00175FFC">
            <w:pPr>
              <w:pStyle w:val="Table-normal-text"/>
              <w:spacing w:before="120" w:after="120"/>
              <w:rPr>
                <w:b/>
                <w:sz w:val="22"/>
                <w:szCs w:val="22"/>
              </w:rPr>
            </w:pPr>
            <w:r w:rsidRPr="00C148E8">
              <w:rPr>
                <w:b/>
                <w:sz w:val="22"/>
                <w:szCs w:val="22"/>
              </w:rPr>
              <w:t>Initiative</w:t>
            </w:r>
            <w:r w:rsidR="00C657FB" w:rsidRPr="00C148E8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229" w:type="dxa"/>
            <w:gridSpan w:val="3"/>
            <w:shd w:val="clear" w:color="auto" w:fill="E0E0E0"/>
            <w:vAlign w:val="center"/>
          </w:tcPr>
          <w:p w14:paraId="66636596" w14:textId="77777777" w:rsidR="00C657FB" w:rsidRPr="00C148E8" w:rsidRDefault="00C657FB" w:rsidP="00175FFC">
            <w:pPr>
              <w:pStyle w:val="Table-normal-text"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657FB" w:rsidRPr="00F43CEC" w14:paraId="6663659A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66636598" w14:textId="77777777" w:rsidR="00C657FB" w:rsidRPr="00C148E8" w:rsidRDefault="00C657FB" w:rsidP="00175FFC">
            <w:pPr>
              <w:pStyle w:val="Table-normal-text"/>
              <w:rPr>
                <w:sz w:val="22"/>
                <w:szCs w:val="22"/>
              </w:rPr>
            </w:pPr>
            <w:r w:rsidRPr="00C148E8">
              <w:rPr>
                <w:sz w:val="22"/>
                <w:szCs w:val="22"/>
              </w:rPr>
              <w:t>AidWorks initiative number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6636599" w14:textId="4B2A06EE" w:rsidR="00C657FB" w:rsidRPr="00C148E8" w:rsidRDefault="006F3080" w:rsidP="00C67CE8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 w:rsidRPr="00C148E8">
              <w:rPr>
                <w:rFonts w:ascii="Times New Roman" w:hAnsi="Times New Roman"/>
                <w:sz w:val="22"/>
                <w:szCs w:val="22"/>
              </w:rPr>
              <w:t>IN</w:t>
            </w:r>
            <w:r w:rsidR="00C67CE8" w:rsidRPr="00C148E8">
              <w:rPr>
                <w:rFonts w:ascii="Times New Roman" w:hAnsi="Times New Roman"/>
                <w:sz w:val="22"/>
                <w:szCs w:val="22"/>
              </w:rPr>
              <w:t>L236</w:t>
            </w:r>
          </w:p>
        </w:tc>
      </w:tr>
      <w:tr w:rsidR="00C657FB" w:rsidRPr="00F43CEC" w14:paraId="6663659F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6663659B" w14:textId="77777777" w:rsidR="00C657FB" w:rsidRPr="00C148E8" w:rsidRDefault="00C657FB" w:rsidP="00175FFC">
            <w:pPr>
              <w:pStyle w:val="Table-normal-text"/>
              <w:rPr>
                <w:sz w:val="22"/>
                <w:szCs w:val="22"/>
              </w:rPr>
            </w:pPr>
            <w:r w:rsidRPr="00C148E8">
              <w:rPr>
                <w:sz w:val="22"/>
                <w:szCs w:val="22"/>
              </w:rPr>
              <w:t>Commencement date</w:t>
            </w:r>
          </w:p>
        </w:tc>
        <w:tc>
          <w:tcPr>
            <w:tcW w:w="2693" w:type="dxa"/>
            <w:shd w:val="clear" w:color="auto" w:fill="auto"/>
          </w:tcPr>
          <w:p w14:paraId="6663659C" w14:textId="5F743586" w:rsidR="00C657FB" w:rsidRPr="00C148E8" w:rsidRDefault="00C148E8" w:rsidP="00175FFC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2014</w:t>
            </w:r>
          </w:p>
        </w:tc>
        <w:tc>
          <w:tcPr>
            <w:tcW w:w="1843" w:type="dxa"/>
            <w:shd w:val="clear" w:color="auto" w:fill="auto"/>
          </w:tcPr>
          <w:p w14:paraId="6663659D" w14:textId="77777777" w:rsidR="00C657FB" w:rsidRPr="00C148E8" w:rsidRDefault="00C657FB" w:rsidP="00175FFC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 w:rsidRPr="00C148E8">
              <w:rPr>
                <w:rFonts w:ascii="Times New Roman" w:hAnsi="Times New Roman"/>
                <w:sz w:val="22"/>
                <w:szCs w:val="22"/>
              </w:rPr>
              <w:t>Completion date</w:t>
            </w:r>
          </w:p>
        </w:tc>
        <w:tc>
          <w:tcPr>
            <w:tcW w:w="2693" w:type="dxa"/>
            <w:shd w:val="clear" w:color="auto" w:fill="auto"/>
          </w:tcPr>
          <w:p w14:paraId="6663659E" w14:textId="71E843A5" w:rsidR="00C657FB" w:rsidRPr="00C148E8" w:rsidRDefault="001B383B" w:rsidP="00C67CE8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May</w:t>
            </w:r>
            <w:r w:rsidR="00C148E8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</w:tr>
      <w:tr w:rsidR="00C657FB" w:rsidRPr="00F43CEC" w14:paraId="666365A2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666365A0" w14:textId="77777777" w:rsidR="00C657FB" w:rsidRPr="00C148E8" w:rsidRDefault="00C657FB" w:rsidP="00175FFC">
            <w:pPr>
              <w:pStyle w:val="Table-normal-text"/>
              <w:rPr>
                <w:sz w:val="22"/>
                <w:szCs w:val="22"/>
              </w:rPr>
            </w:pPr>
            <w:r w:rsidRPr="00C148E8">
              <w:rPr>
                <w:sz w:val="22"/>
                <w:szCs w:val="22"/>
              </w:rPr>
              <w:t>Total Australian $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66365A1" w14:textId="617F43A2" w:rsidR="00C657FB" w:rsidRPr="00C148E8" w:rsidRDefault="00C67CE8" w:rsidP="00175FFC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 w:rsidRPr="00C148E8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val="en"/>
              </w:rPr>
              <w:t>7,457,440.00</w:t>
            </w:r>
          </w:p>
        </w:tc>
      </w:tr>
      <w:tr w:rsidR="00C657FB" w:rsidRPr="00F43CEC" w14:paraId="666365AB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666365A9" w14:textId="5F04F395" w:rsidR="00C657FB" w:rsidRPr="00C148E8" w:rsidRDefault="00C657FB" w:rsidP="00845B17">
            <w:pPr>
              <w:pStyle w:val="Table-normal-text"/>
              <w:rPr>
                <w:sz w:val="22"/>
                <w:szCs w:val="22"/>
              </w:rPr>
            </w:pPr>
            <w:r w:rsidRPr="00C148E8">
              <w:rPr>
                <w:sz w:val="22"/>
                <w:szCs w:val="22"/>
              </w:rPr>
              <w:t xml:space="preserve">Implementing </w:t>
            </w:r>
            <w:r w:rsidR="00845B17" w:rsidRPr="00C148E8">
              <w:rPr>
                <w:sz w:val="22"/>
                <w:szCs w:val="22"/>
              </w:rPr>
              <w:t>partner</w:t>
            </w:r>
            <w:r w:rsidRPr="00C148E8">
              <w:rPr>
                <w:sz w:val="22"/>
                <w:szCs w:val="22"/>
              </w:rPr>
              <w:t>(s)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FB877C7" w14:textId="5866313D" w:rsidR="007A455D" w:rsidRPr="00C148E8" w:rsidRDefault="00AD52AF" w:rsidP="007A455D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7A455D" w:rsidRPr="00C14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66365AA" w14:textId="77777777" w:rsidR="00C657FB" w:rsidRPr="00C148E8" w:rsidRDefault="00C657FB" w:rsidP="007A455D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7FB" w:rsidRPr="00F43CEC" w14:paraId="666365AE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666365AC" w14:textId="77777777" w:rsidR="00C657FB" w:rsidRPr="00C148E8" w:rsidRDefault="00C657FB" w:rsidP="00175FFC">
            <w:pPr>
              <w:pStyle w:val="Table-normal-text"/>
              <w:rPr>
                <w:sz w:val="22"/>
                <w:szCs w:val="22"/>
              </w:rPr>
            </w:pPr>
            <w:r w:rsidRPr="00C148E8">
              <w:rPr>
                <w:sz w:val="22"/>
                <w:szCs w:val="22"/>
              </w:rPr>
              <w:t>Country/Region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66365AD" w14:textId="4C067900" w:rsidR="00C657FB" w:rsidRPr="00C148E8" w:rsidRDefault="001E6A3E" w:rsidP="00C67CE8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 w:rsidRPr="00C148E8">
              <w:rPr>
                <w:rFonts w:ascii="Times New Roman" w:hAnsi="Times New Roman"/>
                <w:sz w:val="22"/>
                <w:szCs w:val="22"/>
              </w:rPr>
              <w:t>Pakistan/</w:t>
            </w:r>
            <w:r w:rsidR="00C67CE8" w:rsidRPr="00C148E8">
              <w:rPr>
                <w:rFonts w:ascii="Times New Roman" w:hAnsi="Times New Roman"/>
                <w:sz w:val="22"/>
                <w:szCs w:val="22"/>
              </w:rPr>
              <w:t>West</w:t>
            </w:r>
            <w:r w:rsidRPr="00C148E8">
              <w:rPr>
                <w:rFonts w:ascii="Times New Roman" w:hAnsi="Times New Roman"/>
                <w:sz w:val="22"/>
                <w:szCs w:val="22"/>
              </w:rPr>
              <w:t xml:space="preserve"> Asia</w:t>
            </w:r>
          </w:p>
        </w:tc>
      </w:tr>
      <w:tr w:rsidR="00C657FB" w:rsidRPr="00F43CEC" w14:paraId="666365B1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666365AF" w14:textId="77777777" w:rsidR="00C657FB" w:rsidRPr="00C148E8" w:rsidRDefault="00C657FB" w:rsidP="00845B17">
            <w:pPr>
              <w:pStyle w:val="Table-normal-text"/>
              <w:rPr>
                <w:sz w:val="22"/>
                <w:szCs w:val="22"/>
              </w:rPr>
            </w:pPr>
            <w:r w:rsidRPr="00C148E8">
              <w:rPr>
                <w:sz w:val="22"/>
                <w:szCs w:val="22"/>
              </w:rPr>
              <w:t xml:space="preserve">Primary </w:t>
            </w:r>
            <w:r w:rsidR="00845B17" w:rsidRPr="00C148E8">
              <w:rPr>
                <w:sz w:val="22"/>
                <w:szCs w:val="22"/>
              </w:rPr>
              <w:t>sector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66365B0" w14:textId="2385D196" w:rsidR="00C657FB" w:rsidRPr="00C148E8" w:rsidRDefault="00C67CE8" w:rsidP="00175FFC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 w:rsidRPr="00C148E8">
              <w:rPr>
                <w:rFonts w:ascii="Times New Roman" w:hAnsi="Times New Roman"/>
                <w:sz w:val="22"/>
                <w:szCs w:val="22"/>
              </w:rPr>
              <w:t>EVAW</w:t>
            </w:r>
          </w:p>
        </w:tc>
      </w:tr>
      <w:tr w:rsidR="00C657FB" w:rsidRPr="00F43CEC" w14:paraId="666365B4" w14:textId="77777777" w:rsidTr="00175FFC">
        <w:trPr>
          <w:cantSplit/>
        </w:trPr>
        <w:tc>
          <w:tcPr>
            <w:tcW w:w="2660" w:type="dxa"/>
            <w:shd w:val="clear" w:color="auto" w:fill="auto"/>
          </w:tcPr>
          <w:p w14:paraId="666365B2" w14:textId="77777777" w:rsidR="00C657FB" w:rsidRPr="00C148E8" w:rsidRDefault="00390A59" w:rsidP="00175FFC">
            <w:pPr>
              <w:pStyle w:val="Table-normal-text"/>
              <w:rPr>
                <w:sz w:val="22"/>
                <w:szCs w:val="22"/>
              </w:rPr>
            </w:pPr>
            <w:r w:rsidRPr="00C148E8">
              <w:rPr>
                <w:sz w:val="22"/>
                <w:szCs w:val="22"/>
              </w:rPr>
              <w:t>Initiative</w:t>
            </w:r>
            <w:r w:rsidR="00C657FB" w:rsidRPr="00C148E8">
              <w:rPr>
                <w:sz w:val="22"/>
                <w:szCs w:val="22"/>
              </w:rPr>
              <w:t xml:space="preserve"> objective</w:t>
            </w:r>
            <w:r w:rsidR="00614E79" w:rsidRPr="00C148E8">
              <w:rPr>
                <w:sz w:val="22"/>
                <w:szCs w:val="22"/>
              </w:rPr>
              <w:t>/s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66365B3" w14:textId="0B73A58B" w:rsidR="00C657FB" w:rsidRPr="00C148E8" w:rsidRDefault="007A455D" w:rsidP="00AD52AF">
            <w:pPr>
              <w:pStyle w:val="Table-normal-text"/>
              <w:rPr>
                <w:rFonts w:ascii="Times New Roman" w:hAnsi="Times New Roman"/>
                <w:sz w:val="22"/>
                <w:szCs w:val="22"/>
              </w:rPr>
            </w:pPr>
            <w:r w:rsidRPr="00C148E8">
              <w:rPr>
                <w:rFonts w:ascii="Times New Roman" w:hAnsi="Times New Roman"/>
                <w:sz w:val="22"/>
                <w:szCs w:val="22"/>
              </w:rPr>
              <w:t>The Challenging Gender Based Violence in Pakistan program (GBV program) is a four-year (2014-18</w:t>
            </w:r>
            <w:r w:rsidR="00372400" w:rsidRPr="00C148E8">
              <w:rPr>
                <w:rFonts w:ascii="Times New Roman" w:hAnsi="Times New Roman"/>
                <w:sz w:val="22"/>
                <w:szCs w:val="22"/>
              </w:rPr>
              <w:t>) AUD</w:t>
            </w:r>
            <w:r w:rsidR="00ED6938">
              <w:rPr>
                <w:rFonts w:ascii="Times New Roman" w:hAnsi="Times New Roman"/>
                <w:sz w:val="22"/>
                <w:szCs w:val="22"/>
              </w:rPr>
              <w:t xml:space="preserve"> 7.46</w:t>
            </w:r>
            <w:r w:rsidRPr="00C148E8">
              <w:rPr>
                <w:rFonts w:ascii="Times New Roman" w:hAnsi="Times New Roman"/>
                <w:sz w:val="22"/>
                <w:szCs w:val="22"/>
              </w:rPr>
              <w:t xml:space="preserve"> million aid investment by the Australian Government to reduce violence against women and girls in targeted districts of two provinces – Sindh and </w:t>
            </w:r>
            <w:r w:rsidRPr="00C148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Khyber Pakhtunkhwa (</w:t>
            </w:r>
            <w:r w:rsidRPr="00C148E8">
              <w:rPr>
                <w:rFonts w:ascii="Times New Roman" w:hAnsi="Times New Roman"/>
                <w:sz w:val="22"/>
                <w:szCs w:val="22"/>
              </w:rPr>
              <w:t>KP).</w:t>
            </w:r>
          </w:p>
        </w:tc>
      </w:tr>
    </w:tbl>
    <w:p w14:paraId="666365B5" w14:textId="77777777" w:rsidR="00C657FB" w:rsidRPr="004B4BEE" w:rsidRDefault="00C657FB" w:rsidP="00C657FB">
      <w:pPr>
        <w:pStyle w:val="Heading2"/>
        <w:rPr>
          <w:rFonts w:ascii="Times New Roman" w:hAnsi="Times New Roman" w:cs="Times New Roman"/>
          <w:sz w:val="22"/>
        </w:rPr>
      </w:pPr>
      <w:r w:rsidRPr="004B4BEE">
        <w:rPr>
          <w:rFonts w:ascii="Times New Roman" w:hAnsi="Times New Roman" w:cs="Times New Roman"/>
          <w:sz w:val="22"/>
        </w:rPr>
        <w:t>Evaluation Summary</w:t>
      </w:r>
    </w:p>
    <w:p w14:paraId="666365B6" w14:textId="77777777" w:rsidR="00683EB4" w:rsidRPr="004B4BEE" w:rsidRDefault="00683EB4" w:rsidP="00C657FB">
      <w:pPr>
        <w:rPr>
          <w:rFonts w:ascii="Times New Roman" w:hAnsi="Times New Roman"/>
          <w:b/>
          <w:sz w:val="22"/>
          <w:szCs w:val="22"/>
        </w:rPr>
      </w:pPr>
    </w:p>
    <w:p w14:paraId="709A0C27" w14:textId="77777777" w:rsidR="007A455D" w:rsidRPr="004B4BEE" w:rsidRDefault="00C657FB" w:rsidP="007A455D">
      <w:pPr>
        <w:spacing w:before="0"/>
        <w:rPr>
          <w:rFonts w:ascii="Times New Roman" w:hAnsi="Times New Roman"/>
          <w:sz w:val="22"/>
          <w:szCs w:val="22"/>
        </w:rPr>
      </w:pPr>
      <w:r w:rsidRPr="004B4BEE">
        <w:rPr>
          <w:rFonts w:ascii="Times New Roman" w:hAnsi="Times New Roman"/>
          <w:b/>
          <w:sz w:val="22"/>
          <w:szCs w:val="22"/>
        </w:rPr>
        <w:t xml:space="preserve">Evaluation Objective: </w:t>
      </w:r>
      <w:r w:rsidR="007A455D" w:rsidRPr="004B4BEE">
        <w:rPr>
          <w:rFonts w:ascii="Times New Roman" w:hAnsi="Times New Roman"/>
          <w:sz w:val="22"/>
          <w:szCs w:val="22"/>
        </w:rPr>
        <w:t>To assess progress against objectives, to identify lessons learnt and recommendations to inform the remainder of the investment, and to begin scoping for a potential next phase of Australian support for EVAW in Pakistan</w:t>
      </w:r>
    </w:p>
    <w:p w14:paraId="4F0325DB" w14:textId="77777777" w:rsidR="00F96136" w:rsidRDefault="00F96136" w:rsidP="007A455D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666365B8" w14:textId="146703A2" w:rsidR="00C657FB" w:rsidRPr="004B4BEE" w:rsidRDefault="00C657FB" w:rsidP="007A455D">
      <w:pPr>
        <w:spacing w:before="0"/>
        <w:rPr>
          <w:rFonts w:ascii="Times New Roman" w:hAnsi="Times New Roman"/>
          <w:sz w:val="22"/>
          <w:szCs w:val="22"/>
        </w:rPr>
      </w:pPr>
      <w:r w:rsidRPr="004B4BEE">
        <w:rPr>
          <w:rFonts w:ascii="Times New Roman" w:hAnsi="Times New Roman"/>
          <w:b/>
          <w:sz w:val="22"/>
          <w:szCs w:val="22"/>
        </w:rPr>
        <w:t xml:space="preserve">Evaluation Completion Date: </w:t>
      </w:r>
      <w:r w:rsidR="002E353A">
        <w:rPr>
          <w:rFonts w:ascii="Times New Roman" w:hAnsi="Times New Roman"/>
          <w:sz w:val="22"/>
          <w:szCs w:val="22"/>
        </w:rPr>
        <w:t>May 2017</w:t>
      </w:r>
    </w:p>
    <w:p w14:paraId="3C1181DF" w14:textId="77777777" w:rsidR="00F96136" w:rsidRDefault="00F96136" w:rsidP="007A455D">
      <w:pPr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4EBAF6D5" w14:textId="46D031C1" w:rsidR="007A455D" w:rsidRPr="00372400" w:rsidRDefault="00C657FB" w:rsidP="007A455D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4B4BEE">
        <w:rPr>
          <w:rFonts w:ascii="Times New Roman" w:hAnsi="Times New Roman"/>
          <w:b/>
          <w:sz w:val="22"/>
          <w:szCs w:val="22"/>
        </w:rPr>
        <w:t xml:space="preserve">Evaluation Team: </w:t>
      </w:r>
      <w:r w:rsidR="007A455D" w:rsidRPr="00372400">
        <w:rPr>
          <w:rFonts w:ascii="Times New Roman" w:hAnsi="Times New Roman"/>
          <w:sz w:val="22"/>
          <w:szCs w:val="22"/>
        </w:rPr>
        <w:t xml:space="preserve">The evaluation team comprised a DFAT Independent Team </w:t>
      </w:r>
      <w:r w:rsidR="00372400" w:rsidRPr="00372400">
        <w:rPr>
          <w:rFonts w:ascii="Times New Roman" w:hAnsi="Times New Roman"/>
          <w:sz w:val="22"/>
          <w:szCs w:val="22"/>
        </w:rPr>
        <w:t>Lead Ulla</w:t>
      </w:r>
      <w:r w:rsidR="007A455D" w:rsidRPr="00372400">
        <w:rPr>
          <w:rFonts w:ascii="Times New Roman" w:hAnsi="Times New Roman"/>
          <w:sz w:val="22"/>
          <w:szCs w:val="22"/>
        </w:rPr>
        <w:t xml:space="preserve"> Keech-Marx</w:t>
      </w:r>
      <w:r w:rsidR="004B4BEE" w:rsidRPr="00372400">
        <w:rPr>
          <w:rFonts w:ascii="Times New Roman" w:hAnsi="Times New Roman"/>
          <w:sz w:val="22"/>
          <w:szCs w:val="22"/>
        </w:rPr>
        <w:t xml:space="preserve"> (Performance and Gender Specialist</w:t>
      </w:r>
      <w:r w:rsidR="00372400" w:rsidRPr="00372400">
        <w:rPr>
          <w:rFonts w:ascii="Times New Roman" w:hAnsi="Times New Roman"/>
          <w:sz w:val="22"/>
          <w:szCs w:val="22"/>
        </w:rPr>
        <w:t>)</w:t>
      </w:r>
      <w:r w:rsidR="00372400" w:rsidRPr="00372400">
        <w:rPr>
          <w:sz w:val="22"/>
          <w:szCs w:val="22"/>
        </w:rPr>
        <w:t xml:space="preserve"> </w:t>
      </w:r>
      <w:r w:rsidR="00372400" w:rsidRPr="00372400">
        <w:rPr>
          <w:rFonts w:ascii="Times New Roman" w:hAnsi="Times New Roman"/>
          <w:sz w:val="22"/>
          <w:szCs w:val="22"/>
        </w:rPr>
        <w:t>and</w:t>
      </w:r>
      <w:r w:rsidR="007A455D" w:rsidRPr="00372400">
        <w:rPr>
          <w:rFonts w:ascii="Times New Roman" w:hAnsi="Times New Roman"/>
          <w:sz w:val="22"/>
          <w:szCs w:val="22"/>
        </w:rPr>
        <w:t xml:space="preserve"> a local Pakistani Gender Expert, Rukhsana Rashid. First Secretary Development Cooperation Stacey Greene and Gender Program Manager Najma Khan participated in the evaluation as observers. </w:t>
      </w:r>
    </w:p>
    <w:p w14:paraId="2A74C362" w14:textId="77777777" w:rsidR="00F96136" w:rsidRDefault="00F96136" w:rsidP="000D316D">
      <w:pPr>
        <w:rPr>
          <w:rFonts w:ascii="Times New Roman" w:hAnsi="Times New Roman"/>
          <w:b/>
          <w:sz w:val="22"/>
          <w:szCs w:val="22"/>
          <w:lang w:eastAsia="en-AU"/>
        </w:rPr>
      </w:pPr>
    </w:p>
    <w:p w14:paraId="666365BC" w14:textId="06B009CD" w:rsidR="005E3939" w:rsidRPr="004B4BEE" w:rsidRDefault="002426A5" w:rsidP="000D316D">
      <w:pPr>
        <w:rPr>
          <w:rFonts w:ascii="Times New Roman" w:hAnsi="Times New Roman"/>
          <w:b/>
          <w:sz w:val="22"/>
          <w:szCs w:val="22"/>
          <w:lang w:eastAsia="en-AU"/>
        </w:rPr>
      </w:pPr>
      <w:r w:rsidRPr="004B4BEE">
        <w:rPr>
          <w:rFonts w:ascii="Times New Roman" w:hAnsi="Times New Roman"/>
          <w:b/>
          <w:sz w:val="22"/>
          <w:szCs w:val="22"/>
          <w:lang w:eastAsia="en-AU"/>
        </w:rPr>
        <w:t>DFAT</w:t>
      </w:r>
      <w:r w:rsidR="00367DA3" w:rsidRPr="004B4BEE">
        <w:rPr>
          <w:rFonts w:ascii="Times New Roman" w:hAnsi="Times New Roman"/>
          <w:b/>
          <w:sz w:val="22"/>
          <w:szCs w:val="22"/>
          <w:lang w:eastAsia="en-AU"/>
        </w:rPr>
        <w:t>’s response to the evaluation report</w:t>
      </w:r>
    </w:p>
    <w:p w14:paraId="3E9CC7D4" w14:textId="779219B0" w:rsidR="004B4BEE" w:rsidRPr="00D37D52" w:rsidRDefault="00A1101E" w:rsidP="004B4BEE">
      <w:pPr>
        <w:jc w:val="both"/>
        <w:rPr>
          <w:rFonts w:ascii="Times New Roman" w:hAnsi="Times New Roman"/>
          <w:sz w:val="22"/>
          <w:szCs w:val="22"/>
        </w:rPr>
      </w:pPr>
      <w:r w:rsidRPr="00D37D52">
        <w:rPr>
          <w:rFonts w:ascii="Times New Roman" w:hAnsi="Times New Roman"/>
          <w:sz w:val="22"/>
          <w:szCs w:val="22"/>
        </w:rPr>
        <w:t xml:space="preserve">DFAT’s overall assessment is that </w:t>
      </w:r>
      <w:r w:rsidR="00AD52AF">
        <w:rPr>
          <w:rFonts w:ascii="Times New Roman" w:hAnsi="Times New Roman"/>
          <w:sz w:val="22"/>
          <w:szCs w:val="22"/>
        </w:rPr>
        <w:t>the</w:t>
      </w:r>
      <w:r w:rsidRPr="00D37D52">
        <w:rPr>
          <w:rFonts w:ascii="Times New Roman" w:hAnsi="Times New Roman"/>
          <w:sz w:val="22"/>
          <w:szCs w:val="22"/>
        </w:rPr>
        <w:t xml:space="preserve"> evaluation report</w:t>
      </w:r>
      <w:r w:rsidR="00AD52AF">
        <w:rPr>
          <w:rFonts w:ascii="Times New Roman" w:hAnsi="Times New Roman"/>
          <w:sz w:val="22"/>
          <w:szCs w:val="22"/>
        </w:rPr>
        <w:t xml:space="preserve"> is strong</w:t>
      </w:r>
      <w:r w:rsidRPr="00D37D52">
        <w:rPr>
          <w:rFonts w:ascii="Times New Roman" w:hAnsi="Times New Roman"/>
          <w:sz w:val="22"/>
          <w:szCs w:val="22"/>
        </w:rPr>
        <w:t xml:space="preserve"> and me</w:t>
      </w:r>
      <w:r w:rsidR="00AD52AF">
        <w:rPr>
          <w:rFonts w:ascii="Times New Roman" w:hAnsi="Times New Roman"/>
          <w:sz w:val="22"/>
          <w:szCs w:val="22"/>
        </w:rPr>
        <w:t>e</w:t>
      </w:r>
      <w:r w:rsidRPr="00D37D52">
        <w:rPr>
          <w:rFonts w:ascii="Times New Roman" w:hAnsi="Times New Roman"/>
          <w:sz w:val="22"/>
          <w:szCs w:val="22"/>
        </w:rPr>
        <w:t>t</w:t>
      </w:r>
      <w:r w:rsidR="00AD52AF">
        <w:rPr>
          <w:rFonts w:ascii="Times New Roman" w:hAnsi="Times New Roman"/>
          <w:sz w:val="22"/>
          <w:szCs w:val="22"/>
        </w:rPr>
        <w:t>s</w:t>
      </w:r>
      <w:r w:rsidRPr="00D37D52">
        <w:rPr>
          <w:rFonts w:ascii="Times New Roman" w:hAnsi="Times New Roman"/>
          <w:sz w:val="22"/>
          <w:szCs w:val="22"/>
        </w:rPr>
        <w:t xml:space="preserve"> the DFAT </w:t>
      </w:r>
      <w:hyperlink r:id="rId7" w:history="1">
        <w:r w:rsidRPr="00D37D52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Monitoring and Evaluation Standards</w:t>
        </w:r>
      </w:hyperlink>
      <w:r w:rsidRPr="00D37D52">
        <w:rPr>
          <w:rFonts w:ascii="Times New Roman" w:hAnsi="Times New Roman"/>
          <w:sz w:val="22"/>
          <w:szCs w:val="22"/>
        </w:rPr>
        <w:t>.</w:t>
      </w:r>
      <w:r w:rsidR="00AD52AF">
        <w:rPr>
          <w:rFonts w:ascii="Times New Roman" w:hAnsi="Times New Roman"/>
          <w:sz w:val="22"/>
          <w:szCs w:val="22"/>
        </w:rPr>
        <w:t xml:space="preserve"> </w:t>
      </w:r>
    </w:p>
    <w:p w14:paraId="2BF77734" w14:textId="78A1325B" w:rsidR="00D37D52" w:rsidRPr="00D37D52" w:rsidRDefault="002E353A" w:rsidP="002E35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evaluation made a range of recommendations which will be used to inform the design of the proposed two year extension / phase two of the program.</w:t>
      </w:r>
    </w:p>
    <w:p w14:paraId="59643EEE" w14:textId="77777777" w:rsidR="00D37D52" w:rsidRDefault="00D37D52" w:rsidP="000D316D"/>
    <w:p w14:paraId="2A21AF92" w14:textId="77777777" w:rsidR="00307821" w:rsidRDefault="00307821" w:rsidP="000D316D">
      <w:pPr>
        <w:rPr>
          <w:rFonts w:ascii="Times New Roman" w:hAnsi="Times New Roman"/>
          <w:b/>
          <w:sz w:val="22"/>
          <w:szCs w:val="22"/>
          <w:lang w:eastAsia="en-AU"/>
        </w:rPr>
      </w:pPr>
    </w:p>
    <w:p w14:paraId="666365C3" w14:textId="4DA6D5DB" w:rsidR="00C657FB" w:rsidRPr="00F96136" w:rsidRDefault="003250D2" w:rsidP="000D316D">
      <w:pPr>
        <w:rPr>
          <w:rFonts w:ascii="Times New Roman" w:hAnsi="Times New Roman"/>
          <w:sz w:val="22"/>
          <w:szCs w:val="22"/>
          <w:lang w:eastAsia="en-AU"/>
        </w:rPr>
      </w:pPr>
      <w:r w:rsidRPr="00F96136">
        <w:rPr>
          <w:rFonts w:ascii="Times New Roman" w:hAnsi="Times New Roman"/>
          <w:sz w:val="22"/>
          <w:szCs w:val="22"/>
          <w:lang w:eastAsia="en-AU"/>
        </w:rPr>
        <w:t>DFAT</w:t>
      </w:r>
      <w:r w:rsidR="00F63B43" w:rsidRPr="00F96136">
        <w:rPr>
          <w:rFonts w:ascii="Times New Roman" w:hAnsi="Times New Roman"/>
          <w:sz w:val="22"/>
          <w:szCs w:val="22"/>
          <w:lang w:eastAsia="en-AU"/>
        </w:rPr>
        <w:t>’s r</w:t>
      </w:r>
      <w:r w:rsidR="00C657FB" w:rsidRPr="00F96136">
        <w:rPr>
          <w:rFonts w:ascii="Times New Roman" w:hAnsi="Times New Roman"/>
          <w:sz w:val="22"/>
          <w:szCs w:val="22"/>
          <w:lang w:eastAsia="en-AU"/>
        </w:rPr>
        <w:t>esponse to the specific rec</w:t>
      </w:r>
      <w:r w:rsidR="00367DA3" w:rsidRPr="00F96136">
        <w:rPr>
          <w:rFonts w:ascii="Times New Roman" w:hAnsi="Times New Roman"/>
          <w:sz w:val="22"/>
          <w:szCs w:val="22"/>
          <w:lang w:eastAsia="en-AU"/>
        </w:rPr>
        <w:t>ommendations made in the report</w:t>
      </w:r>
      <w:r w:rsidR="00F96136" w:rsidRPr="00F96136">
        <w:rPr>
          <w:rFonts w:ascii="Times New Roman" w:hAnsi="Times New Roman"/>
          <w:sz w:val="22"/>
          <w:szCs w:val="22"/>
          <w:lang w:eastAsia="en-AU"/>
        </w:rPr>
        <w:t xml:space="preserve"> are detailed in the table below.</w:t>
      </w:r>
    </w:p>
    <w:p w14:paraId="666365C4" w14:textId="77777777" w:rsidR="00C657FB" w:rsidRPr="004B4BEE" w:rsidRDefault="00C657FB" w:rsidP="00C657FB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97"/>
        <w:gridCol w:w="2617"/>
        <w:gridCol w:w="2576"/>
        <w:gridCol w:w="1838"/>
      </w:tblGrid>
      <w:tr w:rsidR="00E6298A" w:rsidRPr="004B4BEE" w14:paraId="666365C9" w14:textId="77777777" w:rsidTr="00DF4B4D">
        <w:trPr>
          <w:cantSplit/>
        </w:trPr>
        <w:tc>
          <w:tcPr>
            <w:tcW w:w="2597" w:type="dxa"/>
            <w:shd w:val="clear" w:color="auto" w:fill="FFEC9B"/>
            <w:vAlign w:val="center"/>
          </w:tcPr>
          <w:p w14:paraId="666365C5" w14:textId="77777777" w:rsidR="00E6298A" w:rsidRPr="004B4BEE" w:rsidRDefault="00E6298A" w:rsidP="001467C6">
            <w:pPr>
              <w:pStyle w:val="Heading2"/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B4BEE">
              <w:rPr>
                <w:rFonts w:ascii="Times New Roman" w:hAnsi="Times New Roman" w:cs="Times New Roman"/>
                <w:sz w:val="22"/>
              </w:rPr>
              <w:lastRenderedPageBreak/>
              <w:t>Recommendation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FFEC9B"/>
            <w:vAlign w:val="center"/>
          </w:tcPr>
          <w:p w14:paraId="666365C6" w14:textId="77777777" w:rsidR="00E6298A" w:rsidRPr="004B4BEE" w:rsidRDefault="00E6298A" w:rsidP="001467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BEE">
              <w:rPr>
                <w:rFonts w:ascii="Times New Roman" w:hAnsi="Times New Roman"/>
                <w:b/>
                <w:sz w:val="22"/>
                <w:szCs w:val="22"/>
              </w:rPr>
              <w:t>Response</w:t>
            </w: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FFEC9B"/>
            <w:vAlign w:val="center"/>
          </w:tcPr>
          <w:p w14:paraId="666365C7" w14:textId="77777777" w:rsidR="00E6298A" w:rsidRPr="004B4BEE" w:rsidRDefault="00E6298A" w:rsidP="001467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BEE">
              <w:rPr>
                <w:rFonts w:ascii="Times New Roman" w:hAnsi="Times New Roman"/>
                <w:b/>
                <w:sz w:val="22"/>
                <w:szCs w:val="22"/>
              </w:rPr>
              <w:t>Actions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EC9B"/>
            <w:vAlign w:val="center"/>
          </w:tcPr>
          <w:p w14:paraId="666365C8" w14:textId="77777777" w:rsidR="00E6298A" w:rsidRPr="004B4BEE" w:rsidRDefault="00E6298A" w:rsidP="001467C6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b/>
                <w:sz w:val="22"/>
                <w:szCs w:val="22"/>
              </w:rPr>
              <w:t>Responsibility</w:t>
            </w:r>
          </w:p>
        </w:tc>
      </w:tr>
      <w:tr w:rsidR="00E6298A" w:rsidRPr="004B4BEE" w14:paraId="666365CF" w14:textId="77777777" w:rsidTr="00E73369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7205A3DA" w14:textId="6551EEDF" w:rsidR="000E4369" w:rsidRPr="004B4BEE" w:rsidRDefault="001041F0" w:rsidP="00BF229D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DF4B4D">
              <w:rPr>
                <w:rFonts w:ascii="Times New Roman" w:hAnsi="Times New Roman"/>
                <w:sz w:val="22"/>
                <w:szCs w:val="22"/>
              </w:rPr>
              <w:t>Document the revised</w:t>
            </w:r>
            <w:r w:rsidR="000E4369" w:rsidRPr="004B4BEE">
              <w:rPr>
                <w:rFonts w:ascii="Times New Roman" w:hAnsi="Times New Roman"/>
                <w:sz w:val="22"/>
                <w:szCs w:val="22"/>
              </w:rPr>
              <w:t xml:space="preserve"> Theory of Change that clearly articulates how the changes in </w:t>
            </w:r>
            <w:r w:rsidR="002311E0">
              <w:rPr>
                <w:rFonts w:ascii="Times New Roman" w:hAnsi="Times New Roman"/>
                <w:sz w:val="22"/>
                <w:szCs w:val="22"/>
              </w:rPr>
              <w:t>the third year of the investment</w:t>
            </w:r>
            <w:r w:rsidR="000E4369" w:rsidRPr="004B4BEE">
              <w:rPr>
                <w:rFonts w:ascii="Times New Roman" w:hAnsi="Times New Roman"/>
                <w:sz w:val="22"/>
                <w:szCs w:val="22"/>
              </w:rPr>
              <w:t xml:space="preserve"> are expected to lead to program outcomes, including assumptions </w:t>
            </w:r>
            <w:r w:rsidR="00BF229D" w:rsidRPr="004B4BEE">
              <w:rPr>
                <w:rFonts w:ascii="Times New Roman" w:hAnsi="Times New Roman"/>
                <w:sz w:val="22"/>
                <w:szCs w:val="22"/>
              </w:rPr>
              <w:t xml:space="preserve">and lessons learnt from </w:t>
            </w:r>
            <w:r w:rsidR="002311E0">
              <w:rPr>
                <w:rFonts w:ascii="Times New Roman" w:hAnsi="Times New Roman"/>
                <w:sz w:val="22"/>
                <w:szCs w:val="22"/>
              </w:rPr>
              <w:t>the first two years of the program.</w:t>
            </w:r>
          </w:p>
          <w:p w14:paraId="666365CA" w14:textId="6CD2E770" w:rsidR="00E6298A" w:rsidRPr="004B4BEE" w:rsidRDefault="00E6298A" w:rsidP="001041F0">
            <w:pPr>
              <w:spacing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666365CC" w14:textId="72BE1537" w:rsidR="00E6298A" w:rsidRPr="004B4BEE" w:rsidRDefault="00E6298A" w:rsidP="0040598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 xml:space="preserve">Agree </w:t>
            </w: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666365CD" w14:textId="29304136" w:rsidR="00E6298A" w:rsidRPr="004B4BEE" w:rsidRDefault="00AD52AF" w:rsidP="00F62D3E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0E4369" w:rsidRPr="004B4BEE">
              <w:rPr>
                <w:rFonts w:ascii="Times New Roman" w:hAnsi="Times New Roman"/>
                <w:sz w:val="22"/>
                <w:szCs w:val="22"/>
              </w:rPr>
              <w:t xml:space="preserve"> will document the change in ToC that now underpins the remainder of the investment</w:t>
            </w:r>
            <w:r w:rsidR="008C3C0E">
              <w:rPr>
                <w:rFonts w:ascii="Times New Roman" w:hAnsi="Times New Roman"/>
                <w:sz w:val="22"/>
                <w:szCs w:val="22"/>
              </w:rPr>
              <w:t>.</w:t>
            </w:r>
            <w:r w:rsidR="000E4369" w:rsidRPr="004B4B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666365CE" w14:textId="54FD626F" w:rsidR="00E6298A" w:rsidRPr="004B4BEE" w:rsidRDefault="00AD52AF" w:rsidP="00D67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0E4369" w:rsidRPr="004B4B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F5C74" w:rsidRPr="004B4BEE" w14:paraId="364D492F" w14:textId="77777777" w:rsidTr="00E73369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67FA0199" w14:textId="77777777" w:rsidR="00CF5C74" w:rsidRDefault="00CF5C74" w:rsidP="00CF5C74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Revise the M&amp;E Strategy and Results Framework to include:</w:t>
            </w:r>
          </w:p>
          <w:p w14:paraId="7D1C41B7" w14:textId="77777777" w:rsidR="00CF5C74" w:rsidRDefault="00CF5C74" w:rsidP="00CF5C74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stronger outcome level reporting </w:t>
            </w:r>
          </w:p>
          <w:p w14:paraId="40120257" w14:textId="586B94B4" w:rsidR="00CF5C74" w:rsidRDefault="00CF5C74" w:rsidP="00CF5C74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tracking of unintended consequences (positive and negative) </w:t>
            </w:r>
          </w:p>
          <w:p w14:paraId="35DC1682" w14:textId="76E50AE0" w:rsidR="00CF5C74" w:rsidRPr="004B4BEE" w:rsidRDefault="00CF5C74" w:rsidP="00F9613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corporate indicators to track </w:t>
            </w:r>
            <w:r w:rsidR="00F96136">
              <w:rPr>
                <w:rFonts w:ascii="Times New Roman" w:hAnsi="Times New Roman"/>
                <w:sz w:val="22"/>
                <w:szCs w:val="22"/>
              </w:rPr>
              <w:t xml:space="preserve">partners’ </w:t>
            </w:r>
            <w:r>
              <w:rPr>
                <w:rFonts w:ascii="Times New Roman" w:hAnsi="Times New Roman"/>
                <w:sz w:val="22"/>
                <w:szCs w:val="22"/>
              </w:rPr>
              <w:t>progress on promo</w:t>
            </w:r>
            <w:r w:rsidR="00C67208">
              <w:rPr>
                <w:rFonts w:ascii="Times New Roman" w:hAnsi="Times New Roman"/>
                <w:sz w:val="22"/>
                <w:szCs w:val="22"/>
              </w:rPr>
              <w:t>ting gender equality internally.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57585B3B" w14:textId="29EB2ACF" w:rsidR="00CF5C74" w:rsidRPr="004B4BEE" w:rsidRDefault="00146EF5" w:rsidP="0040598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Agree</w:t>
            </w: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73B0D6C0" w14:textId="230E2304" w:rsidR="00CF5C74" w:rsidRPr="004B4BEE" w:rsidRDefault="00375B2F" w:rsidP="00C6720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146EF5">
              <w:rPr>
                <w:rFonts w:ascii="Times New Roman" w:hAnsi="Times New Roman"/>
                <w:sz w:val="22"/>
                <w:szCs w:val="22"/>
              </w:rPr>
              <w:t xml:space="preserve"> will revise the M&amp;E strategy and RF for a </w:t>
            </w:r>
            <w:r>
              <w:rPr>
                <w:rFonts w:ascii="Times New Roman" w:hAnsi="Times New Roman"/>
                <w:sz w:val="22"/>
                <w:szCs w:val="22"/>
              </w:rPr>
              <w:t>stronger</w:t>
            </w:r>
            <w:r w:rsidR="00146EF5">
              <w:rPr>
                <w:rFonts w:ascii="Times New Roman" w:hAnsi="Times New Roman"/>
                <w:sz w:val="22"/>
                <w:szCs w:val="22"/>
              </w:rPr>
              <w:t xml:space="preserve"> outcome level reporting</w:t>
            </w:r>
            <w:r w:rsidR="00C67208">
              <w:rPr>
                <w:rFonts w:ascii="Times New Roman" w:hAnsi="Times New Roman"/>
                <w:sz w:val="22"/>
                <w:szCs w:val="22"/>
              </w:rPr>
              <w:t xml:space="preserve">, to record unintended consequence of the investment and to track </w:t>
            </w:r>
            <w:r>
              <w:rPr>
                <w:rFonts w:ascii="Times New Roman" w:hAnsi="Times New Roman"/>
                <w:sz w:val="22"/>
                <w:szCs w:val="22"/>
              </w:rPr>
              <w:t>progress</w:t>
            </w:r>
            <w:r w:rsidR="00C67208">
              <w:rPr>
                <w:rFonts w:ascii="Times New Roman" w:hAnsi="Times New Roman"/>
                <w:sz w:val="22"/>
                <w:szCs w:val="22"/>
              </w:rPr>
              <w:t xml:space="preserve"> on promoting gender equality internally.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622B684D" w14:textId="40C4CC30" w:rsidR="00CF5C74" w:rsidRPr="004B4BEE" w:rsidRDefault="00AD52AF" w:rsidP="00D67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</w:p>
        </w:tc>
      </w:tr>
      <w:tr w:rsidR="00E73369" w:rsidRPr="004B4BEE" w14:paraId="1F6BD805" w14:textId="77777777" w:rsidTr="00E73369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66A16F7A" w14:textId="5751083C" w:rsidR="00E73369" w:rsidRDefault="00E73369" w:rsidP="00CF5C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Closely </w:t>
            </w:r>
            <w:r w:rsidR="00372400">
              <w:rPr>
                <w:rFonts w:ascii="Times New Roman" w:hAnsi="Times New Roman" w:cs="Times New Roman"/>
                <w:sz w:val="22"/>
                <w:szCs w:val="22"/>
              </w:rPr>
              <w:t>monitor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5C74">
              <w:rPr>
                <w:rFonts w:ascii="Times New Roman" w:hAnsi="Times New Roman" w:cs="Times New Roman"/>
                <w:sz w:val="22"/>
                <w:szCs w:val="22"/>
              </w:rPr>
              <w:t xml:space="preserve">risks associated with </w:t>
            </w:r>
            <w:r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women and girls increasingly speaking out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about their rights.</w:t>
            </w:r>
            <w:r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0E32BA9F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 xml:space="preserve">Agree </w:t>
            </w:r>
          </w:p>
          <w:p w14:paraId="5A3E90BB" w14:textId="77777777" w:rsidR="00E73369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2D4347FA" w14:textId="2EFC609A" w:rsidR="00E73369" w:rsidRPr="005C30B7" w:rsidRDefault="00AD52AF" w:rsidP="00E73369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  <w:t>Trócaire</w:t>
            </w:r>
            <w:r w:rsidR="00E73369" w:rsidRPr="004B4BEE"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  <w:t xml:space="preserve"> will include a specific ‘conflict sensitivity’ indicator in M&amp;E strategy</w:t>
            </w:r>
            <w:r w:rsidR="00CF5C74"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  <w:t xml:space="preserve"> and track </w:t>
            </w:r>
            <w:r w:rsidR="0080721B"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  <w:t xml:space="preserve">any negative </w:t>
            </w:r>
            <w:r w:rsidR="00CF5C74"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  <w:t xml:space="preserve">unintended consequences via Knowledge, Attitudes and Practice </w:t>
            </w:r>
            <w:r w:rsidR="005C30B7">
              <w:rPr>
                <w:rFonts w:ascii="Times New Roman" w:hAnsi="Times New Roman"/>
                <w:color w:val="000000"/>
                <w:sz w:val="22"/>
                <w:szCs w:val="22"/>
                <w:lang w:eastAsia="en-AU"/>
              </w:rPr>
              <w:t>Survey.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092D06D5" w14:textId="014B1D3A" w:rsidR="00E73369" w:rsidRPr="004B4BEE" w:rsidRDefault="00AD52AF" w:rsidP="00D67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73369" w:rsidRPr="004B4BEE" w14:paraId="666365D5" w14:textId="77777777" w:rsidTr="00E73369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666365D0" w14:textId="3C509A3A" w:rsidR="00E73369" w:rsidRPr="004B4BEE" w:rsidRDefault="00F96136" w:rsidP="00E733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733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>Collect data on UNHCR referrals and include in the progress reports</w:t>
            </w:r>
            <w:r w:rsidR="008C3C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666365D2" w14:textId="3AB94D11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Agree</w:t>
            </w: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666365D3" w14:textId="15BBC6C2" w:rsidR="00E73369" w:rsidRPr="004B4BEE" w:rsidRDefault="00AD52AF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to report on referrals from UNHCR in the progress reports</w:t>
            </w:r>
            <w:r w:rsidR="008C3C0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666365D4" w14:textId="4616F198" w:rsidR="00E73369" w:rsidRPr="004B4BEE" w:rsidRDefault="00AD52AF" w:rsidP="00D67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73369" w:rsidRPr="004B4BEE" w14:paraId="5E4A55E4" w14:textId="77777777" w:rsidTr="00E73369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58B6B728" w14:textId="792D65F8" w:rsidR="00E73369" w:rsidRPr="004B4BEE" w:rsidRDefault="00F96136" w:rsidP="00C672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733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Set clear time bound targets for Noor Education </w:t>
            </w:r>
            <w:r w:rsidR="00C67208">
              <w:rPr>
                <w:rFonts w:ascii="Times New Roman" w:hAnsi="Times New Roman" w:cs="Times New Roman"/>
                <w:sz w:val="22"/>
                <w:szCs w:val="22"/>
              </w:rPr>
              <w:t>Trust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 (NET) regarding ongoing concerns on number of survivors accessing shelters and linkages with the government </w:t>
            </w:r>
            <w:r w:rsidR="00372400" w:rsidRPr="004B4BEE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 for referrals.  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3C3369E9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 xml:space="preserve">Agree </w:t>
            </w:r>
          </w:p>
          <w:p w14:paraId="749D6BA5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56378B48" w14:textId="70F333F6" w:rsidR="00E73369" w:rsidRPr="004B4BEE" w:rsidRDefault="00AD52AF" w:rsidP="00F9613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wil</w:t>
            </w:r>
            <w:r w:rsidR="00F96136">
              <w:rPr>
                <w:rFonts w:ascii="Times New Roman" w:hAnsi="Times New Roman"/>
                <w:sz w:val="22"/>
                <w:szCs w:val="22"/>
              </w:rPr>
              <w:t xml:space="preserve">l share these targets with Post before the end of Year 3 (June 2017) 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and Post will </w:t>
            </w:r>
            <w:r w:rsidR="00A84940">
              <w:rPr>
                <w:rFonts w:ascii="Times New Roman" w:hAnsi="Times New Roman"/>
                <w:sz w:val="22"/>
                <w:szCs w:val="22"/>
              </w:rPr>
              <w:t xml:space="preserve">closely </w:t>
            </w:r>
            <w:r w:rsidR="00372400">
              <w:rPr>
                <w:rFonts w:ascii="Times New Roman" w:hAnsi="Times New Roman"/>
                <w:sz w:val="22"/>
                <w:szCs w:val="22"/>
              </w:rPr>
              <w:t>monitor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progress in quarterly meetings</w:t>
            </w:r>
            <w:r w:rsidR="008C3C0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2BE72A31" w14:textId="61B8444A" w:rsidR="00E73369" w:rsidRPr="004B4BEE" w:rsidRDefault="00AD52AF" w:rsidP="00D67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A84940">
              <w:rPr>
                <w:rFonts w:ascii="Times New Roman" w:hAnsi="Times New Roman"/>
                <w:sz w:val="22"/>
                <w:szCs w:val="22"/>
              </w:rPr>
              <w:t>/Post</w:t>
            </w:r>
          </w:p>
        </w:tc>
      </w:tr>
      <w:tr w:rsidR="00E73369" w:rsidRPr="004B4BEE" w14:paraId="0B9E6339" w14:textId="77777777" w:rsidTr="00DF4B4D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079B8C1B" w14:textId="02EB53E7" w:rsidR="00E73369" w:rsidRDefault="00F96136" w:rsidP="00AE5FE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E733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>Improve performance un</w:t>
            </w:r>
            <w:r w:rsidR="00A84940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er objective </w:t>
            </w:r>
            <w:r w:rsidR="00E73369" w:rsidRPr="00AE5F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AE5FEE" w:rsidRPr="00AE5F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5F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(Strengthened GBV related Laws and </w:t>
            </w:r>
            <w:r w:rsidR="005C30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Policies</w:t>
            </w:r>
            <w:r w:rsidR="00AE5F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 place and being implemented)</w:t>
            </w:r>
            <w:r w:rsidR="00AE5FEE" w:rsidRPr="00AE5FE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7CD9847" w14:textId="4155F4AF" w:rsidR="0080721B" w:rsidRDefault="0080721B" w:rsidP="00AE5FE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identify KP advocacy partner ASAP</w:t>
            </w:r>
          </w:p>
          <w:p w14:paraId="4C17B1FA" w14:textId="4D4BA993" w:rsidR="0080721B" w:rsidRPr="004B4BEE" w:rsidRDefault="0080721B" w:rsidP="00AE5FE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ensure close coordination between all partners working on advocacy at the different levels</w:t>
            </w:r>
            <w:r w:rsidR="008C3C0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04070AB3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 xml:space="preserve">Agree </w:t>
            </w:r>
          </w:p>
          <w:p w14:paraId="44139604" w14:textId="595D0E72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3E6EFB42" w14:textId="7722C507" w:rsidR="00E73369" w:rsidRPr="004B4BEE" w:rsidRDefault="00E73369" w:rsidP="005C30B7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>Expedite contracting</w:t>
            </w:r>
            <w:r w:rsidR="005C30B7">
              <w:rPr>
                <w:rFonts w:ascii="Times New Roman" w:hAnsi="Times New Roman"/>
                <w:sz w:val="22"/>
                <w:szCs w:val="22"/>
              </w:rPr>
              <w:t xml:space="preserve"> of</w:t>
            </w:r>
            <w:r w:rsidRPr="004B4BEE">
              <w:rPr>
                <w:rFonts w:ascii="Times New Roman" w:hAnsi="Times New Roman"/>
                <w:sz w:val="22"/>
                <w:szCs w:val="22"/>
              </w:rPr>
              <w:t xml:space="preserve"> advocacy partners in the provinces to </w:t>
            </w:r>
            <w:r w:rsidR="00372400" w:rsidRPr="004B4BEE">
              <w:rPr>
                <w:rFonts w:ascii="Times New Roman" w:hAnsi="Times New Roman"/>
                <w:sz w:val="22"/>
                <w:szCs w:val="22"/>
              </w:rPr>
              <w:t>actively</w:t>
            </w:r>
            <w:r w:rsidRPr="004B4BEE">
              <w:rPr>
                <w:rFonts w:ascii="Times New Roman" w:hAnsi="Times New Roman"/>
                <w:sz w:val="22"/>
                <w:szCs w:val="22"/>
              </w:rPr>
              <w:t xml:space="preserve"> engage policy makers in progressing pro</w:t>
            </w:r>
            <w:r w:rsidR="005C30B7">
              <w:rPr>
                <w:rFonts w:ascii="Times New Roman" w:hAnsi="Times New Roman"/>
                <w:sz w:val="22"/>
                <w:szCs w:val="22"/>
              </w:rPr>
              <w:t>-</w:t>
            </w:r>
            <w:r w:rsidRPr="004B4BEE">
              <w:rPr>
                <w:rFonts w:ascii="Times New Roman" w:hAnsi="Times New Roman"/>
                <w:sz w:val="22"/>
                <w:szCs w:val="22"/>
              </w:rPr>
              <w:t>women legislation work committed</w:t>
            </w:r>
            <w:r w:rsidR="00AD52AF">
              <w:rPr>
                <w:rFonts w:ascii="Times New Roman" w:hAnsi="Times New Roman"/>
                <w:sz w:val="22"/>
                <w:szCs w:val="22"/>
              </w:rPr>
              <w:t xml:space="preserve"> to</w:t>
            </w:r>
            <w:r w:rsidRPr="004B4BEE">
              <w:rPr>
                <w:rFonts w:ascii="Times New Roman" w:hAnsi="Times New Roman"/>
                <w:sz w:val="22"/>
                <w:szCs w:val="22"/>
              </w:rPr>
              <w:t xml:space="preserve"> in the investment</w:t>
            </w:r>
            <w:r w:rsidR="00A84940">
              <w:rPr>
                <w:rFonts w:ascii="Times New Roman" w:hAnsi="Times New Roman"/>
                <w:sz w:val="22"/>
                <w:szCs w:val="22"/>
              </w:rPr>
              <w:t>. Post will closely monitor progress in quarterly meetings</w:t>
            </w:r>
            <w:r w:rsidR="00C67208">
              <w:rPr>
                <w:rFonts w:ascii="Times New Roman" w:hAnsi="Times New Roman"/>
                <w:sz w:val="22"/>
                <w:szCs w:val="22"/>
              </w:rPr>
              <w:t>.</w:t>
            </w:r>
            <w:r w:rsidR="00C67208">
              <w:rPr>
                <w:rFonts w:ascii="Times New Roman" w:hAnsi="Times New Roman"/>
                <w:sz w:val="22"/>
                <w:szCs w:val="22"/>
              </w:rPr>
              <w:br/>
            </w:r>
            <w:r w:rsidR="00AD52AF"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C67208">
              <w:rPr>
                <w:rFonts w:ascii="Times New Roman" w:hAnsi="Times New Roman"/>
                <w:sz w:val="22"/>
                <w:szCs w:val="22"/>
              </w:rPr>
              <w:t xml:space="preserve"> will share advocacy plans and will </w:t>
            </w:r>
            <w:r w:rsidR="005C30B7">
              <w:rPr>
                <w:rFonts w:ascii="Times New Roman" w:hAnsi="Times New Roman"/>
                <w:sz w:val="22"/>
                <w:szCs w:val="22"/>
              </w:rPr>
              <w:t>maintain</w:t>
            </w:r>
            <w:r w:rsidR="00C67208">
              <w:rPr>
                <w:rFonts w:ascii="Times New Roman" w:hAnsi="Times New Roman"/>
                <w:sz w:val="22"/>
                <w:szCs w:val="22"/>
              </w:rPr>
              <w:t xml:space="preserve"> close liaison with Post</w:t>
            </w:r>
            <w:r w:rsidR="008C3C0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42A9EAB8" w14:textId="17949BA0" w:rsidR="00E73369" w:rsidRPr="004B4BEE" w:rsidRDefault="00AD52AF" w:rsidP="00D67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C67208">
              <w:rPr>
                <w:rFonts w:ascii="Times New Roman" w:hAnsi="Times New Roman"/>
                <w:sz w:val="22"/>
                <w:szCs w:val="22"/>
              </w:rPr>
              <w:t>/Post</w:t>
            </w:r>
          </w:p>
        </w:tc>
      </w:tr>
      <w:tr w:rsidR="00E73369" w:rsidRPr="004B4BEE" w14:paraId="0316707C" w14:textId="77777777" w:rsidTr="00DF4B4D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6100E62F" w14:textId="75D5C438" w:rsidR="00E73369" w:rsidRPr="004B4BEE" w:rsidRDefault="00F96136" w:rsidP="00E733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9401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F5C74">
              <w:rPr>
                <w:rFonts w:ascii="Times New Roman" w:hAnsi="Times New Roman" w:cs="Times New Roman"/>
                <w:sz w:val="22"/>
                <w:szCs w:val="22"/>
              </w:rPr>
              <w:t>nsure partners</w:t>
            </w:r>
            <w:r w:rsidR="00394013">
              <w:rPr>
                <w:rFonts w:ascii="Times New Roman" w:hAnsi="Times New Roman" w:cs="Times New Roman"/>
                <w:sz w:val="22"/>
                <w:szCs w:val="22"/>
              </w:rPr>
              <w:t xml:space="preserve"> and stakeholders</w:t>
            </w:r>
            <w:r w:rsidR="00CF5C74">
              <w:rPr>
                <w:rFonts w:ascii="Times New Roman" w:hAnsi="Times New Roman" w:cs="Times New Roman"/>
                <w:sz w:val="22"/>
                <w:szCs w:val="22"/>
              </w:rPr>
              <w:t xml:space="preserve"> have regular opportunities for </w:t>
            </w:r>
            <w:r w:rsidR="00431EFB">
              <w:rPr>
                <w:rFonts w:ascii="Times New Roman" w:hAnsi="Times New Roman" w:cs="Times New Roman"/>
                <w:sz w:val="22"/>
                <w:szCs w:val="22"/>
              </w:rPr>
              <w:t>cross learning</w:t>
            </w:r>
            <w:r w:rsidR="008072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B047491" w14:textId="77777777" w:rsidR="00E73369" w:rsidRPr="004B4BEE" w:rsidRDefault="00E73369" w:rsidP="00E733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7A6F6775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 xml:space="preserve">Agree </w:t>
            </w:r>
          </w:p>
          <w:p w14:paraId="64F8B07F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063E4311" w14:textId="38DC7196" w:rsidR="00394013" w:rsidRPr="00C67208" w:rsidRDefault="00AD52AF" w:rsidP="00F9613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will organise a 2-3 </w:t>
            </w:r>
            <w:r w:rsidR="00372400" w:rsidRPr="004B4BEE">
              <w:rPr>
                <w:rFonts w:ascii="Times New Roman" w:hAnsi="Times New Roman"/>
                <w:sz w:val="22"/>
                <w:szCs w:val="22"/>
              </w:rPr>
              <w:t>day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lessons learnt workshop before the end of </w:t>
            </w:r>
            <w:r w:rsidR="00A84940">
              <w:rPr>
                <w:rFonts w:ascii="Times New Roman" w:hAnsi="Times New Roman"/>
                <w:sz w:val="22"/>
                <w:szCs w:val="22"/>
              </w:rPr>
              <w:t>Year 3 (June 2017)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to ensure all the shelter, prevention and vocational training partners are able to </w:t>
            </w:r>
            <w:r w:rsidR="00372400" w:rsidRPr="004B4BEE">
              <w:rPr>
                <w:rFonts w:ascii="Times New Roman" w:hAnsi="Times New Roman"/>
                <w:sz w:val="22"/>
                <w:szCs w:val="22"/>
              </w:rPr>
              <w:t>exchange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knowledge and good practices</w:t>
            </w:r>
            <w:r w:rsidR="00A84940">
              <w:rPr>
                <w:rFonts w:ascii="Times New Roman" w:hAnsi="Times New Roman"/>
                <w:sz w:val="22"/>
                <w:szCs w:val="22"/>
              </w:rPr>
              <w:t>.</w:t>
            </w:r>
            <w:r w:rsidR="00394013">
              <w:rPr>
                <w:rFonts w:ascii="Times New Roman" w:hAnsi="Times New Roman"/>
                <w:sz w:val="22"/>
                <w:szCs w:val="22"/>
              </w:rPr>
              <w:t xml:space="preserve"> Trócaire</w:t>
            </w:r>
            <w:r w:rsidR="00394013" w:rsidRPr="00C67208">
              <w:rPr>
                <w:rFonts w:ascii="Times New Roman" w:hAnsi="Times New Roman"/>
                <w:sz w:val="22"/>
                <w:szCs w:val="22"/>
              </w:rPr>
              <w:t xml:space="preserve"> will leverage Pakistan EVAWG Alliance network to</w:t>
            </w:r>
            <w:r w:rsidR="00394013">
              <w:rPr>
                <w:rFonts w:ascii="Times New Roman" w:hAnsi="Times New Roman"/>
                <w:sz w:val="22"/>
                <w:szCs w:val="22"/>
              </w:rPr>
              <w:t xml:space="preserve"> better link </w:t>
            </w:r>
            <w:r w:rsidR="00F96136">
              <w:rPr>
                <w:rFonts w:ascii="Times New Roman" w:hAnsi="Times New Roman"/>
                <w:sz w:val="22"/>
                <w:szCs w:val="22"/>
              </w:rPr>
              <w:t>stakeholders.</w:t>
            </w:r>
          </w:p>
          <w:p w14:paraId="3397DF77" w14:textId="473EBD42" w:rsidR="00E73369" w:rsidRPr="004B4BEE" w:rsidRDefault="00E73369" w:rsidP="00A8494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64649E36" w14:textId="154E485D" w:rsidR="00E73369" w:rsidRPr="004B4BEE" w:rsidRDefault="00AD52AF" w:rsidP="00D67BC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E73369" w:rsidRPr="004B4B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73369" w:rsidRPr="004B4BEE" w14:paraId="2EF5711B" w14:textId="77777777" w:rsidTr="00DF4B4D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7BA71F81" w14:textId="40AF3DEF" w:rsidR="00E73369" w:rsidRPr="004B4BEE" w:rsidRDefault="00F96136" w:rsidP="00AD52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 xml:space="preserve">. Continue to </w:t>
            </w:r>
            <w:r w:rsidR="00AD52AF">
              <w:rPr>
                <w:rFonts w:ascii="Times New Roman" w:hAnsi="Times New Roman" w:cs="Times New Roman"/>
                <w:sz w:val="22"/>
                <w:szCs w:val="22"/>
              </w:rPr>
              <w:t xml:space="preserve">ensure </w:t>
            </w:r>
            <w:r w:rsidR="00E73369" w:rsidRPr="004B4BEE">
              <w:rPr>
                <w:rFonts w:ascii="Times New Roman" w:hAnsi="Times New Roman" w:cs="Times New Roman"/>
                <w:sz w:val="22"/>
                <w:szCs w:val="22"/>
              </w:rPr>
              <w:t>disability considerations are integrated throughout the Program</w:t>
            </w:r>
            <w:r w:rsidR="008C3C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6848987E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4B4BEE">
              <w:rPr>
                <w:rFonts w:ascii="Times New Roman" w:hAnsi="Times New Roman"/>
                <w:sz w:val="22"/>
                <w:szCs w:val="22"/>
              </w:rPr>
              <w:t xml:space="preserve">Agree </w:t>
            </w:r>
          </w:p>
          <w:p w14:paraId="55708495" w14:textId="77777777" w:rsidR="00E73369" w:rsidRPr="004B4BEE" w:rsidRDefault="00E73369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09916A55" w14:textId="33B2D230" w:rsidR="00AD52AF" w:rsidRPr="00F96136" w:rsidRDefault="00AD52AF" w:rsidP="00F9613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E73369" w:rsidRPr="00AD52AF">
              <w:rPr>
                <w:rFonts w:ascii="Times New Roman" w:hAnsi="Times New Roman"/>
                <w:sz w:val="22"/>
                <w:szCs w:val="22"/>
              </w:rPr>
              <w:t xml:space="preserve"> will ensure </w:t>
            </w:r>
            <w:r w:rsidR="00372400" w:rsidRPr="00AD52AF">
              <w:rPr>
                <w:rFonts w:ascii="Times New Roman" w:hAnsi="Times New Roman"/>
                <w:sz w:val="22"/>
                <w:szCs w:val="22"/>
              </w:rPr>
              <w:t>partners</w:t>
            </w:r>
            <w:r w:rsidR="00E73369" w:rsidRPr="00AD52AF">
              <w:rPr>
                <w:rFonts w:ascii="Times New Roman" w:hAnsi="Times New Roman"/>
                <w:sz w:val="22"/>
                <w:szCs w:val="22"/>
              </w:rPr>
              <w:t xml:space="preserve"> are focused on Disability Inclusive </w:t>
            </w:r>
            <w:r w:rsidR="00372400" w:rsidRPr="00AD52AF">
              <w:rPr>
                <w:rFonts w:ascii="Times New Roman" w:hAnsi="Times New Roman"/>
                <w:sz w:val="22"/>
                <w:szCs w:val="22"/>
              </w:rPr>
              <w:t>Development</w:t>
            </w:r>
            <w:r w:rsidR="00E73369" w:rsidRPr="00AD52AF">
              <w:rPr>
                <w:rFonts w:ascii="Times New Roman" w:hAnsi="Times New Roman"/>
                <w:sz w:val="22"/>
                <w:szCs w:val="22"/>
              </w:rPr>
              <w:t xml:space="preserve"> (DID</w:t>
            </w:r>
            <w:r w:rsidR="00372400" w:rsidRPr="00AD52AF">
              <w:rPr>
                <w:rFonts w:ascii="Times New Roman" w:hAnsi="Times New Roman"/>
                <w:sz w:val="22"/>
                <w:szCs w:val="22"/>
              </w:rPr>
              <w:t xml:space="preserve">). </w:t>
            </w:r>
            <w:r w:rsidR="00E73369" w:rsidRPr="00AD52AF">
              <w:rPr>
                <w:rFonts w:ascii="Times New Roman" w:hAnsi="Times New Roman"/>
                <w:sz w:val="22"/>
                <w:szCs w:val="22"/>
              </w:rPr>
              <w:t xml:space="preserve">Post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will </w:t>
            </w:r>
            <w:r w:rsidR="005C30B7">
              <w:rPr>
                <w:rFonts w:ascii="Times New Roman" w:hAnsi="Times New Roman"/>
                <w:sz w:val="22"/>
                <w:szCs w:val="22"/>
              </w:rPr>
              <w:t>continue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52AF">
              <w:rPr>
                <w:rFonts w:ascii="Times New Roman" w:hAnsi="Times New Roman"/>
                <w:sz w:val="22"/>
                <w:szCs w:val="22"/>
              </w:rPr>
              <w:t>consistent messaging around the importance of disability inclusiveness, and link Trócaire to support provided by DFAT Canberra</w:t>
            </w:r>
            <w:r w:rsidRPr="00F9613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89B378C" w14:textId="2ABC017A" w:rsidR="00E73369" w:rsidRPr="004B4BEE" w:rsidRDefault="00E73369" w:rsidP="00F9613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55AED385" w14:textId="32105151" w:rsidR="00E73369" w:rsidRPr="004B4BEE" w:rsidRDefault="00AD52AF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="00D67BCC">
              <w:rPr>
                <w:rFonts w:ascii="Times New Roman" w:hAnsi="Times New Roman"/>
                <w:sz w:val="22"/>
                <w:szCs w:val="22"/>
              </w:rPr>
              <w:t>/ Post</w:t>
            </w:r>
          </w:p>
        </w:tc>
      </w:tr>
      <w:tr w:rsidR="005C30B7" w:rsidRPr="004B4BEE" w14:paraId="55518668" w14:textId="77777777" w:rsidTr="00DF4B4D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5A93B3D2" w14:textId="07C520FE" w:rsidR="005C30B7" w:rsidRDefault="005C30B7" w:rsidP="00AD52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10. Strengthen efforts to 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>build linkages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with the relevant government and political stakeholders at all the 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 xml:space="preserve">tiers </w:t>
            </w:r>
            <w:r>
              <w:rPr>
                <w:rFonts w:ascii="Times New Roman" w:hAnsi="Times New Roman"/>
                <w:sz w:val="22"/>
                <w:szCs w:val="22"/>
              </w:rPr>
              <w:t>e.g. national, provincial and district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6F6660FE" w14:textId="5E562AE7" w:rsidR="005C30B7" w:rsidRPr="004B4BEE" w:rsidRDefault="005C30B7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Agree</w:t>
            </w: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45A3EB15" w14:textId="364FAC82" w:rsidR="005C30B7" w:rsidRDefault="005C30B7" w:rsidP="00F9613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 xml:space="preserve"> will build/strengthen its relationships with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>National and Provincial Commissions 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the Status of W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>omen and Human Rights Commission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>partners</w:t>
            </w:r>
            <w:r>
              <w:rPr>
                <w:rFonts w:ascii="Times New Roman" w:hAnsi="Times New Roman"/>
                <w:sz w:val="22"/>
                <w:szCs w:val="22"/>
              </w:rPr>
              <w:t>, and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national and provincial level Women’s Parliamentary Caucuses 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>to establish be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>ter linkages at the district level. Trócaire to provide overall coordination.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3C7E5361" w14:textId="50791FDD" w:rsidR="005C30B7" w:rsidRDefault="005C30B7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Trócaire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>/Local Partners</w:t>
            </w:r>
          </w:p>
        </w:tc>
      </w:tr>
      <w:tr w:rsidR="00504E27" w:rsidRPr="004B4BEE" w14:paraId="38D1ECF0" w14:textId="77777777" w:rsidTr="00DF4B4D">
        <w:trPr>
          <w:cantSplit/>
          <w:trHeight w:val="885"/>
        </w:trPr>
        <w:tc>
          <w:tcPr>
            <w:tcW w:w="2597" w:type="dxa"/>
            <w:shd w:val="clear" w:color="auto" w:fill="auto"/>
          </w:tcPr>
          <w:p w14:paraId="5586BE31" w14:textId="5F93BCA5" w:rsidR="00504E27" w:rsidRPr="00C67208" w:rsidRDefault="009B6749" w:rsidP="00F96136">
            <w:pPr>
              <w:spacing w:before="0"/>
              <w:rPr>
                <w:rFonts w:ascii="Times New Roman" w:hAnsi="Times New Roman"/>
                <w:sz w:val="22"/>
                <w:szCs w:val="22"/>
                <w:lang w:eastAsia="en-AU"/>
              </w:rPr>
            </w:pPr>
            <w:r w:rsidRPr="00C67208">
              <w:rPr>
                <w:rFonts w:ascii="Times New Roman" w:hAnsi="Times New Roman"/>
                <w:sz w:val="22"/>
                <w:szCs w:val="22"/>
              </w:rPr>
              <w:t>1</w:t>
            </w:r>
            <w:r w:rsidR="00F96136">
              <w:rPr>
                <w:rFonts w:ascii="Times New Roman" w:hAnsi="Times New Roman"/>
                <w:sz w:val="22"/>
                <w:szCs w:val="22"/>
              </w:rPr>
              <w:t>1</w:t>
            </w:r>
            <w:r w:rsidRPr="00C6720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504E27" w:rsidRPr="00C67208">
              <w:rPr>
                <w:rFonts w:ascii="Times New Roman" w:hAnsi="Times New Roman"/>
                <w:sz w:val="22"/>
                <w:szCs w:val="22"/>
              </w:rPr>
              <w:t>Additional opportunities to harmonise with other key stakeholders and donor investments in the EVAW sector should be actively explored.</w:t>
            </w:r>
          </w:p>
        </w:tc>
        <w:tc>
          <w:tcPr>
            <w:tcW w:w="2617" w:type="dxa"/>
            <w:tcBorders>
              <w:right w:val="single" w:sz="4" w:space="0" w:color="auto"/>
            </w:tcBorders>
            <w:shd w:val="clear" w:color="auto" w:fill="auto"/>
          </w:tcPr>
          <w:p w14:paraId="2D3B35D8" w14:textId="07FA9DDE" w:rsidR="00504E27" w:rsidRPr="00C67208" w:rsidRDefault="00912E48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Agree</w:t>
            </w: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538D635A" w14:textId="2D5153FC" w:rsidR="00504E27" w:rsidRPr="00C67208" w:rsidRDefault="001D1ADC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67208">
              <w:rPr>
                <w:rFonts w:ascii="Times New Roman" w:hAnsi="Times New Roman"/>
                <w:sz w:val="22"/>
                <w:szCs w:val="22"/>
              </w:rPr>
              <w:t xml:space="preserve">Post to carry out donor mapping to harmonise its EVAW work and consider developing synergies. 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14:paraId="72296343" w14:textId="12C42373" w:rsidR="00504E27" w:rsidRPr="00C67208" w:rsidRDefault="001D1ADC" w:rsidP="00E73369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67208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</w:tr>
    </w:tbl>
    <w:p w14:paraId="666365DA" w14:textId="77777777" w:rsidR="00913F5E" w:rsidRPr="00913F5E" w:rsidRDefault="00913F5E" w:rsidP="00C657FB">
      <w:pPr>
        <w:pStyle w:val="Heading2"/>
      </w:pPr>
    </w:p>
    <w:sectPr w:rsidR="00913F5E" w:rsidRPr="00913F5E" w:rsidSect="0005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EF38" w14:textId="77777777" w:rsidR="00F7130B" w:rsidRDefault="00F7130B">
      <w:pPr>
        <w:pStyle w:val="Table-list-number"/>
      </w:pPr>
      <w:r>
        <w:separator/>
      </w:r>
    </w:p>
  </w:endnote>
  <w:endnote w:type="continuationSeparator" w:id="0">
    <w:p w14:paraId="10F98B4D" w14:textId="77777777" w:rsidR="00F7130B" w:rsidRDefault="00F7130B">
      <w:pPr>
        <w:pStyle w:val="Table-list-numb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1246" w14:textId="77777777" w:rsidR="003644DF" w:rsidRDefault="0036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C9CE" w14:textId="77777777" w:rsidR="003644DF" w:rsidRDefault="00364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CA1C1" w14:textId="77777777" w:rsidR="003644DF" w:rsidRDefault="0036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6D64" w14:textId="77777777" w:rsidR="00F7130B" w:rsidRDefault="00F7130B">
      <w:pPr>
        <w:pStyle w:val="Table-list-number"/>
      </w:pPr>
      <w:r>
        <w:separator/>
      </w:r>
    </w:p>
  </w:footnote>
  <w:footnote w:type="continuationSeparator" w:id="0">
    <w:p w14:paraId="3EBDA0A4" w14:textId="77777777" w:rsidR="00F7130B" w:rsidRDefault="00F7130B">
      <w:pPr>
        <w:pStyle w:val="Table-list-numb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178F" w14:textId="77777777" w:rsidR="003644DF" w:rsidRDefault="00364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365E3" w14:textId="77777777" w:rsidR="00041EFD" w:rsidRPr="00077243" w:rsidRDefault="00041EFD" w:rsidP="00077243">
    <w:pPr>
      <w:pStyle w:val="Header"/>
      <w:jc w:val="center"/>
      <w:rPr>
        <w:caps/>
      </w:rPr>
    </w:pPr>
    <w:r w:rsidRPr="00077243">
      <w:rPr>
        <w:caps/>
      </w:rPr>
      <w:t>Unclassified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35BE" w14:textId="77777777" w:rsidR="003644DF" w:rsidRDefault="00364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A10"/>
    <w:multiLevelType w:val="multilevel"/>
    <w:tmpl w:val="5EC8BC40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9E6"/>
    <w:multiLevelType w:val="hybridMultilevel"/>
    <w:tmpl w:val="2BB08866"/>
    <w:lvl w:ilvl="0" w:tplc="AC2E0D00">
      <w:start w:val="1"/>
      <w:numFmt w:val="decimal"/>
      <w:pStyle w:val="Table-list-numb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44581"/>
    <w:multiLevelType w:val="multilevel"/>
    <w:tmpl w:val="A0A6AAD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D85"/>
    <w:multiLevelType w:val="hybridMultilevel"/>
    <w:tmpl w:val="A0A6AAD8"/>
    <w:lvl w:ilvl="0" w:tplc="7F402E4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08"/>
    <w:multiLevelType w:val="hybridMultilevel"/>
    <w:tmpl w:val="BD005BE8"/>
    <w:lvl w:ilvl="0" w:tplc="03B0FA2A">
      <w:numFmt w:val="bullet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6952"/>
    <w:multiLevelType w:val="hybridMultilevel"/>
    <w:tmpl w:val="5BD0A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EE7"/>
    <w:multiLevelType w:val="hybridMultilevel"/>
    <w:tmpl w:val="540851C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0BF696C"/>
    <w:multiLevelType w:val="hybridMultilevel"/>
    <w:tmpl w:val="44EA5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03D64"/>
    <w:multiLevelType w:val="hybridMultilevel"/>
    <w:tmpl w:val="B8AAF53A"/>
    <w:lvl w:ilvl="0" w:tplc="B2806932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64A5A"/>
    <w:multiLevelType w:val="hybridMultilevel"/>
    <w:tmpl w:val="0D2C9A66"/>
    <w:lvl w:ilvl="0" w:tplc="48FC474E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8D1296"/>
    <w:multiLevelType w:val="hybridMultilevel"/>
    <w:tmpl w:val="5EC8BC40"/>
    <w:lvl w:ilvl="0" w:tplc="3F200F0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4006C"/>
    <w:multiLevelType w:val="multilevel"/>
    <w:tmpl w:val="A0A6AAD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45DD"/>
    <w:multiLevelType w:val="hybridMultilevel"/>
    <w:tmpl w:val="F06E71B4"/>
    <w:lvl w:ilvl="0" w:tplc="0C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D891EFF"/>
    <w:multiLevelType w:val="hybridMultilevel"/>
    <w:tmpl w:val="92460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D11B4"/>
    <w:multiLevelType w:val="multilevel"/>
    <w:tmpl w:val="88B61454"/>
    <w:lvl w:ilvl="0">
      <w:start w:val="1"/>
      <w:numFmt w:val="decimal"/>
      <w:pStyle w:val="List-number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-number-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0C2392D"/>
    <w:multiLevelType w:val="hybridMultilevel"/>
    <w:tmpl w:val="5694FF50"/>
    <w:lvl w:ilvl="0" w:tplc="AF9A3AE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7B58"/>
    <w:multiLevelType w:val="hybridMultilevel"/>
    <w:tmpl w:val="6B226158"/>
    <w:lvl w:ilvl="0" w:tplc="FB6C1462">
      <w:start w:val="1"/>
      <w:numFmt w:val="bullet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C64032D"/>
    <w:multiLevelType w:val="hybridMultilevel"/>
    <w:tmpl w:val="FE4430FC"/>
    <w:lvl w:ilvl="0" w:tplc="EA8229C4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F7FC5"/>
    <w:multiLevelType w:val="hybridMultilevel"/>
    <w:tmpl w:val="E10E5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6BE8"/>
    <w:multiLevelType w:val="hybridMultilevel"/>
    <w:tmpl w:val="CDE2F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1147"/>
    <w:multiLevelType w:val="hybridMultilevel"/>
    <w:tmpl w:val="D5B06BB0"/>
    <w:lvl w:ilvl="0" w:tplc="C5B0958A">
      <w:start w:val="1"/>
      <w:numFmt w:val="bullet"/>
      <w:pStyle w:val="List-bullet-2"/>
      <w:lvlText w:val="–"/>
      <w:lvlJc w:val="left"/>
      <w:pPr>
        <w:tabs>
          <w:tab w:val="num" w:pos="1021"/>
        </w:tabs>
        <w:ind w:left="1021" w:hanging="301"/>
      </w:pPr>
      <w:rPr>
        <w:rFonts w:hint="default"/>
        <w:color w:val="auto"/>
        <w:sz w:val="20"/>
      </w:rPr>
    </w:lvl>
    <w:lvl w:ilvl="1" w:tplc="416EABDE">
      <w:start w:val="1"/>
      <w:numFmt w:val="bullet"/>
      <w:lvlText w:val="–"/>
      <w:lvlJc w:val="left"/>
      <w:pPr>
        <w:tabs>
          <w:tab w:val="num" w:pos="1724"/>
        </w:tabs>
        <w:ind w:left="1724" w:hanging="36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8C56684"/>
    <w:multiLevelType w:val="hybridMultilevel"/>
    <w:tmpl w:val="BC8A9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0E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F4F7B"/>
    <w:multiLevelType w:val="multilevel"/>
    <w:tmpl w:val="FE4430FC"/>
    <w:lvl w:ilvl="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6638"/>
    <w:multiLevelType w:val="hybridMultilevel"/>
    <w:tmpl w:val="CC32436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323961"/>
    <w:multiLevelType w:val="hybridMultilevel"/>
    <w:tmpl w:val="D8F48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16312"/>
    <w:multiLevelType w:val="hybridMultilevel"/>
    <w:tmpl w:val="0248FFAE"/>
    <w:lvl w:ilvl="0" w:tplc="3C888874"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90D16"/>
    <w:multiLevelType w:val="multilevel"/>
    <w:tmpl w:val="B8AAF53A"/>
    <w:lvl w:ilvl="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65D90"/>
    <w:multiLevelType w:val="hybridMultilevel"/>
    <w:tmpl w:val="56686C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8247B9"/>
    <w:multiLevelType w:val="hybridMultilevel"/>
    <w:tmpl w:val="B4F22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1B3406"/>
    <w:multiLevelType w:val="hybridMultilevel"/>
    <w:tmpl w:val="973A38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D395E"/>
    <w:multiLevelType w:val="hybridMultilevel"/>
    <w:tmpl w:val="F0C69608"/>
    <w:lvl w:ilvl="0" w:tplc="234ECC5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A0ADB"/>
    <w:multiLevelType w:val="hybridMultilevel"/>
    <w:tmpl w:val="81A8A512"/>
    <w:lvl w:ilvl="0" w:tplc="828467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C66FC"/>
    <w:multiLevelType w:val="multilevel"/>
    <w:tmpl w:val="5694FF50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6401F"/>
    <w:multiLevelType w:val="multilevel"/>
    <w:tmpl w:val="5F303A0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numbered"/>
      <w:lvlText w:val="%2.%3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/>
        <w:i/>
        <w:sz w:val="22"/>
        <w:szCs w:val="18"/>
      </w:rPr>
    </w:lvl>
    <w:lvl w:ilvl="3">
      <w:start w:val="1"/>
      <w:numFmt w:val="lowerLetter"/>
      <w:pStyle w:val="List-outline-numbered"/>
      <w:lvlText w:val="%4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34" w15:restartNumberingAfterBreak="0">
    <w:nsid w:val="774868B9"/>
    <w:multiLevelType w:val="hybridMultilevel"/>
    <w:tmpl w:val="A02AF9EA"/>
    <w:lvl w:ilvl="0" w:tplc="F33CF392">
      <w:start w:val="1"/>
      <w:numFmt w:val="bullet"/>
      <w:pStyle w:val="Table-list-bullet"/>
      <w:lvlText w:val="–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71930"/>
    <w:multiLevelType w:val="hybridMultilevel"/>
    <w:tmpl w:val="D368F730"/>
    <w:lvl w:ilvl="0" w:tplc="CFB4EBF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E4871"/>
    <w:multiLevelType w:val="hybridMultilevel"/>
    <w:tmpl w:val="C44E9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4431B"/>
    <w:multiLevelType w:val="hybridMultilevel"/>
    <w:tmpl w:val="64B04DAE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20"/>
  </w:num>
  <w:num w:numId="4">
    <w:abstractNumId w:val="14"/>
  </w:num>
  <w:num w:numId="5">
    <w:abstractNumId w:val="33"/>
  </w:num>
  <w:num w:numId="6">
    <w:abstractNumId w:val="34"/>
  </w:num>
  <w:num w:numId="7">
    <w:abstractNumId w:val="1"/>
  </w:num>
  <w:num w:numId="8">
    <w:abstractNumId w:val="28"/>
  </w:num>
  <w:num w:numId="9">
    <w:abstractNumId w:val="3"/>
  </w:num>
  <w:num w:numId="10">
    <w:abstractNumId w:val="33"/>
  </w:num>
  <w:num w:numId="11">
    <w:abstractNumId w:val="33"/>
  </w:num>
  <w:num w:numId="12">
    <w:abstractNumId w:val="9"/>
  </w:num>
  <w:num w:numId="13">
    <w:abstractNumId w:val="20"/>
  </w:num>
  <w:num w:numId="14">
    <w:abstractNumId w:val="14"/>
  </w:num>
  <w:num w:numId="15">
    <w:abstractNumId w:val="14"/>
  </w:num>
  <w:num w:numId="16">
    <w:abstractNumId w:val="33"/>
  </w:num>
  <w:num w:numId="17">
    <w:abstractNumId w:val="34"/>
  </w:num>
  <w:num w:numId="18">
    <w:abstractNumId w:val="1"/>
  </w:num>
  <w:num w:numId="19">
    <w:abstractNumId w:val="2"/>
  </w:num>
  <w:num w:numId="20">
    <w:abstractNumId w:val="15"/>
  </w:num>
  <w:num w:numId="21">
    <w:abstractNumId w:val="32"/>
  </w:num>
  <w:num w:numId="22">
    <w:abstractNumId w:val="10"/>
  </w:num>
  <w:num w:numId="23">
    <w:abstractNumId w:val="0"/>
  </w:num>
  <w:num w:numId="24">
    <w:abstractNumId w:val="8"/>
  </w:num>
  <w:num w:numId="25">
    <w:abstractNumId w:val="26"/>
  </w:num>
  <w:num w:numId="26">
    <w:abstractNumId w:val="17"/>
  </w:num>
  <w:num w:numId="27">
    <w:abstractNumId w:val="11"/>
  </w:num>
  <w:num w:numId="28">
    <w:abstractNumId w:val="25"/>
  </w:num>
  <w:num w:numId="29">
    <w:abstractNumId w:val="22"/>
  </w:num>
  <w:num w:numId="30">
    <w:abstractNumId w:val="30"/>
  </w:num>
  <w:num w:numId="31">
    <w:abstractNumId w:val="27"/>
  </w:num>
  <w:num w:numId="32">
    <w:abstractNumId w:val="12"/>
  </w:num>
  <w:num w:numId="33">
    <w:abstractNumId w:val="23"/>
  </w:num>
  <w:num w:numId="34">
    <w:abstractNumId w:val="21"/>
  </w:num>
  <w:num w:numId="35">
    <w:abstractNumId w:val="16"/>
  </w:num>
  <w:num w:numId="36">
    <w:abstractNumId w:val="4"/>
  </w:num>
  <w:num w:numId="37">
    <w:abstractNumId w:val="36"/>
  </w:num>
  <w:num w:numId="38">
    <w:abstractNumId w:val="29"/>
  </w:num>
  <w:num w:numId="39">
    <w:abstractNumId w:val="5"/>
  </w:num>
  <w:num w:numId="40">
    <w:abstractNumId w:val="6"/>
  </w:num>
  <w:num w:numId="41">
    <w:abstractNumId w:val="7"/>
  </w:num>
  <w:num w:numId="42">
    <w:abstractNumId w:val="31"/>
  </w:num>
  <w:num w:numId="43">
    <w:abstractNumId w:val="13"/>
  </w:num>
  <w:num w:numId="44">
    <w:abstractNumId w:val="18"/>
  </w:num>
  <w:num w:numId="45">
    <w:abstractNumId w:val="24"/>
  </w:num>
  <w:num w:numId="46">
    <w:abstractNumId w:val="18"/>
  </w:num>
  <w:num w:numId="47">
    <w:abstractNumId w:val="37"/>
  </w:num>
  <w:num w:numId="4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181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5"/>
    <w:rsid w:val="00012070"/>
    <w:rsid w:val="00012E96"/>
    <w:rsid w:val="000135D5"/>
    <w:rsid w:val="00015371"/>
    <w:rsid w:val="000163BD"/>
    <w:rsid w:val="000272E0"/>
    <w:rsid w:val="00031779"/>
    <w:rsid w:val="000412DD"/>
    <w:rsid w:val="00041EFD"/>
    <w:rsid w:val="00052316"/>
    <w:rsid w:val="00054700"/>
    <w:rsid w:val="00067C95"/>
    <w:rsid w:val="0007162A"/>
    <w:rsid w:val="00071CEC"/>
    <w:rsid w:val="000728D3"/>
    <w:rsid w:val="000733A7"/>
    <w:rsid w:val="000765F5"/>
    <w:rsid w:val="00077243"/>
    <w:rsid w:val="000815FC"/>
    <w:rsid w:val="000869CE"/>
    <w:rsid w:val="00094CE2"/>
    <w:rsid w:val="000A77DB"/>
    <w:rsid w:val="000B520A"/>
    <w:rsid w:val="000B7AFD"/>
    <w:rsid w:val="000C4574"/>
    <w:rsid w:val="000D316D"/>
    <w:rsid w:val="000D38AE"/>
    <w:rsid w:val="000E1475"/>
    <w:rsid w:val="000E1958"/>
    <w:rsid w:val="000E4369"/>
    <w:rsid w:val="000F51D5"/>
    <w:rsid w:val="000F5FF5"/>
    <w:rsid w:val="0010006D"/>
    <w:rsid w:val="00102362"/>
    <w:rsid w:val="001041F0"/>
    <w:rsid w:val="00104963"/>
    <w:rsid w:val="001077BF"/>
    <w:rsid w:val="00113C84"/>
    <w:rsid w:val="00116D39"/>
    <w:rsid w:val="00121F43"/>
    <w:rsid w:val="001236CF"/>
    <w:rsid w:val="00123C3E"/>
    <w:rsid w:val="0012582F"/>
    <w:rsid w:val="00134B6C"/>
    <w:rsid w:val="001378B7"/>
    <w:rsid w:val="00140289"/>
    <w:rsid w:val="00144AF1"/>
    <w:rsid w:val="001461C8"/>
    <w:rsid w:val="001467C6"/>
    <w:rsid w:val="00146EF5"/>
    <w:rsid w:val="00151891"/>
    <w:rsid w:val="00153F2A"/>
    <w:rsid w:val="001614B0"/>
    <w:rsid w:val="0016457C"/>
    <w:rsid w:val="00173632"/>
    <w:rsid w:val="00175FFC"/>
    <w:rsid w:val="00177AC0"/>
    <w:rsid w:val="00184728"/>
    <w:rsid w:val="001874BC"/>
    <w:rsid w:val="001917F6"/>
    <w:rsid w:val="001B1EE4"/>
    <w:rsid w:val="001B383B"/>
    <w:rsid w:val="001B5DEE"/>
    <w:rsid w:val="001D1ADC"/>
    <w:rsid w:val="001D7353"/>
    <w:rsid w:val="001E0971"/>
    <w:rsid w:val="001E3D24"/>
    <w:rsid w:val="001E4372"/>
    <w:rsid w:val="001E4FCC"/>
    <w:rsid w:val="001E6A3E"/>
    <w:rsid w:val="001F548E"/>
    <w:rsid w:val="00201759"/>
    <w:rsid w:val="00203D50"/>
    <w:rsid w:val="00206132"/>
    <w:rsid w:val="00214F7F"/>
    <w:rsid w:val="00221D53"/>
    <w:rsid w:val="00223581"/>
    <w:rsid w:val="002311E0"/>
    <w:rsid w:val="00232239"/>
    <w:rsid w:val="002425E0"/>
    <w:rsid w:val="002426A5"/>
    <w:rsid w:val="00245265"/>
    <w:rsid w:val="00250414"/>
    <w:rsid w:val="00250CB9"/>
    <w:rsid w:val="00250ED6"/>
    <w:rsid w:val="002524DA"/>
    <w:rsid w:val="002546B7"/>
    <w:rsid w:val="00255DF0"/>
    <w:rsid w:val="00264366"/>
    <w:rsid w:val="0027148C"/>
    <w:rsid w:val="00276F45"/>
    <w:rsid w:val="002824B7"/>
    <w:rsid w:val="002839B9"/>
    <w:rsid w:val="0029717D"/>
    <w:rsid w:val="00297A11"/>
    <w:rsid w:val="002B2279"/>
    <w:rsid w:val="002B2BA6"/>
    <w:rsid w:val="002B5216"/>
    <w:rsid w:val="002D1173"/>
    <w:rsid w:val="002D4C96"/>
    <w:rsid w:val="002E0EA2"/>
    <w:rsid w:val="002E353A"/>
    <w:rsid w:val="002E7065"/>
    <w:rsid w:val="002E7A09"/>
    <w:rsid w:val="002F001E"/>
    <w:rsid w:val="002F13CD"/>
    <w:rsid w:val="002F3803"/>
    <w:rsid w:val="0030264B"/>
    <w:rsid w:val="00307821"/>
    <w:rsid w:val="00310523"/>
    <w:rsid w:val="00310FA6"/>
    <w:rsid w:val="00316ADD"/>
    <w:rsid w:val="00324F0E"/>
    <w:rsid w:val="003250D2"/>
    <w:rsid w:val="00326D2A"/>
    <w:rsid w:val="00334E51"/>
    <w:rsid w:val="00342870"/>
    <w:rsid w:val="00345F77"/>
    <w:rsid w:val="00350917"/>
    <w:rsid w:val="0035724B"/>
    <w:rsid w:val="003644DF"/>
    <w:rsid w:val="00367DA3"/>
    <w:rsid w:val="003719DB"/>
    <w:rsid w:val="00371B8D"/>
    <w:rsid w:val="00372400"/>
    <w:rsid w:val="00373EB2"/>
    <w:rsid w:val="0037535E"/>
    <w:rsid w:val="00375B2F"/>
    <w:rsid w:val="003872E7"/>
    <w:rsid w:val="0039002F"/>
    <w:rsid w:val="00390A59"/>
    <w:rsid w:val="00394013"/>
    <w:rsid w:val="00394C72"/>
    <w:rsid w:val="00397F85"/>
    <w:rsid w:val="003A09AD"/>
    <w:rsid w:val="003A1250"/>
    <w:rsid w:val="003A273C"/>
    <w:rsid w:val="003A36D5"/>
    <w:rsid w:val="003A4D26"/>
    <w:rsid w:val="003B05BF"/>
    <w:rsid w:val="003B518A"/>
    <w:rsid w:val="003C0A67"/>
    <w:rsid w:val="003C24EC"/>
    <w:rsid w:val="003C25ED"/>
    <w:rsid w:val="003D0C24"/>
    <w:rsid w:val="003D236A"/>
    <w:rsid w:val="003D4CAC"/>
    <w:rsid w:val="003D548A"/>
    <w:rsid w:val="003D5CFC"/>
    <w:rsid w:val="003D6E0A"/>
    <w:rsid w:val="003D7317"/>
    <w:rsid w:val="003E0DFE"/>
    <w:rsid w:val="003E2603"/>
    <w:rsid w:val="003E3E3E"/>
    <w:rsid w:val="003E51AE"/>
    <w:rsid w:val="003E6561"/>
    <w:rsid w:val="003E7BC4"/>
    <w:rsid w:val="003F0F7E"/>
    <w:rsid w:val="003F2997"/>
    <w:rsid w:val="003F43CF"/>
    <w:rsid w:val="003F43F9"/>
    <w:rsid w:val="003F7C64"/>
    <w:rsid w:val="004032D0"/>
    <w:rsid w:val="0040598C"/>
    <w:rsid w:val="00406563"/>
    <w:rsid w:val="00406867"/>
    <w:rsid w:val="00406CD2"/>
    <w:rsid w:val="00411862"/>
    <w:rsid w:val="00416565"/>
    <w:rsid w:val="004221A5"/>
    <w:rsid w:val="00431EFB"/>
    <w:rsid w:val="00434134"/>
    <w:rsid w:val="00444D45"/>
    <w:rsid w:val="00454766"/>
    <w:rsid w:val="004555E2"/>
    <w:rsid w:val="00455F94"/>
    <w:rsid w:val="00456E9B"/>
    <w:rsid w:val="00461D80"/>
    <w:rsid w:val="00466CDA"/>
    <w:rsid w:val="004707CB"/>
    <w:rsid w:val="00473AA7"/>
    <w:rsid w:val="00476FDC"/>
    <w:rsid w:val="0047719C"/>
    <w:rsid w:val="00496DB3"/>
    <w:rsid w:val="004A100E"/>
    <w:rsid w:val="004A56A0"/>
    <w:rsid w:val="004B4BEE"/>
    <w:rsid w:val="004C00C0"/>
    <w:rsid w:val="004C429D"/>
    <w:rsid w:val="004C675F"/>
    <w:rsid w:val="004D3454"/>
    <w:rsid w:val="004E0A16"/>
    <w:rsid w:val="004E0A35"/>
    <w:rsid w:val="004E150A"/>
    <w:rsid w:val="004E37BD"/>
    <w:rsid w:val="004E4B1B"/>
    <w:rsid w:val="004F5F17"/>
    <w:rsid w:val="00504689"/>
    <w:rsid w:val="00504E27"/>
    <w:rsid w:val="005077AB"/>
    <w:rsid w:val="005149FE"/>
    <w:rsid w:val="005154F9"/>
    <w:rsid w:val="005157FE"/>
    <w:rsid w:val="0052010E"/>
    <w:rsid w:val="00522766"/>
    <w:rsid w:val="00523BBF"/>
    <w:rsid w:val="00530283"/>
    <w:rsid w:val="00546089"/>
    <w:rsid w:val="005477B9"/>
    <w:rsid w:val="00550E26"/>
    <w:rsid w:val="005672CB"/>
    <w:rsid w:val="00576EE5"/>
    <w:rsid w:val="00576EED"/>
    <w:rsid w:val="005829CA"/>
    <w:rsid w:val="00582FAF"/>
    <w:rsid w:val="00586B72"/>
    <w:rsid w:val="0059065C"/>
    <w:rsid w:val="005928E6"/>
    <w:rsid w:val="00593DB7"/>
    <w:rsid w:val="0059519C"/>
    <w:rsid w:val="00596949"/>
    <w:rsid w:val="005A2952"/>
    <w:rsid w:val="005A4455"/>
    <w:rsid w:val="005A47C3"/>
    <w:rsid w:val="005A6B4A"/>
    <w:rsid w:val="005A7156"/>
    <w:rsid w:val="005A7776"/>
    <w:rsid w:val="005C09F0"/>
    <w:rsid w:val="005C30B7"/>
    <w:rsid w:val="005D008B"/>
    <w:rsid w:val="005D3F4B"/>
    <w:rsid w:val="005E0F91"/>
    <w:rsid w:val="005E3939"/>
    <w:rsid w:val="00611E1D"/>
    <w:rsid w:val="0061231E"/>
    <w:rsid w:val="00614E79"/>
    <w:rsid w:val="00614EC8"/>
    <w:rsid w:val="006153BC"/>
    <w:rsid w:val="00630522"/>
    <w:rsid w:val="00632714"/>
    <w:rsid w:val="00636F15"/>
    <w:rsid w:val="00642F53"/>
    <w:rsid w:val="00654BC0"/>
    <w:rsid w:val="00656E2F"/>
    <w:rsid w:val="0066034B"/>
    <w:rsid w:val="00670D9D"/>
    <w:rsid w:val="00677BF8"/>
    <w:rsid w:val="00681953"/>
    <w:rsid w:val="00681FC6"/>
    <w:rsid w:val="00683EB4"/>
    <w:rsid w:val="00691182"/>
    <w:rsid w:val="00696A03"/>
    <w:rsid w:val="006A069A"/>
    <w:rsid w:val="006A33F8"/>
    <w:rsid w:val="006A6864"/>
    <w:rsid w:val="006B0754"/>
    <w:rsid w:val="006B0F3C"/>
    <w:rsid w:val="006B204D"/>
    <w:rsid w:val="006B385B"/>
    <w:rsid w:val="006B4A7A"/>
    <w:rsid w:val="006B5E30"/>
    <w:rsid w:val="006B7BFE"/>
    <w:rsid w:val="006C2142"/>
    <w:rsid w:val="006D31BA"/>
    <w:rsid w:val="006D41F4"/>
    <w:rsid w:val="006D7297"/>
    <w:rsid w:val="006E0843"/>
    <w:rsid w:val="006E08F6"/>
    <w:rsid w:val="006F3080"/>
    <w:rsid w:val="007104C5"/>
    <w:rsid w:val="0072064D"/>
    <w:rsid w:val="00732E55"/>
    <w:rsid w:val="007336DD"/>
    <w:rsid w:val="00743FDA"/>
    <w:rsid w:val="00744139"/>
    <w:rsid w:val="007478C2"/>
    <w:rsid w:val="00747B90"/>
    <w:rsid w:val="00752375"/>
    <w:rsid w:val="00755ECE"/>
    <w:rsid w:val="007617BD"/>
    <w:rsid w:val="00762F7B"/>
    <w:rsid w:val="00767EB4"/>
    <w:rsid w:val="007717B2"/>
    <w:rsid w:val="0077265D"/>
    <w:rsid w:val="0077790F"/>
    <w:rsid w:val="007820D0"/>
    <w:rsid w:val="00783EFE"/>
    <w:rsid w:val="00783F58"/>
    <w:rsid w:val="00794362"/>
    <w:rsid w:val="007A455D"/>
    <w:rsid w:val="007B042E"/>
    <w:rsid w:val="007C0E48"/>
    <w:rsid w:val="007C5FAB"/>
    <w:rsid w:val="007D2631"/>
    <w:rsid w:val="007E37A6"/>
    <w:rsid w:val="007E4E22"/>
    <w:rsid w:val="007E4FE8"/>
    <w:rsid w:val="007E60A1"/>
    <w:rsid w:val="007E694D"/>
    <w:rsid w:val="007F3EE5"/>
    <w:rsid w:val="007F6A27"/>
    <w:rsid w:val="007F7DFE"/>
    <w:rsid w:val="00800650"/>
    <w:rsid w:val="00802A54"/>
    <w:rsid w:val="00804AEF"/>
    <w:rsid w:val="00804D49"/>
    <w:rsid w:val="00806888"/>
    <w:rsid w:val="0080721B"/>
    <w:rsid w:val="00814D47"/>
    <w:rsid w:val="0081654C"/>
    <w:rsid w:val="00816584"/>
    <w:rsid w:val="00817570"/>
    <w:rsid w:val="00831FE2"/>
    <w:rsid w:val="00833C5A"/>
    <w:rsid w:val="00843412"/>
    <w:rsid w:val="00843D42"/>
    <w:rsid w:val="00845B17"/>
    <w:rsid w:val="00847FA2"/>
    <w:rsid w:val="008563D4"/>
    <w:rsid w:val="00860700"/>
    <w:rsid w:val="00864A76"/>
    <w:rsid w:val="0087604D"/>
    <w:rsid w:val="00886689"/>
    <w:rsid w:val="00887304"/>
    <w:rsid w:val="00894472"/>
    <w:rsid w:val="008B3156"/>
    <w:rsid w:val="008B7666"/>
    <w:rsid w:val="008C3C0E"/>
    <w:rsid w:val="008D105C"/>
    <w:rsid w:val="008D6B75"/>
    <w:rsid w:val="008D716B"/>
    <w:rsid w:val="008D7666"/>
    <w:rsid w:val="008E0C4C"/>
    <w:rsid w:val="008F36C7"/>
    <w:rsid w:val="0091135C"/>
    <w:rsid w:val="00912E48"/>
    <w:rsid w:val="00913F5E"/>
    <w:rsid w:val="00921CBF"/>
    <w:rsid w:val="00923B0C"/>
    <w:rsid w:val="009247FD"/>
    <w:rsid w:val="00933765"/>
    <w:rsid w:val="00936948"/>
    <w:rsid w:val="00944BC2"/>
    <w:rsid w:val="009526A3"/>
    <w:rsid w:val="00953FAD"/>
    <w:rsid w:val="0095688C"/>
    <w:rsid w:val="00963C76"/>
    <w:rsid w:val="00963FE5"/>
    <w:rsid w:val="00975EFF"/>
    <w:rsid w:val="00982318"/>
    <w:rsid w:val="00983442"/>
    <w:rsid w:val="00993D41"/>
    <w:rsid w:val="009A4B0D"/>
    <w:rsid w:val="009B1EDE"/>
    <w:rsid w:val="009B4B2D"/>
    <w:rsid w:val="009B6244"/>
    <w:rsid w:val="009B6749"/>
    <w:rsid w:val="009B6A20"/>
    <w:rsid w:val="009C235A"/>
    <w:rsid w:val="009C34DA"/>
    <w:rsid w:val="009C73C2"/>
    <w:rsid w:val="009D4147"/>
    <w:rsid w:val="009D62FF"/>
    <w:rsid w:val="009D6DE1"/>
    <w:rsid w:val="009D7187"/>
    <w:rsid w:val="009E74C0"/>
    <w:rsid w:val="00A02130"/>
    <w:rsid w:val="00A04888"/>
    <w:rsid w:val="00A1101E"/>
    <w:rsid w:val="00A12EB6"/>
    <w:rsid w:val="00A236A7"/>
    <w:rsid w:val="00A2540E"/>
    <w:rsid w:val="00A268C7"/>
    <w:rsid w:val="00A32596"/>
    <w:rsid w:val="00A33696"/>
    <w:rsid w:val="00A36EBD"/>
    <w:rsid w:val="00A435F6"/>
    <w:rsid w:val="00A44E49"/>
    <w:rsid w:val="00A4794D"/>
    <w:rsid w:val="00A5059C"/>
    <w:rsid w:val="00A519CC"/>
    <w:rsid w:val="00A5273A"/>
    <w:rsid w:val="00A53647"/>
    <w:rsid w:val="00A558C5"/>
    <w:rsid w:val="00A55C90"/>
    <w:rsid w:val="00A71362"/>
    <w:rsid w:val="00A75B48"/>
    <w:rsid w:val="00A84940"/>
    <w:rsid w:val="00A85757"/>
    <w:rsid w:val="00A85CA2"/>
    <w:rsid w:val="00A91D3A"/>
    <w:rsid w:val="00A94B71"/>
    <w:rsid w:val="00AA4991"/>
    <w:rsid w:val="00AB2EC8"/>
    <w:rsid w:val="00AB6960"/>
    <w:rsid w:val="00AC3332"/>
    <w:rsid w:val="00AD0A25"/>
    <w:rsid w:val="00AD1B8A"/>
    <w:rsid w:val="00AD52AF"/>
    <w:rsid w:val="00AE250D"/>
    <w:rsid w:val="00AE52D5"/>
    <w:rsid w:val="00AE5F85"/>
    <w:rsid w:val="00AE5FEE"/>
    <w:rsid w:val="00AE7561"/>
    <w:rsid w:val="00AF1433"/>
    <w:rsid w:val="00AF367C"/>
    <w:rsid w:val="00AF4FCA"/>
    <w:rsid w:val="00B008B4"/>
    <w:rsid w:val="00B04101"/>
    <w:rsid w:val="00B045C1"/>
    <w:rsid w:val="00B06A1E"/>
    <w:rsid w:val="00B07AD5"/>
    <w:rsid w:val="00B11A4D"/>
    <w:rsid w:val="00B2593F"/>
    <w:rsid w:val="00B35F23"/>
    <w:rsid w:val="00B362C7"/>
    <w:rsid w:val="00B369D1"/>
    <w:rsid w:val="00B41A17"/>
    <w:rsid w:val="00B432DE"/>
    <w:rsid w:val="00B4437C"/>
    <w:rsid w:val="00B674FA"/>
    <w:rsid w:val="00B67F3E"/>
    <w:rsid w:val="00B74652"/>
    <w:rsid w:val="00B75863"/>
    <w:rsid w:val="00B766F4"/>
    <w:rsid w:val="00B8200C"/>
    <w:rsid w:val="00B82AE2"/>
    <w:rsid w:val="00B84249"/>
    <w:rsid w:val="00B86E2F"/>
    <w:rsid w:val="00B91940"/>
    <w:rsid w:val="00B93E67"/>
    <w:rsid w:val="00B9551F"/>
    <w:rsid w:val="00BA3C47"/>
    <w:rsid w:val="00BB31E5"/>
    <w:rsid w:val="00BB53D4"/>
    <w:rsid w:val="00BC2C84"/>
    <w:rsid w:val="00BC5D5C"/>
    <w:rsid w:val="00BF229D"/>
    <w:rsid w:val="00BF3562"/>
    <w:rsid w:val="00BF3735"/>
    <w:rsid w:val="00C00100"/>
    <w:rsid w:val="00C01019"/>
    <w:rsid w:val="00C0509D"/>
    <w:rsid w:val="00C0520A"/>
    <w:rsid w:val="00C13229"/>
    <w:rsid w:val="00C148E8"/>
    <w:rsid w:val="00C16B9D"/>
    <w:rsid w:val="00C20446"/>
    <w:rsid w:val="00C263B2"/>
    <w:rsid w:val="00C42279"/>
    <w:rsid w:val="00C441FE"/>
    <w:rsid w:val="00C4776D"/>
    <w:rsid w:val="00C51434"/>
    <w:rsid w:val="00C53398"/>
    <w:rsid w:val="00C6299D"/>
    <w:rsid w:val="00C64683"/>
    <w:rsid w:val="00C64B11"/>
    <w:rsid w:val="00C65145"/>
    <w:rsid w:val="00C657FB"/>
    <w:rsid w:val="00C65A25"/>
    <w:rsid w:val="00C65DDC"/>
    <w:rsid w:val="00C66DAE"/>
    <w:rsid w:val="00C67208"/>
    <w:rsid w:val="00C679C9"/>
    <w:rsid w:val="00C67CE8"/>
    <w:rsid w:val="00C700FD"/>
    <w:rsid w:val="00C77C7A"/>
    <w:rsid w:val="00C8100B"/>
    <w:rsid w:val="00C8709B"/>
    <w:rsid w:val="00CA2397"/>
    <w:rsid w:val="00CA26D4"/>
    <w:rsid w:val="00CA5F98"/>
    <w:rsid w:val="00CB0D9F"/>
    <w:rsid w:val="00CB13C6"/>
    <w:rsid w:val="00CB24A3"/>
    <w:rsid w:val="00CC30D7"/>
    <w:rsid w:val="00CC5199"/>
    <w:rsid w:val="00CC7AE9"/>
    <w:rsid w:val="00CD0227"/>
    <w:rsid w:val="00CD5D92"/>
    <w:rsid w:val="00CE0C47"/>
    <w:rsid w:val="00CF08F0"/>
    <w:rsid w:val="00CF5C74"/>
    <w:rsid w:val="00D02F70"/>
    <w:rsid w:val="00D14F00"/>
    <w:rsid w:val="00D17961"/>
    <w:rsid w:val="00D273CD"/>
    <w:rsid w:val="00D34B08"/>
    <w:rsid w:val="00D35C20"/>
    <w:rsid w:val="00D37D52"/>
    <w:rsid w:val="00D4711F"/>
    <w:rsid w:val="00D52A9E"/>
    <w:rsid w:val="00D66ACD"/>
    <w:rsid w:val="00D67BCC"/>
    <w:rsid w:val="00D709F8"/>
    <w:rsid w:val="00D721A2"/>
    <w:rsid w:val="00D72611"/>
    <w:rsid w:val="00D81AE0"/>
    <w:rsid w:val="00D82FCE"/>
    <w:rsid w:val="00D91610"/>
    <w:rsid w:val="00D9527A"/>
    <w:rsid w:val="00D95EB1"/>
    <w:rsid w:val="00D97C41"/>
    <w:rsid w:val="00DB1297"/>
    <w:rsid w:val="00DB20B2"/>
    <w:rsid w:val="00DB5018"/>
    <w:rsid w:val="00DB5C45"/>
    <w:rsid w:val="00DC06C0"/>
    <w:rsid w:val="00DC1801"/>
    <w:rsid w:val="00DC4205"/>
    <w:rsid w:val="00DC5878"/>
    <w:rsid w:val="00DC73A5"/>
    <w:rsid w:val="00DC7D35"/>
    <w:rsid w:val="00DE11AB"/>
    <w:rsid w:val="00DE2470"/>
    <w:rsid w:val="00DF4B4D"/>
    <w:rsid w:val="00DF62D0"/>
    <w:rsid w:val="00E10870"/>
    <w:rsid w:val="00E12A1C"/>
    <w:rsid w:val="00E12F7B"/>
    <w:rsid w:val="00E20030"/>
    <w:rsid w:val="00E245E4"/>
    <w:rsid w:val="00E272BF"/>
    <w:rsid w:val="00E27F4A"/>
    <w:rsid w:val="00E30F79"/>
    <w:rsid w:val="00E33E4E"/>
    <w:rsid w:val="00E36400"/>
    <w:rsid w:val="00E44075"/>
    <w:rsid w:val="00E50AA1"/>
    <w:rsid w:val="00E5268B"/>
    <w:rsid w:val="00E57B1B"/>
    <w:rsid w:val="00E605EE"/>
    <w:rsid w:val="00E6298A"/>
    <w:rsid w:val="00E67963"/>
    <w:rsid w:val="00E73369"/>
    <w:rsid w:val="00E77EAF"/>
    <w:rsid w:val="00E854B4"/>
    <w:rsid w:val="00E86F3D"/>
    <w:rsid w:val="00E879FB"/>
    <w:rsid w:val="00E9095B"/>
    <w:rsid w:val="00E9260F"/>
    <w:rsid w:val="00E9448D"/>
    <w:rsid w:val="00EA1AA0"/>
    <w:rsid w:val="00EA5124"/>
    <w:rsid w:val="00EA6987"/>
    <w:rsid w:val="00EA6FCD"/>
    <w:rsid w:val="00EB3E0E"/>
    <w:rsid w:val="00EB3F2D"/>
    <w:rsid w:val="00EB74F2"/>
    <w:rsid w:val="00EC262F"/>
    <w:rsid w:val="00EC54C2"/>
    <w:rsid w:val="00EC6A26"/>
    <w:rsid w:val="00ED6938"/>
    <w:rsid w:val="00EF02B3"/>
    <w:rsid w:val="00EF116F"/>
    <w:rsid w:val="00EF51DB"/>
    <w:rsid w:val="00F00F21"/>
    <w:rsid w:val="00F01177"/>
    <w:rsid w:val="00F0610B"/>
    <w:rsid w:val="00F13AF9"/>
    <w:rsid w:val="00F22FFA"/>
    <w:rsid w:val="00F31F3B"/>
    <w:rsid w:val="00F36188"/>
    <w:rsid w:val="00F3700D"/>
    <w:rsid w:val="00F37B61"/>
    <w:rsid w:val="00F37DD4"/>
    <w:rsid w:val="00F4512D"/>
    <w:rsid w:val="00F51F05"/>
    <w:rsid w:val="00F52AAB"/>
    <w:rsid w:val="00F52EA1"/>
    <w:rsid w:val="00F570DB"/>
    <w:rsid w:val="00F62D3E"/>
    <w:rsid w:val="00F63B43"/>
    <w:rsid w:val="00F67830"/>
    <w:rsid w:val="00F7130B"/>
    <w:rsid w:val="00F71A5A"/>
    <w:rsid w:val="00F931EC"/>
    <w:rsid w:val="00F96136"/>
    <w:rsid w:val="00FA2BD3"/>
    <w:rsid w:val="00FA5AC3"/>
    <w:rsid w:val="00FB4715"/>
    <w:rsid w:val="00FC2E73"/>
    <w:rsid w:val="00FC32FD"/>
    <w:rsid w:val="00FE16B3"/>
    <w:rsid w:val="00FE40DE"/>
    <w:rsid w:val="00FE5571"/>
    <w:rsid w:val="00FF0910"/>
    <w:rsid w:val="00FF247F"/>
    <w:rsid w:val="00FF3066"/>
    <w:rsid w:val="00FF31DD"/>
    <w:rsid w:val="00FF5A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6636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7DB"/>
    <w:pPr>
      <w:spacing w:before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qFormat/>
    <w:rsid w:val="002B2279"/>
    <w:pPr>
      <w:keepNext/>
      <w:spacing w:before="240" w:after="60"/>
      <w:outlineLvl w:val="0"/>
    </w:pPr>
    <w:rPr>
      <w:rFonts w:ascii="Arial" w:hAnsi="Arial" w:cs="Arial"/>
      <w:b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2B2279"/>
    <w:pPr>
      <w:outlineLvl w:val="1"/>
    </w:pPr>
    <w:rPr>
      <w:iCs/>
      <w:sz w:val="24"/>
      <w:szCs w:val="22"/>
    </w:rPr>
  </w:style>
  <w:style w:type="paragraph" w:styleId="Heading3">
    <w:name w:val="heading 3"/>
    <w:next w:val="Normal"/>
    <w:qFormat/>
    <w:rsid w:val="002B2279"/>
    <w:pPr>
      <w:keepNext/>
      <w:spacing w:before="160" w:after="60"/>
      <w:outlineLvl w:val="2"/>
    </w:pPr>
    <w:rPr>
      <w:rFonts w:ascii="Arial" w:hAnsi="Arial"/>
      <w:b/>
      <w:bCs/>
      <w:i/>
      <w:i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ame">
    <w:name w:val="DocName"/>
    <w:basedOn w:val="Normal"/>
    <w:link w:val="DocNameChar"/>
    <w:rsid w:val="002B2279"/>
    <w:pPr>
      <w:spacing w:before="0"/>
      <w:jc w:val="center"/>
    </w:pPr>
    <w:rPr>
      <w:b/>
      <w:bCs/>
      <w:sz w:val="28"/>
    </w:rPr>
  </w:style>
  <w:style w:type="paragraph" w:customStyle="1" w:styleId="DocStatus">
    <w:name w:val="DocStatus"/>
    <w:basedOn w:val="Normal"/>
    <w:rsid w:val="002B2279"/>
    <w:pPr>
      <w:spacing w:after="60"/>
      <w:jc w:val="center"/>
    </w:pPr>
    <w:rPr>
      <w:b/>
      <w:sz w:val="22"/>
    </w:rPr>
  </w:style>
  <w:style w:type="paragraph" w:customStyle="1" w:styleId="Heading2numbered">
    <w:name w:val="Heading 2 numbered"/>
    <w:basedOn w:val="Heading2"/>
    <w:next w:val="Normal"/>
    <w:rsid w:val="002B2279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Normal"/>
    <w:rsid w:val="002B2279"/>
    <w:pPr>
      <w:numPr>
        <w:ilvl w:val="2"/>
        <w:numId w:val="16"/>
      </w:numPr>
    </w:pPr>
  </w:style>
  <w:style w:type="paragraph" w:customStyle="1" w:styleId="List-bullet-2">
    <w:name w:val="List-bullet-2"/>
    <w:basedOn w:val="Normal"/>
    <w:rsid w:val="002B2279"/>
    <w:pPr>
      <w:numPr>
        <w:numId w:val="13"/>
      </w:numPr>
      <w:spacing w:before="80"/>
    </w:pPr>
    <w:rPr>
      <w:rFonts w:cs="Arial"/>
      <w:szCs w:val="22"/>
      <w:lang w:val="en-US"/>
    </w:rPr>
  </w:style>
  <w:style w:type="paragraph" w:customStyle="1" w:styleId="List-number-2">
    <w:name w:val="List-number-2"/>
    <w:basedOn w:val="Normal"/>
    <w:link w:val="List-number-2Char"/>
    <w:rsid w:val="002B2279"/>
    <w:pPr>
      <w:numPr>
        <w:ilvl w:val="1"/>
        <w:numId w:val="15"/>
      </w:numPr>
    </w:pPr>
  </w:style>
  <w:style w:type="paragraph" w:customStyle="1" w:styleId="Normal-indent">
    <w:name w:val="Normal-indent"/>
    <w:basedOn w:val="Normal"/>
    <w:rsid w:val="002B2279"/>
    <w:pPr>
      <w:ind w:left="357"/>
    </w:pPr>
    <w:rPr>
      <w:lang w:eastAsia="en-AU"/>
    </w:rPr>
  </w:style>
  <w:style w:type="character" w:styleId="CommentReference">
    <w:name w:val="annotation reference"/>
    <w:semiHidden/>
    <w:rsid w:val="002B2279"/>
    <w:rPr>
      <w:sz w:val="16"/>
      <w:szCs w:val="16"/>
    </w:rPr>
  </w:style>
  <w:style w:type="paragraph" w:customStyle="1" w:styleId="TableHeader">
    <w:name w:val="TableHeader"/>
    <w:basedOn w:val="Normal"/>
    <w:rsid w:val="002B2279"/>
    <w:pPr>
      <w:keepNext/>
      <w:spacing w:before="60" w:after="40"/>
      <w:jc w:val="center"/>
    </w:pPr>
    <w:rPr>
      <w:rFonts w:cs="Arial"/>
      <w:b/>
    </w:rPr>
  </w:style>
  <w:style w:type="paragraph" w:customStyle="1" w:styleId="Table-normal-text">
    <w:name w:val="Table-normal-text"/>
    <w:basedOn w:val="Normal"/>
    <w:rsid w:val="002B2279"/>
    <w:pPr>
      <w:spacing w:before="60"/>
    </w:pPr>
  </w:style>
  <w:style w:type="paragraph" w:customStyle="1" w:styleId="Table-list-bullet">
    <w:name w:val="Table-list-bullet"/>
    <w:basedOn w:val="Table-normal-text"/>
    <w:rsid w:val="002B2279"/>
    <w:pPr>
      <w:numPr>
        <w:numId w:val="17"/>
      </w:numPr>
    </w:pPr>
  </w:style>
  <w:style w:type="paragraph" w:customStyle="1" w:styleId="Table-list-number">
    <w:name w:val="Table-list-number"/>
    <w:basedOn w:val="Table-normal-text"/>
    <w:rsid w:val="002B2279"/>
    <w:pPr>
      <w:numPr>
        <w:numId w:val="18"/>
      </w:numPr>
    </w:pPr>
  </w:style>
  <w:style w:type="paragraph" w:customStyle="1" w:styleId="TableTitle">
    <w:name w:val="TableTitle"/>
    <w:basedOn w:val="Normal"/>
    <w:next w:val="Table-normal-text"/>
    <w:rsid w:val="002B2279"/>
    <w:pPr>
      <w:keepNext/>
      <w:spacing w:before="240" w:after="120"/>
      <w:jc w:val="center"/>
    </w:pPr>
    <w:rPr>
      <w:b/>
    </w:rPr>
  </w:style>
  <w:style w:type="paragraph" w:styleId="Header">
    <w:name w:val="header"/>
    <w:basedOn w:val="Normal"/>
    <w:rsid w:val="002B2279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2B2279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rsid w:val="002B2279"/>
    <w:rPr>
      <w:rFonts w:ascii="Arial" w:hAnsi="Arial"/>
      <w:sz w:val="16"/>
    </w:rPr>
  </w:style>
  <w:style w:type="character" w:styleId="Hyperlink">
    <w:name w:val="Hyperlink"/>
    <w:rsid w:val="002B2279"/>
    <w:rPr>
      <w:rFonts w:ascii="Arial" w:hAnsi="Arial"/>
      <w:color w:val="0000FF"/>
      <w:u w:val="single"/>
    </w:rPr>
  </w:style>
  <w:style w:type="paragraph" w:customStyle="1" w:styleId="List-outline-numbered">
    <w:name w:val="List-outline-numbered"/>
    <w:basedOn w:val="Normal"/>
    <w:rsid w:val="002B2279"/>
    <w:pPr>
      <w:numPr>
        <w:ilvl w:val="3"/>
        <w:numId w:val="16"/>
      </w:numPr>
    </w:pPr>
  </w:style>
  <w:style w:type="paragraph" w:customStyle="1" w:styleId="List-bullet-1">
    <w:name w:val="List-bullet-1"/>
    <w:basedOn w:val="Normal"/>
    <w:rsid w:val="002B2279"/>
    <w:pPr>
      <w:numPr>
        <w:numId w:val="12"/>
      </w:numPr>
    </w:pPr>
    <w:rPr>
      <w:rFonts w:cs="Arial"/>
      <w:szCs w:val="22"/>
    </w:rPr>
  </w:style>
  <w:style w:type="paragraph" w:customStyle="1" w:styleId="List-number-1">
    <w:name w:val="List-number-1"/>
    <w:basedOn w:val="Normal"/>
    <w:link w:val="List-number-1Char"/>
    <w:rsid w:val="002B2279"/>
    <w:pPr>
      <w:numPr>
        <w:numId w:val="15"/>
      </w:numPr>
    </w:pPr>
  </w:style>
  <w:style w:type="paragraph" w:styleId="BalloonText">
    <w:name w:val="Balloon Text"/>
    <w:basedOn w:val="Normal"/>
    <w:semiHidden/>
    <w:rsid w:val="002B22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2279"/>
    <w:pPr>
      <w:spacing w:before="60"/>
    </w:pPr>
    <w:rPr>
      <w:rFonts w:ascii="Arial" w:hAnsi="Arial"/>
      <w:sz w:val="18"/>
      <w:szCs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jc w:val="center"/>
      </w:pPr>
      <w:rPr>
        <w:rFonts w:ascii="Arial" w:hAnsi="Arial"/>
        <w:b/>
        <w:sz w:val="18"/>
      </w:rPr>
      <w:tblPr/>
      <w:trPr>
        <w:tblHeader/>
      </w:trPr>
      <w:tcPr>
        <w:shd w:val="clear" w:color="auto" w:fill="E0E0E0"/>
        <w:vAlign w:val="center"/>
      </w:tcPr>
    </w:tblStylePr>
  </w:style>
  <w:style w:type="table" w:customStyle="1" w:styleId="TableCheckList-1">
    <w:name w:val="TableCheckList-1"/>
    <w:basedOn w:val="TableNormal"/>
    <w:rsid w:val="002B2279"/>
    <w:pPr>
      <w:spacing w:before="60"/>
    </w:pPr>
    <w:rPr>
      <w:rFonts w:ascii="Arial" w:hAnsi="Arial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right w:w="57" w:type="dxa"/>
      </w:tblCellMar>
    </w:tblPr>
    <w:tblStylePr w:type="firstCol">
      <w:tblPr/>
      <w:tcPr>
        <w:tcBorders>
          <w:bottom w:val="nil"/>
          <w:insideH w:val="single" w:sz="4" w:space="0" w:color="999999"/>
        </w:tcBorders>
      </w:tcPr>
    </w:tblStylePr>
  </w:style>
  <w:style w:type="table" w:customStyle="1" w:styleId="TableCheckList-2">
    <w:name w:val="TableCheckList-2"/>
    <w:basedOn w:val="TableNormal"/>
    <w:rsid w:val="002B2279"/>
    <w:pPr>
      <w:spacing w:before="60"/>
    </w:pPr>
    <w:rPr>
      <w:rFonts w:ascii="Arial" w:hAnsi="Arial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right w:w="57" w:type="dxa"/>
      </w:tblCellMar>
    </w:tblPr>
    <w:tblStylePr w:type="lastCol">
      <w:tblPr/>
      <w:tcPr>
        <w:tcBorders>
          <w:bottom w:val="single" w:sz="4" w:space="0" w:color="999999"/>
          <w:insideH w:val="single" w:sz="4" w:space="0" w:color="999999"/>
        </w:tcBorders>
      </w:tcPr>
    </w:tblStylePr>
  </w:style>
  <w:style w:type="paragraph" w:styleId="CommentText">
    <w:name w:val="annotation text"/>
    <w:basedOn w:val="Normal"/>
    <w:semiHidden/>
    <w:rsid w:val="002B227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B2279"/>
    <w:rPr>
      <w:b/>
      <w:bCs/>
    </w:rPr>
  </w:style>
  <w:style w:type="character" w:customStyle="1" w:styleId="List-number-2Char">
    <w:name w:val="List-number-2 Char"/>
    <w:link w:val="List-number-2"/>
    <w:rsid w:val="002B2279"/>
    <w:rPr>
      <w:rFonts w:ascii="Arial" w:hAnsi="Arial"/>
      <w:szCs w:val="24"/>
      <w:lang w:val="en-AU" w:eastAsia="en-US" w:bidi="ar-SA"/>
    </w:rPr>
  </w:style>
  <w:style w:type="table" w:customStyle="1" w:styleId="Tablewithnoheader">
    <w:name w:val="Table with no header"/>
    <w:basedOn w:val="TableNormal"/>
    <w:rsid w:val="002B2279"/>
    <w:rPr>
      <w:rFonts w:ascii="Arial" w:hAnsi="Arial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</w:style>
  <w:style w:type="table" w:customStyle="1" w:styleId="Tablewithheader">
    <w:name w:val="Table with header"/>
    <w:basedOn w:val="Tablewithnoheader"/>
    <w:rsid w:val="002B2279"/>
    <w:tblPr/>
    <w:tcPr>
      <w:shd w:val="clear" w:color="auto" w:fill="auto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E0E0E0"/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2B2279"/>
    <w:pPr>
      <w:tabs>
        <w:tab w:val="left" w:pos="798"/>
      </w:tabs>
      <w:ind w:left="456"/>
    </w:pPr>
  </w:style>
  <w:style w:type="paragraph" w:styleId="TOC2">
    <w:name w:val="toc 2"/>
    <w:basedOn w:val="Normal"/>
    <w:next w:val="Normal"/>
    <w:autoRedefine/>
    <w:semiHidden/>
    <w:rsid w:val="002B2279"/>
    <w:pPr>
      <w:tabs>
        <w:tab w:val="left" w:pos="855"/>
      </w:tabs>
      <w:spacing w:before="80"/>
      <w:ind w:left="454"/>
    </w:pPr>
  </w:style>
  <w:style w:type="paragraph" w:styleId="TOC3">
    <w:name w:val="toc 3"/>
    <w:basedOn w:val="Normal"/>
    <w:next w:val="Normal"/>
    <w:autoRedefine/>
    <w:semiHidden/>
    <w:rsid w:val="002B2279"/>
    <w:pPr>
      <w:tabs>
        <w:tab w:val="left" w:pos="1311"/>
      </w:tabs>
      <w:spacing w:before="40"/>
      <w:ind w:left="856"/>
    </w:pPr>
  </w:style>
  <w:style w:type="character" w:customStyle="1" w:styleId="DocNameChar">
    <w:name w:val="DocName Char"/>
    <w:link w:val="DocName"/>
    <w:rsid w:val="003D6E0A"/>
    <w:rPr>
      <w:rFonts w:ascii="Arial" w:hAnsi="Arial"/>
      <w:b/>
      <w:bCs/>
      <w:sz w:val="28"/>
      <w:szCs w:val="24"/>
      <w:lang w:val="en-AU" w:eastAsia="en-US" w:bidi="ar-SA"/>
    </w:rPr>
  </w:style>
  <w:style w:type="character" w:customStyle="1" w:styleId="Heading2Char">
    <w:name w:val="Heading 2 Char"/>
    <w:link w:val="Heading2"/>
    <w:rsid w:val="00C657FB"/>
    <w:rPr>
      <w:rFonts w:ascii="Arial" w:hAnsi="Arial" w:cs="Arial"/>
      <w:b/>
      <w:iCs/>
      <w:sz w:val="24"/>
      <w:szCs w:val="22"/>
    </w:rPr>
  </w:style>
  <w:style w:type="character" w:styleId="FollowedHyperlink">
    <w:name w:val="FollowedHyperlink"/>
    <w:basedOn w:val="DefaultParagraphFont"/>
    <w:rsid w:val="00077243"/>
    <w:rPr>
      <w:color w:val="800080" w:themeColor="followedHyperlink"/>
      <w:u w:val="single"/>
    </w:rPr>
  </w:style>
  <w:style w:type="paragraph" w:styleId="ListParagraph">
    <w:name w:val="List Paragraph"/>
    <w:aliases w:val="List Paragraph1,Recommendation,List Paragraph11,L,CV text,Table text,List Paragraph2,ADB List Paragraph"/>
    <w:basedOn w:val="Normal"/>
    <w:link w:val="ListParagraphChar"/>
    <w:uiPriority w:val="34"/>
    <w:qFormat/>
    <w:rsid w:val="00A1101E"/>
    <w:pPr>
      <w:ind w:left="720"/>
      <w:contextualSpacing/>
    </w:pPr>
  </w:style>
  <w:style w:type="character" w:customStyle="1" w:styleId="List-number-1Char">
    <w:name w:val="List-number-1 Char"/>
    <w:link w:val="List-number-1"/>
    <w:rsid w:val="00732E55"/>
    <w:rPr>
      <w:rFonts w:ascii="Arial" w:hAnsi="Arial"/>
      <w:szCs w:val="24"/>
      <w:lang w:eastAsia="en-US"/>
    </w:rPr>
  </w:style>
  <w:style w:type="paragraph" w:customStyle="1" w:styleId="Default">
    <w:name w:val="Default"/>
    <w:rsid w:val="001041F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List Paragraph2 Char,ADB List Paragraph Char"/>
    <w:link w:val="ListParagraph"/>
    <w:locked/>
    <w:rsid w:val="000E4369"/>
    <w:rPr>
      <w:rFonts w:ascii="Arial" w:hAnsi="Arial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E5FE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intranet2.ausaid.gov.au/rulesandtools/Tools%20All%20Tools%20Documents/T-AusAIDMonitoringAndEvaluationStandards-246.doc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F74307-95A7-4729-A447-7CFCE14DBE0E}"/>
</file>

<file path=customXml/itemProps2.xml><?xml version="1.0" encoding="utf-8"?>
<ds:datastoreItem xmlns:ds="http://schemas.openxmlformats.org/officeDocument/2006/customXml" ds:itemID="{BA4F01C0-0333-4ADE-8247-A8A114194EFD}"/>
</file>

<file path=customXml/itemProps3.xml><?xml version="1.0" encoding="utf-8"?>
<ds:datastoreItem xmlns:ds="http://schemas.openxmlformats.org/officeDocument/2006/customXml" ds:itemID="{429288AE-59D3-4569-BB95-8E3A6D120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Challenging Gender Based Violence in Pakistan Program: management response to independent evaluation report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Challenging Gender Based Violence in Pakistan Program: management response to independent evaluation report</dc:title>
  <dc:creator/>
  <cp:lastModifiedBy/>
  <cp:revision>1</cp:revision>
  <dcterms:created xsi:type="dcterms:W3CDTF">2017-09-15T00:13:00Z</dcterms:created>
  <dcterms:modified xsi:type="dcterms:W3CDTF">2017-09-15T00:14:00Z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b3cd5491-7298-4679-933c-a0c530be1f86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1121200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