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46A" w:rsidRDefault="0059146A" w:rsidP="005B5769">
      <w:pPr>
        <w:pStyle w:val="ListBullet"/>
        <w:tabs>
          <w:tab w:val="clear" w:pos="284"/>
        </w:tabs>
      </w:pPr>
      <w:bookmarkStart w:id="0" w:name="_GoBack"/>
      <w:bookmarkEnd w:id="0"/>
    </w:p>
    <w:p w:rsidR="0059146A" w:rsidRDefault="0059146A" w:rsidP="005B5769">
      <w:pPr>
        <w:pStyle w:val="ListBullet"/>
        <w:tabs>
          <w:tab w:val="clear" w:pos="284"/>
        </w:tabs>
      </w:pPr>
    </w:p>
    <w:p w:rsidR="0059146A" w:rsidRPr="0059146A" w:rsidRDefault="0059146A" w:rsidP="005B5769">
      <w:pPr>
        <w:pStyle w:val="ListBullet"/>
        <w:tabs>
          <w:tab w:val="clear" w:pos="284"/>
        </w:tabs>
      </w:pPr>
    </w:p>
    <w:p w:rsidR="00A56F14" w:rsidRPr="0059146A" w:rsidRDefault="00A56F14" w:rsidP="0059146A">
      <w:pPr>
        <w:pStyle w:val="ListBullet"/>
        <w:tabs>
          <w:tab w:val="clear" w:pos="284"/>
        </w:tabs>
      </w:pPr>
    </w:p>
    <w:p w:rsidR="00A56F14" w:rsidRDefault="00A56F14" w:rsidP="00A56F14">
      <w:pPr>
        <w:spacing w:after="200" w:line="276" w:lineRule="auto"/>
        <w:rPr>
          <w:b/>
        </w:rPr>
      </w:pPr>
    </w:p>
    <w:p w:rsidR="00A56F14" w:rsidRDefault="00A56F14" w:rsidP="00A56F14">
      <w:pPr>
        <w:spacing w:after="200" w:line="276" w:lineRule="auto"/>
        <w:rPr>
          <w:b/>
        </w:rPr>
      </w:pPr>
    </w:p>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C6626C" w:rsidRDefault="00C6626C" w:rsidP="00A56F14"/>
    <w:p w:rsidR="00A56F14" w:rsidRPr="002A51CA" w:rsidRDefault="00A56F14" w:rsidP="002A51CA">
      <w:pPr>
        <w:pStyle w:val="Title"/>
        <w:spacing w:after="120" w:line="600" w:lineRule="exact"/>
        <w:rPr>
          <w:spacing w:val="-20"/>
          <w:sz w:val="60"/>
        </w:rPr>
      </w:pPr>
      <w:r w:rsidRPr="002A51CA">
        <w:rPr>
          <w:noProof/>
          <w:spacing w:val="-20"/>
          <w:sz w:val="60"/>
          <w:lang w:val="en-AU" w:eastAsia="en-AU"/>
        </w:rPr>
        <w:drawing>
          <wp:anchor distT="0" distB="0" distL="114300" distR="114300" simplePos="0" relativeHeight="251664384" behindDoc="1" locked="1" layoutInCell="1" allowOverlap="1" wp14:anchorId="208A18E7" wp14:editId="6CEA1CB9">
            <wp:simplePos x="0" y="0"/>
            <wp:positionH relativeFrom="page">
              <wp:posOffset>872490</wp:posOffset>
            </wp:positionH>
            <wp:positionV relativeFrom="page">
              <wp:posOffset>1561465</wp:posOffset>
            </wp:positionV>
            <wp:extent cx="3167380" cy="5543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7380" cy="554355"/>
                    </a:xfrm>
                    <a:prstGeom prst="rect">
                      <a:avLst/>
                    </a:prstGeom>
                  </pic:spPr>
                </pic:pic>
              </a:graphicData>
            </a:graphic>
            <wp14:sizeRelH relativeFrom="margin">
              <wp14:pctWidth>0</wp14:pctWidth>
            </wp14:sizeRelH>
            <wp14:sizeRelV relativeFrom="margin">
              <wp14:pctHeight>0</wp14:pctHeight>
            </wp14:sizeRelV>
          </wp:anchor>
        </w:drawing>
      </w:r>
      <w:r w:rsidRPr="002A51CA">
        <w:rPr>
          <w:noProof/>
          <w:spacing w:val="-20"/>
          <w:sz w:val="60"/>
          <w:lang w:val="en-AU" w:eastAsia="en-AU"/>
        </w:rPr>
        <w:drawing>
          <wp:anchor distT="0" distB="0" distL="114300" distR="114300" simplePos="0" relativeHeight="251663360" behindDoc="1" locked="1" layoutInCell="1" allowOverlap="1" wp14:anchorId="6C5CD7FF" wp14:editId="40D735F7">
            <wp:simplePos x="0" y="0"/>
            <wp:positionH relativeFrom="page">
              <wp:posOffset>7620</wp:posOffset>
            </wp:positionH>
            <wp:positionV relativeFrom="page">
              <wp:posOffset>-7620</wp:posOffset>
            </wp:positionV>
            <wp:extent cx="7750810" cy="10725785"/>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Cover-1-Gradient-Mask.png"/>
                    <pic:cNvPicPr/>
                  </pic:nvPicPr>
                  <pic:blipFill>
                    <a:blip r:embed="rId9">
                      <a:extLst>
                        <a:ext uri="{28A0092B-C50C-407E-A947-70E740481C1C}">
                          <a14:useLocalDpi xmlns:a14="http://schemas.microsoft.com/office/drawing/2010/main" val="0"/>
                        </a:ext>
                      </a:extLst>
                    </a:blip>
                    <a:stretch>
                      <a:fillRect/>
                    </a:stretch>
                  </pic:blipFill>
                  <pic:spPr>
                    <a:xfrm>
                      <a:off x="0" y="0"/>
                      <a:ext cx="7750810" cy="10725785"/>
                    </a:xfrm>
                    <a:prstGeom prst="rect">
                      <a:avLst/>
                    </a:prstGeom>
                  </pic:spPr>
                </pic:pic>
              </a:graphicData>
            </a:graphic>
            <wp14:sizeRelH relativeFrom="margin">
              <wp14:pctWidth>0</wp14:pctWidth>
            </wp14:sizeRelH>
            <wp14:sizeRelV relativeFrom="margin">
              <wp14:pctHeight>0</wp14:pctHeight>
            </wp14:sizeRelV>
          </wp:anchor>
        </w:drawing>
      </w:r>
      <w:r w:rsidR="00C6626C" w:rsidRPr="002A51CA">
        <w:rPr>
          <w:spacing w:val="-20"/>
          <w:sz w:val="60"/>
        </w:rPr>
        <w:t xml:space="preserve">Aid Program Performance </w:t>
      </w:r>
    </w:p>
    <w:p w:rsidR="00C6626C" w:rsidRPr="002A51CA" w:rsidRDefault="00C6626C" w:rsidP="002A51CA">
      <w:pPr>
        <w:pStyle w:val="Title"/>
        <w:spacing w:after="120" w:line="600" w:lineRule="exact"/>
        <w:rPr>
          <w:spacing w:val="-20"/>
          <w:sz w:val="60"/>
        </w:rPr>
      </w:pPr>
      <w:r w:rsidRPr="002A51CA">
        <w:rPr>
          <w:spacing w:val="-20"/>
          <w:sz w:val="60"/>
        </w:rPr>
        <w:t>Report 201</w:t>
      </w:r>
      <w:r w:rsidR="00055688">
        <w:rPr>
          <w:spacing w:val="-20"/>
          <w:sz w:val="60"/>
        </w:rPr>
        <w:t>7</w:t>
      </w:r>
      <w:r w:rsidRPr="002A51CA">
        <w:rPr>
          <w:spacing w:val="-20"/>
          <w:sz w:val="60"/>
        </w:rPr>
        <w:t>-1</w:t>
      </w:r>
      <w:r w:rsidR="00055688">
        <w:rPr>
          <w:spacing w:val="-20"/>
          <w:sz w:val="60"/>
        </w:rPr>
        <w:t>8</w:t>
      </w:r>
    </w:p>
    <w:p w:rsidR="00C6626C" w:rsidRPr="004E48CF" w:rsidRDefault="00965AEF" w:rsidP="00A56F14">
      <w:pPr>
        <w:rPr>
          <w:b/>
        </w:rPr>
      </w:pPr>
      <w:r w:rsidRPr="004E48CF">
        <w:rPr>
          <w:b/>
          <w:sz w:val="40"/>
        </w:rPr>
        <w:t>Pakistan</w:t>
      </w:r>
    </w:p>
    <w:p w:rsidR="00C6626C" w:rsidRPr="002A51CA" w:rsidRDefault="00C6626C" w:rsidP="00A56F14">
      <w:pPr>
        <w:rPr>
          <w:sz w:val="24"/>
        </w:rPr>
      </w:pPr>
      <w:r w:rsidRPr="002A51CA">
        <w:rPr>
          <w:sz w:val="24"/>
        </w:rPr>
        <w:t>September 201</w:t>
      </w:r>
      <w:r w:rsidR="00055688">
        <w:rPr>
          <w:sz w:val="24"/>
        </w:rPr>
        <w:t>8</w:t>
      </w:r>
    </w:p>
    <w:p w:rsidR="00C6626C" w:rsidRDefault="00C6626C" w:rsidP="00A56F14">
      <w:pPr>
        <w:sectPr w:rsidR="00C6626C" w:rsidSect="00C6626C">
          <w:headerReference w:type="even" r:id="rId10"/>
          <w:headerReference w:type="default" r:id="rId11"/>
          <w:footerReference w:type="even" r:id="rId12"/>
          <w:footerReference w:type="default" r:id="rId13"/>
          <w:headerReference w:type="first" r:id="rId14"/>
          <w:footerReference w:type="first" r:id="rId15"/>
          <w:pgSz w:w="11906" w:h="16838" w:code="9"/>
          <w:pgMar w:top="1952" w:right="1134" w:bottom="851" w:left="1134" w:header="1814" w:footer="567" w:gutter="0"/>
          <w:cols w:space="397"/>
          <w:docGrid w:linePitch="360"/>
        </w:sectPr>
      </w:pPr>
    </w:p>
    <w:p w:rsidR="00C6626C" w:rsidRPr="004E48CF" w:rsidRDefault="004D587C" w:rsidP="004E48CF">
      <w:pPr>
        <w:pStyle w:val="ListBullet"/>
        <w:tabs>
          <w:tab w:val="clear" w:pos="284"/>
        </w:tabs>
        <w:spacing w:after="0" w:line="240" w:lineRule="auto"/>
        <w:rPr>
          <w:rFonts w:asciiTheme="majorHAnsi" w:hAnsiTheme="majorHAnsi"/>
          <w:b/>
          <w:kern w:val="28"/>
        </w:rPr>
      </w:pPr>
      <w:r w:rsidRPr="004E48CF">
        <w:rPr>
          <w:rFonts w:asciiTheme="majorHAnsi" w:eastAsiaTheme="majorEastAsia" w:hAnsiTheme="majorHAnsi" w:cstheme="majorBidi"/>
          <w:b/>
          <w:caps/>
          <w:color w:val="495965" w:themeColor="text2"/>
          <w:sz w:val="38"/>
          <w:szCs w:val="26"/>
          <w:lang w:val="en-GB" w:eastAsia="en-US"/>
        </w:rPr>
        <w:lastRenderedPageBreak/>
        <w:t>SUMMARY</w:t>
      </w:r>
      <w:r w:rsidR="00C6626C" w:rsidRPr="004E48CF">
        <w:rPr>
          <w:rFonts w:asciiTheme="majorHAnsi" w:hAnsiTheme="majorHAnsi" w:cs="Arial"/>
          <w:b/>
          <w:color w:val="007FAD"/>
          <w:kern w:val="28"/>
          <w:sz w:val="28"/>
          <w:szCs w:val="28"/>
        </w:rPr>
        <w:tab/>
      </w:r>
      <w:r w:rsidR="00C6626C" w:rsidRPr="004E48CF">
        <w:rPr>
          <w:rFonts w:asciiTheme="majorHAnsi" w:hAnsiTheme="majorHAnsi" w:cs="Arial"/>
          <w:b/>
          <w:color w:val="007FAD"/>
          <w:kern w:val="28"/>
          <w:sz w:val="24"/>
          <w:szCs w:val="28"/>
        </w:rPr>
        <w:tab/>
      </w:r>
      <w:r w:rsidR="00C6626C" w:rsidRPr="004E48CF">
        <w:rPr>
          <w:rFonts w:asciiTheme="majorHAnsi" w:hAnsiTheme="majorHAnsi" w:cs="Arial"/>
          <w:b/>
          <w:color w:val="007FAD"/>
          <w:kern w:val="28"/>
          <w:sz w:val="32"/>
          <w:szCs w:val="32"/>
        </w:rPr>
        <w:tab/>
      </w:r>
      <w:r w:rsidR="00C6626C" w:rsidRPr="004E48CF">
        <w:rPr>
          <w:rFonts w:asciiTheme="majorHAnsi" w:hAnsiTheme="majorHAnsi" w:cs="Arial"/>
          <w:b/>
          <w:color w:val="007FAD"/>
          <w:kern w:val="28"/>
          <w:sz w:val="32"/>
          <w:szCs w:val="32"/>
        </w:rPr>
        <w:tab/>
      </w:r>
      <w:r w:rsidR="00C6626C" w:rsidRPr="004E48CF">
        <w:rPr>
          <w:rFonts w:asciiTheme="majorHAnsi" w:hAnsiTheme="majorHAnsi" w:cs="Arial"/>
          <w:b/>
          <w:color w:val="007FAD"/>
          <w:kern w:val="28"/>
          <w:sz w:val="32"/>
          <w:szCs w:val="32"/>
        </w:rPr>
        <w:tab/>
      </w:r>
      <w:r w:rsidR="00C6626C" w:rsidRPr="004E48CF">
        <w:rPr>
          <w:rFonts w:asciiTheme="majorHAnsi" w:hAnsiTheme="majorHAnsi" w:cs="Arial"/>
          <w:b/>
          <w:color w:val="007FAD"/>
          <w:kern w:val="28"/>
          <w:sz w:val="32"/>
          <w:szCs w:val="32"/>
        </w:rPr>
        <w:tab/>
      </w:r>
    </w:p>
    <w:p w:rsidR="005E1294" w:rsidRDefault="00385DFD" w:rsidP="00CE73AF">
      <w:pPr>
        <w:spacing w:line="240" w:lineRule="auto"/>
      </w:pPr>
      <w:r w:rsidRPr="007C7418">
        <w:t xml:space="preserve">This report </w:t>
      </w:r>
      <w:r w:rsidR="0031545C">
        <w:t>assess</w:t>
      </w:r>
      <w:r w:rsidR="0031545C" w:rsidRPr="007C7418">
        <w:t xml:space="preserve">es </w:t>
      </w:r>
      <w:r w:rsidRPr="007C7418">
        <w:t xml:space="preserve">the performance of Australia’s aid program in </w:t>
      </w:r>
      <w:r w:rsidR="004D587C">
        <w:t>Pakistan f</w:t>
      </w:r>
      <w:r w:rsidRPr="007C7418">
        <w:t>rom July 201</w:t>
      </w:r>
      <w:r w:rsidR="002D37BC">
        <w:t>7</w:t>
      </w:r>
      <w:r w:rsidRPr="007C7418">
        <w:t xml:space="preserve"> to June 201</w:t>
      </w:r>
      <w:r w:rsidR="002D37BC">
        <w:t>8</w:t>
      </w:r>
      <w:r w:rsidRPr="007C7418">
        <w:t xml:space="preserve"> against the </w:t>
      </w:r>
      <w:r w:rsidR="004D587C" w:rsidRPr="004D587C">
        <w:rPr>
          <w:i/>
        </w:rPr>
        <w:t>Pakistan</w:t>
      </w:r>
      <w:r w:rsidRPr="004D587C">
        <w:rPr>
          <w:i/>
        </w:rPr>
        <w:t xml:space="preserve"> Aid Investment Plan </w:t>
      </w:r>
      <w:r w:rsidR="00C7024C">
        <w:rPr>
          <w:i/>
        </w:rPr>
        <w:t xml:space="preserve">(AIP) </w:t>
      </w:r>
      <w:r w:rsidR="004D587C" w:rsidRPr="004D587C">
        <w:rPr>
          <w:i/>
        </w:rPr>
        <w:t>2015-16 to 2018-19</w:t>
      </w:r>
      <w:r w:rsidR="004D587C">
        <w:t>.</w:t>
      </w:r>
      <w:r w:rsidR="00C6626C" w:rsidRPr="00C61187">
        <w:t xml:space="preserve"> </w:t>
      </w:r>
      <w:r w:rsidR="00747962">
        <w:t xml:space="preserve">It is the final APPR to report against this AIP, as a new </w:t>
      </w:r>
      <w:r w:rsidR="00600A7F">
        <w:t>AIP</w:t>
      </w:r>
      <w:r w:rsidR="00747962">
        <w:t xml:space="preserve"> will be in place </w:t>
      </w:r>
      <w:r w:rsidR="00E6062E">
        <w:t xml:space="preserve">from early </w:t>
      </w:r>
      <w:r w:rsidR="00747962">
        <w:t xml:space="preserve">2019. </w:t>
      </w:r>
    </w:p>
    <w:p w:rsidR="00111114" w:rsidRPr="006B5CEC" w:rsidRDefault="00C868E1" w:rsidP="00CE73AF">
      <w:pPr>
        <w:spacing w:line="240" w:lineRule="auto"/>
      </w:pPr>
      <w:r>
        <w:rPr>
          <w:b/>
        </w:rPr>
        <w:t>2017-</w:t>
      </w:r>
      <w:r w:rsidR="00747962" w:rsidRPr="00D27E7F">
        <w:rPr>
          <w:b/>
        </w:rPr>
        <w:t>18 has been a year of strategic review and planning to lay the foundations for the n</w:t>
      </w:r>
      <w:r w:rsidR="005E1294">
        <w:rPr>
          <w:b/>
        </w:rPr>
        <w:t xml:space="preserve">ext </w:t>
      </w:r>
      <w:r w:rsidR="00C7024C">
        <w:rPr>
          <w:b/>
        </w:rPr>
        <w:t>AIP</w:t>
      </w:r>
      <w:r w:rsidR="005E1294">
        <w:rPr>
          <w:b/>
        </w:rPr>
        <w:t xml:space="preserve"> (2019-23</w:t>
      </w:r>
      <w:r w:rsidR="00747962" w:rsidRPr="00D27E7F">
        <w:rPr>
          <w:b/>
        </w:rPr>
        <w:t>)</w:t>
      </w:r>
      <w:r w:rsidR="00747962" w:rsidRPr="006A3275">
        <w:t>,</w:t>
      </w:r>
      <w:r w:rsidR="00747962">
        <w:t xml:space="preserve"> including an internal Aid Health Check</w:t>
      </w:r>
      <w:r w:rsidR="001B4584">
        <w:t xml:space="preserve"> in November 2017</w:t>
      </w:r>
      <w:r w:rsidR="00747962">
        <w:t>, evaluation of the economic growth portfolio</w:t>
      </w:r>
      <w:r w:rsidR="003E450B">
        <w:t xml:space="preserve"> in early 2018</w:t>
      </w:r>
      <w:r w:rsidR="006A3275">
        <w:t>, climate change stocktake</w:t>
      </w:r>
      <w:r w:rsidR="00863502">
        <w:t xml:space="preserve">, </w:t>
      </w:r>
      <w:r w:rsidR="00747962">
        <w:t>review of our gender</w:t>
      </w:r>
      <w:r w:rsidR="006A3275">
        <w:t xml:space="preserve"> strategy and </w:t>
      </w:r>
      <w:r w:rsidR="003E450B">
        <w:t xml:space="preserve">review of </w:t>
      </w:r>
      <w:r w:rsidR="006A3275">
        <w:t xml:space="preserve">policy priorities. </w:t>
      </w:r>
      <w:r w:rsidR="001B4584" w:rsidRPr="001B4584">
        <w:t xml:space="preserve">Reflecting recommendations of the Aid Health Check and the four tests of Australian aid, </w:t>
      </w:r>
      <w:r w:rsidR="001B4584">
        <w:t>the new AIP</w:t>
      </w:r>
      <w:r w:rsidR="006A3275">
        <w:t xml:space="preserve"> </w:t>
      </w:r>
      <w:r w:rsidR="00747962">
        <w:t>will help Australia deliver on a more conso</w:t>
      </w:r>
      <w:r w:rsidR="001B4584">
        <w:t xml:space="preserve">lidated, </w:t>
      </w:r>
      <w:r w:rsidR="00747962">
        <w:t>targeted</w:t>
      </w:r>
      <w:r w:rsidR="001B4584">
        <w:t xml:space="preserve"> and proportionate</w:t>
      </w:r>
      <w:r w:rsidR="00747962">
        <w:t xml:space="preserve"> aid program</w:t>
      </w:r>
      <w:r w:rsidR="00AB2FA8">
        <w:t xml:space="preserve"> </w:t>
      </w:r>
      <w:r w:rsidR="005E1294">
        <w:t>for the coming five</w:t>
      </w:r>
      <w:r w:rsidR="00747962">
        <w:t xml:space="preserve"> years. It will enable us to continue delivering strong results </w:t>
      </w:r>
      <w:r w:rsidR="00E3314B">
        <w:t>in assisting Paki</w:t>
      </w:r>
      <w:r>
        <w:t>stan to address its development</w:t>
      </w:r>
      <w:r w:rsidR="00747962">
        <w:t xml:space="preserve"> challenges. </w:t>
      </w:r>
    </w:p>
    <w:p w:rsidR="00600A7F" w:rsidRDefault="00E3314B" w:rsidP="00CE73AF">
      <w:pPr>
        <w:spacing w:line="240" w:lineRule="auto"/>
      </w:pPr>
      <w:r>
        <w:t xml:space="preserve">Despite </w:t>
      </w:r>
      <w:r w:rsidR="0033794C">
        <w:t xml:space="preserve">notable improvements in the </w:t>
      </w:r>
      <w:r>
        <w:t>security environment</w:t>
      </w:r>
      <w:r w:rsidR="0033794C">
        <w:t xml:space="preserve">, </w:t>
      </w:r>
      <w:r w:rsidR="006A3275">
        <w:t>Pakistan</w:t>
      </w:r>
      <w:r w:rsidR="00F43817">
        <w:t xml:space="preserve"> </w:t>
      </w:r>
      <w:r w:rsidR="0033794C">
        <w:t xml:space="preserve">remains </w:t>
      </w:r>
      <w:r w:rsidR="00F43817">
        <w:t xml:space="preserve">a </w:t>
      </w:r>
      <w:r w:rsidR="0031545C">
        <w:t xml:space="preserve">difficult </w:t>
      </w:r>
      <w:r w:rsidR="00F43817">
        <w:t xml:space="preserve">place to deliver aid. </w:t>
      </w:r>
      <w:r w:rsidR="00F3321A" w:rsidRPr="00D27E7F">
        <w:rPr>
          <w:b/>
        </w:rPr>
        <w:t>Australia</w:t>
      </w:r>
      <w:r w:rsidR="00C431B4">
        <w:rPr>
          <w:b/>
        </w:rPr>
        <w:t>’s</w:t>
      </w:r>
      <w:r w:rsidR="00F3321A" w:rsidRPr="00D27E7F">
        <w:rPr>
          <w:b/>
        </w:rPr>
        <w:t xml:space="preserve"> aid program has continued to deliver services to the most vulnerable and </w:t>
      </w:r>
      <w:r w:rsidR="00F3321A">
        <w:rPr>
          <w:b/>
        </w:rPr>
        <w:t xml:space="preserve">has </w:t>
      </w:r>
      <w:r w:rsidR="00F3321A" w:rsidRPr="00D27E7F">
        <w:rPr>
          <w:b/>
        </w:rPr>
        <w:t>contribute</w:t>
      </w:r>
      <w:r w:rsidR="00F3321A">
        <w:rPr>
          <w:b/>
        </w:rPr>
        <w:t>d</w:t>
      </w:r>
      <w:r w:rsidR="00F3321A" w:rsidRPr="00D27E7F">
        <w:rPr>
          <w:b/>
        </w:rPr>
        <w:t xml:space="preserve"> to important system and policy reforms at provincial </w:t>
      </w:r>
      <w:r w:rsidR="00F3321A">
        <w:rPr>
          <w:b/>
        </w:rPr>
        <w:t xml:space="preserve">and </w:t>
      </w:r>
      <w:r w:rsidR="00F3321A" w:rsidRPr="00D27E7F">
        <w:rPr>
          <w:b/>
        </w:rPr>
        <w:t>national levels</w:t>
      </w:r>
      <w:r w:rsidR="00F3321A">
        <w:rPr>
          <w:b/>
        </w:rPr>
        <w:t>.</w:t>
      </w:r>
      <w:r w:rsidR="00F3321A">
        <w:t xml:space="preserve"> </w:t>
      </w:r>
      <w:r w:rsidR="0033794C">
        <w:t>A</w:t>
      </w:r>
      <w:r w:rsidR="00F43817">
        <w:t xml:space="preserve"> number of additional </w:t>
      </w:r>
      <w:r w:rsidR="0031545C">
        <w:t>complexities</w:t>
      </w:r>
      <w:r w:rsidR="0033794C">
        <w:t xml:space="preserve"> arose during this reporting period:</w:t>
      </w:r>
      <w:r w:rsidR="00F43817">
        <w:t xml:space="preserve"> </w:t>
      </w:r>
      <w:r w:rsidR="00CE41C0">
        <w:t xml:space="preserve">uncertainty over INGOs’ ability to continue operating in the country; </w:t>
      </w:r>
      <w:r w:rsidR="0031545C">
        <w:t xml:space="preserve">Pakistan’s </w:t>
      </w:r>
      <w:r w:rsidR="00FB1B8F">
        <w:t>national</w:t>
      </w:r>
      <w:r w:rsidR="00F43817">
        <w:t xml:space="preserve"> election</w:t>
      </w:r>
      <w:r w:rsidR="00FB1B8F">
        <w:t>s</w:t>
      </w:r>
      <w:r w:rsidR="0033794C">
        <w:t>;</w:t>
      </w:r>
      <w:r w:rsidR="00F43817">
        <w:t xml:space="preserve"> </w:t>
      </w:r>
      <w:r w:rsidR="00CE41C0">
        <w:t xml:space="preserve">heightened security concerns in </w:t>
      </w:r>
      <w:proofErr w:type="spellStart"/>
      <w:r w:rsidR="00CE41C0">
        <w:t>Balochistan</w:t>
      </w:r>
      <w:proofErr w:type="spellEnd"/>
      <w:r w:rsidR="00CE41C0">
        <w:t xml:space="preserve">, ongoing fragility and </w:t>
      </w:r>
      <w:r w:rsidR="0033794C">
        <w:t xml:space="preserve">the decision to merge </w:t>
      </w:r>
      <w:r w:rsidR="002015FE">
        <w:t>the Federally Administered Tribal Areas</w:t>
      </w:r>
      <w:r w:rsidR="00600A7F">
        <w:t xml:space="preserve"> (FATA)</w:t>
      </w:r>
      <w:r w:rsidR="00546A63">
        <w:t xml:space="preserve"> into </w:t>
      </w:r>
      <w:r w:rsidR="00F46617">
        <w:t>Khyber-Pakhtunkhwa P</w:t>
      </w:r>
      <w:r w:rsidR="00546A63">
        <w:t>rovince</w:t>
      </w:r>
      <w:r w:rsidR="00F46617">
        <w:t xml:space="preserve"> (KP)</w:t>
      </w:r>
      <w:r w:rsidR="00CE41C0">
        <w:t>.</w:t>
      </w:r>
      <w:r w:rsidR="00F43817">
        <w:t xml:space="preserve"> </w:t>
      </w:r>
    </w:p>
    <w:p w:rsidR="00F43817" w:rsidRDefault="002015FE" w:rsidP="00CE73AF">
      <w:pPr>
        <w:spacing w:line="240" w:lineRule="auto"/>
      </w:pPr>
      <w:r>
        <w:t>Against this backdrop, t</w:t>
      </w:r>
      <w:r w:rsidR="006F5663">
        <w:t xml:space="preserve">he past year has seen </w:t>
      </w:r>
      <w:r w:rsidR="0031545C" w:rsidRPr="00E03789">
        <w:rPr>
          <w:b/>
        </w:rPr>
        <w:t xml:space="preserve">good </w:t>
      </w:r>
      <w:r w:rsidR="006F5663" w:rsidRPr="00E03789">
        <w:rPr>
          <w:b/>
        </w:rPr>
        <w:t xml:space="preserve">progress </w:t>
      </w:r>
      <w:r w:rsidR="00747962" w:rsidRPr="00E03789">
        <w:rPr>
          <w:b/>
        </w:rPr>
        <w:t>towards</w:t>
      </w:r>
      <w:r w:rsidR="006F5663" w:rsidRPr="00E03789">
        <w:rPr>
          <w:b/>
        </w:rPr>
        <w:t xml:space="preserve"> the three AIP objectives, particularly </w:t>
      </w:r>
      <w:r w:rsidR="001371FE" w:rsidRPr="001371FE">
        <w:rPr>
          <w:b/>
        </w:rPr>
        <w:t xml:space="preserve">Objective 1 </w:t>
      </w:r>
      <w:r w:rsidR="006F5663" w:rsidRPr="001371FE">
        <w:rPr>
          <w:b/>
        </w:rPr>
        <w:t xml:space="preserve">and </w:t>
      </w:r>
      <w:r w:rsidR="001371FE" w:rsidRPr="001371FE">
        <w:rPr>
          <w:b/>
        </w:rPr>
        <w:t>Objective 2</w:t>
      </w:r>
      <w:r w:rsidR="006F5663" w:rsidRPr="001371FE">
        <w:rPr>
          <w:b/>
        </w:rPr>
        <w:t>.</w:t>
      </w:r>
      <w:r w:rsidR="006F5663" w:rsidRPr="001371FE">
        <w:t xml:space="preserve"> </w:t>
      </w:r>
      <w:r w:rsidR="00F43817">
        <w:t>Most targets outlined in the Performance Assessment Frame</w:t>
      </w:r>
      <w:r w:rsidR="00F111C8">
        <w:t>work have been met or exceeded. P</w:t>
      </w:r>
      <w:r w:rsidR="005723FB">
        <w:t>erformance</w:t>
      </w:r>
      <w:r w:rsidR="00F111C8">
        <w:t xml:space="preserve"> on gender equality</w:t>
      </w:r>
      <w:r w:rsidR="0031545C">
        <w:t xml:space="preserve"> improved</w:t>
      </w:r>
      <w:r w:rsidR="009A0236">
        <w:t xml:space="preserve">, </w:t>
      </w:r>
      <w:r w:rsidR="00C431B4">
        <w:t xml:space="preserve">following significant investment in strengthening performance in this area, </w:t>
      </w:r>
      <w:r w:rsidR="009A0236" w:rsidRPr="00F111C8">
        <w:t>with all</w:t>
      </w:r>
      <w:r w:rsidR="00D27E7F" w:rsidRPr="00F111C8">
        <w:t xml:space="preserve"> but one investment </w:t>
      </w:r>
      <w:r w:rsidR="00C431B4" w:rsidRPr="00F111C8">
        <w:t xml:space="preserve">now </w:t>
      </w:r>
      <w:r w:rsidR="00D27E7F" w:rsidRPr="00F111C8">
        <w:t xml:space="preserve">assessed as satisfactorily </w:t>
      </w:r>
      <w:r>
        <w:t>addressing</w:t>
      </w:r>
      <w:r w:rsidR="00F3321A" w:rsidRPr="00F111C8">
        <w:t xml:space="preserve"> </w:t>
      </w:r>
      <w:r w:rsidR="00D27E7F" w:rsidRPr="00F111C8">
        <w:t xml:space="preserve">gender </w:t>
      </w:r>
      <w:r>
        <w:t>issues in implementation</w:t>
      </w:r>
      <w:r w:rsidR="005723FB" w:rsidRPr="00F111C8">
        <w:t xml:space="preserve">. </w:t>
      </w:r>
      <w:r w:rsidR="009A0236" w:rsidRPr="00F111C8">
        <w:t xml:space="preserve">Performance on </w:t>
      </w:r>
      <w:r w:rsidR="003E450B" w:rsidRPr="00F111C8">
        <w:t>monitoring and evaluation (</w:t>
      </w:r>
      <w:r w:rsidR="009A0236" w:rsidRPr="00F111C8">
        <w:t>M&amp;E</w:t>
      </w:r>
      <w:r w:rsidR="003E450B" w:rsidRPr="00F111C8">
        <w:t>)</w:t>
      </w:r>
      <w:r w:rsidR="009A0236" w:rsidRPr="00F111C8">
        <w:t xml:space="preserve"> and efficiency also</w:t>
      </w:r>
      <w:r w:rsidR="009A0236">
        <w:t xml:space="preserve"> improved</w:t>
      </w:r>
      <w:r w:rsidR="0058515D">
        <w:t xml:space="preserve">. </w:t>
      </w:r>
      <w:r w:rsidR="00C431B4">
        <w:t xml:space="preserve">However ratings for </w:t>
      </w:r>
      <w:r w:rsidR="009A0236" w:rsidRPr="00F111C8">
        <w:t>effectiveness</w:t>
      </w:r>
      <w:r w:rsidR="00B432A8" w:rsidRPr="00F111C8">
        <w:t xml:space="preserve"> </w:t>
      </w:r>
      <w:r w:rsidR="009A0236" w:rsidRPr="00F111C8">
        <w:t>de</w:t>
      </w:r>
      <w:r w:rsidR="009A0236">
        <w:t xml:space="preserve">clined </w:t>
      </w:r>
      <w:r w:rsidR="00F46617">
        <w:t>modestly</w:t>
      </w:r>
      <w:r w:rsidR="009A0236">
        <w:t xml:space="preserve">– </w:t>
      </w:r>
      <w:r w:rsidR="0031545C">
        <w:t xml:space="preserve">with some of our </w:t>
      </w:r>
      <w:r w:rsidR="009A0236">
        <w:t xml:space="preserve">mature </w:t>
      </w:r>
      <w:r w:rsidR="00C431B4">
        <w:t xml:space="preserve">multi-donor </w:t>
      </w:r>
      <w:r w:rsidR="009A0236">
        <w:t xml:space="preserve">investments </w:t>
      </w:r>
      <w:r w:rsidR="0031545C">
        <w:t>not tracking as well</w:t>
      </w:r>
      <w:r w:rsidR="009A0236">
        <w:t xml:space="preserve"> as </w:t>
      </w:r>
      <w:r w:rsidR="00E35589">
        <w:t>expected</w:t>
      </w:r>
      <w:r w:rsidR="009A0236">
        <w:t xml:space="preserve"> towards end-of-program outcomes.</w:t>
      </w:r>
    </w:p>
    <w:p w:rsidR="00B41367" w:rsidRDefault="0031545C" w:rsidP="00CE73AF">
      <w:pPr>
        <w:spacing w:line="240" w:lineRule="auto"/>
      </w:pPr>
      <w:r>
        <w:t xml:space="preserve">We undertook an </w:t>
      </w:r>
      <w:r w:rsidR="003E450B">
        <w:t>independent</w:t>
      </w:r>
      <w:r w:rsidR="005E1294">
        <w:t xml:space="preserve"> </w:t>
      </w:r>
      <w:r w:rsidR="006F5663">
        <w:t xml:space="preserve">evaluation of </w:t>
      </w:r>
      <w:r w:rsidR="00B41367" w:rsidRPr="0016006B">
        <w:rPr>
          <w:b/>
          <w:i/>
        </w:rPr>
        <w:t>Objective 1: Generating sustainable inclusive growth</w:t>
      </w:r>
      <w:r w:rsidR="008D58DB">
        <w:rPr>
          <w:b/>
          <w:i/>
        </w:rPr>
        <w:t xml:space="preserve"> and employment</w:t>
      </w:r>
      <w:r>
        <w:t>, as part of our work</w:t>
      </w:r>
      <w:r w:rsidR="006F5663" w:rsidRPr="006F5663">
        <w:t xml:space="preserve"> to </w:t>
      </w:r>
      <w:r w:rsidR="006F5663" w:rsidRPr="00943607">
        <w:t>consolidate</w:t>
      </w:r>
      <w:r w:rsidR="006F5663">
        <w:t xml:space="preserve"> investments in the economic growth portfolio under the new AIP</w:t>
      </w:r>
      <w:r w:rsidR="00B41367" w:rsidRPr="006F5663">
        <w:t xml:space="preserve">. </w:t>
      </w:r>
      <w:r w:rsidR="006F5663">
        <w:t xml:space="preserve">The </w:t>
      </w:r>
      <w:r w:rsidR="008D58DB">
        <w:t xml:space="preserve">evaluation’s </w:t>
      </w:r>
      <w:r w:rsidR="006F5663">
        <w:t xml:space="preserve">positive assessment of the </w:t>
      </w:r>
      <w:r w:rsidR="00F43817">
        <w:t>portfol</w:t>
      </w:r>
      <w:r w:rsidR="006F5663">
        <w:t>io as a whole</w:t>
      </w:r>
      <w:r w:rsidR="00F43817">
        <w:t xml:space="preserve">, </w:t>
      </w:r>
      <w:r w:rsidR="00B41367">
        <w:rPr>
          <w:rFonts w:eastAsia="Times New Roman"/>
        </w:rPr>
        <w:t xml:space="preserve">combined with </w:t>
      </w:r>
      <w:r w:rsidR="00C431B4">
        <w:rPr>
          <w:rFonts w:eastAsia="Times New Roman"/>
        </w:rPr>
        <w:t xml:space="preserve">effective </w:t>
      </w:r>
      <w:r>
        <w:rPr>
          <w:rFonts w:eastAsia="Times New Roman"/>
        </w:rPr>
        <w:t xml:space="preserve">remediation </w:t>
      </w:r>
      <w:r w:rsidR="00E03FFF">
        <w:rPr>
          <w:rFonts w:eastAsia="Times New Roman"/>
        </w:rPr>
        <w:t>of</w:t>
      </w:r>
      <w:r>
        <w:rPr>
          <w:rFonts w:eastAsia="Times New Roman"/>
        </w:rPr>
        <w:t xml:space="preserve"> </w:t>
      </w:r>
      <w:r w:rsidR="00B41367">
        <w:rPr>
          <w:rFonts w:eastAsia="Times New Roman"/>
        </w:rPr>
        <w:t>the two Investments Re</w:t>
      </w:r>
      <w:r w:rsidR="00F43817">
        <w:rPr>
          <w:rFonts w:eastAsia="Times New Roman"/>
        </w:rPr>
        <w:t xml:space="preserve">quiring Improvement (IRIs), </w:t>
      </w:r>
      <w:r w:rsidR="00B41367">
        <w:rPr>
          <w:rFonts w:eastAsia="Times New Roman"/>
        </w:rPr>
        <w:t xml:space="preserve">led to a green rating for Objective 1. </w:t>
      </w:r>
      <w:r w:rsidR="00B41367">
        <w:t xml:space="preserve"> </w:t>
      </w:r>
    </w:p>
    <w:p w:rsidR="00B41367" w:rsidRDefault="00D27E7F" w:rsidP="00CE73AF">
      <w:pPr>
        <w:spacing w:line="240" w:lineRule="auto"/>
      </w:pPr>
      <w:r>
        <w:rPr>
          <w:rFonts w:eastAsia="Times New Roman"/>
        </w:rPr>
        <w:t xml:space="preserve">As we </w:t>
      </w:r>
      <w:r w:rsidR="00E03FFF">
        <w:rPr>
          <w:rFonts w:eastAsia="Times New Roman"/>
        </w:rPr>
        <w:t>near</w:t>
      </w:r>
      <w:r>
        <w:rPr>
          <w:rFonts w:eastAsia="Times New Roman"/>
        </w:rPr>
        <w:t xml:space="preserve"> the</w:t>
      </w:r>
      <w:r w:rsidR="006F5663" w:rsidRPr="008F2587">
        <w:rPr>
          <w:rFonts w:eastAsia="Times New Roman"/>
        </w:rPr>
        <w:t xml:space="preserve"> end of the current AIP, </w:t>
      </w:r>
      <w:r w:rsidR="00E03FFF">
        <w:rPr>
          <w:rFonts w:eastAsia="Times New Roman"/>
        </w:rPr>
        <w:t>progress</w:t>
      </w:r>
      <w:r w:rsidR="006F5663" w:rsidRPr="008F2587">
        <w:rPr>
          <w:rFonts w:eastAsia="Times New Roman"/>
        </w:rPr>
        <w:t xml:space="preserve"> </w:t>
      </w:r>
      <w:r w:rsidR="00F43817" w:rsidRPr="008F2587">
        <w:rPr>
          <w:rFonts w:eastAsia="Times New Roman"/>
        </w:rPr>
        <w:t>towards</w:t>
      </w:r>
      <w:r w:rsidR="00F43817">
        <w:rPr>
          <w:b/>
          <w:i/>
        </w:rPr>
        <w:t xml:space="preserve"> </w:t>
      </w:r>
      <w:r w:rsidR="00B41367" w:rsidRPr="0016006B">
        <w:rPr>
          <w:b/>
          <w:i/>
        </w:rPr>
        <w:t>Objective 2: Investing in Pakistan’s people with a focus on women and girls</w:t>
      </w:r>
      <w:r w:rsidR="00525E9D">
        <w:rPr>
          <w:b/>
          <w:i/>
        </w:rPr>
        <w:t xml:space="preserve"> </w:t>
      </w:r>
      <w:r w:rsidR="00525E9D" w:rsidRPr="00525E9D">
        <w:rPr>
          <w:rFonts w:eastAsia="Times New Roman"/>
        </w:rPr>
        <w:t>has accelerated</w:t>
      </w:r>
      <w:r w:rsidR="006F5663">
        <w:rPr>
          <w:b/>
          <w:i/>
        </w:rPr>
        <w:t xml:space="preserve">. </w:t>
      </w:r>
      <w:r w:rsidR="00F02ADA">
        <w:rPr>
          <w:rFonts w:eastAsia="Times New Roman"/>
        </w:rPr>
        <w:t>For the second successive year,</w:t>
      </w:r>
      <w:r w:rsidR="00F43817" w:rsidRPr="00F43817">
        <w:rPr>
          <w:rFonts w:eastAsia="Times New Roman"/>
        </w:rPr>
        <w:t xml:space="preserve"> Australia’s education, nutrition and ending violence against women investments all exceeded </w:t>
      </w:r>
      <w:r w:rsidR="00F43817">
        <w:rPr>
          <w:rFonts w:eastAsia="Times New Roman"/>
        </w:rPr>
        <w:t xml:space="preserve">their </w:t>
      </w:r>
      <w:r w:rsidR="008F2587">
        <w:rPr>
          <w:rFonts w:eastAsia="Times New Roman"/>
        </w:rPr>
        <w:t>targets</w:t>
      </w:r>
      <w:r w:rsidR="00F02ADA">
        <w:rPr>
          <w:rFonts w:eastAsia="Times New Roman"/>
        </w:rPr>
        <w:t xml:space="preserve">, </w:t>
      </w:r>
      <w:r w:rsidR="00E03FFF">
        <w:rPr>
          <w:rFonts w:eastAsia="Times New Roman"/>
        </w:rPr>
        <w:t>delivering</w:t>
      </w:r>
      <w:r w:rsidR="00ED6D18">
        <w:rPr>
          <w:rFonts w:eastAsia="Times New Roman"/>
        </w:rPr>
        <w:t xml:space="preserve"> </w:t>
      </w:r>
      <w:r w:rsidR="00F43817">
        <w:rPr>
          <w:rFonts w:eastAsia="Times New Roman"/>
        </w:rPr>
        <w:t>valuable</w:t>
      </w:r>
      <w:r w:rsidR="008F2587">
        <w:rPr>
          <w:rFonts w:eastAsia="Times New Roman"/>
        </w:rPr>
        <w:t>, lasting</w:t>
      </w:r>
      <w:r w:rsidR="00F43817">
        <w:rPr>
          <w:rFonts w:eastAsia="Times New Roman"/>
        </w:rPr>
        <w:t xml:space="preserve"> policy contributions. </w:t>
      </w:r>
    </w:p>
    <w:p w:rsidR="009D28B5" w:rsidRDefault="00B41367" w:rsidP="00CE73AF">
      <w:pPr>
        <w:spacing w:line="240" w:lineRule="auto"/>
        <w:rPr>
          <w:rFonts w:eastAsia="Times New Roman"/>
        </w:rPr>
      </w:pPr>
      <w:r w:rsidRPr="0016006B">
        <w:rPr>
          <w:b/>
          <w:i/>
        </w:rPr>
        <w:t xml:space="preserve">Objective 3: Supporting stabilisation and resilience </w:t>
      </w:r>
      <w:r w:rsidR="00F02ADA">
        <w:rPr>
          <w:rFonts w:eastAsia="Times New Roman"/>
        </w:rPr>
        <w:t>achieved an</w:t>
      </w:r>
      <w:r w:rsidRPr="00DF3F75">
        <w:rPr>
          <w:rFonts w:eastAsia="Times New Roman"/>
        </w:rPr>
        <w:t xml:space="preserve"> amber</w:t>
      </w:r>
      <w:r w:rsidR="00F02ADA">
        <w:rPr>
          <w:rFonts w:eastAsia="Times New Roman"/>
        </w:rPr>
        <w:t xml:space="preserve"> rating</w:t>
      </w:r>
      <w:r w:rsidRPr="00DF3F75">
        <w:rPr>
          <w:rFonts w:eastAsia="Times New Roman"/>
        </w:rPr>
        <w:t xml:space="preserve"> this year</w:t>
      </w:r>
      <w:r w:rsidR="00A77EF7">
        <w:rPr>
          <w:rFonts w:eastAsia="Times New Roman"/>
        </w:rPr>
        <w:t>, down from a green rating last year</w:t>
      </w:r>
      <w:r w:rsidR="002015FE">
        <w:rPr>
          <w:rFonts w:eastAsia="Times New Roman"/>
        </w:rPr>
        <w:t xml:space="preserve">, </w:t>
      </w:r>
      <w:r w:rsidR="00155176">
        <w:rPr>
          <w:rFonts w:eastAsia="Times New Roman"/>
        </w:rPr>
        <w:t>with</w:t>
      </w:r>
      <w:r w:rsidR="002015FE">
        <w:rPr>
          <w:rFonts w:eastAsia="Times New Roman"/>
        </w:rPr>
        <w:t xml:space="preserve"> benchmarks only partly achieved</w:t>
      </w:r>
      <w:r w:rsidR="00F02ADA">
        <w:rPr>
          <w:rFonts w:eastAsia="Times New Roman"/>
        </w:rPr>
        <w:t xml:space="preserve">. </w:t>
      </w:r>
      <w:r w:rsidR="00DB545A">
        <w:rPr>
          <w:rFonts w:eastAsia="Times New Roman"/>
        </w:rPr>
        <w:t>O</w:t>
      </w:r>
      <w:r w:rsidR="00F02ADA">
        <w:rPr>
          <w:rFonts w:eastAsia="Times New Roman"/>
        </w:rPr>
        <w:t>ur World Bank</w:t>
      </w:r>
      <w:r w:rsidR="00733717">
        <w:rPr>
          <w:rFonts w:eastAsia="Times New Roman"/>
        </w:rPr>
        <w:t xml:space="preserve"> </w:t>
      </w:r>
      <w:r w:rsidR="00C431B4">
        <w:rPr>
          <w:rFonts w:eastAsia="Times New Roman"/>
        </w:rPr>
        <w:t xml:space="preserve">multi-donor </w:t>
      </w:r>
      <w:r w:rsidR="00F02ADA">
        <w:rPr>
          <w:rFonts w:eastAsia="Times New Roman"/>
        </w:rPr>
        <w:t xml:space="preserve">trust fund </w:t>
      </w:r>
      <w:r w:rsidR="00733717">
        <w:rPr>
          <w:rFonts w:eastAsia="Times New Roman"/>
        </w:rPr>
        <w:t>investment in two of the border provinces (K</w:t>
      </w:r>
      <w:r w:rsidR="009E417D">
        <w:rPr>
          <w:rFonts w:eastAsia="Times New Roman"/>
        </w:rPr>
        <w:t xml:space="preserve">hyber </w:t>
      </w:r>
      <w:r w:rsidR="00733717">
        <w:rPr>
          <w:rFonts w:eastAsia="Times New Roman"/>
        </w:rPr>
        <w:t>P</w:t>
      </w:r>
      <w:r w:rsidR="009E417D">
        <w:rPr>
          <w:rFonts w:eastAsia="Times New Roman"/>
        </w:rPr>
        <w:t>akhtunkhwa</w:t>
      </w:r>
      <w:r w:rsidR="00733717">
        <w:rPr>
          <w:rFonts w:eastAsia="Times New Roman"/>
        </w:rPr>
        <w:t xml:space="preserve"> and </w:t>
      </w:r>
      <w:proofErr w:type="spellStart"/>
      <w:r w:rsidR="00733717">
        <w:rPr>
          <w:rFonts w:eastAsia="Times New Roman"/>
        </w:rPr>
        <w:t>Balochistan</w:t>
      </w:r>
      <w:proofErr w:type="spellEnd"/>
      <w:r w:rsidR="00733717">
        <w:rPr>
          <w:rFonts w:eastAsia="Times New Roman"/>
        </w:rPr>
        <w:t>)</w:t>
      </w:r>
      <w:r w:rsidR="00DB545A">
        <w:rPr>
          <w:rFonts w:eastAsia="Times New Roman"/>
        </w:rPr>
        <w:t xml:space="preserve"> has progressed well but</w:t>
      </w:r>
      <w:r w:rsidR="00733717">
        <w:rPr>
          <w:rFonts w:eastAsia="Times New Roman"/>
        </w:rPr>
        <w:t xml:space="preserve"> the program </w:t>
      </w:r>
      <w:r w:rsidR="00C431B4">
        <w:rPr>
          <w:rFonts w:eastAsia="Times New Roman"/>
        </w:rPr>
        <w:t xml:space="preserve">in </w:t>
      </w:r>
      <w:r w:rsidR="00733717">
        <w:rPr>
          <w:rFonts w:eastAsia="Times New Roman"/>
        </w:rPr>
        <w:t>FATA</w:t>
      </w:r>
      <w:r w:rsidR="00F02ADA">
        <w:rPr>
          <w:rFonts w:eastAsia="Times New Roman"/>
        </w:rPr>
        <w:t xml:space="preserve"> has </w:t>
      </w:r>
      <w:r w:rsidR="00DB545A">
        <w:rPr>
          <w:rFonts w:eastAsia="Times New Roman"/>
        </w:rPr>
        <w:t>not started</w:t>
      </w:r>
      <w:r w:rsidR="00733717">
        <w:rPr>
          <w:rFonts w:eastAsia="Times New Roman"/>
        </w:rPr>
        <w:t xml:space="preserve">. Despite these challenges, </w:t>
      </w:r>
      <w:r w:rsidR="00377548">
        <w:rPr>
          <w:rFonts w:eastAsia="Times New Roman"/>
        </w:rPr>
        <w:t>our</w:t>
      </w:r>
      <w:r w:rsidR="00733717">
        <w:rPr>
          <w:rFonts w:eastAsia="Times New Roman"/>
        </w:rPr>
        <w:t xml:space="preserve"> aid program continue</w:t>
      </w:r>
      <w:r w:rsidR="00E03FFF">
        <w:rPr>
          <w:rFonts w:eastAsia="Times New Roman"/>
        </w:rPr>
        <w:t>s</w:t>
      </w:r>
      <w:r w:rsidR="00733717">
        <w:rPr>
          <w:rFonts w:eastAsia="Times New Roman"/>
        </w:rPr>
        <w:t xml:space="preserve"> to provide effective humanitarian assistance to the most vulnerable</w:t>
      </w:r>
      <w:r w:rsidR="00E03FFF">
        <w:rPr>
          <w:rFonts w:eastAsia="Times New Roman"/>
        </w:rPr>
        <w:t>,</w:t>
      </w:r>
      <w:r w:rsidR="00733717">
        <w:rPr>
          <w:rFonts w:eastAsia="Times New Roman"/>
        </w:rPr>
        <w:t xml:space="preserve"> including </w:t>
      </w:r>
      <w:r w:rsidR="00E35589">
        <w:rPr>
          <w:rFonts w:eastAsia="Times New Roman"/>
        </w:rPr>
        <w:t xml:space="preserve">the </w:t>
      </w:r>
      <w:r w:rsidR="00733717">
        <w:rPr>
          <w:rFonts w:eastAsia="Times New Roman"/>
        </w:rPr>
        <w:t>school feeding program</w:t>
      </w:r>
      <w:r w:rsidR="00E35589">
        <w:rPr>
          <w:rFonts w:eastAsia="Times New Roman"/>
        </w:rPr>
        <w:t xml:space="preserve"> in FATA</w:t>
      </w:r>
      <w:r w:rsidR="00733717">
        <w:rPr>
          <w:rFonts w:eastAsia="Times New Roman"/>
        </w:rPr>
        <w:t xml:space="preserve"> (W</w:t>
      </w:r>
      <w:r w:rsidR="00600A7F">
        <w:rPr>
          <w:rFonts w:eastAsia="Times New Roman"/>
        </w:rPr>
        <w:t>orld Food Programme</w:t>
      </w:r>
      <w:r w:rsidR="00733717">
        <w:rPr>
          <w:rFonts w:eastAsia="Times New Roman"/>
        </w:rPr>
        <w:t xml:space="preserve">) and registering </w:t>
      </w:r>
      <w:r w:rsidR="00B87A12">
        <w:rPr>
          <w:rFonts w:eastAsia="Times New Roman"/>
        </w:rPr>
        <w:t>almost a million</w:t>
      </w:r>
      <w:r w:rsidR="00FE37EE">
        <w:rPr>
          <w:rFonts w:eastAsia="Times New Roman"/>
        </w:rPr>
        <w:t xml:space="preserve"> </w:t>
      </w:r>
      <w:r w:rsidR="00733717">
        <w:rPr>
          <w:rFonts w:eastAsia="Times New Roman"/>
        </w:rPr>
        <w:t xml:space="preserve">displaced Afghans </w:t>
      </w:r>
      <w:r w:rsidR="00785A85">
        <w:rPr>
          <w:rFonts w:eastAsia="Times New Roman"/>
        </w:rPr>
        <w:t xml:space="preserve">in Pakistan </w:t>
      </w:r>
      <w:r w:rsidR="003E450B">
        <w:rPr>
          <w:rFonts w:eastAsia="Times New Roman"/>
        </w:rPr>
        <w:t xml:space="preserve">for Afghan Citizen </w:t>
      </w:r>
      <w:r w:rsidR="007D1FD3">
        <w:rPr>
          <w:rFonts w:eastAsia="Times New Roman"/>
        </w:rPr>
        <w:t xml:space="preserve">Cards </w:t>
      </w:r>
      <w:r w:rsidR="003E450B">
        <w:rPr>
          <w:rFonts w:eastAsia="Times New Roman"/>
        </w:rPr>
        <w:t>(I</w:t>
      </w:r>
      <w:r w:rsidR="003E5501">
        <w:rPr>
          <w:rFonts w:eastAsia="Times New Roman"/>
        </w:rPr>
        <w:t>nternational Organization for Migration</w:t>
      </w:r>
      <w:r w:rsidR="00CC51B9">
        <w:rPr>
          <w:rFonts w:eastAsia="Times New Roman"/>
        </w:rPr>
        <w:t>).</w:t>
      </w:r>
      <w:r w:rsidR="002015FE">
        <w:rPr>
          <w:rFonts w:eastAsia="Times New Roman"/>
        </w:rPr>
        <w:t xml:space="preserve"> </w:t>
      </w:r>
      <w:r w:rsidR="00155176">
        <w:rPr>
          <w:rFonts w:eastAsia="Times New Roman"/>
        </w:rPr>
        <w:t xml:space="preserve">In March 2018, </w:t>
      </w:r>
      <w:r w:rsidR="00452D35">
        <w:rPr>
          <w:rFonts w:eastAsia="Times New Roman"/>
        </w:rPr>
        <w:t>we</w:t>
      </w:r>
      <w:r w:rsidR="00155176">
        <w:rPr>
          <w:rFonts w:eastAsia="Times New Roman"/>
        </w:rPr>
        <w:t xml:space="preserve"> launched </w:t>
      </w:r>
      <w:r w:rsidR="00E03FFF">
        <w:rPr>
          <w:rFonts w:eastAsia="Times New Roman"/>
        </w:rPr>
        <w:t>our</w:t>
      </w:r>
      <w:r w:rsidR="00155176">
        <w:rPr>
          <w:rFonts w:eastAsia="Times New Roman"/>
        </w:rPr>
        <w:t xml:space="preserve"> new</w:t>
      </w:r>
      <w:r w:rsidR="002015FE">
        <w:rPr>
          <w:rFonts w:eastAsia="Times New Roman"/>
        </w:rPr>
        <w:t xml:space="preserve"> </w:t>
      </w:r>
      <w:r w:rsidR="0040395E">
        <w:rPr>
          <w:rFonts w:eastAsia="Times New Roman"/>
        </w:rPr>
        <w:t>Regional</w:t>
      </w:r>
      <w:r w:rsidR="002015FE">
        <w:rPr>
          <w:rFonts w:eastAsia="Times New Roman"/>
        </w:rPr>
        <w:t xml:space="preserve"> Humanitarian Strategy for Afghanistan and Pakistan.</w:t>
      </w:r>
    </w:p>
    <w:p w:rsidR="00E35589" w:rsidRPr="009D28B5" w:rsidRDefault="00A94EB7" w:rsidP="00CE73AF">
      <w:pPr>
        <w:spacing w:line="240" w:lineRule="auto"/>
        <w:rPr>
          <w:rFonts w:eastAsia="Times New Roman"/>
        </w:rPr>
      </w:pPr>
      <w:r w:rsidRPr="00E03789">
        <w:rPr>
          <w:b/>
        </w:rPr>
        <w:t xml:space="preserve">Australia </w:t>
      </w:r>
      <w:r w:rsidR="00325891" w:rsidRPr="00E03789">
        <w:rPr>
          <w:b/>
        </w:rPr>
        <w:t>remains a</w:t>
      </w:r>
      <w:r w:rsidRPr="00E03789">
        <w:rPr>
          <w:b/>
        </w:rPr>
        <w:t xml:space="preserve"> top ten donor to Pakistan</w:t>
      </w:r>
      <w:r w:rsidRPr="001B4584">
        <w:t>, behind larger donors such as the UK, USA, Japan, EU</w:t>
      </w:r>
      <w:r w:rsidR="00600A7F">
        <w:t xml:space="preserve"> and</w:t>
      </w:r>
      <w:r w:rsidRPr="001B4584">
        <w:t xml:space="preserve"> Germany. Australia’s </w:t>
      </w:r>
      <w:r w:rsidR="00CE73AF">
        <w:t>Official Development Assistance (ODA)</w:t>
      </w:r>
      <w:r w:rsidRPr="001B4584">
        <w:t xml:space="preserve"> accounted for 0.8 percent of total ODA </w:t>
      </w:r>
      <w:r w:rsidR="00325891">
        <w:t xml:space="preserve">to Pakistan </w:t>
      </w:r>
      <w:r w:rsidRPr="001B4584">
        <w:t xml:space="preserve">– and a </w:t>
      </w:r>
      <w:r w:rsidR="00325891">
        <w:t>tiny</w:t>
      </w:r>
      <w:r w:rsidRPr="001B4584">
        <w:t xml:space="preserve"> percentage of Pakistan’s national budget </w:t>
      </w:r>
      <w:r w:rsidR="00325891">
        <w:t>(USD</w:t>
      </w:r>
      <w:r w:rsidRPr="001B4584">
        <w:t>43 billion in 2017-18</w:t>
      </w:r>
      <w:r w:rsidR="00325891">
        <w:t>)</w:t>
      </w:r>
      <w:r w:rsidRPr="001B4584">
        <w:t>.</w:t>
      </w:r>
      <w:r w:rsidR="00325891">
        <w:t xml:space="preserve"> </w:t>
      </w:r>
      <w:r w:rsidRPr="001B4584">
        <w:t xml:space="preserve">The new AIP will maximise the value-add of Australian aid </w:t>
      </w:r>
      <w:r w:rsidR="00325891">
        <w:t>to</w:t>
      </w:r>
      <w:r w:rsidRPr="001B4584">
        <w:t xml:space="preserve"> Pakistan</w:t>
      </w:r>
      <w:r w:rsidR="00D337F1">
        <w:t xml:space="preserve"> by</w:t>
      </w:r>
      <w:r w:rsidR="00377548">
        <w:t xml:space="preserve"> </w:t>
      </w:r>
      <w:r w:rsidR="00155176">
        <w:t>giving full play to our</w:t>
      </w:r>
      <w:r w:rsidR="00325891">
        <w:t xml:space="preserve"> comparative advantage</w:t>
      </w:r>
      <w:r w:rsidR="00DB545A">
        <w:t>s</w:t>
      </w:r>
      <w:r w:rsidR="00F46617">
        <w:t xml:space="preserve"> – those areas where Australia’s deep </w:t>
      </w:r>
      <w:r w:rsidR="00DB545A">
        <w:t xml:space="preserve">technical and policy expertise </w:t>
      </w:r>
      <w:r w:rsidR="00F46617">
        <w:t xml:space="preserve">can best </w:t>
      </w:r>
      <w:r w:rsidR="00525E9D">
        <w:t>contribut</w:t>
      </w:r>
      <w:r w:rsidR="00F46617">
        <w:t>e</w:t>
      </w:r>
      <w:r w:rsidR="00525E9D">
        <w:t xml:space="preserve"> to</w:t>
      </w:r>
      <w:r w:rsidR="00DB545A">
        <w:t xml:space="preserve"> successful on-the-ground </w:t>
      </w:r>
      <w:r w:rsidR="00E03FFF">
        <w:t>programs</w:t>
      </w:r>
      <w:r w:rsidR="00DB545A">
        <w:t>.  The new AIP will also r</w:t>
      </w:r>
      <w:r w:rsidR="00155176">
        <w:t>einforc</w:t>
      </w:r>
      <w:r w:rsidR="00DB545A">
        <w:t>e</w:t>
      </w:r>
      <w:r w:rsidRPr="001B4584">
        <w:t xml:space="preserve"> our </w:t>
      </w:r>
      <w:r w:rsidR="00B432A8">
        <w:t>value</w:t>
      </w:r>
      <w:r w:rsidR="00155176">
        <w:t xml:space="preserve"> to </w:t>
      </w:r>
      <w:r w:rsidR="00950214">
        <w:t xml:space="preserve">Pakistan as an agile, pragmatic, </w:t>
      </w:r>
      <w:r w:rsidRPr="001B4584">
        <w:t xml:space="preserve">medium sized donor </w:t>
      </w:r>
      <w:r w:rsidR="00950214">
        <w:t>focused tightly on</w:t>
      </w:r>
      <w:r w:rsidRPr="001B4584">
        <w:t xml:space="preserve"> </w:t>
      </w:r>
      <w:r w:rsidR="00950214">
        <w:t xml:space="preserve">some of the country’s most pressing development challenges: </w:t>
      </w:r>
      <w:r w:rsidRPr="001B4584">
        <w:t>gender</w:t>
      </w:r>
      <w:r w:rsidR="00452D35">
        <w:t xml:space="preserve"> inequality</w:t>
      </w:r>
      <w:r w:rsidRPr="001B4584">
        <w:t>, agriculture and water management.</w:t>
      </w:r>
    </w:p>
    <w:p w:rsidR="00155176" w:rsidRDefault="00155176" w:rsidP="004E48CF">
      <w:pPr>
        <w:spacing w:before="0" w:after="0"/>
        <w:rPr>
          <w:rFonts w:asciiTheme="majorHAnsi" w:eastAsiaTheme="majorEastAsia" w:hAnsiTheme="majorHAnsi" w:cstheme="majorBidi"/>
          <w:b/>
          <w:caps/>
          <w:sz w:val="38"/>
          <w:szCs w:val="26"/>
        </w:rPr>
      </w:pPr>
    </w:p>
    <w:p w:rsidR="004D587C" w:rsidRPr="004E48CF" w:rsidRDefault="00C6626C" w:rsidP="004E48CF">
      <w:pPr>
        <w:spacing w:before="0" w:after="0"/>
        <w:rPr>
          <w:rFonts w:asciiTheme="majorHAnsi" w:eastAsiaTheme="majorEastAsia" w:hAnsiTheme="majorHAnsi" w:cstheme="majorBidi"/>
          <w:b/>
          <w:caps/>
          <w:sz w:val="38"/>
          <w:szCs w:val="26"/>
        </w:rPr>
      </w:pPr>
      <w:r w:rsidRPr="004E48CF">
        <w:rPr>
          <w:rFonts w:asciiTheme="majorHAnsi" w:eastAsiaTheme="majorEastAsia" w:hAnsiTheme="majorHAnsi" w:cstheme="majorBidi"/>
          <w:b/>
          <w:caps/>
          <w:sz w:val="38"/>
          <w:szCs w:val="26"/>
        </w:rPr>
        <w:t>Expenditure</w:t>
      </w:r>
    </w:p>
    <w:p w:rsidR="004D587C" w:rsidRDefault="004D587C" w:rsidP="004D587C">
      <w:pPr>
        <w:rPr>
          <w:b/>
          <w:bCs/>
          <w:sz w:val="24"/>
          <w:szCs w:val="24"/>
        </w:rPr>
      </w:pPr>
      <w:r>
        <w:rPr>
          <w:b/>
          <w:bCs/>
          <w:sz w:val="24"/>
          <w:szCs w:val="24"/>
        </w:rPr>
        <w:t>Table 1 Total ODA Expenditure in FY 2017-18</w:t>
      </w:r>
    </w:p>
    <w:tbl>
      <w:tblPr>
        <w:tblW w:w="9639" w:type="dxa"/>
        <w:tblCellMar>
          <w:left w:w="0" w:type="dxa"/>
          <w:right w:w="0" w:type="dxa"/>
        </w:tblCellMar>
        <w:tblLook w:val="04A0" w:firstRow="1" w:lastRow="0" w:firstColumn="1" w:lastColumn="0" w:noHBand="0" w:noVBand="1"/>
      </w:tblPr>
      <w:tblGrid>
        <w:gridCol w:w="6374"/>
        <w:gridCol w:w="1423"/>
        <w:gridCol w:w="1842"/>
      </w:tblGrid>
      <w:tr w:rsidR="004D587C" w:rsidTr="004D587C">
        <w:tc>
          <w:tcPr>
            <w:tcW w:w="6374" w:type="dxa"/>
            <w:tcBorders>
              <w:top w:val="single" w:sz="12" w:space="0" w:color="auto"/>
              <w:left w:val="nil"/>
              <w:bottom w:val="nil"/>
              <w:right w:val="nil"/>
            </w:tcBorders>
            <w:tcMar>
              <w:top w:w="0" w:type="dxa"/>
              <w:left w:w="108" w:type="dxa"/>
              <w:bottom w:w="0" w:type="dxa"/>
              <w:right w:w="108" w:type="dxa"/>
            </w:tcMar>
            <w:hideMark/>
          </w:tcPr>
          <w:p w:rsidR="004D587C" w:rsidRPr="003E450B" w:rsidRDefault="004D587C">
            <w:pPr>
              <w:rPr>
                <w:b/>
                <w:bCs/>
                <w:sz w:val="24"/>
                <w:szCs w:val="24"/>
              </w:rPr>
            </w:pPr>
            <w:r w:rsidRPr="003E450B">
              <w:rPr>
                <w:b/>
                <w:sz w:val="20"/>
                <w:szCs w:val="20"/>
              </w:rPr>
              <w:t>Objective</w:t>
            </w:r>
          </w:p>
        </w:tc>
        <w:tc>
          <w:tcPr>
            <w:tcW w:w="1423" w:type="dxa"/>
            <w:tcBorders>
              <w:top w:val="single" w:sz="12" w:space="0" w:color="auto"/>
              <w:left w:val="nil"/>
              <w:bottom w:val="nil"/>
              <w:right w:val="nil"/>
            </w:tcBorders>
            <w:tcMar>
              <w:top w:w="0" w:type="dxa"/>
              <w:left w:w="108" w:type="dxa"/>
              <w:bottom w:w="0" w:type="dxa"/>
              <w:right w:w="108" w:type="dxa"/>
            </w:tcMar>
            <w:hideMark/>
          </w:tcPr>
          <w:p w:rsidR="004D587C" w:rsidRPr="003E450B" w:rsidRDefault="004D587C">
            <w:pPr>
              <w:jc w:val="center"/>
              <w:rPr>
                <w:b/>
                <w:bCs/>
                <w:sz w:val="24"/>
                <w:szCs w:val="24"/>
              </w:rPr>
            </w:pPr>
            <w:r w:rsidRPr="003E450B">
              <w:rPr>
                <w:b/>
                <w:sz w:val="20"/>
                <w:szCs w:val="20"/>
              </w:rPr>
              <w:t>A$ million</w:t>
            </w:r>
          </w:p>
        </w:tc>
        <w:tc>
          <w:tcPr>
            <w:tcW w:w="1842" w:type="dxa"/>
            <w:tcBorders>
              <w:top w:val="single" w:sz="12" w:space="0" w:color="auto"/>
              <w:left w:val="nil"/>
              <w:bottom w:val="nil"/>
              <w:right w:val="nil"/>
            </w:tcBorders>
            <w:tcMar>
              <w:top w:w="0" w:type="dxa"/>
              <w:left w:w="108" w:type="dxa"/>
              <w:bottom w:w="0" w:type="dxa"/>
              <w:right w:w="108" w:type="dxa"/>
            </w:tcMar>
            <w:hideMark/>
          </w:tcPr>
          <w:p w:rsidR="004D587C" w:rsidRPr="003E450B" w:rsidRDefault="004D587C">
            <w:pPr>
              <w:ind w:right="-546"/>
              <w:jc w:val="center"/>
              <w:rPr>
                <w:b/>
                <w:bCs/>
                <w:sz w:val="24"/>
                <w:szCs w:val="24"/>
              </w:rPr>
            </w:pPr>
            <w:r w:rsidRPr="003E450B">
              <w:rPr>
                <w:b/>
                <w:sz w:val="20"/>
                <w:szCs w:val="20"/>
              </w:rPr>
              <w:t>% of total ODA</w:t>
            </w:r>
          </w:p>
        </w:tc>
      </w:tr>
      <w:tr w:rsidR="004D587C" w:rsidTr="004D587C">
        <w:tc>
          <w:tcPr>
            <w:tcW w:w="6374" w:type="dxa"/>
            <w:tcMar>
              <w:top w:w="0" w:type="dxa"/>
              <w:left w:w="108" w:type="dxa"/>
              <w:bottom w:w="0" w:type="dxa"/>
              <w:right w:w="108" w:type="dxa"/>
            </w:tcMar>
            <w:hideMark/>
          </w:tcPr>
          <w:p w:rsidR="004D587C" w:rsidRDefault="004D587C" w:rsidP="008D58DB">
            <w:pPr>
              <w:rPr>
                <w:b/>
                <w:bCs/>
                <w:sz w:val="24"/>
                <w:szCs w:val="24"/>
              </w:rPr>
            </w:pPr>
            <w:r>
              <w:rPr>
                <w:sz w:val="20"/>
                <w:szCs w:val="20"/>
              </w:rPr>
              <w:t>Objective 1</w:t>
            </w:r>
            <w:r w:rsidR="008D58DB">
              <w:rPr>
                <w:sz w:val="20"/>
                <w:szCs w:val="20"/>
              </w:rPr>
              <w:t>: Generating sustainable inclusive growth and employment</w:t>
            </w:r>
          </w:p>
        </w:tc>
        <w:tc>
          <w:tcPr>
            <w:tcW w:w="1423" w:type="dxa"/>
            <w:tcMar>
              <w:top w:w="0" w:type="dxa"/>
              <w:left w:w="108" w:type="dxa"/>
              <w:bottom w:w="0" w:type="dxa"/>
              <w:right w:w="108" w:type="dxa"/>
            </w:tcMar>
            <w:hideMark/>
          </w:tcPr>
          <w:p w:rsidR="004D587C" w:rsidRPr="008D58DB" w:rsidRDefault="004D587C" w:rsidP="008D58DB">
            <w:pPr>
              <w:jc w:val="center"/>
              <w:rPr>
                <w:sz w:val="20"/>
                <w:szCs w:val="20"/>
              </w:rPr>
            </w:pPr>
            <w:r w:rsidRPr="000A7F7E">
              <w:rPr>
                <w:sz w:val="20"/>
                <w:szCs w:val="20"/>
              </w:rPr>
              <w:t>19.6</w:t>
            </w:r>
          </w:p>
        </w:tc>
        <w:tc>
          <w:tcPr>
            <w:tcW w:w="1842" w:type="dxa"/>
            <w:tcMar>
              <w:top w:w="0" w:type="dxa"/>
              <w:left w:w="108" w:type="dxa"/>
              <w:bottom w:w="0" w:type="dxa"/>
              <w:right w:w="108" w:type="dxa"/>
            </w:tcMar>
            <w:hideMark/>
          </w:tcPr>
          <w:p w:rsidR="004D587C" w:rsidRPr="008D58DB" w:rsidRDefault="004D587C" w:rsidP="008D58DB">
            <w:pPr>
              <w:jc w:val="center"/>
              <w:rPr>
                <w:sz w:val="20"/>
                <w:szCs w:val="20"/>
              </w:rPr>
            </w:pPr>
            <w:r w:rsidRPr="008D58DB">
              <w:rPr>
                <w:sz w:val="20"/>
                <w:szCs w:val="20"/>
              </w:rPr>
              <w:t>39%</w:t>
            </w:r>
          </w:p>
        </w:tc>
      </w:tr>
      <w:tr w:rsidR="004D587C" w:rsidTr="004D587C">
        <w:tc>
          <w:tcPr>
            <w:tcW w:w="6374" w:type="dxa"/>
            <w:tcMar>
              <w:top w:w="0" w:type="dxa"/>
              <w:left w:w="108" w:type="dxa"/>
              <w:bottom w:w="0" w:type="dxa"/>
              <w:right w:w="108" w:type="dxa"/>
            </w:tcMar>
            <w:hideMark/>
          </w:tcPr>
          <w:p w:rsidR="004D587C" w:rsidRDefault="004D587C">
            <w:pPr>
              <w:rPr>
                <w:b/>
                <w:bCs/>
                <w:sz w:val="24"/>
                <w:szCs w:val="24"/>
              </w:rPr>
            </w:pPr>
            <w:r>
              <w:rPr>
                <w:sz w:val="20"/>
                <w:szCs w:val="20"/>
              </w:rPr>
              <w:t>Objective 2</w:t>
            </w:r>
            <w:r w:rsidR="008D58DB">
              <w:rPr>
                <w:sz w:val="20"/>
                <w:szCs w:val="20"/>
              </w:rPr>
              <w:t>: Investing in Pakistan’s people</w:t>
            </w:r>
          </w:p>
        </w:tc>
        <w:tc>
          <w:tcPr>
            <w:tcW w:w="1423" w:type="dxa"/>
            <w:tcMar>
              <w:top w:w="0" w:type="dxa"/>
              <w:left w:w="108" w:type="dxa"/>
              <w:bottom w:w="0" w:type="dxa"/>
              <w:right w:w="108" w:type="dxa"/>
            </w:tcMar>
            <w:hideMark/>
          </w:tcPr>
          <w:p w:rsidR="004D587C" w:rsidRPr="008D58DB" w:rsidRDefault="004D587C" w:rsidP="008D58DB">
            <w:pPr>
              <w:jc w:val="center"/>
              <w:rPr>
                <w:sz w:val="20"/>
                <w:szCs w:val="20"/>
              </w:rPr>
            </w:pPr>
            <w:r w:rsidRPr="008D58DB">
              <w:rPr>
                <w:sz w:val="20"/>
                <w:szCs w:val="20"/>
              </w:rPr>
              <w:t>10</w:t>
            </w:r>
          </w:p>
        </w:tc>
        <w:tc>
          <w:tcPr>
            <w:tcW w:w="1842" w:type="dxa"/>
            <w:tcMar>
              <w:top w:w="0" w:type="dxa"/>
              <w:left w:w="108" w:type="dxa"/>
              <w:bottom w:w="0" w:type="dxa"/>
              <w:right w:w="108" w:type="dxa"/>
            </w:tcMar>
            <w:hideMark/>
          </w:tcPr>
          <w:p w:rsidR="004D587C" w:rsidRPr="008D58DB" w:rsidRDefault="004D587C" w:rsidP="008D58DB">
            <w:pPr>
              <w:jc w:val="center"/>
              <w:rPr>
                <w:sz w:val="20"/>
                <w:szCs w:val="20"/>
              </w:rPr>
            </w:pPr>
            <w:r w:rsidRPr="008D58DB">
              <w:rPr>
                <w:sz w:val="20"/>
                <w:szCs w:val="20"/>
              </w:rPr>
              <w:t>20%</w:t>
            </w:r>
          </w:p>
        </w:tc>
      </w:tr>
      <w:tr w:rsidR="004D587C" w:rsidTr="004D587C">
        <w:tc>
          <w:tcPr>
            <w:tcW w:w="6374" w:type="dxa"/>
            <w:tcMar>
              <w:top w:w="0" w:type="dxa"/>
              <w:left w:w="108" w:type="dxa"/>
              <w:bottom w:w="0" w:type="dxa"/>
              <w:right w:w="108" w:type="dxa"/>
            </w:tcMar>
            <w:hideMark/>
          </w:tcPr>
          <w:p w:rsidR="004D587C" w:rsidRDefault="004D587C" w:rsidP="008D58DB">
            <w:pPr>
              <w:rPr>
                <w:b/>
                <w:bCs/>
                <w:sz w:val="24"/>
                <w:szCs w:val="24"/>
              </w:rPr>
            </w:pPr>
            <w:r>
              <w:rPr>
                <w:sz w:val="20"/>
                <w:szCs w:val="20"/>
              </w:rPr>
              <w:t>Objective 3</w:t>
            </w:r>
            <w:r w:rsidR="008D58DB">
              <w:rPr>
                <w:sz w:val="20"/>
                <w:szCs w:val="20"/>
              </w:rPr>
              <w:t>: Supporting stabilisation and resilience</w:t>
            </w:r>
          </w:p>
        </w:tc>
        <w:tc>
          <w:tcPr>
            <w:tcW w:w="1423" w:type="dxa"/>
            <w:tcMar>
              <w:top w:w="0" w:type="dxa"/>
              <w:left w:w="108" w:type="dxa"/>
              <w:bottom w:w="0" w:type="dxa"/>
              <w:right w:w="108" w:type="dxa"/>
            </w:tcMar>
            <w:hideMark/>
          </w:tcPr>
          <w:p w:rsidR="004D587C" w:rsidRPr="008D58DB" w:rsidRDefault="004D587C" w:rsidP="008D58DB">
            <w:pPr>
              <w:jc w:val="center"/>
              <w:rPr>
                <w:sz w:val="20"/>
                <w:szCs w:val="20"/>
              </w:rPr>
            </w:pPr>
            <w:r w:rsidRPr="008D58DB">
              <w:rPr>
                <w:sz w:val="20"/>
                <w:szCs w:val="20"/>
              </w:rPr>
              <w:t>10.2</w:t>
            </w:r>
          </w:p>
        </w:tc>
        <w:tc>
          <w:tcPr>
            <w:tcW w:w="1842" w:type="dxa"/>
            <w:tcMar>
              <w:top w:w="0" w:type="dxa"/>
              <w:left w:w="108" w:type="dxa"/>
              <w:bottom w:w="0" w:type="dxa"/>
              <w:right w:w="108" w:type="dxa"/>
            </w:tcMar>
            <w:hideMark/>
          </w:tcPr>
          <w:p w:rsidR="004D587C" w:rsidRPr="008D58DB" w:rsidRDefault="004D587C" w:rsidP="008D58DB">
            <w:pPr>
              <w:jc w:val="center"/>
              <w:rPr>
                <w:sz w:val="20"/>
                <w:szCs w:val="20"/>
              </w:rPr>
            </w:pPr>
            <w:r w:rsidRPr="008D58DB">
              <w:rPr>
                <w:sz w:val="20"/>
                <w:szCs w:val="20"/>
              </w:rPr>
              <w:t>21%</w:t>
            </w:r>
          </w:p>
        </w:tc>
      </w:tr>
      <w:tr w:rsidR="004D587C" w:rsidTr="004D587C">
        <w:tc>
          <w:tcPr>
            <w:tcW w:w="6374" w:type="dxa"/>
            <w:tcMar>
              <w:top w:w="0" w:type="dxa"/>
              <w:left w:w="108" w:type="dxa"/>
              <w:bottom w:w="0" w:type="dxa"/>
              <w:right w:w="108" w:type="dxa"/>
            </w:tcMar>
            <w:hideMark/>
          </w:tcPr>
          <w:p w:rsidR="004D587C" w:rsidRPr="00D11489" w:rsidRDefault="004D587C">
            <w:pPr>
              <w:rPr>
                <w:b/>
                <w:bCs/>
                <w:sz w:val="24"/>
                <w:szCs w:val="24"/>
              </w:rPr>
            </w:pPr>
            <w:r w:rsidRPr="00E03789">
              <w:rPr>
                <w:b/>
                <w:sz w:val="20"/>
                <w:szCs w:val="20"/>
              </w:rPr>
              <w:t>Sub-Total Bilateral</w:t>
            </w:r>
          </w:p>
        </w:tc>
        <w:tc>
          <w:tcPr>
            <w:tcW w:w="1423" w:type="dxa"/>
            <w:tcMar>
              <w:top w:w="0" w:type="dxa"/>
              <w:left w:w="108" w:type="dxa"/>
              <w:bottom w:w="0" w:type="dxa"/>
              <w:right w:w="108" w:type="dxa"/>
            </w:tcMar>
            <w:hideMark/>
          </w:tcPr>
          <w:p w:rsidR="004D587C" w:rsidRPr="00E03789" w:rsidRDefault="004D587C" w:rsidP="008D58DB">
            <w:pPr>
              <w:jc w:val="center"/>
              <w:rPr>
                <w:b/>
                <w:sz w:val="20"/>
                <w:szCs w:val="20"/>
              </w:rPr>
            </w:pPr>
            <w:r w:rsidRPr="00E03789">
              <w:rPr>
                <w:b/>
                <w:sz w:val="20"/>
                <w:szCs w:val="20"/>
              </w:rPr>
              <w:t>39.8</w:t>
            </w:r>
          </w:p>
        </w:tc>
        <w:tc>
          <w:tcPr>
            <w:tcW w:w="1842" w:type="dxa"/>
            <w:tcMar>
              <w:top w:w="0" w:type="dxa"/>
              <w:left w:w="108" w:type="dxa"/>
              <w:bottom w:w="0" w:type="dxa"/>
              <w:right w:w="108" w:type="dxa"/>
            </w:tcMar>
            <w:hideMark/>
          </w:tcPr>
          <w:p w:rsidR="004D587C" w:rsidRPr="00E03789" w:rsidRDefault="004D587C" w:rsidP="008D58DB">
            <w:pPr>
              <w:jc w:val="center"/>
              <w:rPr>
                <w:b/>
                <w:sz w:val="20"/>
                <w:szCs w:val="20"/>
              </w:rPr>
            </w:pPr>
            <w:r w:rsidRPr="00E03789">
              <w:rPr>
                <w:b/>
                <w:sz w:val="20"/>
                <w:szCs w:val="20"/>
              </w:rPr>
              <w:t>80%</w:t>
            </w:r>
          </w:p>
        </w:tc>
      </w:tr>
      <w:tr w:rsidR="004D587C" w:rsidTr="004D587C">
        <w:tc>
          <w:tcPr>
            <w:tcW w:w="6374" w:type="dxa"/>
            <w:tcMar>
              <w:top w:w="0" w:type="dxa"/>
              <w:left w:w="108" w:type="dxa"/>
              <w:bottom w:w="0" w:type="dxa"/>
              <w:right w:w="108" w:type="dxa"/>
            </w:tcMar>
            <w:hideMark/>
          </w:tcPr>
          <w:p w:rsidR="004D587C" w:rsidRDefault="004D587C">
            <w:pPr>
              <w:rPr>
                <w:b/>
                <w:bCs/>
                <w:sz w:val="24"/>
                <w:szCs w:val="24"/>
              </w:rPr>
            </w:pPr>
            <w:r>
              <w:rPr>
                <w:sz w:val="20"/>
                <w:szCs w:val="20"/>
              </w:rPr>
              <w:t>Regional and Global</w:t>
            </w:r>
          </w:p>
        </w:tc>
        <w:tc>
          <w:tcPr>
            <w:tcW w:w="1423" w:type="dxa"/>
            <w:tcMar>
              <w:top w:w="0" w:type="dxa"/>
              <w:left w:w="108" w:type="dxa"/>
              <w:bottom w:w="0" w:type="dxa"/>
              <w:right w:w="108" w:type="dxa"/>
            </w:tcMar>
            <w:hideMark/>
          </w:tcPr>
          <w:p w:rsidR="004D587C" w:rsidRPr="008D58DB" w:rsidRDefault="004D587C" w:rsidP="008D58DB">
            <w:pPr>
              <w:jc w:val="center"/>
              <w:rPr>
                <w:sz w:val="20"/>
                <w:szCs w:val="20"/>
              </w:rPr>
            </w:pPr>
            <w:r w:rsidRPr="008D58DB">
              <w:rPr>
                <w:sz w:val="20"/>
                <w:szCs w:val="20"/>
              </w:rPr>
              <w:t>6.8</w:t>
            </w:r>
          </w:p>
        </w:tc>
        <w:tc>
          <w:tcPr>
            <w:tcW w:w="1842" w:type="dxa"/>
            <w:tcMar>
              <w:top w:w="0" w:type="dxa"/>
              <w:left w:w="108" w:type="dxa"/>
              <w:bottom w:w="0" w:type="dxa"/>
              <w:right w:w="108" w:type="dxa"/>
            </w:tcMar>
            <w:hideMark/>
          </w:tcPr>
          <w:p w:rsidR="004D587C" w:rsidRPr="008D58DB" w:rsidRDefault="004D587C" w:rsidP="008D58DB">
            <w:pPr>
              <w:jc w:val="center"/>
              <w:rPr>
                <w:sz w:val="20"/>
                <w:szCs w:val="20"/>
              </w:rPr>
            </w:pPr>
            <w:r w:rsidRPr="008D58DB">
              <w:rPr>
                <w:sz w:val="20"/>
                <w:szCs w:val="20"/>
              </w:rPr>
              <w:t>14%</w:t>
            </w:r>
          </w:p>
        </w:tc>
      </w:tr>
      <w:tr w:rsidR="004D587C" w:rsidTr="004D587C">
        <w:tc>
          <w:tcPr>
            <w:tcW w:w="6374" w:type="dxa"/>
            <w:tcMar>
              <w:top w:w="0" w:type="dxa"/>
              <w:left w:w="108" w:type="dxa"/>
              <w:bottom w:w="0" w:type="dxa"/>
              <w:right w:w="108" w:type="dxa"/>
            </w:tcMar>
            <w:hideMark/>
          </w:tcPr>
          <w:p w:rsidR="00D11489" w:rsidRDefault="004D587C" w:rsidP="00E03789">
            <w:pPr>
              <w:rPr>
                <w:sz w:val="20"/>
                <w:szCs w:val="20"/>
              </w:rPr>
            </w:pPr>
            <w:r>
              <w:rPr>
                <w:sz w:val="20"/>
                <w:szCs w:val="20"/>
              </w:rPr>
              <w:t>Other Government Departments</w:t>
            </w:r>
            <w:r w:rsidR="00D11489">
              <w:rPr>
                <w:sz w:val="20"/>
                <w:szCs w:val="20"/>
              </w:rPr>
              <w:t xml:space="preserve"> </w:t>
            </w:r>
          </w:p>
          <w:p w:rsidR="004D587C" w:rsidRPr="00E03789" w:rsidRDefault="00D11489">
            <w:pPr>
              <w:rPr>
                <w:b/>
                <w:sz w:val="20"/>
                <w:szCs w:val="20"/>
              </w:rPr>
            </w:pPr>
            <w:r w:rsidRPr="00E03789">
              <w:rPr>
                <w:b/>
                <w:sz w:val="20"/>
                <w:szCs w:val="20"/>
              </w:rPr>
              <w:t>Sub-Total non-Bilateral</w:t>
            </w:r>
          </w:p>
        </w:tc>
        <w:tc>
          <w:tcPr>
            <w:tcW w:w="1423" w:type="dxa"/>
            <w:tcMar>
              <w:top w:w="0" w:type="dxa"/>
              <w:left w:w="108" w:type="dxa"/>
              <w:bottom w:w="0" w:type="dxa"/>
              <w:right w:w="108" w:type="dxa"/>
            </w:tcMar>
            <w:hideMark/>
          </w:tcPr>
          <w:p w:rsidR="004D587C" w:rsidRDefault="004D587C" w:rsidP="008D58DB">
            <w:pPr>
              <w:jc w:val="center"/>
              <w:rPr>
                <w:sz w:val="20"/>
                <w:szCs w:val="20"/>
              </w:rPr>
            </w:pPr>
            <w:r w:rsidRPr="008D58DB">
              <w:rPr>
                <w:sz w:val="20"/>
                <w:szCs w:val="20"/>
              </w:rPr>
              <w:t>3.1</w:t>
            </w:r>
          </w:p>
          <w:p w:rsidR="00D11489" w:rsidRPr="00E03789" w:rsidRDefault="00D11489" w:rsidP="008D58DB">
            <w:pPr>
              <w:jc w:val="center"/>
              <w:rPr>
                <w:b/>
                <w:sz w:val="20"/>
                <w:szCs w:val="20"/>
              </w:rPr>
            </w:pPr>
            <w:r w:rsidRPr="00E03789">
              <w:rPr>
                <w:b/>
                <w:sz w:val="20"/>
                <w:szCs w:val="20"/>
              </w:rPr>
              <w:t>9.9</w:t>
            </w:r>
          </w:p>
        </w:tc>
        <w:tc>
          <w:tcPr>
            <w:tcW w:w="1842" w:type="dxa"/>
            <w:tcMar>
              <w:top w:w="0" w:type="dxa"/>
              <w:left w:w="108" w:type="dxa"/>
              <w:bottom w:w="0" w:type="dxa"/>
              <w:right w:w="108" w:type="dxa"/>
            </w:tcMar>
            <w:hideMark/>
          </w:tcPr>
          <w:p w:rsidR="00D11489" w:rsidRDefault="004D587C" w:rsidP="00D11489">
            <w:pPr>
              <w:jc w:val="center"/>
              <w:rPr>
                <w:sz w:val="20"/>
                <w:szCs w:val="20"/>
              </w:rPr>
            </w:pPr>
            <w:r w:rsidRPr="008D58DB">
              <w:rPr>
                <w:sz w:val="20"/>
                <w:szCs w:val="20"/>
              </w:rPr>
              <w:t>6%</w:t>
            </w:r>
          </w:p>
          <w:p w:rsidR="00D11489" w:rsidRPr="00E03789" w:rsidRDefault="00D11489" w:rsidP="00D11489">
            <w:pPr>
              <w:jc w:val="center"/>
              <w:rPr>
                <w:b/>
                <w:sz w:val="20"/>
                <w:szCs w:val="20"/>
              </w:rPr>
            </w:pPr>
            <w:r w:rsidRPr="00E03789">
              <w:rPr>
                <w:b/>
                <w:sz w:val="20"/>
                <w:szCs w:val="20"/>
              </w:rPr>
              <w:t>20%</w:t>
            </w:r>
          </w:p>
        </w:tc>
      </w:tr>
      <w:tr w:rsidR="004D587C" w:rsidTr="004D587C">
        <w:tc>
          <w:tcPr>
            <w:tcW w:w="6374" w:type="dxa"/>
            <w:tcBorders>
              <w:top w:val="nil"/>
              <w:left w:val="nil"/>
              <w:bottom w:val="single" w:sz="12" w:space="0" w:color="auto"/>
              <w:right w:val="nil"/>
            </w:tcBorders>
            <w:tcMar>
              <w:top w:w="0" w:type="dxa"/>
              <w:left w:w="108" w:type="dxa"/>
              <w:bottom w:w="0" w:type="dxa"/>
              <w:right w:w="108" w:type="dxa"/>
            </w:tcMar>
            <w:hideMark/>
          </w:tcPr>
          <w:p w:rsidR="004D587C" w:rsidRPr="00D11489" w:rsidRDefault="004D587C">
            <w:pPr>
              <w:rPr>
                <w:b/>
                <w:bCs/>
                <w:sz w:val="24"/>
                <w:szCs w:val="24"/>
              </w:rPr>
            </w:pPr>
            <w:r w:rsidRPr="00E03789">
              <w:rPr>
                <w:b/>
                <w:sz w:val="20"/>
                <w:szCs w:val="20"/>
              </w:rPr>
              <w:t>Total ODA Expenditure</w:t>
            </w:r>
          </w:p>
        </w:tc>
        <w:tc>
          <w:tcPr>
            <w:tcW w:w="1423" w:type="dxa"/>
            <w:tcBorders>
              <w:top w:val="nil"/>
              <w:left w:val="nil"/>
              <w:bottom w:val="single" w:sz="12" w:space="0" w:color="auto"/>
              <w:right w:val="nil"/>
            </w:tcBorders>
            <w:tcMar>
              <w:top w:w="0" w:type="dxa"/>
              <w:left w:w="108" w:type="dxa"/>
              <w:bottom w:w="0" w:type="dxa"/>
              <w:right w:w="108" w:type="dxa"/>
            </w:tcMar>
            <w:hideMark/>
          </w:tcPr>
          <w:p w:rsidR="004D587C" w:rsidRPr="00E03789" w:rsidRDefault="004D587C" w:rsidP="008D58DB">
            <w:pPr>
              <w:jc w:val="center"/>
              <w:rPr>
                <w:b/>
                <w:sz w:val="20"/>
                <w:szCs w:val="20"/>
              </w:rPr>
            </w:pPr>
            <w:r w:rsidRPr="00E03789">
              <w:rPr>
                <w:b/>
                <w:sz w:val="20"/>
                <w:szCs w:val="20"/>
              </w:rPr>
              <w:t>49.6</w:t>
            </w:r>
          </w:p>
        </w:tc>
        <w:tc>
          <w:tcPr>
            <w:tcW w:w="1842" w:type="dxa"/>
            <w:tcBorders>
              <w:top w:val="nil"/>
              <w:left w:val="nil"/>
              <w:bottom w:val="single" w:sz="12" w:space="0" w:color="auto"/>
              <w:right w:val="nil"/>
            </w:tcBorders>
            <w:tcMar>
              <w:top w:w="0" w:type="dxa"/>
              <w:left w:w="108" w:type="dxa"/>
              <w:bottom w:w="0" w:type="dxa"/>
              <w:right w:w="108" w:type="dxa"/>
            </w:tcMar>
            <w:hideMark/>
          </w:tcPr>
          <w:p w:rsidR="004D587C" w:rsidRPr="00E03789" w:rsidRDefault="004D587C" w:rsidP="008D58DB">
            <w:pPr>
              <w:jc w:val="center"/>
              <w:rPr>
                <w:b/>
                <w:sz w:val="20"/>
                <w:szCs w:val="20"/>
              </w:rPr>
            </w:pPr>
            <w:r w:rsidRPr="00E03789">
              <w:rPr>
                <w:b/>
                <w:sz w:val="20"/>
                <w:szCs w:val="20"/>
              </w:rPr>
              <w:t>100%</w:t>
            </w:r>
          </w:p>
        </w:tc>
      </w:tr>
    </w:tbl>
    <w:p w:rsidR="000F164B" w:rsidRDefault="000F164B" w:rsidP="00BD6540">
      <w:pPr>
        <w:pStyle w:val="ListBullet"/>
        <w:tabs>
          <w:tab w:val="clear" w:pos="284"/>
        </w:tabs>
        <w:spacing w:before="360"/>
        <w:rPr>
          <w:rFonts w:asciiTheme="majorHAnsi" w:eastAsiaTheme="majorEastAsia" w:hAnsiTheme="majorHAnsi" w:cstheme="majorBidi"/>
          <w:caps/>
          <w:color w:val="495965" w:themeColor="text2"/>
          <w:sz w:val="38"/>
          <w:szCs w:val="26"/>
          <w:lang w:val="en-GB" w:eastAsia="en-US"/>
        </w:rPr>
      </w:pPr>
    </w:p>
    <w:p w:rsidR="00741FE1" w:rsidRDefault="00741FE1" w:rsidP="00BD6540">
      <w:pPr>
        <w:pStyle w:val="ListBullet"/>
        <w:tabs>
          <w:tab w:val="clear" w:pos="284"/>
        </w:tabs>
        <w:spacing w:before="360"/>
        <w:rPr>
          <w:rFonts w:asciiTheme="majorHAnsi" w:eastAsiaTheme="majorEastAsia" w:hAnsiTheme="majorHAnsi" w:cstheme="majorBidi"/>
          <w:caps/>
          <w:color w:val="495965" w:themeColor="text2"/>
          <w:sz w:val="38"/>
          <w:szCs w:val="26"/>
          <w:lang w:val="en-GB" w:eastAsia="en-US"/>
        </w:rPr>
      </w:pPr>
    </w:p>
    <w:p w:rsidR="002A51CA" w:rsidRPr="004E48CF" w:rsidRDefault="002A51CA" w:rsidP="004E48CF">
      <w:pPr>
        <w:pStyle w:val="ListBullet"/>
        <w:tabs>
          <w:tab w:val="clear" w:pos="284"/>
        </w:tabs>
        <w:spacing w:after="0"/>
        <w:rPr>
          <w:rFonts w:asciiTheme="majorHAnsi" w:eastAsiaTheme="majorEastAsia" w:hAnsiTheme="majorHAnsi" w:cstheme="majorBidi"/>
          <w:b/>
          <w:caps/>
          <w:color w:val="495965" w:themeColor="text2"/>
          <w:sz w:val="38"/>
          <w:szCs w:val="26"/>
          <w:lang w:val="en-GB" w:eastAsia="en-US"/>
        </w:rPr>
      </w:pPr>
      <w:r w:rsidRPr="004E48CF">
        <w:rPr>
          <w:rFonts w:asciiTheme="majorHAnsi" w:eastAsiaTheme="majorEastAsia" w:hAnsiTheme="majorHAnsi" w:cstheme="majorBidi"/>
          <w:b/>
          <w:caps/>
          <w:color w:val="495965" w:themeColor="text2"/>
          <w:sz w:val="38"/>
          <w:szCs w:val="26"/>
          <w:lang w:val="en-GB" w:eastAsia="en-US"/>
        </w:rPr>
        <w:t xml:space="preserve">Progress towards </w:t>
      </w:r>
      <w:r w:rsidR="00162218" w:rsidRPr="004E48CF">
        <w:rPr>
          <w:rFonts w:asciiTheme="majorHAnsi" w:eastAsiaTheme="majorEastAsia" w:hAnsiTheme="majorHAnsi" w:cstheme="majorBidi"/>
          <w:b/>
          <w:caps/>
          <w:color w:val="495965" w:themeColor="text2"/>
          <w:sz w:val="38"/>
          <w:szCs w:val="26"/>
          <w:lang w:val="en-GB" w:eastAsia="en-US"/>
        </w:rPr>
        <w:t xml:space="preserve">AIP </w:t>
      </w:r>
      <w:r w:rsidRPr="004E48CF">
        <w:rPr>
          <w:rFonts w:asciiTheme="majorHAnsi" w:eastAsiaTheme="majorEastAsia" w:hAnsiTheme="majorHAnsi" w:cstheme="majorBidi"/>
          <w:b/>
          <w:caps/>
          <w:color w:val="495965" w:themeColor="text2"/>
          <w:sz w:val="38"/>
          <w:szCs w:val="26"/>
          <w:lang w:val="en-GB" w:eastAsia="en-US"/>
        </w:rPr>
        <w:t>Objectives</w:t>
      </w:r>
      <w:r w:rsidRPr="004E48CF">
        <w:rPr>
          <w:rFonts w:asciiTheme="majorHAnsi" w:eastAsiaTheme="majorEastAsia" w:hAnsiTheme="majorHAnsi" w:cstheme="majorBidi"/>
          <w:b/>
          <w:caps/>
          <w:color w:val="495965" w:themeColor="text2"/>
          <w:sz w:val="38"/>
          <w:szCs w:val="26"/>
          <w:lang w:val="en-GB" w:eastAsia="en-US"/>
        </w:rPr>
        <w:tab/>
      </w:r>
      <w:r w:rsidRPr="004E48CF">
        <w:rPr>
          <w:rFonts w:asciiTheme="majorHAnsi" w:hAnsiTheme="majorHAnsi"/>
          <w:b/>
        </w:rPr>
        <w:t xml:space="preserve"> </w:t>
      </w:r>
    </w:p>
    <w:p w:rsidR="002A51CA" w:rsidRPr="008C2F58" w:rsidRDefault="002A51CA" w:rsidP="002A51CA">
      <w:pPr>
        <w:rPr>
          <w:b/>
          <w:sz w:val="24"/>
        </w:rPr>
      </w:pPr>
      <w:r w:rsidRPr="008C2F58">
        <w:rPr>
          <w:b/>
          <w:sz w:val="24"/>
        </w:rPr>
        <w:t xml:space="preserve">Table </w:t>
      </w:r>
      <w:r w:rsidR="003E450B">
        <w:rPr>
          <w:b/>
          <w:sz w:val="24"/>
        </w:rPr>
        <w:t>2</w:t>
      </w:r>
      <w:r w:rsidRPr="008C2F58">
        <w:rPr>
          <w:b/>
          <w:sz w:val="24"/>
        </w:rPr>
        <w:t xml:space="preserve"> Rating of the Program's Progress towards Australia’s Aid Objectives</w:t>
      </w:r>
    </w:p>
    <w:tbl>
      <w:tblPr>
        <w:tblStyle w:val="APPR"/>
        <w:tblW w:w="4854" w:type="pct"/>
        <w:tblLook w:val="0000" w:firstRow="0" w:lastRow="0" w:firstColumn="0" w:lastColumn="0" w:noHBand="0" w:noVBand="0"/>
      </w:tblPr>
      <w:tblGrid>
        <w:gridCol w:w="6759"/>
        <w:gridCol w:w="1321"/>
        <w:gridCol w:w="1277"/>
      </w:tblGrid>
      <w:tr w:rsidR="00DA040F" w:rsidRPr="00C61187" w:rsidTr="00DA040F">
        <w:trPr>
          <w:cnfStyle w:val="000000010000" w:firstRow="0" w:lastRow="0" w:firstColumn="0" w:lastColumn="0" w:oddVBand="0" w:evenVBand="0" w:oddHBand="0" w:evenHBand="1" w:firstRowFirstColumn="0" w:firstRowLastColumn="0" w:lastRowFirstColumn="0" w:lastRowLastColumn="0"/>
          <w:trHeight w:val="651"/>
        </w:trPr>
        <w:tc>
          <w:tcPr>
            <w:tcW w:w="6717" w:type="dxa"/>
          </w:tcPr>
          <w:p w:rsidR="00DA040F" w:rsidRPr="003E450B" w:rsidRDefault="00DA040F" w:rsidP="003E450B">
            <w:pPr>
              <w:rPr>
                <w:rFonts w:asciiTheme="minorHAnsi" w:hAnsiTheme="minorHAnsi"/>
                <w:b/>
                <w:sz w:val="20"/>
                <w:szCs w:val="20"/>
                <w:lang w:eastAsia="en-US"/>
              </w:rPr>
            </w:pPr>
            <w:r w:rsidRPr="003E450B">
              <w:rPr>
                <w:b/>
                <w:noProof/>
                <w:sz w:val="20"/>
                <w:szCs w:val="20"/>
                <w:lang w:val="en-AU"/>
              </w:rPr>
              <w:drawing>
                <wp:anchor distT="0" distB="0" distL="114300" distR="114300" simplePos="0" relativeHeight="251685888" behindDoc="0" locked="0" layoutInCell="1" allowOverlap="1" wp14:anchorId="1B3E26F7" wp14:editId="3A698A3A">
                  <wp:simplePos x="0" y="0"/>
                  <wp:positionH relativeFrom="column">
                    <wp:posOffset>0</wp:posOffset>
                  </wp:positionH>
                  <wp:positionV relativeFrom="paragraph">
                    <wp:posOffset>0</wp:posOffset>
                  </wp:positionV>
                  <wp:extent cx="1857375" cy="228600"/>
                  <wp:effectExtent l="0" t="0" r="9525" b="0"/>
                  <wp:wrapNone/>
                  <wp:docPr id="2" name="Picture 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hidden="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50B">
              <w:rPr>
                <w:rFonts w:asciiTheme="minorHAnsi" w:hAnsiTheme="minorHAnsi"/>
                <w:b/>
                <w:sz w:val="20"/>
                <w:szCs w:val="20"/>
                <w:lang w:eastAsia="en-US"/>
              </w:rPr>
              <w:t>Objective</w:t>
            </w:r>
          </w:p>
        </w:tc>
        <w:tc>
          <w:tcPr>
            <w:tcW w:w="1293" w:type="dxa"/>
          </w:tcPr>
          <w:p w:rsidR="00DA040F" w:rsidRPr="003E450B" w:rsidRDefault="00DA040F" w:rsidP="00BE6C6D">
            <w:pPr>
              <w:pStyle w:val="NormalIndented"/>
              <w:rPr>
                <w:b/>
                <w:sz w:val="18"/>
                <w:lang w:eastAsia="en-US"/>
              </w:rPr>
            </w:pPr>
            <w:r w:rsidRPr="003E450B">
              <w:rPr>
                <w:b/>
                <w:sz w:val="18"/>
                <w:lang w:eastAsia="en-US"/>
              </w:rPr>
              <w:t>Previous Rating</w:t>
            </w:r>
          </w:p>
        </w:tc>
        <w:tc>
          <w:tcPr>
            <w:tcW w:w="1235" w:type="dxa"/>
          </w:tcPr>
          <w:p w:rsidR="00DA040F" w:rsidRPr="003E450B" w:rsidRDefault="00DA040F" w:rsidP="00BE6C6D">
            <w:pPr>
              <w:pStyle w:val="NormalIndented"/>
              <w:rPr>
                <w:b/>
                <w:sz w:val="18"/>
                <w:lang w:eastAsia="en-US"/>
              </w:rPr>
            </w:pPr>
            <w:r w:rsidRPr="003E450B">
              <w:rPr>
                <w:b/>
                <w:sz w:val="18"/>
                <w:lang w:eastAsia="en-US"/>
              </w:rPr>
              <w:t>Current Rating</w:t>
            </w:r>
          </w:p>
        </w:tc>
      </w:tr>
      <w:tr w:rsidR="00DA040F" w:rsidRPr="00C61187" w:rsidTr="009E41ED">
        <w:trPr>
          <w:cnfStyle w:val="000000010000" w:firstRow="0" w:lastRow="0" w:firstColumn="0" w:lastColumn="0" w:oddVBand="0" w:evenVBand="0" w:oddHBand="0" w:evenHBand="1" w:firstRowFirstColumn="0" w:firstRowLastColumn="0" w:lastRowFirstColumn="0" w:lastRowLastColumn="0"/>
        </w:trPr>
        <w:tc>
          <w:tcPr>
            <w:tcW w:w="67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DA040F" w:rsidRPr="003E450B" w:rsidRDefault="00DA040F" w:rsidP="003E450B">
            <w:pPr>
              <w:rPr>
                <w:rFonts w:asciiTheme="minorHAnsi" w:hAnsiTheme="minorHAnsi"/>
                <w:sz w:val="20"/>
                <w:szCs w:val="20"/>
                <w:lang w:eastAsia="en-US"/>
              </w:rPr>
            </w:pPr>
            <w:r w:rsidRPr="003E450B">
              <w:rPr>
                <w:rFonts w:asciiTheme="minorHAnsi" w:hAnsiTheme="minorHAnsi"/>
                <w:sz w:val="20"/>
                <w:szCs w:val="20"/>
                <w:lang w:eastAsia="en-US"/>
              </w:rPr>
              <w:t>Objective 1</w:t>
            </w:r>
            <w:r w:rsidR="00965AEF" w:rsidRPr="003E450B">
              <w:rPr>
                <w:rFonts w:asciiTheme="minorHAnsi" w:hAnsiTheme="minorHAnsi"/>
                <w:sz w:val="20"/>
                <w:szCs w:val="20"/>
                <w:lang w:eastAsia="en-US"/>
              </w:rPr>
              <w:t>: Generating sustainable inclusive growth and employment</w:t>
            </w:r>
          </w:p>
        </w:tc>
        <w:tc>
          <w:tcPr>
            <w:tcW w:w="129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36C0A"/>
            <w:noWrap/>
          </w:tcPr>
          <w:p w:rsidR="00DA040F" w:rsidRPr="00BE6C6D" w:rsidRDefault="00965AEF" w:rsidP="00BE6C6D">
            <w:pPr>
              <w:pStyle w:val="NormalIndented"/>
              <w:rPr>
                <w:color w:val="FFFFFF" w:themeColor="background1"/>
                <w:sz w:val="16"/>
                <w:lang w:eastAsia="en-US"/>
              </w:rPr>
            </w:pPr>
            <w:r>
              <w:rPr>
                <w:color w:val="FFFFFF" w:themeColor="background1"/>
                <w:sz w:val="16"/>
                <w:lang w:eastAsia="en-US"/>
              </w:rPr>
              <w:t>Amber</w:t>
            </w:r>
          </w:p>
        </w:tc>
        <w:tc>
          <w:tcPr>
            <w:tcW w:w="123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7FB64D" w:themeFill="accent3" w:themeFillShade="BF"/>
            <w:noWrap/>
          </w:tcPr>
          <w:p w:rsidR="00DA040F" w:rsidRPr="00BE6C6D" w:rsidRDefault="008D58DB" w:rsidP="00BE6C6D">
            <w:pPr>
              <w:pStyle w:val="NormalIndented"/>
              <w:rPr>
                <w:color w:val="FFFFFF" w:themeColor="background1"/>
                <w:sz w:val="16"/>
                <w:lang w:eastAsia="en-US"/>
              </w:rPr>
            </w:pPr>
            <w:r>
              <w:rPr>
                <w:color w:val="FFFFFF" w:themeColor="background1"/>
                <w:sz w:val="16"/>
                <w:lang w:eastAsia="en-US"/>
              </w:rPr>
              <w:t>Green</w:t>
            </w:r>
          </w:p>
        </w:tc>
      </w:tr>
      <w:tr w:rsidR="00DA040F" w:rsidRPr="00C61187" w:rsidTr="008D58DB">
        <w:trPr>
          <w:cnfStyle w:val="000000010000" w:firstRow="0" w:lastRow="0" w:firstColumn="0" w:lastColumn="0" w:oddVBand="0" w:evenVBand="0" w:oddHBand="0" w:evenHBand="1" w:firstRowFirstColumn="0" w:firstRowLastColumn="0" w:lastRowFirstColumn="0" w:lastRowLastColumn="0"/>
        </w:trPr>
        <w:tc>
          <w:tcPr>
            <w:tcW w:w="6717" w:type="dxa"/>
          </w:tcPr>
          <w:p w:rsidR="00DA040F" w:rsidRPr="003E450B" w:rsidRDefault="00DA040F" w:rsidP="003E450B">
            <w:pPr>
              <w:rPr>
                <w:rFonts w:asciiTheme="minorHAnsi" w:hAnsiTheme="minorHAnsi"/>
                <w:sz w:val="20"/>
                <w:szCs w:val="20"/>
                <w:lang w:eastAsia="en-US"/>
              </w:rPr>
            </w:pPr>
            <w:r w:rsidRPr="003E450B">
              <w:rPr>
                <w:rFonts w:asciiTheme="minorHAnsi" w:hAnsiTheme="minorHAnsi"/>
                <w:sz w:val="20"/>
                <w:szCs w:val="20"/>
                <w:lang w:eastAsia="en-US"/>
              </w:rPr>
              <w:t>Objective 2</w:t>
            </w:r>
            <w:r w:rsidR="00965AEF" w:rsidRPr="003E450B">
              <w:rPr>
                <w:rFonts w:asciiTheme="minorHAnsi" w:hAnsiTheme="minorHAnsi"/>
                <w:sz w:val="20"/>
                <w:szCs w:val="20"/>
                <w:lang w:eastAsia="en-US"/>
              </w:rPr>
              <w:t>: Investing in Pakistan’s people with a focus on women and girls</w:t>
            </w:r>
          </w:p>
        </w:tc>
        <w:tc>
          <w:tcPr>
            <w:tcW w:w="1293" w:type="dxa"/>
            <w:shd w:val="clear" w:color="auto" w:fill="7FB64D" w:themeFill="accent3" w:themeFillShade="BF"/>
            <w:noWrap/>
          </w:tcPr>
          <w:p w:rsidR="00DA040F" w:rsidRPr="00BE6C6D" w:rsidRDefault="00965AEF" w:rsidP="00BE6C6D">
            <w:pPr>
              <w:pStyle w:val="NormalIndented"/>
              <w:rPr>
                <w:color w:val="FFFFFF" w:themeColor="background1"/>
                <w:sz w:val="16"/>
                <w:lang w:eastAsia="en-US"/>
              </w:rPr>
            </w:pPr>
            <w:r>
              <w:rPr>
                <w:color w:val="FFFFFF" w:themeColor="background1"/>
                <w:sz w:val="16"/>
                <w:lang w:eastAsia="en-US"/>
              </w:rPr>
              <w:t>Green</w:t>
            </w:r>
          </w:p>
        </w:tc>
        <w:tc>
          <w:tcPr>
            <w:tcW w:w="1235" w:type="dxa"/>
            <w:shd w:val="clear" w:color="auto" w:fill="72AF2F"/>
            <w:noWrap/>
          </w:tcPr>
          <w:p w:rsidR="00DA040F" w:rsidRPr="00BE6C6D" w:rsidRDefault="008D58DB" w:rsidP="008D58DB">
            <w:pPr>
              <w:pStyle w:val="NormalIndented"/>
              <w:rPr>
                <w:color w:val="FFFFFF" w:themeColor="background1"/>
                <w:sz w:val="16"/>
                <w:lang w:eastAsia="en-US"/>
              </w:rPr>
            </w:pPr>
            <w:r>
              <w:rPr>
                <w:color w:val="FFFFFF" w:themeColor="background1"/>
                <w:sz w:val="16"/>
                <w:lang w:eastAsia="en-US"/>
              </w:rPr>
              <w:t>Green</w:t>
            </w:r>
          </w:p>
        </w:tc>
      </w:tr>
      <w:tr w:rsidR="00DA040F" w:rsidRPr="00C61187" w:rsidTr="009E41ED">
        <w:trPr>
          <w:cnfStyle w:val="000000010000" w:firstRow="0" w:lastRow="0" w:firstColumn="0" w:lastColumn="0" w:oddVBand="0" w:evenVBand="0" w:oddHBand="0" w:evenHBand="1" w:firstRowFirstColumn="0" w:firstRowLastColumn="0" w:lastRowFirstColumn="0" w:lastRowLastColumn="0"/>
        </w:trPr>
        <w:tc>
          <w:tcPr>
            <w:tcW w:w="6717" w:type="dxa"/>
          </w:tcPr>
          <w:p w:rsidR="00DA040F" w:rsidRPr="003E450B" w:rsidRDefault="00DA040F" w:rsidP="003E450B">
            <w:pPr>
              <w:rPr>
                <w:rFonts w:asciiTheme="minorHAnsi" w:hAnsiTheme="minorHAnsi"/>
                <w:sz w:val="20"/>
                <w:szCs w:val="20"/>
                <w:lang w:eastAsia="en-US"/>
              </w:rPr>
            </w:pPr>
            <w:r w:rsidRPr="003E450B">
              <w:rPr>
                <w:rFonts w:asciiTheme="minorHAnsi" w:hAnsiTheme="minorHAnsi"/>
                <w:sz w:val="20"/>
                <w:szCs w:val="20"/>
                <w:lang w:eastAsia="en-US"/>
              </w:rPr>
              <w:t>Objective 3</w:t>
            </w:r>
            <w:r w:rsidR="00965AEF" w:rsidRPr="003E450B">
              <w:rPr>
                <w:rFonts w:asciiTheme="minorHAnsi" w:hAnsiTheme="minorHAnsi"/>
                <w:sz w:val="20"/>
                <w:szCs w:val="20"/>
                <w:lang w:eastAsia="en-US"/>
              </w:rPr>
              <w:t>: Supporting stabilisation and resilience</w:t>
            </w:r>
          </w:p>
        </w:tc>
        <w:tc>
          <w:tcPr>
            <w:tcW w:w="1293" w:type="dxa"/>
            <w:shd w:val="clear" w:color="auto" w:fill="7FB64D" w:themeFill="accent3" w:themeFillShade="BF"/>
            <w:noWrap/>
          </w:tcPr>
          <w:p w:rsidR="00DA040F" w:rsidRPr="008D58DB" w:rsidRDefault="008D58DB" w:rsidP="008D58DB">
            <w:pPr>
              <w:pStyle w:val="NormalIndented"/>
              <w:rPr>
                <w:color w:val="FFFFFF" w:themeColor="background1"/>
                <w:sz w:val="16"/>
                <w:lang w:eastAsia="en-US"/>
              </w:rPr>
            </w:pPr>
            <w:r w:rsidRPr="008D58DB">
              <w:rPr>
                <w:color w:val="FFFFFF" w:themeColor="background1"/>
                <w:sz w:val="16"/>
                <w:lang w:eastAsia="en-US"/>
              </w:rPr>
              <w:t>Green</w:t>
            </w:r>
          </w:p>
        </w:tc>
        <w:tc>
          <w:tcPr>
            <w:tcW w:w="1235" w:type="dxa"/>
            <w:shd w:val="clear" w:color="auto" w:fill="E36C0A"/>
            <w:noWrap/>
          </w:tcPr>
          <w:p w:rsidR="00DA040F" w:rsidRPr="00BE6C6D" w:rsidRDefault="008D58DB" w:rsidP="00BE6C6D">
            <w:pPr>
              <w:pStyle w:val="NormalIndented"/>
              <w:rPr>
                <w:color w:val="FFFFFF" w:themeColor="background1"/>
                <w:sz w:val="16"/>
                <w:lang w:eastAsia="en-US"/>
              </w:rPr>
            </w:pPr>
            <w:r>
              <w:rPr>
                <w:color w:val="FFFFFF" w:themeColor="background1"/>
                <w:sz w:val="16"/>
                <w:lang w:eastAsia="en-US"/>
              </w:rPr>
              <w:t>Amber</w:t>
            </w:r>
          </w:p>
        </w:tc>
      </w:tr>
    </w:tbl>
    <w:p w:rsidR="002A51CA" w:rsidRPr="00600A7F" w:rsidRDefault="002A51CA" w:rsidP="00BE6C6D">
      <w:pPr>
        <w:pStyle w:val="NormalIndented"/>
        <w:rPr>
          <w:sz w:val="18"/>
        </w:rPr>
      </w:pPr>
      <w:r w:rsidRPr="00600A7F">
        <w:rPr>
          <w:color w:val="72AF2F"/>
          <w:sz w:val="18"/>
        </w:rPr>
        <w:sym w:font="Webdings" w:char="F067"/>
      </w:r>
      <w:r w:rsidRPr="00600A7F">
        <w:rPr>
          <w:sz w:val="18"/>
        </w:rPr>
        <w:t> </w:t>
      </w:r>
      <w:r w:rsidRPr="00600A7F">
        <w:rPr>
          <w:sz w:val="18"/>
        </w:rPr>
        <w:t xml:space="preserve"> </w:t>
      </w:r>
      <w:r w:rsidRPr="00600A7F">
        <w:rPr>
          <w:b/>
          <w:sz w:val="18"/>
        </w:rPr>
        <w:t>Green</w:t>
      </w:r>
      <w:r w:rsidRPr="00600A7F">
        <w:rPr>
          <w:sz w:val="18"/>
        </w:rPr>
        <w:t>. Progress is as expected at this stage of implementation and it is likely that the objective will be achieved. Standard program management practices are sufficient.</w:t>
      </w:r>
    </w:p>
    <w:p w:rsidR="002A51CA" w:rsidRPr="00600A7F" w:rsidRDefault="002A51CA" w:rsidP="00BE6C6D">
      <w:pPr>
        <w:pStyle w:val="NormalIndented"/>
        <w:rPr>
          <w:sz w:val="18"/>
        </w:rPr>
      </w:pPr>
      <w:r w:rsidRPr="00600A7F">
        <w:rPr>
          <w:color w:val="E36C0A"/>
          <w:sz w:val="18"/>
        </w:rPr>
        <w:sym w:font="Webdings" w:char="F067"/>
      </w:r>
      <w:r w:rsidRPr="00600A7F">
        <w:rPr>
          <w:sz w:val="18"/>
        </w:rPr>
        <w:t> </w:t>
      </w:r>
      <w:r w:rsidRPr="00600A7F">
        <w:rPr>
          <w:sz w:val="18"/>
        </w:rPr>
        <w:t xml:space="preserve"> </w:t>
      </w:r>
      <w:r w:rsidRPr="00600A7F">
        <w:rPr>
          <w:b/>
          <w:sz w:val="18"/>
        </w:rPr>
        <w:t>Amber</w:t>
      </w:r>
      <w:r w:rsidRPr="00600A7F">
        <w:rPr>
          <w:sz w:val="18"/>
        </w:rPr>
        <w:t>. Progress is somewhat less than expected at this stage of implementation and restorative action will be necessary if the objective is to be achieved. Close performance monitoring is recommended.</w:t>
      </w:r>
    </w:p>
    <w:p w:rsidR="002A51CA" w:rsidRPr="00600A7F" w:rsidRDefault="002A51CA" w:rsidP="00BE6C6D">
      <w:pPr>
        <w:pStyle w:val="NormalIndented"/>
        <w:rPr>
          <w:sz w:val="18"/>
        </w:rPr>
      </w:pPr>
      <w:r w:rsidRPr="00600A7F">
        <w:rPr>
          <w:color w:val="FF0000"/>
          <w:sz w:val="18"/>
        </w:rPr>
        <w:sym w:font="Webdings" w:char="F067"/>
      </w:r>
      <w:r w:rsidRPr="00600A7F">
        <w:rPr>
          <w:sz w:val="18"/>
        </w:rPr>
        <w:t> </w:t>
      </w:r>
      <w:r w:rsidRPr="00600A7F">
        <w:rPr>
          <w:sz w:val="18"/>
        </w:rPr>
        <w:t xml:space="preserve"> </w:t>
      </w:r>
      <w:r w:rsidRPr="00600A7F">
        <w:rPr>
          <w:b/>
          <w:sz w:val="18"/>
        </w:rPr>
        <w:t>Red.</w:t>
      </w:r>
      <w:r w:rsidRPr="00600A7F">
        <w:rPr>
          <w:sz w:val="18"/>
        </w:rPr>
        <w:t xml:space="preserve"> Progress is significantly less than expected at this stage of implementation and the objective is not likely to be met given available resources and priorities. Recasting the objective may be required.</w:t>
      </w:r>
    </w:p>
    <w:p w:rsidR="009D28B5" w:rsidRDefault="009D28B5" w:rsidP="004E3B3E">
      <w:pPr>
        <w:spacing w:before="20" w:after="20" w:line="180" w:lineRule="atLeast"/>
        <w:jc w:val="both"/>
        <w:rPr>
          <w:rFonts w:ascii="Franklin Gothic Book" w:eastAsia="Times New Roman" w:hAnsi="Franklin Gothic Book"/>
          <w:b/>
          <w:sz w:val="14"/>
          <w:szCs w:val="14"/>
        </w:rPr>
      </w:pPr>
    </w:p>
    <w:p w:rsidR="009D28B5" w:rsidRDefault="009D28B5" w:rsidP="004E3B3E">
      <w:pPr>
        <w:spacing w:before="20" w:after="20" w:line="180" w:lineRule="atLeast"/>
        <w:jc w:val="both"/>
        <w:rPr>
          <w:rFonts w:ascii="Franklin Gothic Book" w:eastAsia="Times New Roman" w:hAnsi="Franklin Gothic Book"/>
          <w:b/>
          <w:sz w:val="14"/>
          <w:szCs w:val="14"/>
        </w:rPr>
      </w:pPr>
    </w:p>
    <w:p w:rsidR="000F164B" w:rsidRDefault="000F164B" w:rsidP="004E3B3E">
      <w:pPr>
        <w:spacing w:before="20" w:after="20" w:line="180" w:lineRule="atLeast"/>
        <w:jc w:val="both"/>
        <w:rPr>
          <w:rFonts w:ascii="Franklin Gothic Book" w:eastAsia="Times New Roman" w:hAnsi="Franklin Gothic Book"/>
          <w:b/>
          <w:sz w:val="14"/>
          <w:szCs w:val="14"/>
        </w:rPr>
      </w:pPr>
    </w:p>
    <w:p w:rsidR="000F164B" w:rsidRDefault="000F164B" w:rsidP="004E3B3E">
      <w:pPr>
        <w:spacing w:before="20" w:after="20" w:line="180" w:lineRule="atLeast"/>
        <w:jc w:val="both"/>
        <w:rPr>
          <w:rFonts w:ascii="Franklin Gothic Book" w:eastAsia="Times New Roman" w:hAnsi="Franklin Gothic Book"/>
          <w:b/>
          <w:sz w:val="14"/>
          <w:szCs w:val="14"/>
        </w:rPr>
      </w:pPr>
    </w:p>
    <w:p w:rsidR="000F164B" w:rsidRDefault="000F164B" w:rsidP="004E3B3E">
      <w:pPr>
        <w:spacing w:before="20" w:after="20" w:line="180" w:lineRule="atLeast"/>
        <w:jc w:val="both"/>
        <w:rPr>
          <w:rFonts w:ascii="Franklin Gothic Book" w:eastAsia="Times New Roman" w:hAnsi="Franklin Gothic Book"/>
          <w:b/>
          <w:sz w:val="14"/>
          <w:szCs w:val="14"/>
        </w:rPr>
      </w:pPr>
    </w:p>
    <w:p w:rsidR="000F164B" w:rsidRDefault="000F164B" w:rsidP="004E3B3E">
      <w:pPr>
        <w:spacing w:before="20" w:after="20" w:line="180" w:lineRule="atLeast"/>
        <w:jc w:val="both"/>
        <w:rPr>
          <w:rFonts w:ascii="Franklin Gothic Book" w:eastAsia="Times New Roman" w:hAnsi="Franklin Gothic Book"/>
          <w:b/>
          <w:sz w:val="14"/>
          <w:szCs w:val="14"/>
        </w:rPr>
      </w:pPr>
    </w:p>
    <w:p w:rsidR="000F164B" w:rsidRDefault="000F164B" w:rsidP="004E3B3E">
      <w:pPr>
        <w:spacing w:before="20" w:after="20" w:line="180" w:lineRule="atLeast"/>
        <w:jc w:val="both"/>
        <w:rPr>
          <w:rFonts w:ascii="Franklin Gothic Book" w:eastAsia="Times New Roman" w:hAnsi="Franklin Gothic Book"/>
          <w:b/>
          <w:sz w:val="14"/>
          <w:szCs w:val="14"/>
        </w:rPr>
      </w:pPr>
    </w:p>
    <w:p w:rsidR="000F164B" w:rsidRDefault="000F164B" w:rsidP="004E3B3E">
      <w:pPr>
        <w:spacing w:before="20" w:after="20" w:line="180" w:lineRule="atLeast"/>
        <w:jc w:val="both"/>
        <w:rPr>
          <w:rFonts w:ascii="Franklin Gothic Book" w:eastAsia="Times New Roman" w:hAnsi="Franklin Gothic Book"/>
          <w:b/>
          <w:sz w:val="14"/>
          <w:szCs w:val="14"/>
        </w:rPr>
      </w:pPr>
    </w:p>
    <w:p w:rsidR="000F164B" w:rsidRDefault="000F164B" w:rsidP="004E3B3E">
      <w:pPr>
        <w:spacing w:before="20" w:after="20" w:line="180" w:lineRule="atLeast"/>
        <w:jc w:val="both"/>
        <w:rPr>
          <w:rFonts w:ascii="Franklin Gothic Book" w:eastAsia="Times New Roman" w:hAnsi="Franklin Gothic Book"/>
          <w:b/>
          <w:sz w:val="14"/>
          <w:szCs w:val="14"/>
        </w:rPr>
      </w:pPr>
    </w:p>
    <w:p w:rsidR="000F164B" w:rsidRDefault="000F164B" w:rsidP="004E3B3E">
      <w:pPr>
        <w:spacing w:before="20" w:after="20" w:line="180" w:lineRule="atLeast"/>
        <w:jc w:val="both"/>
        <w:rPr>
          <w:rFonts w:ascii="Franklin Gothic Book" w:eastAsia="Times New Roman" w:hAnsi="Franklin Gothic Book"/>
          <w:b/>
          <w:sz w:val="14"/>
          <w:szCs w:val="14"/>
        </w:rPr>
      </w:pPr>
    </w:p>
    <w:p w:rsidR="000F164B" w:rsidRDefault="000F164B" w:rsidP="004E3B3E">
      <w:pPr>
        <w:spacing w:before="20" w:after="20" w:line="180" w:lineRule="atLeast"/>
        <w:jc w:val="both"/>
        <w:rPr>
          <w:rFonts w:ascii="Franklin Gothic Book" w:eastAsia="Times New Roman" w:hAnsi="Franklin Gothic Book"/>
          <w:b/>
          <w:sz w:val="14"/>
          <w:szCs w:val="14"/>
        </w:rPr>
      </w:pPr>
    </w:p>
    <w:p w:rsidR="000F164B" w:rsidRDefault="000F164B" w:rsidP="004E3B3E">
      <w:pPr>
        <w:spacing w:before="20" w:after="20" w:line="180" w:lineRule="atLeast"/>
        <w:jc w:val="both"/>
        <w:rPr>
          <w:rFonts w:ascii="Franklin Gothic Book" w:eastAsia="Times New Roman" w:hAnsi="Franklin Gothic Book"/>
          <w:b/>
          <w:sz w:val="14"/>
          <w:szCs w:val="14"/>
        </w:rPr>
      </w:pPr>
    </w:p>
    <w:p w:rsidR="000F164B" w:rsidRDefault="000F164B" w:rsidP="004E3B3E">
      <w:pPr>
        <w:spacing w:before="20" w:after="20" w:line="180" w:lineRule="atLeast"/>
        <w:jc w:val="both"/>
        <w:rPr>
          <w:rFonts w:ascii="Franklin Gothic Book" w:eastAsia="Times New Roman" w:hAnsi="Franklin Gothic Book"/>
          <w:b/>
          <w:sz w:val="14"/>
          <w:szCs w:val="14"/>
        </w:rPr>
      </w:pPr>
    </w:p>
    <w:p w:rsidR="000F164B" w:rsidRDefault="000F164B" w:rsidP="004E3B3E">
      <w:pPr>
        <w:spacing w:before="20" w:after="20" w:line="180" w:lineRule="atLeast"/>
        <w:jc w:val="both"/>
        <w:rPr>
          <w:rFonts w:ascii="Franklin Gothic Book" w:eastAsia="Times New Roman" w:hAnsi="Franklin Gothic Book"/>
          <w:b/>
          <w:sz w:val="14"/>
          <w:szCs w:val="14"/>
        </w:rPr>
      </w:pPr>
    </w:p>
    <w:p w:rsidR="002F7DEC" w:rsidRPr="004E48CF" w:rsidRDefault="002F7DEC" w:rsidP="004E48CF">
      <w:pPr>
        <w:suppressAutoHyphens w:val="0"/>
        <w:spacing w:before="0" w:after="0" w:line="440" w:lineRule="atLeast"/>
        <w:rPr>
          <w:rFonts w:asciiTheme="majorHAnsi" w:eastAsiaTheme="majorEastAsia" w:hAnsiTheme="majorHAnsi" w:cstheme="majorBidi"/>
          <w:b/>
          <w:caps/>
          <w:sz w:val="38"/>
          <w:szCs w:val="26"/>
        </w:rPr>
      </w:pPr>
      <w:r w:rsidRPr="004E48CF">
        <w:rPr>
          <w:rFonts w:asciiTheme="majorHAnsi" w:eastAsiaTheme="majorEastAsia" w:hAnsiTheme="majorHAnsi" w:cstheme="majorBidi"/>
          <w:b/>
          <w:caps/>
          <w:sz w:val="38"/>
          <w:szCs w:val="26"/>
        </w:rPr>
        <w:lastRenderedPageBreak/>
        <w:t>CONTEXT</w:t>
      </w:r>
    </w:p>
    <w:p w:rsidR="000F164B" w:rsidRDefault="00525E9D" w:rsidP="001371FE">
      <w:pPr>
        <w:spacing w:line="240" w:lineRule="auto"/>
        <w:rPr>
          <w:rFonts w:eastAsia="Times New Roman"/>
        </w:rPr>
      </w:pPr>
      <w:r>
        <w:rPr>
          <w:noProof/>
          <w:lang w:val="en-AU" w:eastAsia="en-AU"/>
        </w:rPr>
        <mc:AlternateContent>
          <mc:Choice Requires="wps">
            <w:drawing>
              <wp:anchor distT="0" distB="0" distL="114300" distR="114300" simplePos="0" relativeHeight="251700224" behindDoc="0" locked="0" layoutInCell="1" allowOverlap="1" wp14:anchorId="7DE8AB42" wp14:editId="151E4291">
                <wp:simplePos x="0" y="0"/>
                <wp:positionH relativeFrom="margin">
                  <wp:align>right</wp:align>
                </wp:positionH>
                <wp:positionV relativeFrom="paragraph">
                  <wp:posOffset>961390</wp:posOffset>
                </wp:positionV>
                <wp:extent cx="2766695" cy="3471545"/>
                <wp:effectExtent l="0" t="0" r="14605" b="14605"/>
                <wp:wrapSquare wrapText="bothSides"/>
                <wp:docPr id="19" name="Text Box 19"/>
                <wp:cNvGraphicFramePr/>
                <a:graphic xmlns:a="http://schemas.openxmlformats.org/drawingml/2006/main">
                  <a:graphicData uri="http://schemas.microsoft.com/office/word/2010/wordprocessingShape">
                    <wps:wsp>
                      <wps:cNvSpPr txBox="1"/>
                      <wps:spPr>
                        <a:xfrm>
                          <a:off x="0" y="0"/>
                          <a:ext cx="2766695" cy="3471545"/>
                        </a:xfrm>
                        <a:prstGeom prst="rect">
                          <a:avLst/>
                        </a:prstGeom>
                        <a:solidFill>
                          <a:schemeClr val="bg1"/>
                        </a:solidFill>
                        <a:ln w="6350">
                          <a:solidFill>
                            <a:schemeClr val="accent1"/>
                          </a:solidFill>
                        </a:ln>
                      </wps:spPr>
                      <wps:txbx>
                        <w:txbxContent>
                          <w:p w:rsidR="00F46617" w:rsidRPr="004E48CF" w:rsidRDefault="00F46617" w:rsidP="004E48CF">
                            <w:pPr>
                              <w:spacing w:before="0" w:after="0" w:line="240" w:lineRule="auto"/>
                              <w:rPr>
                                <w:rFonts w:asciiTheme="majorHAnsi" w:eastAsia="Times New Roman" w:hAnsiTheme="majorHAnsi"/>
                                <w:i/>
                                <w:sz w:val="20"/>
                                <w:szCs w:val="20"/>
                              </w:rPr>
                            </w:pPr>
                            <w:r w:rsidRPr="004E48CF">
                              <w:rPr>
                                <w:rFonts w:asciiTheme="majorHAnsi" w:eastAsia="Times New Roman" w:hAnsiTheme="majorHAnsi"/>
                                <w:b/>
                                <w:i/>
                                <w:color w:val="3DA18F" w:themeColor="accent1" w:themeShade="BF"/>
                                <w:sz w:val="20"/>
                                <w:szCs w:val="20"/>
                              </w:rPr>
                              <w:t xml:space="preserve">2017 Pakistan Aid </w:t>
                            </w:r>
                            <w:r>
                              <w:rPr>
                                <w:rFonts w:asciiTheme="majorHAnsi" w:eastAsia="Times New Roman" w:hAnsiTheme="majorHAnsi"/>
                                <w:b/>
                                <w:i/>
                                <w:color w:val="3DA18F" w:themeColor="accent1" w:themeShade="BF"/>
                                <w:sz w:val="20"/>
                                <w:szCs w:val="20"/>
                              </w:rPr>
                              <w:t xml:space="preserve">Program </w:t>
                            </w:r>
                            <w:r w:rsidRPr="004E48CF">
                              <w:rPr>
                                <w:rFonts w:asciiTheme="majorHAnsi" w:eastAsia="Times New Roman" w:hAnsiTheme="majorHAnsi"/>
                                <w:b/>
                                <w:i/>
                                <w:color w:val="3DA18F" w:themeColor="accent1" w:themeShade="BF"/>
                                <w:sz w:val="20"/>
                                <w:szCs w:val="20"/>
                              </w:rPr>
                              <w:t>Health Check</w:t>
                            </w:r>
                            <w:r w:rsidRPr="004E48CF">
                              <w:rPr>
                                <w:rFonts w:asciiTheme="majorHAnsi" w:eastAsia="Times New Roman" w:hAnsiTheme="majorHAnsi"/>
                                <w:i/>
                                <w:color w:val="3DA18F" w:themeColor="accent1" w:themeShade="BF"/>
                                <w:sz w:val="20"/>
                                <w:szCs w:val="20"/>
                              </w:rPr>
                              <w:t xml:space="preserve"> </w:t>
                            </w:r>
                            <w:r w:rsidRPr="004E48CF">
                              <w:rPr>
                                <w:rFonts w:asciiTheme="majorHAnsi" w:eastAsia="Times New Roman" w:hAnsiTheme="majorHAnsi"/>
                                <w:i/>
                                <w:sz w:val="20"/>
                                <w:szCs w:val="20"/>
                              </w:rPr>
                              <w:br/>
                            </w:r>
                          </w:p>
                          <w:p w:rsidR="00F46617" w:rsidRDefault="00F46617" w:rsidP="004E48CF">
                            <w:pPr>
                              <w:spacing w:before="0" w:after="0" w:line="240" w:lineRule="auto"/>
                              <w:rPr>
                                <w:rFonts w:eastAsia="Times New Roman"/>
                                <w:i/>
                                <w:sz w:val="20"/>
                                <w:szCs w:val="20"/>
                              </w:rPr>
                            </w:pPr>
                            <w:r w:rsidRPr="00FE7E6C">
                              <w:rPr>
                                <w:rFonts w:eastAsia="Times New Roman"/>
                                <w:i/>
                                <w:sz w:val="20"/>
                                <w:szCs w:val="20"/>
                              </w:rPr>
                              <w:t xml:space="preserve">An internal aid health check conducted in November 2017 </w:t>
                            </w:r>
                            <w:r>
                              <w:rPr>
                                <w:rFonts w:eastAsia="Times New Roman"/>
                                <w:i/>
                                <w:sz w:val="20"/>
                                <w:szCs w:val="20"/>
                              </w:rPr>
                              <w:t>commended</w:t>
                            </w:r>
                            <w:r w:rsidRPr="00FE7E6C">
                              <w:rPr>
                                <w:rFonts w:eastAsia="Times New Roman"/>
                                <w:i/>
                                <w:sz w:val="20"/>
                                <w:szCs w:val="20"/>
                              </w:rPr>
                              <w:t xml:space="preserve"> </w:t>
                            </w:r>
                            <w:r>
                              <w:rPr>
                                <w:rFonts w:eastAsia="Times New Roman"/>
                                <w:i/>
                                <w:sz w:val="20"/>
                                <w:szCs w:val="20"/>
                              </w:rPr>
                              <w:t>the Pakistan aid program for delivering on a range of development policy priorities. It also recommended using the next AIP</w:t>
                            </w:r>
                            <w:r w:rsidRPr="00344DA0">
                              <w:rPr>
                                <w:rFonts w:eastAsia="Times New Roman"/>
                                <w:i/>
                                <w:sz w:val="20"/>
                                <w:szCs w:val="20"/>
                              </w:rPr>
                              <w:t xml:space="preserve"> </w:t>
                            </w:r>
                            <w:r>
                              <w:rPr>
                                <w:rFonts w:eastAsia="Times New Roman"/>
                                <w:i/>
                                <w:sz w:val="20"/>
                                <w:szCs w:val="20"/>
                              </w:rPr>
                              <w:t xml:space="preserve">to consolidate the </w:t>
                            </w:r>
                            <w:r w:rsidRPr="00FE7E6C">
                              <w:rPr>
                                <w:rFonts w:eastAsia="Times New Roman"/>
                                <w:i/>
                                <w:sz w:val="20"/>
                                <w:szCs w:val="20"/>
                              </w:rPr>
                              <w:t xml:space="preserve">aid program to </w:t>
                            </w:r>
                            <w:r w:rsidRPr="00D0075D">
                              <w:rPr>
                                <w:rFonts w:eastAsia="Times New Roman"/>
                                <w:i/>
                                <w:sz w:val="20"/>
                                <w:szCs w:val="20"/>
                              </w:rPr>
                              <w:t>Pakistan. The program committed to develop a new AIP by December 2018, using the four tests of Australian aid to inform programming choices.</w:t>
                            </w:r>
                          </w:p>
                          <w:p w:rsidR="00F46617" w:rsidRPr="00D0075D" w:rsidRDefault="00F46617" w:rsidP="004E48CF">
                            <w:pPr>
                              <w:spacing w:before="0" w:after="0" w:line="240" w:lineRule="auto"/>
                              <w:rPr>
                                <w:rFonts w:eastAsia="Times New Roman"/>
                                <w:i/>
                                <w:sz w:val="20"/>
                                <w:szCs w:val="20"/>
                              </w:rPr>
                            </w:pPr>
                          </w:p>
                          <w:p w:rsidR="00F46617" w:rsidRDefault="00F46617" w:rsidP="004E48CF">
                            <w:pPr>
                              <w:spacing w:before="0" w:after="0" w:line="240" w:lineRule="auto"/>
                              <w:rPr>
                                <w:rFonts w:eastAsia="Times New Roman"/>
                                <w:i/>
                                <w:sz w:val="20"/>
                                <w:szCs w:val="20"/>
                              </w:rPr>
                            </w:pPr>
                            <w:r w:rsidRPr="00D0075D">
                              <w:rPr>
                                <w:rFonts w:eastAsia="Times New Roman"/>
                                <w:i/>
                                <w:sz w:val="20"/>
                                <w:szCs w:val="20"/>
                              </w:rPr>
                              <w:t xml:space="preserve">In line with health check recommendations, the new AIP will: </w:t>
                            </w:r>
                          </w:p>
                          <w:p w:rsidR="00F46617" w:rsidRPr="009E4C8A" w:rsidRDefault="00F46617" w:rsidP="009E4C8A">
                            <w:pPr>
                              <w:pStyle w:val="ListParagraph"/>
                              <w:numPr>
                                <w:ilvl w:val="0"/>
                                <w:numId w:val="23"/>
                              </w:numPr>
                              <w:rPr>
                                <w:rFonts w:asciiTheme="minorHAnsi" w:hAnsiTheme="minorHAnsi" w:cstheme="minorBidi"/>
                                <w:i/>
                                <w:color w:val="495965" w:themeColor="text2"/>
                                <w:sz w:val="20"/>
                                <w:szCs w:val="20"/>
                                <w:lang w:val="en-GB"/>
                              </w:rPr>
                            </w:pPr>
                            <w:r w:rsidRPr="009E4C8A">
                              <w:rPr>
                                <w:rFonts w:asciiTheme="minorHAnsi" w:hAnsiTheme="minorHAnsi" w:cstheme="minorBidi"/>
                                <w:i/>
                                <w:color w:val="495965" w:themeColor="text2"/>
                                <w:sz w:val="20"/>
                                <w:szCs w:val="20"/>
                                <w:lang w:val="en-GB"/>
                              </w:rPr>
                              <w:t>prioritise objectives nested within Australia’s broader bilateral and regional strategic interests;</w:t>
                            </w:r>
                          </w:p>
                          <w:p w:rsidR="00F46617" w:rsidRPr="009E4C8A" w:rsidRDefault="00F46617" w:rsidP="009E4C8A">
                            <w:pPr>
                              <w:pStyle w:val="ListParagraph"/>
                              <w:numPr>
                                <w:ilvl w:val="0"/>
                                <w:numId w:val="23"/>
                              </w:numPr>
                              <w:rPr>
                                <w:rFonts w:asciiTheme="minorHAnsi" w:hAnsiTheme="minorHAnsi" w:cstheme="minorBidi"/>
                                <w:i/>
                                <w:color w:val="495965" w:themeColor="text2"/>
                                <w:sz w:val="20"/>
                                <w:szCs w:val="20"/>
                                <w:lang w:val="en-GB"/>
                              </w:rPr>
                            </w:pPr>
                            <w:r w:rsidRPr="009E4C8A">
                              <w:rPr>
                                <w:rFonts w:asciiTheme="minorHAnsi" w:hAnsiTheme="minorHAnsi" w:cstheme="minorBidi"/>
                                <w:i/>
                                <w:color w:val="495965" w:themeColor="text2"/>
                                <w:sz w:val="20"/>
                                <w:szCs w:val="20"/>
                                <w:lang w:val="en-GB"/>
                              </w:rPr>
                              <w:t xml:space="preserve">focus on no more than two to three policy </w:t>
                            </w:r>
                            <w:r>
                              <w:rPr>
                                <w:rFonts w:asciiTheme="minorHAnsi" w:hAnsiTheme="minorHAnsi" w:cstheme="minorBidi"/>
                                <w:i/>
                                <w:color w:val="495965" w:themeColor="text2"/>
                                <w:sz w:val="20"/>
                                <w:szCs w:val="20"/>
                                <w:lang w:val="en-GB"/>
                              </w:rPr>
                              <w:t>priorities</w:t>
                            </w:r>
                            <w:r w:rsidRPr="009E4C8A">
                              <w:rPr>
                                <w:rFonts w:asciiTheme="minorHAnsi" w:hAnsiTheme="minorHAnsi" w:cstheme="minorBidi"/>
                                <w:i/>
                                <w:color w:val="495965" w:themeColor="text2"/>
                                <w:sz w:val="20"/>
                                <w:szCs w:val="20"/>
                                <w:lang w:val="en-GB"/>
                              </w:rPr>
                              <w:t xml:space="preserve"> where we </w:t>
                            </w:r>
                            <w:r>
                              <w:rPr>
                                <w:rFonts w:asciiTheme="minorHAnsi" w:hAnsiTheme="minorHAnsi" w:cstheme="minorBidi"/>
                                <w:i/>
                                <w:color w:val="495965" w:themeColor="text2"/>
                                <w:sz w:val="20"/>
                                <w:szCs w:val="20"/>
                                <w:lang w:val="en-GB"/>
                              </w:rPr>
                              <w:t>can</w:t>
                            </w:r>
                            <w:r w:rsidRPr="009E4C8A">
                              <w:rPr>
                                <w:rFonts w:asciiTheme="minorHAnsi" w:hAnsiTheme="minorHAnsi" w:cstheme="minorBidi"/>
                                <w:i/>
                                <w:color w:val="495965" w:themeColor="text2"/>
                                <w:sz w:val="20"/>
                                <w:szCs w:val="20"/>
                                <w:lang w:val="en-GB"/>
                              </w:rPr>
                              <w:t xml:space="preserve"> exert influence; </w:t>
                            </w:r>
                          </w:p>
                          <w:p w:rsidR="00F46617" w:rsidRPr="009E4C8A" w:rsidRDefault="00F46617" w:rsidP="009E4C8A">
                            <w:pPr>
                              <w:pStyle w:val="ListParagraph"/>
                              <w:numPr>
                                <w:ilvl w:val="0"/>
                                <w:numId w:val="23"/>
                              </w:numPr>
                              <w:rPr>
                                <w:rFonts w:asciiTheme="minorHAnsi" w:hAnsiTheme="minorHAnsi" w:cstheme="minorBidi"/>
                                <w:i/>
                                <w:color w:val="495965" w:themeColor="text2"/>
                                <w:sz w:val="20"/>
                                <w:szCs w:val="20"/>
                                <w:lang w:val="en-GB"/>
                              </w:rPr>
                            </w:pPr>
                            <w:r w:rsidRPr="009E4C8A">
                              <w:rPr>
                                <w:rFonts w:asciiTheme="minorHAnsi" w:hAnsiTheme="minorHAnsi" w:cstheme="minorBidi"/>
                                <w:i/>
                                <w:color w:val="495965" w:themeColor="text2"/>
                                <w:sz w:val="20"/>
                                <w:szCs w:val="20"/>
                                <w:lang w:val="en-GB"/>
                              </w:rPr>
                              <w:t xml:space="preserve">consolidate work programs and reduce transaction costs to free up resources for </w:t>
                            </w:r>
                            <w:r>
                              <w:rPr>
                                <w:rFonts w:asciiTheme="minorHAnsi" w:hAnsiTheme="minorHAnsi" w:cstheme="minorBidi"/>
                                <w:i/>
                                <w:color w:val="495965" w:themeColor="text2"/>
                                <w:sz w:val="20"/>
                                <w:szCs w:val="20"/>
                                <w:lang w:val="en-GB"/>
                              </w:rPr>
                              <w:t>higher-level policy engagement.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8AB42" id="_x0000_t202" coordsize="21600,21600" o:spt="202" path="m,l,21600r21600,l21600,xe">
                <v:stroke joinstyle="miter"/>
                <v:path gradientshapeok="t" o:connecttype="rect"/>
              </v:shapetype>
              <v:shape id="Text Box 19" o:spid="_x0000_s1026" type="#_x0000_t202" style="position:absolute;margin-left:166.65pt;margin-top:75.7pt;width:217.85pt;height:273.3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" fillcolor="white [3212]" strokecolor="#65c5b4 [3204]" strokeweight=".5pt">
                <v:textbox>
                  <w:txbxContent>
                    <w:p w:rsidR="00F46617" w:rsidRPr="004E48CF" w:rsidRDefault="00F46617" w:rsidP="004E48CF">
                      <w:pPr>
                        <w:spacing w:before="0" w:after="0" w:line="240" w:lineRule="auto"/>
                        <w:rPr>
                          <w:rFonts w:asciiTheme="majorHAnsi" w:eastAsia="Times New Roman" w:hAnsiTheme="majorHAnsi"/>
                          <w:i/>
                          <w:sz w:val="20"/>
                          <w:szCs w:val="20"/>
                        </w:rPr>
                      </w:pPr>
                      <w:r w:rsidRPr="004E48CF">
                        <w:rPr>
                          <w:rFonts w:asciiTheme="majorHAnsi" w:eastAsia="Times New Roman" w:hAnsiTheme="majorHAnsi"/>
                          <w:b/>
                          <w:i/>
                          <w:color w:val="3DA18F" w:themeColor="accent1" w:themeShade="BF"/>
                          <w:sz w:val="20"/>
                          <w:szCs w:val="20"/>
                        </w:rPr>
                        <w:t xml:space="preserve">2017 Pakistan Aid </w:t>
                      </w:r>
                      <w:r>
                        <w:rPr>
                          <w:rFonts w:asciiTheme="majorHAnsi" w:eastAsia="Times New Roman" w:hAnsiTheme="majorHAnsi"/>
                          <w:b/>
                          <w:i/>
                          <w:color w:val="3DA18F" w:themeColor="accent1" w:themeShade="BF"/>
                          <w:sz w:val="20"/>
                          <w:szCs w:val="20"/>
                        </w:rPr>
                        <w:t xml:space="preserve">Program </w:t>
                      </w:r>
                      <w:r w:rsidRPr="004E48CF">
                        <w:rPr>
                          <w:rFonts w:asciiTheme="majorHAnsi" w:eastAsia="Times New Roman" w:hAnsiTheme="majorHAnsi"/>
                          <w:b/>
                          <w:i/>
                          <w:color w:val="3DA18F" w:themeColor="accent1" w:themeShade="BF"/>
                          <w:sz w:val="20"/>
                          <w:szCs w:val="20"/>
                        </w:rPr>
                        <w:t>Health Check</w:t>
                      </w:r>
                      <w:r w:rsidRPr="004E48CF">
                        <w:rPr>
                          <w:rFonts w:asciiTheme="majorHAnsi" w:eastAsia="Times New Roman" w:hAnsiTheme="majorHAnsi"/>
                          <w:i/>
                          <w:color w:val="3DA18F" w:themeColor="accent1" w:themeShade="BF"/>
                          <w:sz w:val="20"/>
                          <w:szCs w:val="20"/>
                        </w:rPr>
                        <w:t xml:space="preserve"> </w:t>
                      </w:r>
                      <w:r w:rsidRPr="004E48CF">
                        <w:rPr>
                          <w:rFonts w:asciiTheme="majorHAnsi" w:eastAsia="Times New Roman" w:hAnsiTheme="majorHAnsi"/>
                          <w:i/>
                          <w:sz w:val="20"/>
                          <w:szCs w:val="20"/>
                        </w:rPr>
                        <w:br/>
                      </w:r>
                    </w:p>
                    <w:p w:rsidR="00F46617" w:rsidRDefault="00F46617" w:rsidP="004E48CF">
                      <w:pPr>
                        <w:spacing w:before="0" w:after="0" w:line="240" w:lineRule="auto"/>
                        <w:rPr>
                          <w:rFonts w:eastAsia="Times New Roman"/>
                          <w:i/>
                          <w:sz w:val="20"/>
                          <w:szCs w:val="20"/>
                        </w:rPr>
                      </w:pPr>
                      <w:r w:rsidRPr="00FE7E6C">
                        <w:rPr>
                          <w:rFonts w:eastAsia="Times New Roman"/>
                          <w:i/>
                          <w:sz w:val="20"/>
                          <w:szCs w:val="20"/>
                        </w:rPr>
                        <w:t xml:space="preserve">An internal aid health check conducted in November 2017 </w:t>
                      </w:r>
                      <w:r>
                        <w:rPr>
                          <w:rFonts w:eastAsia="Times New Roman"/>
                          <w:i/>
                          <w:sz w:val="20"/>
                          <w:szCs w:val="20"/>
                        </w:rPr>
                        <w:t>commended</w:t>
                      </w:r>
                      <w:r w:rsidRPr="00FE7E6C">
                        <w:rPr>
                          <w:rFonts w:eastAsia="Times New Roman"/>
                          <w:i/>
                          <w:sz w:val="20"/>
                          <w:szCs w:val="20"/>
                        </w:rPr>
                        <w:t xml:space="preserve"> </w:t>
                      </w:r>
                      <w:r>
                        <w:rPr>
                          <w:rFonts w:eastAsia="Times New Roman"/>
                          <w:i/>
                          <w:sz w:val="20"/>
                          <w:szCs w:val="20"/>
                        </w:rPr>
                        <w:t>the Pakistan aid program for delivering on a range of development policy priorities. It also recommended using the next AIP</w:t>
                      </w:r>
                      <w:r w:rsidRPr="00344DA0">
                        <w:rPr>
                          <w:rFonts w:eastAsia="Times New Roman"/>
                          <w:i/>
                          <w:sz w:val="20"/>
                          <w:szCs w:val="20"/>
                        </w:rPr>
                        <w:t xml:space="preserve"> </w:t>
                      </w:r>
                      <w:r>
                        <w:rPr>
                          <w:rFonts w:eastAsia="Times New Roman"/>
                          <w:i/>
                          <w:sz w:val="20"/>
                          <w:szCs w:val="20"/>
                        </w:rPr>
                        <w:t xml:space="preserve">to consolidate the </w:t>
                      </w:r>
                      <w:r w:rsidRPr="00FE7E6C">
                        <w:rPr>
                          <w:rFonts w:eastAsia="Times New Roman"/>
                          <w:i/>
                          <w:sz w:val="20"/>
                          <w:szCs w:val="20"/>
                        </w:rPr>
                        <w:t xml:space="preserve">aid program to </w:t>
                      </w:r>
                      <w:r w:rsidRPr="00D0075D">
                        <w:rPr>
                          <w:rFonts w:eastAsia="Times New Roman"/>
                          <w:i/>
                          <w:sz w:val="20"/>
                          <w:szCs w:val="20"/>
                        </w:rPr>
                        <w:t>Pakistan. The program committed to develop a new AIP by December 2018, using the four tests of Australian aid to inform programming choices.</w:t>
                      </w:r>
                    </w:p>
                    <w:p w:rsidR="00F46617" w:rsidRPr="00D0075D" w:rsidRDefault="00F46617" w:rsidP="004E48CF">
                      <w:pPr>
                        <w:spacing w:before="0" w:after="0" w:line="240" w:lineRule="auto"/>
                        <w:rPr>
                          <w:rFonts w:eastAsia="Times New Roman"/>
                          <w:i/>
                          <w:sz w:val="20"/>
                          <w:szCs w:val="20"/>
                        </w:rPr>
                      </w:pPr>
                    </w:p>
                    <w:p w:rsidR="00F46617" w:rsidRDefault="00F46617" w:rsidP="004E48CF">
                      <w:pPr>
                        <w:spacing w:before="0" w:after="0" w:line="240" w:lineRule="auto"/>
                        <w:rPr>
                          <w:rFonts w:eastAsia="Times New Roman"/>
                          <w:i/>
                          <w:sz w:val="20"/>
                          <w:szCs w:val="20"/>
                        </w:rPr>
                      </w:pPr>
                      <w:r w:rsidRPr="00D0075D">
                        <w:rPr>
                          <w:rFonts w:eastAsia="Times New Roman"/>
                          <w:i/>
                          <w:sz w:val="20"/>
                          <w:szCs w:val="20"/>
                        </w:rPr>
                        <w:t xml:space="preserve">In line with health check recommendations, the new AIP will: </w:t>
                      </w:r>
                    </w:p>
                    <w:p w:rsidR="00F46617" w:rsidRPr="009E4C8A" w:rsidRDefault="00F46617" w:rsidP="009E4C8A">
                      <w:pPr>
                        <w:pStyle w:val="ListParagraph"/>
                        <w:numPr>
                          <w:ilvl w:val="0"/>
                          <w:numId w:val="23"/>
                        </w:numPr>
                        <w:rPr>
                          <w:rFonts w:asciiTheme="minorHAnsi" w:hAnsiTheme="minorHAnsi" w:cstheme="minorBidi"/>
                          <w:i/>
                          <w:color w:val="495965" w:themeColor="text2"/>
                          <w:sz w:val="20"/>
                          <w:szCs w:val="20"/>
                          <w:lang w:val="en-GB"/>
                        </w:rPr>
                      </w:pPr>
                      <w:r w:rsidRPr="009E4C8A">
                        <w:rPr>
                          <w:rFonts w:asciiTheme="minorHAnsi" w:hAnsiTheme="minorHAnsi" w:cstheme="minorBidi"/>
                          <w:i/>
                          <w:color w:val="495965" w:themeColor="text2"/>
                          <w:sz w:val="20"/>
                          <w:szCs w:val="20"/>
                          <w:lang w:val="en-GB"/>
                        </w:rPr>
                        <w:t>prioritise objectives nested within Australia’s broader bilateral and regional strategic interests;</w:t>
                      </w:r>
                    </w:p>
                    <w:p w:rsidR="00F46617" w:rsidRPr="009E4C8A" w:rsidRDefault="00F46617" w:rsidP="009E4C8A">
                      <w:pPr>
                        <w:pStyle w:val="ListParagraph"/>
                        <w:numPr>
                          <w:ilvl w:val="0"/>
                          <w:numId w:val="23"/>
                        </w:numPr>
                        <w:rPr>
                          <w:rFonts w:asciiTheme="minorHAnsi" w:hAnsiTheme="minorHAnsi" w:cstheme="minorBidi"/>
                          <w:i/>
                          <w:color w:val="495965" w:themeColor="text2"/>
                          <w:sz w:val="20"/>
                          <w:szCs w:val="20"/>
                          <w:lang w:val="en-GB"/>
                        </w:rPr>
                      </w:pPr>
                      <w:r w:rsidRPr="009E4C8A">
                        <w:rPr>
                          <w:rFonts w:asciiTheme="minorHAnsi" w:hAnsiTheme="minorHAnsi" w:cstheme="minorBidi"/>
                          <w:i/>
                          <w:color w:val="495965" w:themeColor="text2"/>
                          <w:sz w:val="20"/>
                          <w:szCs w:val="20"/>
                          <w:lang w:val="en-GB"/>
                        </w:rPr>
                        <w:t xml:space="preserve">focus on no more than two to three policy </w:t>
                      </w:r>
                      <w:r>
                        <w:rPr>
                          <w:rFonts w:asciiTheme="minorHAnsi" w:hAnsiTheme="minorHAnsi" w:cstheme="minorBidi"/>
                          <w:i/>
                          <w:color w:val="495965" w:themeColor="text2"/>
                          <w:sz w:val="20"/>
                          <w:szCs w:val="20"/>
                          <w:lang w:val="en-GB"/>
                        </w:rPr>
                        <w:t>priorities</w:t>
                      </w:r>
                      <w:r w:rsidRPr="009E4C8A">
                        <w:rPr>
                          <w:rFonts w:asciiTheme="minorHAnsi" w:hAnsiTheme="minorHAnsi" w:cstheme="minorBidi"/>
                          <w:i/>
                          <w:color w:val="495965" w:themeColor="text2"/>
                          <w:sz w:val="20"/>
                          <w:szCs w:val="20"/>
                          <w:lang w:val="en-GB"/>
                        </w:rPr>
                        <w:t xml:space="preserve"> where we </w:t>
                      </w:r>
                      <w:r>
                        <w:rPr>
                          <w:rFonts w:asciiTheme="minorHAnsi" w:hAnsiTheme="minorHAnsi" w:cstheme="minorBidi"/>
                          <w:i/>
                          <w:color w:val="495965" w:themeColor="text2"/>
                          <w:sz w:val="20"/>
                          <w:szCs w:val="20"/>
                          <w:lang w:val="en-GB"/>
                        </w:rPr>
                        <w:t>can</w:t>
                      </w:r>
                      <w:r w:rsidRPr="009E4C8A">
                        <w:rPr>
                          <w:rFonts w:asciiTheme="minorHAnsi" w:hAnsiTheme="minorHAnsi" w:cstheme="minorBidi"/>
                          <w:i/>
                          <w:color w:val="495965" w:themeColor="text2"/>
                          <w:sz w:val="20"/>
                          <w:szCs w:val="20"/>
                          <w:lang w:val="en-GB"/>
                        </w:rPr>
                        <w:t xml:space="preserve"> exert influence; </w:t>
                      </w:r>
                    </w:p>
                    <w:p w:rsidR="00F46617" w:rsidRPr="009E4C8A" w:rsidRDefault="00F46617" w:rsidP="009E4C8A">
                      <w:pPr>
                        <w:pStyle w:val="ListParagraph"/>
                        <w:numPr>
                          <w:ilvl w:val="0"/>
                          <w:numId w:val="23"/>
                        </w:numPr>
                        <w:rPr>
                          <w:rFonts w:asciiTheme="minorHAnsi" w:hAnsiTheme="minorHAnsi" w:cstheme="minorBidi"/>
                          <w:i/>
                          <w:color w:val="495965" w:themeColor="text2"/>
                          <w:sz w:val="20"/>
                          <w:szCs w:val="20"/>
                          <w:lang w:val="en-GB"/>
                        </w:rPr>
                      </w:pPr>
                      <w:proofErr w:type="gramStart"/>
                      <w:r w:rsidRPr="009E4C8A">
                        <w:rPr>
                          <w:rFonts w:asciiTheme="minorHAnsi" w:hAnsiTheme="minorHAnsi" w:cstheme="minorBidi"/>
                          <w:i/>
                          <w:color w:val="495965" w:themeColor="text2"/>
                          <w:sz w:val="20"/>
                          <w:szCs w:val="20"/>
                          <w:lang w:val="en-GB"/>
                        </w:rPr>
                        <w:t>consolidate</w:t>
                      </w:r>
                      <w:proofErr w:type="gramEnd"/>
                      <w:r w:rsidRPr="009E4C8A">
                        <w:rPr>
                          <w:rFonts w:asciiTheme="minorHAnsi" w:hAnsiTheme="minorHAnsi" w:cstheme="minorBidi"/>
                          <w:i/>
                          <w:color w:val="495965" w:themeColor="text2"/>
                          <w:sz w:val="20"/>
                          <w:szCs w:val="20"/>
                          <w:lang w:val="en-GB"/>
                        </w:rPr>
                        <w:t xml:space="preserve"> work programs and reduce transaction costs to free up resources for </w:t>
                      </w:r>
                      <w:r>
                        <w:rPr>
                          <w:rFonts w:asciiTheme="minorHAnsi" w:hAnsiTheme="minorHAnsi" w:cstheme="minorBidi"/>
                          <w:i/>
                          <w:color w:val="495965" w:themeColor="text2"/>
                          <w:sz w:val="20"/>
                          <w:szCs w:val="20"/>
                          <w:lang w:val="en-GB"/>
                        </w:rPr>
                        <w:t>higher-level policy engagement.</w:t>
                      </w:r>
                    </w:p>
                  </w:txbxContent>
                </v:textbox>
                <w10:wrap type="square" anchorx="margin"/>
              </v:shape>
            </w:pict>
          </mc:Fallback>
        </mc:AlternateContent>
      </w:r>
      <w:r w:rsidR="00FB1B8F">
        <w:rPr>
          <w:rFonts w:eastAsia="Times New Roman"/>
        </w:rPr>
        <w:t>Pak</w:t>
      </w:r>
      <w:r w:rsidR="008E3E7C">
        <w:rPr>
          <w:rFonts w:eastAsia="Times New Roman"/>
        </w:rPr>
        <w:t>istan is the</w:t>
      </w:r>
      <w:r w:rsidR="00E03FFF">
        <w:rPr>
          <w:rFonts w:eastAsia="Times New Roman"/>
        </w:rPr>
        <w:t xml:space="preserve"> world’s </w:t>
      </w:r>
      <w:r w:rsidR="00F112BD">
        <w:rPr>
          <w:rFonts w:eastAsia="Times New Roman"/>
        </w:rPr>
        <w:t>sixth-</w:t>
      </w:r>
      <w:r w:rsidR="008E3E7C">
        <w:rPr>
          <w:rFonts w:eastAsia="Times New Roman"/>
        </w:rPr>
        <w:t>most populo</w:t>
      </w:r>
      <w:r w:rsidR="00FB1B8F">
        <w:rPr>
          <w:rFonts w:eastAsia="Times New Roman"/>
        </w:rPr>
        <w:t xml:space="preserve">us </w:t>
      </w:r>
      <w:r w:rsidR="008E3E7C">
        <w:rPr>
          <w:rFonts w:eastAsia="Times New Roman"/>
        </w:rPr>
        <w:t>nation</w:t>
      </w:r>
      <w:r w:rsidR="00E03FFF">
        <w:rPr>
          <w:rFonts w:eastAsia="Times New Roman"/>
        </w:rPr>
        <w:t>,</w:t>
      </w:r>
      <w:r w:rsidR="00FB1B8F" w:rsidRPr="00BD5657">
        <w:rPr>
          <w:rFonts w:eastAsia="Times New Roman"/>
        </w:rPr>
        <w:t xml:space="preserve"> </w:t>
      </w:r>
      <w:r w:rsidR="00E03FFF">
        <w:rPr>
          <w:rFonts w:eastAsia="Times New Roman"/>
        </w:rPr>
        <w:t xml:space="preserve">with </w:t>
      </w:r>
      <w:r w:rsidR="00564063">
        <w:rPr>
          <w:rFonts w:eastAsia="Times New Roman"/>
        </w:rPr>
        <w:t>a population of around</w:t>
      </w:r>
      <w:r w:rsidR="00F112BD">
        <w:rPr>
          <w:rFonts w:eastAsia="Times New Roman"/>
        </w:rPr>
        <w:t xml:space="preserve"> 208</w:t>
      </w:r>
      <w:r w:rsidR="00E03FFF">
        <w:rPr>
          <w:rFonts w:eastAsia="Times New Roman"/>
        </w:rPr>
        <w:t xml:space="preserve"> million</w:t>
      </w:r>
      <w:r w:rsidR="00FB1B8F" w:rsidRPr="00BD5657">
        <w:rPr>
          <w:rFonts w:eastAsia="Times New Roman"/>
        </w:rPr>
        <w:t>.</w:t>
      </w:r>
      <w:r w:rsidR="00FB1B8F">
        <w:rPr>
          <w:rFonts w:eastAsia="Times New Roman"/>
        </w:rPr>
        <w:t xml:space="preserve"> </w:t>
      </w:r>
      <w:r w:rsidR="007A3510">
        <w:rPr>
          <w:rFonts w:eastAsia="Times New Roman"/>
        </w:rPr>
        <w:t xml:space="preserve">Almost three in ten Pakistanis live in </w:t>
      </w:r>
      <w:r w:rsidR="00FB1B8F" w:rsidRPr="00F111C8">
        <w:rPr>
          <w:rFonts w:eastAsia="Times New Roman"/>
        </w:rPr>
        <w:t xml:space="preserve">poverty </w:t>
      </w:r>
      <w:r w:rsidR="007A3510">
        <w:rPr>
          <w:rFonts w:eastAsia="Times New Roman"/>
        </w:rPr>
        <w:t>and</w:t>
      </w:r>
      <w:r w:rsidR="00E03FFF" w:rsidRPr="00F111C8">
        <w:rPr>
          <w:rFonts w:eastAsia="Times New Roman"/>
        </w:rPr>
        <w:t xml:space="preserve"> 6</w:t>
      </w:r>
      <w:r w:rsidR="00E03FFF">
        <w:rPr>
          <w:rFonts w:eastAsia="Times New Roman"/>
        </w:rPr>
        <w:t xml:space="preserve"> percent– almost 13 million people – living in extreme poverty.</w:t>
      </w:r>
      <w:r w:rsidR="008E3E7C">
        <w:rPr>
          <w:rFonts w:eastAsia="Times New Roman"/>
        </w:rPr>
        <w:t xml:space="preserve"> </w:t>
      </w:r>
      <w:r w:rsidR="002015FE">
        <w:rPr>
          <w:rFonts w:eastAsia="Times New Roman"/>
        </w:rPr>
        <w:t xml:space="preserve">The </w:t>
      </w:r>
      <w:r w:rsidR="008E3E7C">
        <w:rPr>
          <w:rFonts w:eastAsia="Times New Roman"/>
        </w:rPr>
        <w:t>newly</w:t>
      </w:r>
      <w:r w:rsidR="00E03FFF">
        <w:rPr>
          <w:rFonts w:eastAsia="Times New Roman"/>
        </w:rPr>
        <w:t xml:space="preserve"> elected </w:t>
      </w:r>
      <w:r w:rsidR="00F112BD">
        <w:rPr>
          <w:rFonts w:eastAsia="Times New Roman"/>
        </w:rPr>
        <w:t>G</w:t>
      </w:r>
      <w:r w:rsidR="008E3E7C">
        <w:rPr>
          <w:rFonts w:eastAsia="Times New Roman"/>
        </w:rPr>
        <w:t>overnment, led by</w:t>
      </w:r>
      <w:r w:rsidR="002F7DEC" w:rsidRPr="002F7DEC">
        <w:rPr>
          <w:rFonts w:eastAsia="Times New Roman"/>
        </w:rPr>
        <w:t xml:space="preserve"> </w:t>
      </w:r>
      <w:r w:rsidR="00FB1B8F">
        <w:rPr>
          <w:rFonts w:eastAsia="Times New Roman"/>
        </w:rPr>
        <w:t xml:space="preserve">Prime Minister </w:t>
      </w:r>
      <w:r w:rsidR="002F7DEC">
        <w:rPr>
          <w:rFonts w:eastAsia="Times New Roman"/>
        </w:rPr>
        <w:t>Imran Khan</w:t>
      </w:r>
      <w:r w:rsidR="008E3E7C">
        <w:rPr>
          <w:rFonts w:eastAsia="Times New Roman"/>
        </w:rPr>
        <w:t>,</w:t>
      </w:r>
      <w:r w:rsidR="002F7DEC">
        <w:rPr>
          <w:rFonts w:eastAsia="Times New Roman"/>
        </w:rPr>
        <w:t xml:space="preserve"> </w:t>
      </w:r>
      <w:r w:rsidR="00FB1B8F">
        <w:rPr>
          <w:rFonts w:eastAsia="Times New Roman"/>
        </w:rPr>
        <w:t>has</w:t>
      </w:r>
      <w:r w:rsidR="002F7DEC">
        <w:rPr>
          <w:rFonts w:eastAsia="Times New Roman"/>
        </w:rPr>
        <w:t xml:space="preserve"> </w:t>
      </w:r>
      <w:r w:rsidR="00F112BD">
        <w:rPr>
          <w:rFonts w:eastAsia="Times New Roman"/>
        </w:rPr>
        <w:t>pledged</w:t>
      </w:r>
      <w:r w:rsidR="002F7DEC" w:rsidRPr="00BD5657">
        <w:rPr>
          <w:rFonts w:eastAsia="Times New Roman"/>
        </w:rPr>
        <w:t xml:space="preserve"> to fight corruption and </w:t>
      </w:r>
      <w:r w:rsidR="009E4C8A">
        <w:rPr>
          <w:rFonts w:eastAsia="Times New Roman"/>
        </w:rPr>
        <w:t>tackle</w:t>
      </w:r>
      <w:r w:rsidR="002F7DEC" w:rsidRPr="00BD5657">
        <w:rPr>
          <w:rFonts w:eastAsia="Times New Roman"/>
        </w:rPr>
        <w:t xml:space="preserve"> poverty.</w:t>
      </w:r>
      <w:r w:rsidR="00BD5657">
        <w:rPr>
          <w:rFonts w:eastAsia="Times New Roman"/>
        </w:rPr>
        <w:t xml:space="preserve"> </w:t>
      </w:r>
      <w:r w:rsidR="008E3E7C">
        <w:rPr>
          <w:rFonts w:eastAsia="Times New Roman"/>
        </w:rPr>
        <w:t>Prime Minister Khan</w:t>
      </w:r>
      <w:r w:rsidR="002F7DEC" w:rsidRPr="00BD5657">
        <w:rPr>
          <w:rFonts w:eastAsia="Times New Roman"/>
        </w:rPr>
        <w:t xml:space="preserve"> has </w:t>
      </w:r>
      <w:r w:rsidR="00F112BD">
        <w:rPr>
          <w:rFonts w:eastAsia="Times New Roman"/>
        </w:rPr>
        <w:t>committed</w:t>
      </w:r>
      <w:r w:rsidR="002F7DEC" w:rsidRPr="00BD5657">
        <w:rPr>
          <w:rFonts w:eastAsia="Times New Roman"/>
        </w:rPr>
        <w:t xml:space="preserve"> </w:t>
      </w:r>
      <w:r w:rsidR="000F1CC7">
        <w:rPr>
          <w:rFonts w:eastAsia="Times New Roman"/>
        </w:rPr>
        <w:t xml:space="preserve">his administration to </w:t>
      </w:r>
      <w:r w:rsidR="002F7DEC" w:rsidRPr="00BD5657">
        <w:rPr>
          <w:rFonts w:eastAsia="Times New Roman"/>
        </w:rPr>
        <w:t>creat</w:t>
      </w:r>
      <w:r w:rsidR="000F1CC7">
        <w:rPr>
          <w:rFonts w:eastAsia="Times New Roman"/>
        </w:rPr>
        <w:t>ing</w:t>
      </w:r>
      <w:r w:rsidR="002F7DEC" w:rsidRPr="00BD5657">
        <w:rPr>
          <w:rFonts w:eastAsia="Times New Roman"/>
        </w:rPr>
        <w:t xml:space="preserve"> millions of jobs and build</w:t>
      </w:r>
      <w:r w:rsidR="000F1CC7">
        <w:rPr>
          <w:rFonts w:eastAsia="Times New Roman"/>
        </w:rPr>
        <w:t>ing</w:t>
      </w:r>
      <w:r w:rsidR="002F7DEC" w:rsidRPr="00BD5657">
        <w:rPr>
          <w:rFonts w:eastAsia="Times New Roman"/>
        </w:rPr>
        <w:t xml:space="preserve"> world-class hospital and </w:t>
      </w:r>
      <w:r w:rsidR="00BD5657">
        <w:rPr>
          <w:rFonts w:eastAsia="Times New Roman"/>
        </w:rPr>
        <w:t>s</w:t>
      </w:r>
      <w:r w:rsidR="002F7DEC" w:rsidRPr="00BD5657">
        <w:rPr>
          <w:rFonts w:eastAsia="Times New Roman"/>
        </w:rPr>
        <w:t xml:space="preserve">chool </w:t>
      </w:r>
      <w:r w:rsidR="008E3E7C">
        <w:rPr>
          <w:rFonts w:eastAsia="Times New Roman"/>
        </w:rPr>
        <w:t xml:space="preserve">systems. </w:t>
      </w:r>
    </w:p>
    <w:p w:rsidR="000F1CC7" w:rsidRDefault="002D5A71" w:rsidP="001371FE">
      <w:pPr>
        <w:spacing w:line="240" w:lineRule="auto"/>
        <w:rPr>
          <w:rFonts w:eastAsia="Times New Roman"/>
        </w:rPr>
      </w:pPr>
      <w:r>
        <w:rPr>
          <w:rFonts w:eastAsia="Times New Roman"/>
        </w:rPr>
        <w:t>As well as a year of political transition for the country, 2018</w:t>
      </w:r>
      <w:r w:rsidR="00B83AB3">
        <w:rPr>
          <w:rFonts w:eastAsia="Times New Roman"/>
        </w:rPr>
        <w:t xml:space="preserve"> </w:t>
      </w:r>
      <w:r>
        <w:rPr>
          <w:rFonts w:eastAsia="Times New Roman"/>
        </w:rPr>
        <w:t>has</w:t>
      </w:r>
      <w:r w:rsidR="00B83AB3">
        <w:rPr>
          <w:rFonts w:eastAsia="Times New Roman"/>
        </w:rPr>
        <w:t xml:space="preserve"> also been a year of transition for the Australian aid program</w:t>
      </w:r>
      <w:r w:rsidR="00190B29" w:rsidRPr="00190B29">
        <w:rPr>
          <w:rFonts w:eastAsia="Times New Roman"/>
        </w:rPr>
        <w:t xml:space="preserve"> </w:t>
      </w:r>
      <w:r w:rsidR="00190B29">
        <w:rPr>
          <w:rFonts w:eastAsia="Times New Roman"/>
        </w:rPr>
        <w:t>to Pakistan</w:t>
      </w:r>
      <w:r w:rsidR="00B83AB3">
        <w:rPr>
          <w:rFonts w:eastAsia="Times New Roman"/>
        </w:rPr>
        <w:t xml:space="preserve">.  </w:t>
      </w:r>
      <w:r w:rsidR="000F1CC7">
        <w:rPr>
          <w:rFonts w:eastAsia="Times New Roman"/>
        </w:rPr>
        <w:t xml:space="preserve">This is the final year of our current Aid Investment Plan (AIP) and from </w:t>
      </w:r>
      <w:r w:rsidR="0086192C">
        <w:rPr>
          <w:rFonts w:eastAsia="Times New Roman"/>
        </w:rPr>
        <w:t>next year, we will start</w:t>
      </w:r>
      <w:r w:rsidR="00190B29">
        <w:rPr>
          <w:rFonts w:eastAsia="Times New Roman"/>
        </w:rPr>
        <w:t xml:space="preserve"> implementing</w:t>
      </w:r>
      <w:r w:rsidR="0086192C">
        <w:rPr>
          <w:rFonts w:eastAsia="Times New Roman"/>
        </w:rPr>
        <w:t xml:space="preserve"> a new </w:t>
      </w:r>
      <w:r w:rsidR="00190B29">
        <w:rPr>
          <w:rFonts w:eastAsia="Times New Roman"/>
        </w:rPr>
        <w:t>five-year aid strategy</w:t>
      </w:r>
      <w:r w:rsidR="000F1CC7">
        <w:rPr>
          <w:rFonts w:eastAsia="Times New Roman"/>
        </w:rPr>
        <w:t>.</w:t>
      </w:r>
    </w:p>
    <w:p w:rsidR="00BD5657" w:rsidRDefault="000F1CC7" w:rsidP="001371FE">
      <w:pPr>
        <w:spacing w:line="240" w:lineRule="auto"/>
        <w:rPr>
          <w:rFonts w:eastAsia="Times New Roman"/>
        </w:rPr>
      </w:pPr>
      <w:r>
        <w:rPr>
          <w:rFonts w:eastAsia="Times New Roman"/>
        </w:rPr>
        <w:t xml:space="preserve">The new AIP </w:t>
      </w:r>
      <w:r w:rsidR="0086192C">
        <w:rPr>
          <w:rFonts w:eastAsia="Times New Roman"/>
        </w:rPr>
        <w:t>w</w:t>
      </w:r>
      <w:r w:rsidR="00D50A6F">
        <w:rPr>
          <w:rFonts w:eastAsia="Times New Roman"/>
        </w:rPr>
        <w:t xml:space="preserve">ill </w:t>
      </w:r>
      <w:r w:rsidR="00BA3339">
        <w:rPr>
          <w:rFonts w:eastAsia="Times New Roman"/>
        </w:rPr>
        <w:t xml:space="preserve">build on </w:t>
      </w:r>
      <w:r w:rsidR="00C868E1">
        <w:rPr>
          <w:rFonts w:eastAsia="Times New Roman"/>
        </w:rPr>
        <w:t xml:space="preserve">the </w:t>
      </w:r>
      <w:r w:rsidR="00BA3339">
        <w:rPr>
          <w:rFonts w:eastAsia="Times New Roman"/>
        </w:rPr>
        <w:t xml:space="preserve">achievements </w:t>
      </w:r>
      <w:r w:rsidR="008E3E7C">
        <w:rPr>
          <w:rFonts w:eastAsia="Times New Roman"/>
        </w:rPr>
        <w:t xml:space="preserve">of the current </w:t>
      </w:r>
      <w:r>
        <w:rPr>
          <w:rFonts w:eastAsia="Times New Roman"/>
        </w:rPr>
        <w:t>one</w:t>
      </w:r>
      <w:r w:rsidR="00BA3339">
        <w:rPr>
          <w:rFonts w:eastAsia="Times New Roman"/>
        </w:rPr>
        <w:t xml:space="preserve">, </w:t>
      </w:r>
      <w:r w:rsidR="0086192C">
        <w:rPr>
          <w:rFonts w:eastAsia="Times New Roman"/>
        </w:rPr>
        <w:t xml:space="preserve">for example, </w:t>
      </w:r>
      <w:r>
        <w:rPr>
          <w:rFonts w:eastAsia="Times New Roman"/>
        </w:rPr>
        <w:t>empowering</w:t>
      </w:r>
      <w:r w:rsidR="008E3E7C">
        <w:rPr>
          <w:rFonts w:eastAsia="Times New Roman"/>
        </w:rPr>
        <w:t xml:space="preserve"> </w:t>
      </w:r>
      <w:r>
        <w:rPr>
          <w:rFonts w:eastAsia="Times New Roman"/>
        </w:rPr>
        <w:t>women</w:t>
      </w:r>
      <w:r w:rsidR="00C868E1">
        <w:rPr>
          <w:rFonts w:eastAsia="Times New Roman"/>
        </w:rPr>
        <w:t>,</w:t>
      </w:r>
      <w:r w:rsidR="00BA3339">
        <w:rPr>
          <w:rFonts w:eastAsia="Times New Roman"/>
        </w:rPr>
        <w:t xml:space="preserve"> </w:t>
      </w:r>
      <w:r w:rsidR="00C868E1">
        <w:rPr>
          <w:rFonts w:eastAsia="Times New Roman"/>
        </w:rPr>
        <w:t>and</w:t>
      </w:r>
      <w:r w:rsidR="00BA3339">
        <w:rPr>
          <w:rFonts w:eastAsia="Times New Roman"/>
        </w:rPr>
        <w:t xml:space="preserve"> </w:t>
      </w:r>
      <w:r w:rsidR="0086192C">
        <w:rPr>
          <w:rFonts w:eastAsia="Times New Roman"/>
        </w:rPr>
        <w:t>helping Pakistan’s new</w:t>
      </w:r>
      <w:r w:rsidR="00C868E1">
        <w:rPr>
          <w:rFonts w:eastAsia="Times New Roman"/>
        </w:rPr>
        <w:t xml:space="preserve"> Government</w:t>
      </w:r>
      <w:r w:rsidR="00D500FE">
        <w:rPr>
          <w:rFonts w:eastAsia="Times New Roman"/>
        </w:rPr>
        <w:t xml:space="preserve"> </w:t>
      </w:r>
      <w:r w:rsidR="0086192C">
        <w:rPr>
          <w:rFonts w:eastAsia="Times New Roman"/>
        </w:rPr>
        <w:t xml:space="preserve">increase </w:t>
      </w:r>
      <w:r w:rsidR="00BA3339">
        <w:rPr>
          <w:rFonts w:eastAsia="Times New Roman"/>
        </w:rPr>
        <w:t xml:space="preserve">agricultural productivity and </w:t>
      </w:r>
      <w:r w:rsidR="00190B29">
        <w:rPr>
          <w:rFonts w:eastAsia="Times New Roman"/>
        </w:rPr>
        <w:t xml:space="preserve">better </w:t>
      </w:r>
      <w:r w:rsidR="00D500FE">
        <w:rPr>
          <w:rFonts w:eastAsia="Times New Roman"/>
        </w:rPr>
        <w:t>manag</w:t>
      </w:r>
      <w:r w:rsidR="0086192C">
        <w:rPr>
          <w:rFonts w:eastAsia="Times New Roman"/>
        </w:rPr>
        <w:t xml:space="preserve">e its scarce </w:t>
      </w:r>
      <w:r w:rsidR="00D500FE">
        <w:rPr>
          <w:rFonts w:eastAsia="Times New Roman"/>
        </w:rPr>
        <w:t xml:space="preserve">water </w:t>
      </w:r>
      <w:r w:rsidR="0086192C">
        <w:rPr>
          <w:rFonts w:eastAsia="Times New Roman"/>
        </w:rPr>
        <w:t>resources</w:t>
      </w:r>
      <w:r w:rsidR="00BA3339">
        <w:rPr>
          <w:rFonts w:eastAsia="Times New Roman"/>
        </w:rPr>
        <w:t>.</w:t>
      </w:r>
    </w:p>
    <w:p w:rsidR="00D50A6F" w:rsidRDefault="00BD5657">
      <w:pPr>
        <w:spacing w:line="240" w:lineRule="auto"/>
        <w:rPr>
          <w:rFonts w:eastAsia="Times New Roman"/>
        </w:rPr>
      </w:pPr>
      <w:r>
        <w:rPr>
          <w:rFonts w:eastAsia="Times New Roman"/>
        </w:rPr>
        <w:t>This APPR</w:t>
      </w:r>
      <w:r w:rsidR="0086192C">
        <w:rPr>
          <w:rFonts w:eastAsia="Times New Roman"/>
        </w:rPr>
        <w:t>, then,</w:t>
      </w:r>
      <w:r>
        <w:rPr>
          <w:rFonts w:eastAsia="Times New Roman"/>
        </w:rPr>
        <w:t xml:space="preserve"> </w:t>
      </w:r>
      <w:r w:rsidR="003E5501">
        <w:rPr>
          <w:rFonts w:eastAsia="Times New Roman"/>
        </w:rPr>
        <w:t>is both a</w:t>
      </w:r>
      <w:r>
        <w:rPr>
          <w:rFonts w:eastAsia="Times New Roman"/>
        </w:rPr>
        <w:t xml:space="preserve"> </w:t>
      </w:r>
      <w:r w:rsidR="0086192C">
        <w:rPr>
          <w:rFonts w:eastAsia="Times New Roman"/>
        </w:rPr>
        <w:t xml:space="preserve">management </w:t>
      </w:r>
      <w:r w:rsidR="00525E9D">
        <w:rPr>
          <w:rFonts w:eastAsia="Times New Roman"/>
        </w:rPr>
        <w:t xml:space="preserve">and accountability tool </w:t>
      </w:r>
      <w:r w:rsidR="00637F15">
        <w:rPr>
          <w:rFonts w:eastAsia="Times New Roman"/>
        </w:rPr>
        <w:t xml:space="preserve">to </w:t>
      </w:r>
      <w:r w:rsidR="00525E9D">
        <w:rPr>
          <w:rFonts w:eastAsia="Times New Roman"/>
        </w:rPr>
        <w:t>outline how</w:t>
      </w:r>
      <w:r w:rsidR="00637F15">
        <w:rPr>
          <w:rFonts w:eastAsia="Times New Roman"/>
        </w:rPr>
        <w:t xml:space="preserve"> </w:t>
      </w:r>
      <w:r w:rsidR="00BA3339">
        <w:rPr>
          <w:rFonts w:eastAsia="Times New Roman"/>
        </w:rPr>
        <w:t xml:space="preserve">our aid </w:t>
      </w:r>
      <w:r w:rsidR="000F1CC7">
        <w:rPr>
          <w:rFonts w:eastAsia="Times New Roman"/>
        </w:rPr>
        <w:t xml:space="preserve">has </w:t>
      </w:r>
      <w:r w:rsidR="00525E9D">
        <w:rPr>
          <w:rFonts w:eastAsia="Times New Roman"/>
        </w:rPr>
        <w:t>contributed to</w:t>
      </w:r>
      <w:r w:rsidR="0086192C">
        <w:rPr>
          <w:rFonts w:eastAsia="Times New Roman"/>
        </w:rPr>
        <w:t xml:space="preserve"> </w:t>
      </w:r>
      <w:r w:rsidR="00190B29">
        <w:rPr>
          <w:rFonts w:eastAsia="Times New Roman"/>
        </w:rPr>
        <w:t xml:space="preserve">current </w:t>
      </w:r>
      <w:r w:rsidR="0086192C">
        <w:rPr>
          <w:rFonts w:eastAsia="Times New Roman"/>
        </w:rPr>
        <w:t>objectives</w:t>
      </w:r>
      <w:r w:rsidR="000F1CC7">
        <w:rPr>
          <w:rFonts w:eastAsia="Times New Roman"/>
        </w:rPr>
        <w:t xml:space="preserve"> over the past year</w:t>
      </w:r>
      <w:r w:rsidR="0086192C">
        <w:rPr>
          <w:rFonts w:eastAsia="Times New Roman"/>
        </w:rPr>
        <w:t>,</w:t>
      </w:r>
      <w:r w:rsidR="009E4C8A">
        <w:rPr>
          <w:rFonts w:eastAsia="Times New Roman"/>
        </w:rPr>
        <w:t xml:space="preserve"> as well as </w:t>
      </w:r>
      <w:r w:rsidR="00190B29">
        <w:rPr>
          <w:rFonts w:eastAsia="Times New Roman"/>
        </w:rPr>
        <w:t xml:space="preserve">a </w:t>
      </w:r>
      <w:r w:rsidR="0086192C">
        <w:rPr>
          <w:rFonts w:eastAsia="Times New Roman"/>
        </w:rPr>
        <w:t xml:space="preserve">final point-in-time stocktake of </w:t>
      </w:r>
      <w:r w:rsidR="007D764D">
        <w:rPr>
          <w:rFonts w:eastAsia="Times New Roman"/>
        </w:rPr>
        <w:t xml:space="preserve">the totality of </w:t>
      </w:r>
      <w:r w:rsidR="00637F15">
        <w:rPr>
          <w:rFonts w:eastAsia="Times New Roman"/>
        </w:rPr>
        <w:t xml:space="preserve">work under </w:t>
      </w:r>
      <w:r>
        <w:rPr>
          <w:rFonts w:eastAsia="Times New Roman"/>
        </w:rPr>
        <w:t xml:space="preserve">the </w:t>
      </w:r>
      <w:r w:rsidR="0086192C">
        <w:rPr>
          <w:rFonts w:eastAsia="Times New Roman"/>
        </w:rPr>
        <w:t xml:space="preserve">current </w:t>
      </w:r>
      <w:r w:rsidR="00BA3339">
        <w:rPr>
          <w:rFonts w:eastAsia="Times New Roman"/>
        </w:rPr>
        <w:t>AIP</w:t>
      </w:r>
      <w:r>
        <w:rPr>
          <w:rFonts w:eastAsia="Times New Roman"/>
        </w:rPr>
        <w:t>.</w:t>
      </w:r>
      <w:r w:rsidR="00525E9D">
        <w:rPr>
          <w:rFonts w:eastAsia="Times New Roman"/>
        </w:rPr>
        <w:t xml:space="preserve"> </w:t>
      </w:r>
      <w:r w:rsidR="0086192C">
        <w:rPr>
          <w:rFonts w:eastAsia="Times New Roman"/>
        </w:rPr>
        <w:t xml:space="preserve">Seen in that way, this APPR </w:t>
      </w:r>
      <w:r w:rsidR="00190B29">
        <w:rPr>
          <w:rFonts w:eastAsia="Times New Roman"/>
        </w:rPr>
        <w:t xml:space="preserve">is </w:t>
      </w:r>
      <w:r w:rsidR="0086192C">
        <w:rPr>
          <w:rFonts w:eastAsia="Times New Roman"/>
        </w:rPr>
        <w:t xml:space="preserve">will provide a </w:t>
      </w:r>
      <w:r w:rsidR="00190B29">
        <w:rPr>
          <w:rFonts w:eastAsia="Times New Roman"/>
        </w:rPr>
        <w:t xml:space="preserve">useful </w:t>
      </w:r>
      <w:r w:rsidR="0086192C">
        <w:rPr>
          <w:rFonts w:eastAsia="Times New Roman"/>
        </w:rPr>
        <w:t xml:space="preserve">point of comparison.  In twelve months’ time, when we are assessing the performance of the first year of the new strategy’s implementation, this document will provide a benchmark against which to measure </w:t>
      </w:r>
      <w:r w:rsidR="00190B29">
        <w:rPr>
          <w:rFonts w:eastAsia="Times New Roman"/>
        </w:rPr>
        <w:t xml:space="preserve">early </w:t>
      </w:r>
      <w:r w:rsidR="0086192C">
        <w:rPr>
          <w:rFonts w:eastAsia="Times New Roman"/>
        </w:rPr>
        <w:t>progress</w:t>
      </w:r>
      <w:r w:rsidR="00190B29">
        <w:rPr>
          <w:rFonts w:eastAsia="Times New Roman"/>
        </w:rPr>
        <w:t xml:space="preserve">, </w:t>
      </w:r>
      <w:r w:rsidR="00414763">
        <w:rPr>
          <w:rFonts w:eastAsia="Times New Roman"/>
        </w:rPr>
        <w:t xml:space="preserve">reflecting our efforts to </w:t>
      </w:r>
      <w:r w:rsidR="00637F15">
        <w:rPr>
          <w:rFonts w:eastAsia="Times New Roman"/>
        </w:rPr>
        <w:t>tighten</w:t>
      </w:r>
      <w:r w:rsidR="00414763">
        <w:rPr>
          <w:rFonts w:eastAsia="Times New Roman"/>
        </w:rPr>
        <w:t xml:space="preserve"> program priorities</w:t>
      </w:r>
      <w:r w:rsidR="00190B29">
        <w:rPr>
          <w:rFonts w:eastAsia="Times New Roman"/>
        </w:rPr>
        <w:t xml:space="preserve"> and</w:t>
      </w:r>
      <w:r w:rsidR="00414763">
        <w:rPr>
          <w:rFonts w:eastAsia="Times New Roman"/>
        </w:rPr>
        <w:t xml:space="preserve"> deliver </w:t>
      </w:r>
      <w:r w:rsidR="00190B29">
        <w:rPr>
          <w:rFonts w:eastAsia="Times New Roman"/>
        </w:rPr>
        <w:t>a</w:t>
      </w:r>
      <w:r w:rsidR="000F1CC7">
        <w:rPr>
          <w:rFonts w:eastAsia="Times New Roman"/>
        </w:rPr>
        <w:t>n even</w:t>
      </w:r>
      <w:r w:rsidR="00190B29">
        <w:rPr>
          <w:rFonts w:eastAsia="Times New Roman"/>
        </w:rPr>
        <w:t xml:space="preserve"> </w:t>
      </w:r>
      <w:r w:rsidR="00414763">
        <w:rPr>
          <w:rFonts w:eastAsia="Times New Roman"/>
        </w:rPr>
        <w:t>more effective</w:t>
      </w:r>
      <w:r w:rsidR="007D764D">
        <w:rPr>
          <w:rFonts w:eastAsia="Times New Roman"/>
        </w:rPr>
        <w:t xml:space="preserve"> and efficien</w:t>
      </w:r>
      <w:r w:rsidR="00414763">
        <w:rPr>
          <w:rFonts w:eastAsia="Times New Roman"/>
        </w:rPr>
        <w:t>t</w:t>
      </w:r>
      <w:r w:rsidR="00637F15">
        <w:rPr>
          <w:rFonts w:eastAsia="Times New Roman"/>
        </w:rPr>
        <w:t xml:space="preserve"> </w:t>
      </w:r>
      <w:r w:rsidR="00414763">
        <w:rPr>
          <w:rFonts w:eastAsia="Times New Roman"/>
        </w:rPr>
        <w:t>aid</w:t>
      </w:r>
      <w:r w:rsidR="00190B29">
        <w:rPr>
          <w:rFonts w:eastAsia="Times New Roman"/>
        </w:rPr>
        <w:t xml:space="preserve"> program</w:t>
      </w:r>
      <w:r w:rsidR="00414763">
        <w:rPr>
          <w:rFonts w:eastAsia="Times New Roman"/>
        </w:rPr>
        <w:t xml:space="preserve"> to Pakistan</w:t>
      </w:r>
      <w:r w:rsidR="00741FE1">
        <w:rPr>
          <w:rFonts w:eastAsia="Times New Roman"/>
        </w:rPr>
        <w:t>.</w:t>
      </w:r>
    </w:p>
    <w:p w:rsidR="00741FE1" w:rsidRPr="00741FE1" w:rsidRDefault="00741FE1" w:rsidP="00741FE1">
      <w:pPr>
        <w:spacing w:line="240" w:lineRule="auto"/>
        <w:rPr>
          <w:rFonts w:eastAsia="Times New Roman"/>
        </w:rPr>
      </w:pPr>
    </w:p>
    <w:p w:rsidR="00965AEF" w:rsidRPr="007B4725" w:rsidRDefault="00965AEF" w:rsidP="007B4725">
      <w:pPr>
        <w:spacing w:before="0" w:after="0" w:line="180" w:lineRule="atLeast"/>
        <w:rPr>
          <w:rFonts w:asciiTheme="majorHAnsi" w:eastAsiaTheme="majorEastAsia" w:hAnsiTheme="majorHAnsi" w:cstheme="majorBidi"/>
          <w:b/>
          <w:caps/>
          <w:sz w:val="38"/>
          <w:szCs w:val="26"/>
        </w:rPr>
      </w:pPr>
      <w:r w:rsidRPr="007B4725">
        <w:rPr>
          <w:rFonts w:asciiTheme="majorHAnsi" w:eastAsiaTheme="majorEastAsia" w:hAnsiTheme="majorHAnsi" w:cstheme="majorBidi"/>
          <w:b/>
          <w:caps/>
          <w:sz w:val="38"/>
          <w:szCs w:val="26"/>
        </w:rPr>
        <w:t>Objective 1: Generating sustainable inclusive growth and employment</w:t>
      </w:r>
      <w:r w:rsidR="00637CF0" w:rsidRPr="007B4725">
        <w:rPr>
          <w:rStyle w:val="FootnoteReference"/>
          <w:rFonts w:asciiTheme="majorHAnsi" w:eastAsiaTheme="majorEastAsia" w:hAnsiTheme="majorHAnsi" w:cstheme="majorBidi"/>
          <w:b/>
          <w:caps/>
          <w:sz w:val="38"/>
          <w:szCs w:val="26"/>
        </w:rPr>
        <w:footnoteReference w:id="1"/>
      </w:r>
      <w:r w:rsidRPr="007B4725">
        <w:rPr>
          <w:rFonts w:asciiTheme="majorHAnsi" w:eastAsiaTheme="majorEastAsia" w:hAnsiTheme="majorHAnsi" w:cstheme="majorBidi"/>
          <w:b/>
          <w:caps/>
          <w:sz w:val="38"/>
          <w:szCs w:val="26"/>
        </w:rPr>
        <w:t xml:space="preserve"> </w:t>
      </w:r>
    </w:p>
    <w:tbl>
      <w:tblPr>
        <w:tblStyle w:val="TableGrid1"/>
        <w:tblW w:w="9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1176"/>
        <w:gridCol w:w="3066"/>
        <w:gridCol w:w="1702"/>
        <w:gridCol w:w="1183"/>
      </w:tblGrid>
      <w:tr w:rsidR="00965AEF" w:rsidRPr="00695730" w:rsidTr="002C4226">
        <w:trPr>
          <w:cantSplit/>
          <w:trHeight w:val="1376"/>
        </w:trPr>
        <w:tc>
          <w:tcPr>
            <w:tcW w:w="2017" w:type="dxa"/>
          </w:tcPr>
          <w:p w:rsidR="00965AEF" w:rsidRPr="00695730" w:rsidRDefault="00965AEF" w:rsidP="00C00672">
            <w:pPr>
              <w:suppressAutoHyphens w:val="0"/>
              <w:spacing w:before="80" w:after="80" w:line="240" w:lineRule="auto"/>
              <w:jc w:val="center"/>
              <w:rPr>
                <w:rFonts w:asciiTheme="majorHAnsi" w:eastAsiaTheme="majorEastAsia" w:hAnsiTheme="majorHAnsi" w:cstheme="majorBidi"/>
                <w:caps/>
                <w:sz w:val="38"/>
                <w:szCs w:val="26"/>
              </w:rPr>
            </w:pPr>
            <w:r w:rsidRPr="00695730">
              <w:rPr>
                <w:rFonts w:asciiTheme="majorHAnsi" w:eastAsiaTheme="majorEastAsia" w:hAnsiTheme="majorHAnsi" w:cstheme="majorBidi"/>
                <w:caps/>
                <w:noProof/>
                <w:sz w:val="38"/>
                <w:szCs w:val="26"/>
                <w:lang w:val="en-AU" w:eastAsia="en-AU"/>
              </w:rPr>
              <w:drawing>
                <wp:inline distT="0" distB="0" distL="0" distR="0" wp14:anchorId="0DF63B39" wp14:editId="3A4ABFB1">
                  <wp:extent cx="1137600" cy="720000"/>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G Contribution.JPG"/>
                          <pic:cNvPicPr/>
                        </pic:nvPicPr>
                        <pic:blipFill>
                          <a:blip r:embed="rId17">
                            <a:extLst>
                              <a:ext uri="{28A0092B-C50C-407E-A947-70E740481C1C}">
                                <a14:useLocalDpi xmlns:a14="http://schemas.microsoft.com/office/drawing/2010/main" val="0"/>
                              </a:ext>
                            </a:extLst>
                          </a:blip>
                          <a:stretch>
                            <a:fillRect/>
                          </a:stretch>
                        </pic:blipFill>
                        <pic:spPr>
                          <a:xfrm>
                            <a:off x="0" y="0"/>
                            <a:ext cx="1137600" cy="720000"/>
                          </a:xfrm>
                          <a:prstGeom prst="rect">
                            <a:avLst/>
                          </a:prstGeom>
                        </pic:spPr>
                      </pic:pic>
                    </a:graphicData>
                  </a:graphic>
                </wp:inline>
              </w:drawing>
            </w:r>
            <w:r w:rsidR="002C4226">
              <w:rPr>
                <w:rFonts w:asciiTheme="majorHAnsi" w:eastAsiaTheme="majorEastAsia" w:hAnsiTheme="majorHAnsi" w:cstheme="majorBidi"/>
                <w:caps/>
                <w:sz w:val="38"/>
                <w:szCs w:val="26"/>
              </w:rPr>
              <w:t xml:space="preserve">   </w:t>
            </w:r>
          </w:p>
        </w:tc>
        <w:tc>
          <w:tcPr>
            <w:tcW w:w="1176" w:type="dxa"/>
          </w:tcPr>
          <w:p w:rsidR="00965AEF" w:rsidRPr="00695730" w:rsidRDefault="00965AEF" w:rsidP="002C4226">
            <w:pPr>
              <w:suppressAutoHyphens w:val="0"/>
              <w:spacing w:before="160" w:after="80" w:line="240" w:lineRule="auto"/>
              <w:jc w:val="center"/>
              <w:rPr>
                <w:rFonts w:asciiTheme="majorHAnsi" w:eastAsiaTheme="majorEastAsia" w:hAnsiTheme="majorHAnsi" w:cstheme="majorBidi"/>
                <w:caps/>
                <w:sz w:val="38"/>
                <w:szCs w:val="26"/>
              </w:rPr>
            </w:pPr>
            <w:r w:rsidRPr="00695730">
              <w:rPr>
                <w:rFonts w:asciiTheme="majorHAnsi" w:eastAsiaTheme="majorEastAsia" w:hAnsiTheme="majorHAnsi" w:cstheme="majorBidi"/>
                <w:caps/>
                <w:noProof/>
                <w:sz w:val="38"/>
                <w:szCs w:val="26"/>
                <w:lang w:val="en-AU" w:eastAsia="en-AU"/>
              </w:rPr>
              <w:drawing>
                <wp:inline distT="0" distB="0" distL="0" distR="0" wp14:anchorId="60A8B5CD" wp14:editId="435364C5">
                  <wp:extent cx="609600" cy="6096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inline>
              </w:drawing>
            </w:r>
          </w:p>
        </w:tc>
        <w:tc>
          <w:tcPr>
            <w:tcW w:w="3066" w:type="dxa"/>
          </w:tcPr>
          <w:p w:rsidR="00965AEF" w:rsidRPr="00695730" w:rsidRDefault="002C4226" w:rsidP="00C00672">
            <w:pPr>
              <w:suppressAutoHyphens w:val="0"/>
              <w:spacing w:before="160" w:after="80" w:line="240" w:lineRule="auto"/>
              <w:jc w:val="center"/>
              <w:rPr>
                <w:rFonts w:asciiTheme="majorHAnsi" w:eastAsiaTheme="majorEastAsia" w:hAnsiTheme="majorHAnsi" w:cstheme="majorBidi"/>
                <w:caps/>
                <w:sz w:val="38"/>
                <w:szCs w:val="26"/>
              </w:rPr>
            </w:pPr>
            <w:r>
              <w:rPr>
                <w:noProof/>
                <w:lang w:val="en-AU" w:eastAsia="en-AU"/>
              </w:rPr>
              <w:t xml:space="preserve"> </w:t>
            </w:r>
            <w:r>
              <w:rPr>
                <w:noProof/>
                <w:lang w:val="en-AU" w:eastAsia="en-AU"/>
              </w:rPr>
              <w:drawing>
                <wp:inline distT="0" distB="0" distL="0" distR="0" wp14:anchorId="714DB799" wp14:editId="4D896736">
                  <wp:extent cx="612000" cy="61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G 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r>
              <w:rPr>
                <w:noProof/>
                <w:lang w:val="en-AU" w:eastAsia="en-AU"/>
              </w:rPr>
              <w:t xml:space="preserve">          </w:t>
            </w:r>
            <w:r w:rsidR="00965AEF">
              <w:rPr>
                <w:noProof/>
                <w:lang w:val="en-AU" w:eastAsia="en-AU"/>
              </w:rPr>
              <w:drawing>
                <wp:inline distT="0" distB="0" distL="0" distR="0" wp14:anchorId="2B495B8F" wp14:editId="384A47BA">
                  <wp:extent cx="612000" cy="6120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 5.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1702" w:type="dxa"/>
          </w:tcPr>
          <w:p w:rsidR="00965AEF" w:rsidRPr="00695730" w:rsidRDefault="002C4226" w:rsidP="002C4226">
            <w:pPr>
              <w:suppressAutoHyphens w:val="0"/>
              <w:spacing w:before="160" w:after="80" w:line="240" w:lineRule="auto"/>
              <w:rPr>
                <w:rFonts w:asciiTheme="majorHAnsi" w:eastAsiaTheme="majorEastAsia" w:hAnsiTheme="majorHAnsi" w:cstheme="majorBidi"/>
                <w:caps/>
                <w:sz w:val="38"/>
                <w:szCs w:val="26"/>
              </w:rPr>
            </w:pPr>
            <w:r>
              <w:rPr>
                <w:rFonts w:asciiTheme="majorHAnsi" w:eastAsiaTheme="majorEastAsia" w:hAnsiTheme="majorHAnsi" w:cstheme="majorBidi"/>
                <w:caps/>
                <w:sz w:val="38"/>
                <w:szCs w:val="26"/>
              </w:rPr>
              <w:t xml:space="preserve">  </w:t>
            </w:r>
            <w:r>
              <w:rPr>
                <w:noProof/>
                <w:lang w:val="en-AU" w:eastAsia="en-AU"/>
              </w:rPr>
              <w:drawing>
                <wp:inline distT="0" distB="0" distL="0" distR="0" wp14:anchorId="14AE8F0D" wp14:editId="07B2AF75">
                  <wp:extent cx="612000" cy="6120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DG 6.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1183" w:type="dxa"/>
          </w:tcPr>
          <w:p w:rsidR="002C4226" w:rsidRPr="00695730" w:rsidRDefault="002C4226" w:rsidP="002C4226">
            <w:pPr>
              <w:suppressAutoHyphens w:val="0"/>
              <w:spacing w:before="160" w:after="80" w:line="240" w:lineRule="auto"/>
              <w:jc w:val="center"/>
              <w:rPr>
                <w:rFonts w:asciiTheme="majorHAnsi" w:eastAsiaTheme="majorEastAsia" w:hAnsiTheme="majorHAnsi" w:cstheme="majorBidi"/>
                <w:caps/>
                <w:sz w:val="38"/>
                <w:szCs w:val="26"/>
              </w:rPr>
            </w:pPr>
            <w:r>
              <w:rPr>
                <w:noProof/>
                <w:lang w:val="en-AU" w:eastAsia="en-AU"/>
              </w:rPr>
              <w:drawing>
                <wp:inline distT="0" distB="0" distL="0" distR="0" wp14:anchorId="6D01C4C9" wp14:editId="77E75671">
                  <wp:extent cx="609600" cy="609600"/>
                  <wp:effectExtent l="0" t="0" r="0" b="0"/>
                  <wp:docPr id="45" name="Picture 45" descr="C:\Users\scarpen2\AppData\Local\Microsoft\Windows\INetCache\Content.Word\SDG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arpen2\AppData\Local\Microsoft\Windows\INetCache\Content.Word\SDG 8.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r>
    </w:tbl>
    <w:p w:rsidR="000F164B" w:rsidRDefault="00E9399F" w:rsidP="001371FE">
      <w:pPr>
        <w:spacing w:line="240" w:lineRule="auto"/>
        <w:rPr>
          <w:b/>
          <w:lang w:val="en-US"/>
        </w:rPr>
      </w:pPr>
      <w:r w:rsidRPr="00E9399F">
        <w:rPr>
          <w:b/>
          <w:lang w:val="en-US"/>
        </w:rPr>
        <w:t>Australian aid is engaging the public and private sectors to address constraints to increased trade and investment, improved agricultural productivity and market opportunities,</w:t>
      </w:r>
      <w:r w:rsidR="00D50A6F">
        <w:rPr>
          <w:b/>
          <w:lang w:val="en-US"/>
        </w:rPr>
        <w:t xml:space="preserve"> and water resource management. </w:t>
      </w:r>
    </w:p>
    <w:p w:rsidR="00CF1980" w:rsidRPr="00D50A6F" w:rsidRDefault="00D37D87" w:rsidP="001371FE">
      <w:pPr>
        <w:spacing w:line="240" w:lineRule="auto"/>
        <w:rPr>
          <w:b/>
          <w:lang w:val="en-US"/>
        </w:rPr>
      </w:pPr>
      <w:r>
        <w:rPr>
          <w:rFonts w:eastAsia="Times New Roman"/>
        </w:rPr>
        <w:t xml:space="preserve">Over the past </w:t>
      </w:r>
      <w:r w:rsidR="000F1CC7">
        <w:rPr>
          <w:rFonts w:eastAsia="Times New Roman"/>
        </w:rPr>
        <w:t>year,</w:t>
      </w:r>
      <w:r>
        <w:rPr>
          <w:rFonts w:eastAsia="Times New Roman"/>
        </w:rPr>
        <w:t xml:space="preserve"> </w:t>
      </w:r>
      <w:r w:rsidRPr="00E03789">
        <w:rPr>
          <w:rFonts w:eastAsia="Times New Roman"/>
          <w:b/>
        </w:rPr>
        <w:t xml:space="preserve">progress towards Objective 1 has </w:t>
      </w:r>
      <w:r w:rsidR="00D11489" w:rsidRPr="00E03789">
        <w:rPr>
          <w:rFonts w:eastAsia="Times New Roman"/>
          <w:b/>
        </w:rPr>
        <w:t>accelerated</w:t>
      </w:r>
      <w:r>
        <w:rPr>
          <w:rFonts w:eastAsia="Times New Roman"/>
        </w:rPr>
        <w:t>, leading to a green rating for 2017/18</w:t>
      </w:r>
      <w:r w:rsidR="00546A63">
        <w:rPr>
          <w:rFonts w:eastAsia="Times New Roman"/>
        </w:rPr>
        <w:t>,</w:t>
      </w:r>
      <w:r w:rsidR="00D11489">
        <w:rPr>
          <w:rFonts w:eastAsia="Times New Roman"/>
        </w:rPr>
        <w:t xml:space="preserve"> up from amber last year</w:t>
      </w:r>
      <w:r w:rsidR="00546A63">
        <w:rPr>
          <w:rFonts w:eastAsia="Times New Roman"/>
        </w:rPr>
        <w:t xml:space="preserve">. </w:t>
      </w:r>
      <w:r w:rsidR="00C00672" w:rsidRPr="00F46617">
        <w:rPr>
          <w:rFonts w:eastAsia="Times New Roman"/>
        </w:rPr>
        <w:t xml:space="preserve">An </w:t>
      </w:r>
      <w:r w:rsidR="00C00672" w:rsidRPr="0058515D">
        <w:rPr>
          <w:rFonts w:eastAsia="Times New Roman"/>
        </w:rPr>
        <w:t xml:space="preserve">evaluation </w:t>
      </w:r>
      <w:r w:rsidR="00ED6D18" w:rsidRPr="0058515D">
        <w:rPr>
          <w:rFonts w:eastAsia="Times New Roman"/>
        </w:rPr>
        <w:t>of the economic growth portfolio</w:t>
      </w:r>
      <w:r w:rsidR="00ED6D18" w:rsidRPr="00F46617">
        <w:rPr>
          <w:rFonts w:eastAsia="Times New Roman"/>
        </w:rPr>
        <w:t xml:space="preserve"> </w:t>
      </w:r>
      <w:r w:rsidR="00C00672" w:rsidRPr="00F46617">
        <w:rPr>
          <w:rFonts w:eastAsia="Times New Roman"/>
        </w:rPr>
        <w:t>commissioned</w:t>
      </w:r>
      <w:r w:rsidR="00C00672">
        <w:rPr>
          <w:rFonts w:eastAsia="Times New Roman"/>
        </w:rPr>
        <w:t xml:space="preserve"> in February 2018 </w:t>
      </w:r>
      <w:r w:rsidR="00546A63">
        <w:rPr>
          <w:rFonts w:eastAsia="Times New Roman"/>
        </w:rPr>
        <w:t>(see text box</w:t>
      </w:r>
      <w:r w:rsidR="00D50A6F">
        <w:rPr>
          <w:rFonts w:eastAsia="Times New Roman"/>
        </w:rPr>
        <w:t xml:space="preserve"> below</w:t>
      </w:r>
      <w:r w:rsidR="00546A63">
        <w:rPr>
          <w:rFonts w:eastAsia="Times New Roman"/>
        </w:rPr>
        <w:t xml:space="preserve">) </w:t>
      </w:r>
      <w:r w:rsidR="00C00672">
        <w:rPr>
          <w:rFonts w:eastAsia="Times New Roman"/>
        </w:rPr>
        <w:t xml:space="preserve">found the portfolio </w:t>
      </w:r>
      <w:r w:rsidR="00D11489" w:rsidRPr="00D50A6F">
        <w:rPr>
          <w:rFonts w:eastAsia="Times New Roman"/>
        </w:rPr>
        <w:t>was</w:t>
      </w:r>
      <w:r w:rsidR="00914984" w:rsidRPr="00D50A6F">
        <w:rPr>
          <w:rFonts w:eastAsia="Times New Roman"/>
        </w:rPr>
        <w:t xml:space="preserve"> </w:t>
      </w:r>
      <w:r w:rsidR="002C3147" w:rsidRPr="00D50A6F">
        <w:rPr>
          <w:rFonts w:eastAsia="Times New Roman"/>
        </w:rPr>
        <w:t>‘appropriately targeted on issues affecting achievement of sustainable inclusive growth in Pakistan and on areas of significant poverty and exclusion’</w:t>
      </w:r>
      <w:r w:rsidR="00622DBB" w:rsidRPr="00D50A6F">
        <w:rPr>
          <w:rFonts w:eastAsia="Times New Roman"/>
        </w:rPr>
        <w:t>, ‘generating significant leverage over critical growth constraints’ and ‘creating significant levels</w:t>
      </w:r>
      <w:r w:rsidR="00622DBB">
        <w:rPr>
          <w:rFonts w:eastAsia="Times New Roman"/>
        </w:rPr>
        <w:t xml:space="preserve"> of Australian value add’.</w:t>
      </w:r>
      <w:r w:rsidR="001B6F46">
        <w:rPr>
          <w:rFonts w:eastAsia="Times New Roman"/>
        </w:rPr>
        <w:t xml:space="preserve"> </w:t>
      </w:r>
      <w:r w:rsidR="002C3147">
        <w:rPr>
          <w:rFonts w:eastAsia="Times New Roman"/>
        </w:rPr>
        <w:t xml:space="preserve">This rating also reflects effective remediation of our trade policy and agricultural research investments </w:t>
      </w:r>
      <w:r w:rsidR="002C3147" w:rsidRPr="001B4584">
        <w:t>–</w:t>
      </w:r>
      <w:r w:rsidR="002C3147">
        <w:rPr>
          <w:rFonts w:eastAsia="Times New Roman"/>
        </w:rPr>
        <w:t xml:space="preserve"> which were assessed as Investments Requiring Improvement</w:t>
      </w:r>
      <w:r w:rsidR="00656EF7">
        <w:rPr>
          <w:rFonts w:eastAsia="Times New Roman"/>
        </w:rPr>
        <w:t xml:space="preserve"> (</w:t>
      </w:r>
      <w:r w:rsidR="002C3147">
        <w:rPr>
          <w:rFonts w:eastAsia="Times New Roman"/>
        </w:rPr>
        <w:t>IRIs</w:t>
      </w:r>
      <w:r w:rsidR="00656EF7">
        <w:rPr>
          <w:rFonts w:eastAsia="Times New Roman"/>
        </w:rPr>
        <w:t>)</w:t>
      </w:r>
      <w:r w:rsidR="002C3147">
        <w:rPr>
          <w:rFonts w:eastAsia="Times New Roman"/>
        </w:rPr>
        <w:t xml:space="preserve"> in 2017. Furthermore, the past year saw continued strengthening of linkages between partners contributing to this Objective.</w:t>
      </w:r>
      <w:r w:rsidR="002C3147">
        <w:rPr>
          <w:rStyle w:val="FootnoteReference"/>
          <w:rFonts w:eastAsia="Times New Roman"/>
        </w:rPr>
        <w:footnoteReference w:id="2"/>
      </w:r>
    </w:p>
    <w:p w:rsidR="002C3147" w:rsidRDefault="00525E9D" w:rsidP="001371FE">
      <w:pPr>
        <w:spacing w:line="240" w:lineRule="auto"/>
        <w:rPr>
          <w:rFonts w:eastAsia="Times New Roman"/>
        </w:rPr>
      </w:pPr>
      <w:r>
        <w:rPr>
          <w:noProof/>
          <w:lang w:val="en-AU" w:eastAsia="en-AU"/>
        </w:rPr>
        <mc:AlternateContent>
          <mc:Choice Requires="wps">
            <w:drawing>
              <wp:anchor distT="0" distB="0" distL="114300" distR="114300" simplePos="0" relativeHeight="251702272" behindDoc="0" locked="0" layoutInCell="1" allowOverlap="1" wp14:anchorId="00EC1DF9" wp14:editId="662A8405">
                <wp:simplePos x="0" y="0"/>
                <wp:positionH relativeFrom="margin">
                  <wp:posOffset>-13970</wp:posOffset>
                </wp:positionH>
                <wp:positionV relativeFrom="paragraph">
                  <wp:posOffset>699770</wp:posOffset>
                </wp:positionV>
                <wp:extent cx="2809875" cy="4951095"/>
                <wp:effectExtent l="0" t="0" r="28575" b="20955"/>
                <wp:wrapSquare wrapText="bothSides"/>
                <wp:docPr id="21" name="Text Box 21"/>
                <wp:cNvGraphicFramePr/>
                <a:graphic xmlns:a="http://schemas.openxmlformats.org/drawingml/2006/main">
                  <a:graphicData uri="http://schemas.microsoft.com/office/word/2010/wordprocessingShape">
                    <wps:wsp>
                      <wps:cNvSpPr txBox="1"/>
                      <wps:spPr>
                        <a:xfrm>
                          <a:off x="0" y="0"/>
                          <a:ext cx="2809875" cy="4951095"/>
                        </a:xfrm>
                        <a:prstGeom prst="rect">
                          <a:avLst/>
                        </a:prstGeom>
                        <a:solidFill>
                          <a:schemeClr val="bg1"/>
                        </a:solidFill>
                        <a:ln w="6350">
                          <a:solidFill>
                            <a:schemeClr val="accent1"/>
                          </a:solidFill>
                        </a:ln>
                      </wps:spPr>
                      <wps:txbx>
                        <w:txbxContent>
                          <w:p w:rsidR="00F46617" w:rsidRPr="000F164B" w:rsidRDefault="00F46617" w:rsidP="007B4725">
                            <w:pPr>
                              <w:spacing w:before="0" w:after="0"/>
                              <w:rPr>
                                <w:rFonts w:asciiTheme="majorHAnsi" w:eastAsia="Times New Roman" w:hAnsiTheme="majorHAnsi"/>
                                <w:b/>
                                <w:i/>
                                <w:color w:val="3DA18F" w:themeColor="accent1" w:themeShade="BF"/>
                                <w:sz w:val="20"/>
                                <w:szCs w:val="20"/>
                              </w:rPr>
                            </w:pPr>
                            <w:r w:rsidRPr="000F164B">
                              <w:rPr>
                                <w:rFonts w:asciiTheme="majorHAnsi" w:eastAsia="Times New Roman" w:hAnsiTheme="majorHAnsi"/>
                                <w:b/>
                                <w:i/>
                                <w:color w:val="3DA18F" w:themeColor="accent1" w:themeShade="BF"/>
                                <w:sz w:val="20"/>
                                <w:szCs w:val="20"/>
                              </w:rPr>
                              <w:t xml:space="preserve">Evaluation of the Economic Growth Portfolio </w:t>
                            </w:r>
                          </w:p>
                          <w:p w:rsidR="00F46617" w:rsidRDefault="00F46617" w:rsidP="007B4725">
                            <w:pPr>
                              <w:spacing w:before="0" w:after="0"/>
                              <w:rPr>
                                <w:rFonts w:eastAsia="Times New Roman"/>
                                <w:i/>
                                <w:sz w:val="20"/>
                                <w:szCs w:val="20"/>
                              </w:rPr>
                            </w:pPr>
                          </w:p>
                          <w:p w:rsidR="00F46617" w:rsidRPr="007B4725" w:rsidRDefault="00F46617" w:rsidP="007B4725">
                            <w:pPr>
                              <w:spacing w:before="0" w:after="0"/>
                              <w:rPr>
                                <w:rFonts w:eastAsia="Times New Roman"/>
                                <w:i/>
                                <w:sz w:val="20"/>
                                <w:szCs w:val="20"/>
                              </w:rPr>
                            </w:pPr>
                            <w:r w:rsidRPr="00546A63">
                              <w:rPr>
                                <w:rFonts w:eastAsia="Times New Roman"/>
                                <w:i/>
                                <w:sz w:val="20"/>
                                <w:szCs w:val="20"/>
                              </w:rPr>
                              <w:t>In 2018 DFAT conducted an evaluation of the Sustainable and Inclusive Economic Gr</w:t>
                            </w:r>
                            <w:r>
                              <w:rPr>
                                <w:rFonts w:eastAsia="Times New Roman"/>
                                <w:i/>
                                <w:sz w:val="20"/>
                                <w:szCs w:val="20"/>
                              </w:rPr>
                              <w:t>owth portfolio</w:t>
                            </w:r>
                            <w:r w:rsidRPr="007B4725">
                              <w:rPr>
                                <w:rFonts w:eastAsia="Times New Roman"/>
                                <w:i/>
                                <w:sz w:val="20"/>
                                <w:szCs w:val="20"/>
                              </w:rPr>
                              <w:t xml:space="preserve"> (Objective 1). The Evaluation found that:</w:t>
                            </w:r>
                          </w:p>
                          <w:p w:rsidR="00F46617" w:rsidRPr="007B4725" w:rsidRDefault="00F46617" w:rsidP="007B4725">
                            <w:pPr>
                              <w:pStyle w:val="ListParagraph"/>
                              <w:numPr>
                                <w:ilvl w:val="0"/>
                                <w:numId w:val="22"/>
                              </w:numPr>
                              <w:ind w:left="426" w:hanging="284"/>
                              <w:rPr>
                                <w:rFonts w:asciiTheme="minorHAnsi" w:hAnsiTheme="minorHAnsi"/>
                                <w:i/>
                                <w:color w:val="495965" w:themeColor="text2"/>
                                <w:sz w:val="20"/>
                                <w:szCs w:val="20"/>
                              </w:rPr>
                            </w:pPr>
                            <w:r w:rsidRPr="007B4725">
                              <w:rPr>
                                <w:rFonts w:asciiTheme="minorHAnsi" w:hAnsiTheme="minorHAnsi"/>
                                <w:i/>
                                <w:color w:val="495965" w:themeColor="text2"/>
                                <w:sz w:val="20"/>
                                <w:szCs w:val="20"/>
                              </w:rPr>
                              <w:t xml:space="preserve">Australian has a good reputation in agriculture, water resource management and women’s economic empowerment and we should build on this. There are three main investments that are serving us well in this regard that should continue under the next AIP – MDF, SDIP and FAO </w:t>
                            </w:r>
                            <w:proofErr w:type="spellStart"/>
                            <w:r w:rsidRPr="007B4725">
                              <w:rPr>
                                <w:rFonts w:asciiTheme="minorHAnsi" w:hAnsiTheme="minorHAnsi"/>
                                <w:i/>
                                <w:color w:val="495965" w:themeColor="text2"/>
                                <w:sz w:val="20"/>
                                <w:szCs w:val="20"/>
                              </w:rPr>
                              <w:t>AusABBA</w:t>
                            </w:r>
                            <w:proofErr w:type="spellEnd"/>
                            <w:r w:rsidRPr="007B4725">
                              <w:rPr>
                                <w:rFonts w:asciiTheme="minorHAnsi" w:hAnsiTheme="minorHAnsi"/>
                                <w:i/>
                                <w:color w:val="495965" w:themeColor="text2"/>
                                <w:sz w:val="20"/>
                                <w:szCs w:val="20"/>
                              </w:rPr>
                              <w:t>.</w:t>
                            </w:r>
                          </w:p>
                          <w:p w:rsidR="00F46617" w:rsidRPr="007B4725" w:rsidRDefault="00F46617" w:rsidP="007B4725">
                            <w:pPr>
                              <w:pStyle w:val="ListParagraph"/>
                              <w:numPr>
                                <w:ilvl w:val="0"/>
                                <w:numId w:val="22"/>
                              </w:numPr>
                              <w:ind w:left="426" w:hanging="284"/>
                              <w:rPr>
                                <w:rFonts w:asciiTheme="minorHAnsi" w:hAnsiTheme="minorHAnsi"/>
                                <w:i/>
                                <w:color w:val="495965" w:themeColor="text2"/>
                                <w:sz w:val="20"/>
                                <w:szCs w:val="20"/>
                              </w:rPr>
                            </w:pPr>
                            <w:r w:rsidRPr="007B4725">
                              <w:rPr>
                                <w:rFonts w:asciiTheme="minorHAnsi" w:hAnsiTheme="minorHAnsi"/>
                                <w:i/>
                                <w:color w:val="495965" w:themeColor="text2"/>
                                <w:sz w:val="20"/>
                                <w:szCs w:val="20"/>
                              </w:rPr>
                              <w:t>Our aid activities provide us with a well-grounded understanding of the constraints the poor face and the results our programs deliver earn us credibility among public and private sector decision makers. This information and credibility are assets that our aid programs could utilise more to shape longer term systemic changes that enable inclusive growth.</w:t>
                            </w:r>
                          </w:p>
                          <w:p w:rsidR="00F46617" w:rsidRPr="007B4725" w:rsidRDefault="00F46617" w:rsidP="007B4725">
                            <w:pPr>
                              <w:pStyle w:val="ListParagraph"/>
                              <w:numPr>
                                <w:ilvl w:val="0"/>
                                <w:numId w:val="22"/>
                              </w:numPr>
                              <w:ind w:left="426" w:hanging="284"/>
                              <w:rPr>
                                <w:rFonts w:asciiTheme="minorHAnsi" w:hAnsiTheme="minorHAnsi"/>
                                <w:i/>
                                <w:color w:val="495965" w:themeColor="text2"/>
                                <w:sz w:val="20"/>
                                <w:szCs w:val="20"/>
                              </w:rPr>
                            </w:pPr>
                            <w:r w:rsidRPr="007B4725">
                              <w:rPr>
                                <w:rFonts w:asciiTheme="minorHAnsi" w:hAnsiTheme="minorHAnsi"/>
                                <w:i/>
                                <w:color w:val="495965" w:themeColor="text2"/>
                                <w:sz w:val="20"/>
                                <w:szCs w:val="20"/>
                              </w:rPr>
                              <w:t>Our aid activities also provide us with a unique understanding of the emerging business and economic</w:t>
                            </w:r>
                            <w:r w:rsidRPr="007B4725">
                              <w:rPr>
                                <w:rFonts w:asciiTheme="minorHAnsi" w:hAnsiTheme="minorHAnsi"/>
                                <w:color w:val="495965" w:themeColor="text2"/>
                              </w:rPr>
                              <w:t xml:space="preserve"> </w:t>
                            </w:r>
                            <w:r w:rsidRPr="007B4725">
                              <w:rPr>
                                <w:rFonts w:asciiTheme="minorHAnsi" w:hAnsiTheme="minorHAnsi"/>
                                <w:i/>
                                <w:color w:val="495965" w:themeColor="text2"/>
                                <w:sz w:val="20"/>
                                <w:szCs w:val="20"/>
                              </w:rPr>
                              <w:t>environment.  This is an asset that Australia could utilise more to support economic and commercial diplomacy.  </w:t>
                            </w:r>
                          </w:p>
                          <w:p w:rsidR="00F46617" w:rsidRPr="007B4725" w:rsidRDefault="00F46617" w:rsidP="007B4725">
                            <w:pPr>
                              <w:pStyle w:val="ListParagraph"/>
                              <w:numPr>
                                <w:ilvl w:val="0"/>
                                <w:numId w:val="22"/>
                              </w:numPr>
                              <w:ind w:left="426" w:hanging="284"/>
                              <w:rPr>
                                <w:rFonts w:asciiTheme="minorHAnsi" w:hAnsiTheme="minorHAnsi"/>
                                <w:i/>
                                <w:color w:val="495965" w:themeColor="text2"/>
                                <w:sz w:val="20"/>
                                <w:szCs w:val="20"/>
                              </w:rPr>
                            </w:pPr>
                            <w:r w:rsidRPr="007B4725">
                              <w:rPr>
                                <w:rFonts w:asciiTheme="minorHAnsi" w:hAnsiTheme="minorHAnsi"/>
                                <w:i/>
                                <w:color w:val="495965" w:themeColor="text2"/>
                                <w:sz w:val="20"/>
                                <w:szCs w:val="20"/>
                              </w:rPr>
                              <w:t xml:space="preserve">There is value in continuing to engage with policy related aid programs because they keep us up to date with emerging issues and opportunities.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C1DF9" id="Text Box 21" o:spid="_x0000_s1027" type="#_x0000_t202" style="position:absolute;margin-left:-1.1pt;margin-top:55.1pt;width:221.25pt;height:389.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" fillcolor="white [3212]" strokecolor="#65c5b4 [3204]" strokeweight=".5pt">
                <v:textbox>
                  <w:txbxContent>
                    <w:p w:rsidR="00F46617" w:rsidRPr="000F164B" w:rsidRDefault="00F46617" w:rsidP="007B4725">
                      <w:pPr>
                        <w:spacing w:before="0" w:after="0"/>
                        <w:rPr>
                          <w:rFonts w:asciiTheme="majorHAnsi" w:eastAsia="Times New Roman" w:hAnsiTheme="majorHAnsi"/>
                          <w:b/>
                          <w:i/>
                          <w:color w:val="3DA18F" w:themeColor="accent1" w:themeShade="BF"/>
                          <w:sz w:val="20"/>
                          <w:szCs w:val="20"/>
                        </w:rPr>
                      </w:pPr>
                      <w:r w:rsidRPr="000F164B">
                        <w:rPr>
                          <w:rFonts w:asciiTheme="majorHAnsi" w:eastAsia="Times New Roman" w:hAnsiTheme="majorHAnsi"/>
                          <w:b/>
                          <w:i/>
                          <w:color w:val="3DA18F" w:themeColor="accent1" w:themeShade="BF"/>
                          <w:sz w:val="20"/>
                          <w:szCs w:val="20"/>
                        </w:rPr>
                        <w:t xml:space="preserve">Evaluation of the Economic Growth Portfolio </w:t>
                      </w:r>
                    </w:p>
                    <w:p w:rsidR="00F46617" w:rsidRDefault="00F46617" w:rsidP="007B4725">
                      <w:pPr>
                        <w:spacing w:before="0" w:after="0"/>
                        <w:rPr>
                          <w:rFonts w:eastAsia="Times New Roman"/>
                          <w:i/>
                          <w:sz w:val="20"/>
                          <w:szCs w:val="20"/>
                        </w:rPr>
                      </w:pPr>
                    </w:p>
                    <w:p w:rsidR="00F46617" w:rsidRPr="007B4725" w:rsidRDefault="00F46617" w:rsidP="007B4725">
                      <w:pPr>
                        <w:spacing w:before="0" w:after="0"/>
                        <w:rPr>
                          <w:rFonts w:eastAsia="Times New Roman"/>
                          <w:i/>
                          <w:sz w:val="20"/>
                          <w:szCs w:val="20"/>
                        </w:rPr>
                      </w:pPr>
                      <w:r w:rsidRPr="00546A63">
                        <w:rPr>
                          <w:rFonts w:eastAsia="Times New Roman"/>
                          <w:i/>
                          <w:sz w:val="20"/>
                          <w:szCs w:val="20"/>
                        </w:rPr>
                        <w:t>In 2018 DFAT conducted an evaluation of the Sustainable and Inclusive Economic Gr</w:t>
                      </w:r>
                      <w:r>
                        <w:rPr>
                          <w:rFonts w:eastAsia="Times New Roman"/>
                          <w:i/>
                          <w:sz w:val="20"/>
                          <w:szCs w:val="20"/>
                        </w:rPr>
                        <w:t>owth portfolio</w:t>
                      </w:r>
                      <w:r w:rsidRPr="007B4725">
                        <w:rPr>
                          <w:rFonts w:eastAsia="Times New Roman"/>
                          <w:i/>
                          <w:sz w:val="20"/>
                          <w:szCs w:val="20"/>
                        </w:rPr>
                        <w:t xml:space="preserve"> (Objective 1). The Evaluation found that:</w:t>
                      </w:r>
                    </w:p>
                    <w:p w:rsidR="00F46617" w:rsidRPr="007B4725" w:rsidRDefault="00F46617" w:rsidP="007B4725">
                      <w:pPr>
                        <w:pStyle w:val="ListParagraph"/>
                        <w:numPr>
                          <w:ilvl w:val="0"/>
                          <w:numId w:val="22"/>
                        </w:numPr>
                        <w:ind w:left="426" w:hanging="284"/>
                        <w:rPr>
                          <w:rFonts w:asciiTheme="minorHAnsi" w:hAnsiTheme="minorHAnsi"/>
                          <w:i/>
                          <w:color w:val="495965" w:themeColor="text2"/>
                          <w:sz w:val="20"/>
                          <w:szCs w:val="20"/>
                        </w:rPr>
                      </w:pPr>
                      <w:r w:rsidRPr="007B4725">
                        <w:rPr>
                          <w:rFonts w:asciiTheme="minorHAnsi" w:hAnsiTheme="minorHAnsi"/>
                          <w:i/>
                          <w:color w:val="495965" w:themeColor="text2"/>
                          <w:sz w:val="20"/>
                          <w:szCs w:val="20"/>
                        </w:rPr>
                        <w:t xml:space="preserve">Australian has a good reputation in agriculture, water resource management and women’s economic empowerment and we should build on this. There are three main investments that are serving us well in this regard that should continue under the next AIP – MDF, SDIP and FAO </w:t>
                      </w:r>
                      <w:proofErr w:type="spellStart"/>
                      <w:r w:rsidRPr="007B4725">
                        <w:rPr>
                          <w:rFonts w:asciiTheme="minorHAnsi" w:hAnsiTheme="minorHAnsi"/>
                          <w:i/>
                          <w:color w:val="495965" w:themeColor="text2"/>
                          <w:sz w:val="20"/>
                          <w:szCs w:val="20"/>
                        </w:rPr>
                        <w:t>AusABBA</w:t>
                      </w:r>
                      <w:proofErr w:type="spellEnd"/>
                      <w:r w:rsidRPr="007B4725">
                        <w:rPr>
                          <w:rFonts w:asciiTheme="minorHAnsi" w:hAnsiTheme="minorHAnsi"/>
                          <w:i/>
                          <w:color w:val="495965" w:themeColor="text2"/>
                          <w:sz w:val="20"/>
                          <w:szCs w:val="20"/>
                        </w:rPr>
                        <w:t>.</w:t>
                      </w:r>
                    </w:p>
                    <w:p w:rsidR="00F46617" w:rsidRPr="007B4725" w:rsidRDefault="00F46617" w:rsidP="007B4725">
                      <w:pPr>
                        <w:pStyle w:val="ListParagraph"/>
                        <w:numPr>
                          <w:ilvl w:val="0"/>
                          <w:numId w:val="22"/>
                        </w:numPr>
                        <w:ind w:left="426" w:hanging="284"/>
                        <w:rPr>
                          <w:rFonts w:asciiTheme="minorHAnsi" w:hAnsiTheme="minorHAnsi"/>
                          <w:i/>
                          <w:color w:val="495965" w:themeColor="text2"/>
                          <w:sz w:val="20"/>
                          <w:szCs w:val="20"/>
                        </w:rPr>
                      </w:pPr>
                      <w:r w:rsidRPr="007B4725">
                        <w:rPr>
                          <w:rFonts w:asciiTheme="minorHAnsi" w:hAnsiTheme="minorHAnsi"/>
                          <w:i/>
                          <w:color w:val="495965" w:themeColor="text2"/>
                          <w:sz w:val="20"/>
                          <w:szCs w:val="20"/>
                        </w:rPr>
                        <w:t>Our aid activities provide us with a well-grounded understanding of the constraints the poor face and the results our programs deliver earn us credibility among public and private sector decision makers. This information and credibility are assets that our aid programs could utilise more to shape longer term systemic changes that enable inclusive growth.</w:t>
                      </w:r>
                    </w:p>
                    <w:p w:rsidR="00F46617" w:rsidRPr="007B4725" w:rsidRDefault="00F46617" w:rsidP="007B4725">
                      <w:pPr>
                        <w:pStyle w:val="ListParagraph"/>
                        <w:numPr>
                          <w:ilvl w:val="0"/>
                          <w:numId w:val="22"/>
                        </w:numPr>
                        <w:ind w:left="426" w:hanging="284"/>
                        <w:rPr>
                          <w:rFonts w:asciiTheme="minorHAnsi" w:hAnsiTheme="minorHAnsi"/>
                          <w:i/>
                          <w:color w:val="495965" w:themeColor="text2"/>
                          <w:sz w:val="20"/>
                          <w:szCs w:val="20"/>
                        </w:rPr>
                      </w:pPr>
                      <w:r w:rsidRPr="007B4725">
                        <w:rPr>
                          <w:rFonts w:asciiTheme="minorHAnsi" w:hAnsiTheme="minorHAnsi"/>
                          <w:i/>
                          <w:color w:val="495965" w:themeColor="text2"/>
                          <w:sz w:val="20"/>
                          <w:szCs w:val="20"/>
                        </w:rPr>
                        <w:t>Our aid activities also provide us with a unique understanding of the emerging business and economic</w:t>
                      </w:r>
                      <w:r w:rsidRPr="007B4725">
                        <w:rPr>
                          <w:rFonts w:asciiTheme="minorHAnsi" w:hAnsiTheme="minorHAnsi"/>
                          <w:color w:val="495965" w:themeColor="text2"/>
                        </w:rPr>
                        <w:t xml:space="preserve"> </w:t>
                      </w:r>
                      <w:r w:rsidRPr="007B4725">
                        <w:rPr>
                          <w:rFonts w:asciiTheme="minorHAnsi" w:hAnsiTheme="minorHAnsi"/>
                          <w:i/>
                          <w:color w:val="495965" w:themeColor="text2"/>
                          <w:sz w:val="20"/>
                          <w:szCs w:val="20"/>
                        </w:rPr>
                        <w:t>environment.  This is an asset that Australia could utilise more to support economic and commercial diplomacy.  </w:t>
                      </w:r>
                    </w:p>
                    <w:p w:rsidR="00F46617" w:rsidRPr="007B4725" w:rsidRDefault="00F46617" w:rsidP="007B4725">
                      <w:pPr>
                        <w:pStyle w:val="ListParagraph"/>
                        <w:numPr>
                          <w:ilvl w:val="0"/>
                          <w:numId w:val="22"/>
                        </w:numPr>
                        <w:ind w:left="426" w:hanging="284"/>
                        <w:rPr>
                          <w:rFonts w:asciiTheme="minorHAnsi" w:hAnsiTheme="minorHAnsi"/>
                          <w:i/>
                          <w:color w:val="495965" w:themeColor="text2"/>
                          <w:sz w:val="20"/>
                          <w:szCs w:val="20"/>
                        </w:rPr>
                      </w:pPr>
                      <w:r w:rsidRPr="007B4725">
                        <w:rPr>
                          <w:rFonts w:asciiTheme="minorHAnsi" w:hAnsiTheme="minorHAnsi"/>
                          <w:i/>
                          <w:color w:val="495965" w:themeColor="text2"/>
                          <w:sz w:val="20"/>
                          <w:szCs w:val="20"/>
                        </w:rPr>
                        <w:t xml:space="preserve">There is value in continuing to engage with policy related aid programs because they keep us up to date with emerging issues and opportunities. </w:t>
                      </w:r>
                    </w:p>
                  </w:txbxContent>
                </v:textbox>
                <w10:wrap type="square" anchorx="margin"/>
              </v:shape>
            </w:pict>
          </mc:Fallback>
        </mc:AlternateContent>
      </w:r>
      <w:r w:rsidR="001B6F46" w:rsidRPr="001B6F46">
        <w:rPr>
          <w:rFonts w:eastAsia="Times New Roman"/>
        </w:rPr>
        <w:t>Under</w:t>
      </w:r>
      <w:r w:rsidR="001B6F46">
        <w:rPr>
          <w:rFonts w:eastAsia="Times New Roman"/>
          <w:b/>
        </w:rPr>
        <w:t xml:space="preserve"> </w:t>
      </w:r>
      <w:r w:rsidR="00965AEF" w:rsidRPr="00E03789">
        <w:rPr>
          <w:rFonts w:eastAsia="Times New Roman"/>
          <w:b/>
          <w:u w:val="single"/>
        </w:rPr>
        <w:t>Outcome 1 – Selected value chains are more inclusive</w:t>
      </w:r>
      <w:r w:rsidR="00E75712">
        <w:rPr>
          <w:rFonts w:eastAsia="Times New Roman"/>
        </w:rPr>
        <w:t>, the</w:t>
      </w:r>
      <w:r w:rsidR="00637CF0">
        <w:rPr>
          <w:rFonts w:eastAsia="Times New Roman"/>
        </w:rPr>
        <w:t xml:space="preserve"> </w:t>
      </w:r>
      <w:r w:rsidR="004E30CC">
        <w:rPr>
          <w:rFonts w:eastAsia="Times New Roman"/>
        </w:rPr>
        <w:t>Market Development Facility (</w:t>
      </w:r>
      <w:r w:rsidR="00965AEF" w:rsidRPr="008F2667">
        <w:rPr>
          <w:rFonts w:eastAsia="Times New Roman"/>
        </w:rPr>
        <w:t>MDF</w:t>
      </w:r>
      <w:r w:rsidR="004E30CC">
        <w:rPr>
          <w:rFonts w:eastAsia="Times New Roman"/>
        </w:rPr>
        <w:t>)</w:t>
      </w:r>
      <w:r w:rsidR="00E75712">
        <w:rPr>
          <w:rFonts w:eastAsia="Times New Roman"/>
        </w:rPr>
        <w:t xml:space="preserve">, </w:t>
      </w:r>
      <w:proofErr w:type="spellStart"/>
      <w:r w:rsidR="00965AEF" w:rsidRPr="008F2667">
        <w:rPr>
          <w:rFonts w:eastAsia="Times New Roman"/>
        </w:rPr>
        <w:t>Sarhad</w:t>
      </w:r>
      <w:proofErr w:type="spellEnd"/>
      <w:r w:rsidR="00965AEF" w:rsidRPr="008F2667">
        <w:rPr>
          <w:rFonts w:eastAsia="Times New Roman"/>
        </w:rPr>
        <w:t xml:space="preserve"> Rural Support Program’s Women’s Empowerment and Market Dev</w:t>
      </w:r>
      <w:r w:rsidR="00965AEF">
        <w:rPr>
          <w:rFonts w:eastAsia="Times New Roman"/>
        </w:rPr>
        <w:t>elopment activity (SRSP WEEMD)</w:t>
      </w:r>
      <w:r w:rsidR="00E75712">
        <w:rPr>
          <w:rFonts w:eastAsia="Times New Roman"/>
        </w:rPr>
        <w:t xml:space="preserve"> and </w:t>
      </w:r>
      <w:r w:rsidR="00C55A4C">
        <w:rPr>
          <w:rFonts w:eastAsia="Times New Roman"/>
        </w:rPr>
        <w:t xml:space="preserve">Food and Agriculture Organisation’s </w:t>
      </w:r>
      <w:r w:rsidR="007B1E84">
        <w:rPr>
          <w:rFonts w:eastAsia="Times New Roman"/>
        </w:rPr>
        <w:t>(F</w:t>
      </w:r>
      <w:r w:rsidR="002C3147">
        <w:rPr>
          <w:rFonts w:eastAsia="Times New Roman"/>
        </w:rPr>
        <w:t xml:space="preserve">AO) </w:t>
      </w:r>
      <w:proofErr w:type="spellStart"/>
      <w:r w:rsidR="00546A63">
        <w:rPr>
          <w:rFonts w:eastAsia="Times New Roman"/>
        </w:rPr>
        <w:t>A</w:t>
      </w:r>
      <w:r w:rsidR="002C3147">
        <w:rPr>
          <w:rFonts w:eastAsia="Times New Roman"/>
        </w:rPr>
        <w:t>usABBA</w:t>
      </w:r>
      <w:proofErr w:type="spellEnd"/>
      <w:r w:rsidR="002C3147">
        <w:rPr>
          <w:rFonts w:eastAsia="Times New Roman"/>
        </w:rPr>
        <w:t xml:space="preserve"> II all exceeded their targets of increased incomes for women and men,</w:t>
      </w:r>
      <w:r w:rsidR="00EB4838">
        <w:rPr>
          <w:rStyle w:val="FootnoteReference"/>
          <w:rFonts w:eastAsia="Times New Roman"/>
        </w:rPr>
        <w:footnoteReference w:id="3"/>
      </w:r>
      <w:r w:rsidR="002C3147">
        <w:rPr>
          <w:rFonts w:eastAsia="Times New Roman"/>
        </w:rPr>
        <w:t xml:space="preserve"> with an overall increase in the percentage of women who have benefited. </w:t>
      </w:r>
    </w:p>
    <w:p w:rsidR="00525E9D" w:rsidRDefault="002C3147" w:rsidP="000F1CC7">
      <w:pPr>
        <w:spacing w:line="240" w:lineRule="auto"/>
        <w:rPr>
          <w:rFonts w:eastAsia="Times New Roman"/>
        </w:rPr>
      </w:pPr>
      <w:r w:rsidRPr="001B6F46">
        <w:rPr>
          <w:rFonts w:eastAsia="Times New Roman"/>
        </w:rPr>
        <w:t xml:space="preserve">The Pakistan program has steadily increased its focus on </w:t>
      </w:r>
      <w:r w:rsidRPr="00E03789">
        <w:rPr>
          <w:rFonts w:eastAsia="Times New Roman"/>
          <w:b/>
        </w:rPr>
        <w:t>women’s economic empowerment (WEE)</w:t>
      </w:r>
      <w:r>
        <w:rPr>
          <w:rFonts w:eastAsia="Times New Roman"/>
        </w:rPr>
        <w:t xml:space="preserve"> in recent years</w:t>
      </w:r>
      <w:r w:rsidRPr="001B6F46">
        <w:rPr>
          <w:rFonts w:eastAsia="Times New Roman"/>
        </w:rPr>
        <w:t xml:space="preserve">, both in terms of increased </w:t>
      </w:r>
      <w:r>
        <w:rPr>
          <w:rFonts w:eastAsia="Times New Roman"/>
        </w:rPr>
        <w:t xml:space="preserve">incomes </w:t>
      </w:r>
      <w:r w:rsidRPr="001B6F46">
        <w:rPr>
          <w:rFonts w:eastAsia="Times New Roman"/>
        </w:rPr>
        <w:t xml:space="preserve">for women and more systemic change within market systems. </w:t>
      </w:r>
      <w:r>
        <w:rPr>
          <w:rFonts w:eastAsia="Times New Roman"/>
        </w:rPr>
        <w:t>For example, 58 percent of women engaged in WEEMD activities reported increased participation in household level decision making and 100 percent of the women’s organisations engaged by the project actively participated in planning and implementation of local development programs.</w:t>
      </w:r>
      <w:r>
        <w:rPr>
          <w:rStyle w:val="FootnoteReference"/>
          <w:rFonts w:eastAsia="Times New Roman"/>
        </w:rPr>
        <w:footnoteReference w:id="4"/>
      </w:r>
    </w:p>
    <w:p w:rsidR="00546A63" w:rsidRPr="00546A63" w:rsidRDefault="002E130A" w:rsidP="000F1CC7">
      <w:pPr>
        <w:spacing w:line="240" w:lineRule="auto"/>
      </w:pPr>
      <w:r w:rsidRPr="00637CF0">
        <w:rPr>
          <w:rFonts w:eastAsia="Times New Roman"/>
        </w:rPr>
        <w:t xml:space="preserve">The </w:t>
      </w:r>
      <w:r w:rsidRPr="00E03789">
        <w:rPr>
          <w:rFonts w:eastAsia="Times New Roman"/>
          <w:b/>
        </w:rPr>
        <w:t>Market Development Facility (MDF)</w:t>
      </w:r>
      <w:r w:rsidR="00CF2AB2">
        <w:rPr>
          <w:rFonts w:eastAsia="Times New Roman"/>
        </w:rPr>
        <w:t xml:space="preserve"> </w:t>
      </w:r>
      <w:r w:rsidR="00CF2AB2" w:rsidRPr="00637CF0">
        <w:rPr>
          <w:rFonts w:eastAsia="Times New Roman"/>
        </w:rPr>
        <w:t>stimulat</w:t>
      </w:r>
      <w:r w:rsidR="00F70299">
        <w:rPr>
          <w:rFonts w:eastAsia="Times New Roman"/>
        </w:rPr>
        <w:t>ed</w:t>
      </w:r>
      <w:r w:rsidR="00CF2AB2" w:rsidRPr="00637CF0">
        <w:rPr>
          <w:rFonts w:eastAsia="Times New Roman"/>
        </w:rPr>
        <w:t xml:space="preserve"> </w:t>
      </w:r>
      <w:r w:rsidRPr="00637CF0">
        <w:rPr>
          <w:rFonts w:eastAsia="Times New Roman"/>
        </w:rPr>
        <w:t xml:space="preserve">investment, business innovation and regulatory reform to create </w:t>
      </w:r>
      <w:r w:rsidR="00CF1980">
        <w:rPr>
          <w:rFonts w:eastAsia="Times New Roman"/>
        </w:rPr>
        <w:t>income for the poor</w:t>
      </w:r>
      <w:r w:rsidR="00CF2AB2">
        <w:rPr>
          <w:rFonts w:eastAsia="Times New Roman"/>
        </w:rPr>
        <w:t xml:space="preserve">. MDF </w:t>
      </w:r>
      <w:r w:rsidR="00637CF0">
        <w:rPr>
          <w:rFonts w:eastAsia="Times New Roman"/>
        </w:rPr>
        <w:t xml:space="preserve">is </w:t>
      </w:r>
      <w:r w:rsidR="00010844">
        <w:rPr>
          <w:rFonts w:eastAsia="Times New Roman"/>
        </w:rPr>
        <w:t>look</w:t>
      </w:r>
      <w:r w:rsidR="000044FF">
        <w:rPr>
          <w:rFonts w:eastAsia="Times New Roman"/>
        </w:rPr>
        <w:t>ing</w:t>
      </w:r>
      <w:r w:rsidR="00637CF0">
        <w:rPr>
          <w:rFonts w:eastAsia="Times New Roman"/>
        </w:rPr>
        <w:t xml:space="preserve"> beyond women’s </w:t>
      </w:r>
      <w:r w:rsidR="00304345">
        <w:rPr>
          <w:rFonts w:eastAsia="Times New Roman"/>
        </w:rPr>
        <w:t xml:space="preserve">workforce </w:t>
      </w:r>
      <w:r w:rsidR="00637CF0">
        <w:rPr>
          <w:rFonts w:eastAsia="Times New Roman"/>
        </w:rPr>
        <w:t xml:space="preserve">participation </w:t>
      </w:r>
      <w:r w:rsidR="00010844">
        <w:rPr>
          <w:rFonts w:eastAsia="Times New Roman"/>
        </w:rPr>
        <w:t>to women’s a</w:t>
      </w:r>
      <w:r w:rsidR="00637CF0">
        <w:rPr>
          <w:rFonts w:eastAsia="Times New Roman"/>
        </w:rPr>
        <w:t>gency</w:t>
      </w:r>
      <w:r w:rsidR="00010844">
        <w:rPr>
          <w:rFonts w:eastAsia="Times New Roman"/>
        </w:rPr>
        <w:t xml:space="preserve"> and </w:t>
      </w:r>
      <w:r w:rsidR="00725B9A">
        <w:rPr>
          <w:rFonts w:eastAsia="Times New Roman"/>
        </w:rPr>
        <w:t xml:space="preserve">minimising </w:t>
      </w:r>
      <w:r w:rsidR="00B40803">
        <w:rPr>
          <w:rFonts w:eastAsia="Times New Roman"/>
        </w:rPr>
        <w:t xml:space="preserve">the </w:t>
      </w:r>
      <w:r w:rsidR="00010844">
        <w:rPr>
          <w:rFonts w:eastAsia="Times New Roman"/>
        </w:rPr>
        <w:t xml:space="preserve">potential </w:t>
      </w:r>
      <w:r w:rsidR="00725B9A">
        <w:rPr>
          <w:rFonts w:eastAsia="Times New Roman"/>
        </w:rPr>
        <w:t xml:space="preserve">for </w:t>
      </w:r>
      <w:r w:rsidR="00304345">
        <w:rPr>
          <w:rFonts w:eastAsia="Times New Roman"/>
        </w:rPr>
        <w:t xml:space="preserve">unforeseen </w:t>
      </w:r>
      <w:r w:rsidR="00010844">
        <w:rPr>
          <w:rFonts w:eastAsia="Times New Roman"/>
        </w:rPr>
        <w:t xml:space="preserve">risks </w:t>
      </w:r>
      <w:r w:rsidR="00725B9A">
        <w:rPr>
          <w:rFonts w:eastAsia="Times New Roman"/>
        </w:rPr>
        <w:t xml:space="preserve">from </w:t>
      </w:r>
      <w:r w:rsidR="00010844">
        <w:rPr>
          <w:rFonts w:eastAsia="Times New Roman"/>
        </w:rPr>
        <w:t>WEE</w:t>
      </w:r>
      <w:r w:rsidR="00637CF0">
        <w:rPr>
          <w:rFonts w:eastAsia="Times New Roman"/>
        </w:rPr>
        <w:t xml:space="preserve">. </w:t>
      </w:r>
      <w:r w:rsidR="005B7972">
        <w:rPr>
          <w:rFonts w:eastAsia="Times New Roman"/>
        </w:rPr>
        <w:t>So far t</w:t>
      </w:r>
      <w:r w:rsidR="000044FF">
        <w:t xml:space="preserve">his has seen manufacturing business introduce </w:t>
      </w:r>
      <w:r w:rsidR="00304345">
        <w:t>women-</w:t>
      </w:r>
      <w:r w:rsidR="000044FF">
        <w:t xml:space="preserve">only work spaces, financial </w:t>
      </w:r>
      <w:r w:rsidR="005B7972">
        <w:t>products that give</w:t>
      </w:r>
      <w:r w:rsidR="000044FF">
        <w:t xml:space="preserve"> women </w:t>
      </w:r>
      <w:r w:rsidR="005B7972">
        <w:t xml:space="preserve">more </w:t>
      </w:r>
      <w:r w:rsidR="000044FF">
        <w:t xml:space="preserve">control </w:t>
      </w:r>
      <w:r w:rsidR="005B7972">
        <w:t>over</w:t>
      </w:r>
      <w:r w:rsidR="000044FF">
        <w:t xml:space="preserve"> the money they earn, commercially sustainable agricultural extension services provided by women for women, and the introduction </w:t>
      </w:r>
      <w:r w:rsidR="005B7972">
        <w:t xml:space="preserve">of </w:t>
      </w:r>
      <w:r w:rsidR="000044FF">
        <w:t>child care facilities at places of employment.</w:t>
      </w:r>
      <w:r w:rsidR="005B7972">
        <w:t xml:space="preserve"> </w:t>
      </w:r>
    </w:p>
    <w:p w:rsidR="009429CC" w:rsidRDefault="009D6E17" w:rsidP="001371FE">
      <w:pPr>
        <w:spacing w:line="240" w:lineRule="auto"/>
      </w:pPr>
      <w:r>
        <w:rPr>
          <w:rFonts w:eastAsia="Times New Roman"/>
        </w:rPr>
        <w:t xml:space="preserve">Under the first phase of </w:t>
      </w:r>
      <w:r w:rsidR="00E33176" w:rsidRPr="00E03789">
        <w:rPr>
          <w:rFonts w:eastAsia="Times New Roman"/>
          <w:b/>
        </w:rPr>
        <w:t xml:space="preserve">Food and Agriculture Organisation’s </w:t>
      </w:r>
      <w:r w:rsidR="009B1EFD" w:rsidRPr="00E03789">
        <w:rPr>
          <w:rFonts w:eastAsia="Times New Roman"/>
          <w:b/>
        </w:rPr>
        <w:t>(FAO)</w:t>
      </w:r>
      <w:r w:rsidR="009B1EFD">
        <w:rPr>
          <w:rFonts w:eastAsia="Times New Roman"/>
        </w:rPr>
        <w:t xml:space="preserve"> </w:t>
      </w:r>
      <w:r w:rsidR="00E33176">
        <w:rPr>
          <w:rFonts w:eastAsia="Times New Roman"/>
        </w:rPr>
        <w:t xml:space="preserve">agribusiness program in remote areas of </w:t>
      </w:r>
      <w:proofErr w:type="spellStart"/>
      <w:r w:rsidR="00E33176">
        <w:rPr>
          <w:rFonts w:eastAsia="Times New Roman"/>
        </w:rPr>
        <w:t>Balochistan</w:t>
      </w:r>
      <w:proofErr w:type="spellEnd"/>
      <w:r>
        <w:rPr>
          <w:rFonts w:eastAsia="Times New Roman"/>
        </w:rPr>
        <w:t xml:space="preserve"> (</w:t>
      </w:r>
      <w:proofErr w:type="spellStart"/>
      <w:r>
        <w:rPr>
          <w:rFonts w:eastAsia="Times New Roman"/>
        </w:rPr>
        <w:t>AusABBA</w:t>
      </w:r>
      <w:proofErr w:type="spellEnd"/>
      <w:r>
        <w:rPr>
          <w:rFonts w:eastAsia="Times New Roman"/>
        </w:rPr>
        <w:t xml:space="preserve">), </w:t>
      </w:r>
      <w:r w:rsidR="007B75BA">
        <w:rPr>
          <w:rFonts w:eastAsia="Times New Roman"/>
        </w:rPr>
        <w:t xml:space="preserve">average daily </w:t>
      </w:r>
      <w:r w:rsidR="00681E40">
        <w:rPr>
          <w:rFonts w:eastAsia="Times New Roman"/>
        </w:rPr>
        <w:t>income</w:t>
      </w:r>
      <w:r w:rsidR="007B75BA">
        <w:rPr>
          <w:rFonts w:eastAsia="Times New Roman"/>
        </w:rPr>
        <w:t>s</w:t>
      </w:r>
      <w:r w:rsidR="00681E40">
        <w:rPr>
          <w:rFonts w:eastAsia="Times New Roman"/>
        </w:rPr>
        <w:t xml:space="preserve"> of over 11,000 households </w:t>
      </w:r>
      <w:r w:rsidR="007B75BA">
        <w:rPr>
          <w:rFonts w:eastAsia="Times New Roman"/>
        </w:rPr>
        <w:t xml:space="preserve">increased </w:t>
      </w:r>
      <w:r w:rsidR="00681E40">
        <w:rPr>
          <w:rFonts w:eastAsia="Times New Roman"/>
        </w:rPr>
        <w:t>from USD2.62 to USD7.48</w:t>
      </w:r>
      <w:r>
        <w:rPr>
          <w:rFonts w:eastAsia="Times New Roman"/>
        </w:rPr>
        <w:t>.</w:t>
      </w:r>
      <w:r>
        <w:rPr>
          <w:rStyle w:val="FootnoteReference"/>
          <w:rFonts w:eastAsia="Times New Roman"/>
        </w:rPr>
        <w:footnoteReference w:id="5"/>
      </w:r>
      <w:r>
        <w:rPr>
          <w:rFonts w:eastAsia="Times New Roman"/>
        </w:rPr>
        <w:t xml:space="preserve"> </w:t>
      </w:r>
      <w:r w:rsidR="00AD305F">
        <w:rPr>
          <w:rFonts w:eastAsia="Times New Roman"/>
        </w:rPr>
        <w:t xml:space="preserve"> </w:t>
      </w:r>
      <w:r w:rsidR="00010844">
        <w:rPr>
          <w:rFonts w:eastAsia="Times New Roman"/>
        </w:rPr>
        <w:t>Australia’s</w:t>
      </w:r>
      <w:r w:rsidR="001521F6">
        <w:rPr>
          <w:rFonts w:eastAsia="Times New Roman"/>
        </w:rPr>
        <w:t xml:space="preserve"> Gender Equality Fun</w:t>
      </w:r>
      <w:r w:rsidR="00B64AEA">
        <w:rPr>
          <w:rFonts w:eastAsia="Times New Roman"/>
        </w:rPr>
        <w:t xml:space="preserve">d </w:t>
      </w:r>
      <w:r w:rsidR="00010844">
        <w:rPr>
          <w:rFonts w:eastAsia="Times New Roman"/>
        </w:rPr>
        <w:t>is contributing to</w:t>
      </w:r>
      <w:r w:rsidR="001521F6">
        <w:rPr>
          <w:rFonts w:eastAsia="Times New Roman"/>
        </w:rPr>
        <w:t xml:space="preserve"> </w:t>
      </w:r>
      <w:r w:rsidR="006B5D29">
        <w:rPr>
          <w:rFonts w:eastAsia="Times New Roman"/>
        </w:rPr>
        <w:t>‘</w:t>
      </w:r>
      <w:r w:rsidR="00CF1980" w:rsidRPr="00E03789">
        <w:rPr>
          <w:b/>
        </w:rPr>
        <w:t>E</w:t>
      </w:r>
      <w:r w:rsidR="001521F6" w:rsidRPr="00E03789">
        <w:rPr>
          <w:b/>
        </w:rPr>
        <w:t>mpowering wo</w:t>
      </w:r>
      <w:r w:rsidR="00CF1980" w:rsidRPr="00E03789">
        <w:rPr>
          <w:b/>
        </w:rPr>
        <w:t xml:space="preserve">men in </w:t>
      </w:r>
      <w:proofErr w:type="spellStart"/>
      <w:r w:rsidR="00CF1980" w:rsidRPr="00E03789">
        <w:rPr>
          <w:b/>
        </w:rPr>
        <w:t>Balochistan</w:t>
      </w:r>
      <w:proofErr w:type="spellEnd"/>
      <w:r w:rsidR="00CF1980" w:rsidRPr="00E03789">
        <w:rPr>
          <w:b/>
        </w:rPr>
        <w:t xml:space="preserve"> through </w:t>
      </w:r>
      <w:proofErr w:type="spellStart"/>
      <w:r w:rsidR="00CF1980" w:rsidRPr="00E03789">
        <w:rPr>
          <w:b/>
        </w:rPr>
        <w:t>A</w:t>
      </w:r>
      <w:r w:rsidR="00B64AEA" w:rsidRPr="00E03789">
        <w:rPr>
          <w:b/>
        </w:rPr>
        <w:t>gri</w:t>
      </w:r>
      <w:proofErr w:type="spellEnd"/>
      <w:r w:rsidR="00B64AEA" w:rsidRPr="00E03789">
        <w:rPr>
          <w:b/>
        </w:rPr>
        <w:t>-</w:t>
      </w:r>
      <w:r w:rsidR="00CF1980" w:rsidRPr="00E03789">
        <w:rPr>
          <w:b/>
        </w:rPr>
        <w:t>E</w:t>
      </w:r>
      <w:r w:rsidR="001521F6" w:rsidRPr="00E03789">
        <w:rPr>
          <w:b/>
        </w:rPr>
        <w:t>ntrepreneurship</w:t>
      </w:r>
      <w:r w:rsidR="006B5D29">
        <w:rPr>
          <w:b/>
        </w:rPr>
        <w:t>’</w:t>
      </w:r>
      <w:r w:rsidR="001521F6" w:rsidRPr="00E03789">
        <w:rPr>
          <w:b/>
        </w:rPr>
        <w:t xml:space="preserve"> </w:t>
      </w:r>
      <w:r w:rsidR="001521F6" w:rsidRPr="009E417D">
        <w:t xml:space="preserve">project </w:t>
      </w:r>
      <w:r w:rsidR="001521F6" w:rsidRPr="005553C5">
        <w:t>(2017-2019)</w:t>
      </w:r>
      <w:r w:rsidR="00010844">
        <w:t xml:space="preserve"> under </w:t>
      </w:r>
      <w:proofErr w:type="spellStart"/>
      <w:r w:rsidR="00010844">
        <w:t>AusABBA</w:t>
      </w:r>
      <w:proofErr w:type="spellEnd"/>
      <w:r w:rsidR="001521F6">
        <w:t xml:space="preserve">. </w:t>
      </w:r>
      <w:r w:rsidR="009429CC">
        <w:t>The project</w:t>
      </w:r>
      <w:r w:rsidR="00CF2AB2">
        <w:t xml:space="preserve"> is operated by a </w:t>
      </w:r>
      <w:r w:rsidR="00D6432A">
        <w:t xml:space="preserve">women only </w:t>
      </w:r>
      <w:r w:rsidR="00CF2AB2">
        <w:t>team focus</w:t>
      </w:r>
      <w:r w:rsidR="00D6432A">
        <w:t>ed</w:t>
      </w:r>
      <w:r w:rsidR="00CF2AB2">
        <w:t xml:space="preserve"> </w:t>
      </w:r>
      <w:r w:rsidR="009429CC">
        <w:t xml:space="preserve">on assisting women to enter the market in </w:t>
      </w:r>
      <w:r w:rsidR="00D6432A">
        <w:t xml:space="preserve">such </w:t>
      </w:r>
      <w:r w:rsidR="009429CC">
        <w:t>areas as seedling, sheep</w:t>
      </w:r>
      <w:r w:rsidR="00D6432A">
        <w:t>,</w:t>
      </w:r>
      <w:r w:rsidR="009429CC">
        <w:t xml:space="preserve"> </w:t>
      </w:r>
      <w:r w:rsidR="00D6432A">
        <w:t xml:space="preserve">and </w:t>
      </w:r>
      <w:r w:rsidR="009429CC">
        <w:t>dried apricot</w:t>
      </w:r>
      <w:r w:rsidR="00B40803">
        <w:t xml:space="preserve"> farming</w:t>
      </w:r>
      <w:r w:rsidR="009429CC">
        <w:t xml:space="preserve"> in three Baloch districts. </w:t>
      </w:r>
      <w:r w:rsidR="00A46DAA">
        <w:t>The impact of the project</w:t>
      </w:r>
      <w:r>
        <w:t xml:space="preserve"> </w:t>
      </w:r>
      <w:r w:rsidR="00A46DAA">
        <w:t xml:space="preserve">will be assessed </w:t>
      </w:r>
      <w:r w:rsidR="00B40803">
        <w:t xml:space="preserve">at </w:t>
      </w:r>
      <w:r>
        <w:t>the end of project survey in 2019.</w:t>
      </w:r>
    </w:p>
    <w:p w:rsidR="00F6471F" w:rsidRPr="00733BA5" w:rsidRDefault="008F656A" w:rsidP="001371FE">
      <w:pPr>
        <w:spacing w:line="240" w:lineRule="auto"/>
        <w:rPr>
          <w:rFonts w:eastAsia="Times New Roman"/>
          <w:b/>
        </w:rPr>
      </w:pPr>
      <w:r w:rsidRPr="008F656A">
        <w:rPr>
          <w:rFonts w:eastAsia="Times New Roman"/>
        </w:rPr>
        <w:t>Substantial progress has also been made under</w:t>
      </w:r>
      <w:r>
        <w:rPr>
          <w:rFonts w:eastAsia="Times New Roman"/>
          <w:b/>
        </w:rPr>
        <w:t xml:space="preserve"> </w:t>
      </w:r>
      <w:r w:rsidR="00965AEF" w:rsidRPr="00E03789">
        <w:rPr>
          <w:rFonts w:eastAsia="Times New Roman"/>
          <w:b/>
          <w:u w:val="single"/>
        </w:rPr>
        <w:t>Outcome 2 - Governments, enterprises and smallholders are adopting evidence-based agriculture, water and trade policy reforms as a result of Australian investments</w:t>
      </w:r>
      <w:r>
        <w:rPr>
          <w:rFonts w:eastAsia="Times New Roman"/>
          <w:b/>
        </w:rPr>
        <w:t>.</w:t>
      </w:r>
      <w:r w:rsidR="00733BA5">
        <w:rPr>
          <w:rFonts w:eastAsia="Times New Roman"/>
          <w:b/>
        </w:rPr>
        <w:t xml:space="preserve"> </w:t>
      </w:r>
      <w:r w:rsidR="00475C4C" w:rsidRPr="008F656A">
        <w:rPr>
          <w:rFonts w:eastAsia="Times New Roman"/>
        </w:rPr>
        <w:t xml:space="preserve">Pakistan announced its first </w:t>
      </w:r>
      <w:r w:rsidR="00820EC5">
        <w:rPr>
          <w:rFonts w:eastAsia="Times New Roman"/>
        </w:rPr>
        <w:t xml:space="preserve">ever </w:t>
      </w:r>
      <w:r w:rsidR="00475C4C" w:rsidRPr="008F656A">
        <w:rPr>
          <w:rFonts w:eastAsia="Times New Roman"/>
        </w:rPr>
        <w:t>National Water Policy in April 2018</w:t>
      </w:r>
      <w:r w:rsidR="00820EC5">
        <w:rPr>
          <w:rFonts w:eastAsia="Times New Roman"/>
        </w:rPr>
        <w:t>,</w:t>
      </w:r>
      <w:r w:rsidR="00475C4C" w:rsidRPr="008F656A">
        <w:rPr>
          <w:rFonts w:eastAsia="Times New Roman"/>
        </w:rPr>
        <w:t xml:space="preserve"> </w:t>
      </w:r>
      <w:r w:rsidR="00CF2AB2" w:rsidRPr="008F656A">
        <w:rPr>
          <w:rFonts w:eastAsia="Times New Roman"/>
        </w:rPr>
        <w:t>provid</w:t>
      </w:r>
      <w:r w:rsidR="00CF2AB2">
        <w:rPr>
          <w:rFonts w:eastAsia="Times New Roman"/>
        </w:rPr>
        <w:t>ing</w:t>
      </w:r>
      <w:r w:rsidR="00CF2AB2" w:rsidRPr="008F656A">
        <w:rPr>
          <w:rFonts w:eastAsia="Times New Roman"/>
        </w:rPr>
        <w:t xml:space="preserve"> </w:t>
      </w:r>
      <w:r w:rsidR="00FB6E32">
        <w:rPr>
          <w:rFonts w:eastAsia="Times New Roman"/>
        </w:rPr>
        <w:t xml:space="preserve">a </w:t>
      </w:r>
      <w:r w:rsidR="00475C4C" w:rsidRPr="008F656A">
        <w:rPr>
          <w:rFonts w:eastAsia="Times New Roman"/>
        </w:rPr>
        <w:t xml:space="preserve">comprehensive framework </w:t>
      </w:r>
      <w:r w:rsidR="000F164B">
        <w:rPr>
          <w:noProof/>
          <w:lang w:val="en-AU" w:eastAsia="en-AU"/>
        </w:rPr>
        <mc:AlternateContent>
          <mc:Choice Requires="wps">
            <w:drawing>
              <wp:anchor distT="0" distB="0" distL="114300" distR="114300" simplePos="0" relativeHeight="251692032" behindDoc="0" locked="0" layoutInCell="1" allowOverlap="1" wp14:anchorId="15129017" wp14:editId="5F796990">
                <wp:simplePos x="0" y="0"/>
                <wp:positionH relativeFrom="margin">
                  <wp:posOffset>3492852</wp:posOffset>
                </wp:positionH>
                <wp:positionV relativeFrom="paragraph">
                  <wp:posOffset>97087</wp:posOffset>
                </wp:positionV>
                <wp:extent cx="2681605" cy="4163060"/>
                <wp:effectExtent l="0" t="0" r="23495" b="27940"/>
                <wp:wrapSquare wrapText="bothSides"/>
                <wp:docPr id="38" name="Text Box 38"/>
                <wp:cNvGraphicFramePr/>
                <a:graphic xmlns:a="http://schemas.openxmlformats.org/drawingml/2006/main">
                  <a:graphicData uri="http://schemas.microsoft.com/office/word/2010/wordprocessingShape">
                    <wps:wsp>
                      <wps:cNvSpPr txBox="1"/>
                      <wps:spPr>
                        <a:xfrm>
                          <a:off x="0" y="0"/>
                          <a:ext cx="2681605" cy="4163060"/>
                        </a:xfrm>
                        <a:prstGeom prst="rect">
                          <a:avLst/>
                        </a:prstGeom>
                        <a:solidFill>
                          <a:schemeClr val="bg1"/>
                        </a:solidFill>
                        <a:ln w="6350">
                          <a:solidFill>
                            <a:schemeClr val="accent1"/>
                          </a:solidFill>
                        </a:ln>
                      </wps:spPr>
                      <wps:txbx>
                        <w:txbxContent>
                          <w:p w:rsidR="00F46617" w:rsidRPr="000F164B" w:rsidRDefault="00F46617" w:rsidP="007B4725">
                            <w:pPr>
                              <w:spacing w:before="0" w:after="0" w:line="240" w:lineRule="auto"/>
                              <w:rPr>
                                <w:rFonts w:asciiTheme="majorHAnsi" w:eastAsia="Times New Roman" w:hAnsiTheme="majorHAnsi"/>
                                <w:i/>
                                <w:color w:val="3DA18F" w:themeColor="accent1" w:themeShade="BF"/>
                                <w:sz w:val="20"/>
                                <w:szCs w:val="20"/>
                              </w:rPr>
                            </w:pPr>
                            <w:r w:rsidRPr="000F164B">
                              <w:rPr>
                                <w:rFonts w:asciiTheme="majorHAnsi" w:eastAsia="Times New Roman" w:hAnsiTheme="majorHAnsi"/>
                                <w:b/>
                                <w:i/>
                                <w:color w:val="3DA18F" w:themeColor="accent1" w:themeShade="BF"/>
                                <w:sz w:val="20"/>
                                <w:szCs w:val="20"/>
                              </w:rPr>
                              <w:t>Australia’s Market Development Facility</w:t>
                            </w:r>
                            <w:r w:rsidRPr="000F164B">
                              <w:rPr>
                                <w:rFonts w:asciiTheme="majorHAnsi" w:eastAsia="Times New Roman" w:hAnsiTheme="majorHAnsi"/>
                                <w:i/>
                                <w:color w:val="3DA18F" w:themeColor="accent1" w:themeShade="BF"/>
                                <w:sz w:val="20"/>
                                <w:szCs w:val="20"/>
                              </w:rPr>
                              <w:t xml:space="preserve"> </w:t>
                            </w:r>
                          </w:p>
                          <w:p w:rsidR="00F46617" w:rsidRPr="000F164B" w:rsidRDefault="00F46617" w:rsidP="007B4725">
                            <w:pPr>
                              <w:spacing w:before="0" w:after="0" w:line="240" w:lineRule="auto"/>
                              <w:rPr>
                                <w:rFonts w:asciiTheme="majorHAnsi" w:eastAsia="Times New Roman" w:hAnsiTheme="majorHAnsi"/>
                                <w:i/>
                                <w:sz w:val="20"/>
                                <w:szCs w:val="20"/>
                              </w:rPr>
                            </w:pPr>
                          </w:p>
                          <w:p w:rsidR="00F46617" w:rsidRDefault="00F46617" w:rsidP="007B4725">
                            <w:pPr>
                              <w:spacing w:before="0" w:after="0" w:line="240" w:lineRule="auto"/>
                              <w:rPr>
                                <w:rFonts w:eastAsia="Times New Roman"/>
                                <w:i/>
                                <w:sz w:val="20"/>
                                <w:szCs w:val="20"/>
                              </w:rPr>
                            </w:pPr>
                            <w:r>
                              <w:rPr>
                                <w:rFonts w:eastAsia="Times New Roman"/>
                                <w:i/>
                                <w:sz w:val="20"/>
                                <w:szCs w:val="20"/>
                              </w:rPr>
                              <w:t>This facility supports</w:t>
                            </w:r>
                            <w:r w:rsidRPr="00D44676">
                              <w:rPr>
                                <w:rFonts w:eastAsia="Times New Roman"/>
                                <w:i/>
                                <w:sz w:val="20"/>
                                <w:szCs w:val="20"/>
                              </w:rPr>
                              <w:t xml:space="preserve"> the private sector to </w:t>
                            </w:r>
                            <w:r>
                              <w:rPr>
                                <w:rFonts w:eastAsia="Times New Roman"/>
                                <w:i/>
                                <w:sz w:val="20"/>
                                <w:szCs w:val="20"/>
                              </w:rPr>
                              <w:t>develop new</w:t>
                            </w:r>
                            <w:r w:rsidRPr="00D44676">
                              <w:rPr>
                                <w:rFonts w:eastAsia="Times New Roman"/>
                                <w:i/>
                                <w:sz w:val="20"/>
                                <w:szCs w:val="20"/>
                              </w:rPr>
                              <w:t xml:space="preserve"> business </w:t>
                            </w:r>
                            <w:r>
                              <w:rPr>
                                <w:rFonts w:eastAsia="Times New Roman"/>
                                <w:i/>
                                <w:sz w:val="20"/>
                                <w:szCs w:val="20"/>
                              </w:rPr>
                              <w:t>models</w:t>
                            </w:r>
                            <w:r w:rsidRPr="00D44676">
                              <w:rPr>
                                <w:rFonts w:eastAsia="Times New Roman"/>
                                <w:i/>
                                <w:sz w:val="20"/>
                                <w:szCs w:val="20"/>
                              </w:rPr>
                              <w:t xml:space="preserve"> </w:t>
                            </w:r>
                            <w:r>
                              <w:rPr>
                                <w:rFonts w:eastAsia="Times New Roman"/>
                                <w:i/>
                                <w:sz w:val="20"/>
                                <w:szCs w:val="20"/>
                              </w:rPr>
                              <w:t xml:space="preserve">that </w:t>
                            </w:r>
                            <w:r w:rsidRPr="00D44676">
                              <w:rPr>
                                <w:rFonts w:eastAsia="Times New Roman"/>
                                <w:i/>
                                <w:sz w:val="20"/>
                                <w:szCs w:val="20"/>
                              </w:rPr>
                              <w:t xml:space="preserve">improve the lives of the poor. </w:t>
                            </w:r>
                            <w:r>
                              <w:rPr>
                                <w:rFonts w:eastAsia="Times New Roman"/>
                                <w:i/>
                                <w:sz w:val="20"/>
                                <w:szCs w:val="20"/>
                              </w:rPr>
                              <w:t xml:space="preserve"> One example is a new </w:t>
                            </w:r>
                            <w:r w:rsidRPr="00E03789">
                              <w:rPr>
                                <w:rFonts w:eastAsia="Times New Roman"/>
                                <w:b/>
                                <w:i/>
                                <w:sz w:val="20"/>
                                <w:szCs w:val="20"/>
                              </w:rPr>
                              <w:t xml:space="preserve">silage production </w:t>
                            </w:r>
                            <w:r>
                              <w:rPr>
                                <w:rFonts w:eastAsia="Times New Roman"/>
                                <w:b/>
                                <w:i/>
                                <w:sz w:val="20"/>
                                <w:szCs w:val="20"/>
                              </w:rPr>
                              <w:t xml:space="preserve">business </w:t>
                            </w:r>
                            <w:r w:rsidRPr="00E03789">
                              <w:rPr>
                                <w:rFonts w:eastAsia="Times New Roman"/>
                                <w:b/>
                                <w:i/>
                                <w:sz w:val="20"/>
                                <w:szCs w:val="20"/>
                              </w:rPr>
                              <w:t xml:space="preserve">model </w:t>
                            </w:r>
                            <w:r>
                              <w:rPr>
                                <w:rFonts w:eastAsia="Times New Roman"/>
                                <w:b/>
                                <w:i/>
                                <w:sz w:val="20"/>
                                <w:szCs w:val="20"/>
                              </w:rPr>
                              <w:t>that benefits small holders</w:t>
                            </w:r>
                            <w:r>
                              <w:rPr>
                                <w:rFonts w:eastAsia="Times New Roman"/>
                                <w:i/>
                                <w:sz w:val="20"/>
                                <w:szCs w:val="20"/>
                              </w:rPr>
                              <w:t>. In Pakistan, it is mostly women</w:t>
                            </w:r>
                            <w:r w:rsidRPr="00D44676">
                              <w:rPr>
                                <w:rFonts w:eastAsia="Times New Roman"/>
                                <w:i/>
                                <w:sz w:val="20"/>
                                <w:szCs w:val="20"/>
                              </w:rPr>
                              <w:t xml:space="preserve"> </w:t>
                            </w:r>
                            <w:r>
                              <w:rPr>
                                <w:rFonts w:eastAsia="Times New Roman"/>
                                <w:i/>
                                <w:sz w:val="20"/>
                                <w:szCs w:val="20"/>
                              </w:rPr>
                              <w:t xml:space="preserve">who </w:t>
                            </w:r>
                            <w:r w:rsidRPr="00D44676">
                              <w:rPr>
                                <w:rFonts w:eastAsia="Times New Roman"/>
                                <w:i/>
                                <w:sz w:val="20"/>
                                <w:szCs w:val="20"/>
                              </w:rPr>
                              <w:t>care for livestock</w:t>
                            </w:r>
                            <w:r>
                              <w:rPr>
                                <w:rFonts w:eastAsia="Times New Roman"/>
                                <w:i/>
                                <w:sz w:val="20"/>
                                <w:szCs w:val="20"/>
                              </w:rPr>
                              <w:t xml:space="preserve"> and there are cultural and security limits to their travelling unaccompanied to market to buy silage (feed) for their animals. As well, the size of the commercially available silage bales are too large for easy transport.</w:t>
                            </w:r>
                            <w:r w:rsidRPr="00D44676">
                              <w:rPr>
                                <w:rFonts w:eastAsia="Times New Roman"/>
                                <w:i/>
                                <w:sz w:val="20"/>
                                <w:szCs w:val="20"/>
                              </w:rPr>
                              <w:t xml:space="preserve"> </w:t>
                            </w:r>
                          </w:p>
                          <w:p w:rsidR="00F46617" w:rsidRDefault="00F46617" w:rsidP="007B4725">
                            <w:pPr>
                              <w:spacing w:before="0" w:after="0" w:line="240" w:lineRule="auto"/>
                              <w:rPr>
                                <w:rFonts w:eastAsia="Times New Roman"/>
                                <w:i/>
                                <w:sz w:val="20"/>
                                <w:szCs w:val="20"/>
                              </w:rPr>
                            </w:pPr>
                          </w:p>
                          <w:p w:rsidR="00F46617" w:rsidRPr="00D44676" w:rsidRDefault="00F46617" w:rsidP="007B4725">
                            <w:pPr>
                              <w:spacing w:before="0" w:after="0" w:line="240" w:lineRule="auto"/>
                              <w:rPr>
                                <w:rFonts w:eastAsia="Times New Roman"/>
                                <w:i/>
                                <w:sz w:val="20"/>
                                <w:szCs w:val="20"/>
                              </w:rPr>
                            </w:pPr>
                            <w:r>
                              <w:rPr>
                                <w:rFonts w:eastAsia="Times New Roman"/>
                                <w:i/>
                                <w:sz w:val="20"/>
                                <w:szCs w:val="20"/>
                              </w:rPr>
                              <w:t xml:space="preserve">As a result of MDF’s efforts, </w:t>
                            </w:r>
                            <w:r w:rsidRPr="005553C5">
                              <w:rPr>
                                <w:rFonts w:eastAsia="Times New Roman"/>
                                <w:i/>
                                <w:sz w:val="20"/>
                                <w:szCs w:val="20"/>
                              </w:rPr>
                              <w:t>Pioneer, a multinational agribusiness, is now selling seeds for silage production to small-medium entrepreneurs</w:t>
                            </w:r>
                            <w:r>
                              <w:rPr>
                                <w:rFonts w:eastAsia="Times New Roman"/>
                                <w:i/>
                                <w:sz w:val="20"/>
                                <w:szCs w:val="20"/>
                              </w:rPr>
                              <w:t>, taking MDF’s</w:t>
                            </w:r>
                            <w:r w:rsidRPr="00D44676">
                              <w:rPr>
                                <w:rFonts w:eastAsia="Times New Roman"/>
                                <w:i/>
                                <w:sz w:val="20"/>
                                <w:szCs w:val="20"/>
                              </w:rPr>
                              <w:t xml:space="preserve"> pilot</w:t>
                            </w:r>
                            <w:r>
                              <w:rPr>
                                <w:rFonts w:eastAsia="Times New Roman"/>
                                <w:i/>
                                <w:sz w:val="20"/>
                                <w:szCs w:val="20"/>
                              </w:rPr>
                              <w:t xml:space="preserve"> of smaller bale silage production to scale. Pioneer is also </w:t>
                            </w:r>
                            <w:r w:rsidRPr="00D44676">
                              <w:rPr>
                                <w:rFonts w:eastAsia="Times New Roman"/>
                                <w:i/>
                                <w:sz w:val="20"/>
                                <w:szCs w:val="20"/>
                              </w:rPr>
                              <w:t xml:space="preserve">using the point of sale to provide technical support to help ensure silage production remains an effective and growing enterprise. </w:t>
                            </w:r>
                            <w:r>
                              <w:rPr>
                                <w:rFonts w:eastAsia="Times New Roman"/>
                                <w:i/>
                                <w:sz w:val="20"/>
                                <w:szCs w:val="20"/>
                              </w:rPr>
                              <w:t>The program has helped establish o</w:t>
                            </w:r>
                            <w:r w:rsidRPr="00D44676">
                              <w:rPr>
                                <w:rFonts w:eastAsia="Times New Roman"/>
                                <w:i/>
                                <w:sz w:val="20"/>
                                <w:szCs w:val="20"/>
                              </w:rPr>
                              <w:t xml:space="preserve">ver 100 </w:t>
                            </w:r>
                            <w:r>
                              <w:rPr>
                                <w:rFonts w:eastAsia="Times New Roman"/>
                                <w:i/>
                                <w:sz w:val="20"/>
                                <w:szCs w:val="20"/>
                              </w:rPr>
                              <w:t>independent s</w:t>
                            </w:r>
                            <w:r w:rsidRPr="00D44676">
                              <w:rPr>
                                <w:rFonts w:eastAsia="Times New Roman"/>
                                <w:i/>
                                <w:sz w:val="20"/>
                                <w:szCs w:val="20"/>
                              </w:rPr>
                              <w:t xml:space="preserve">ilage enterprises </w:t>
                            </w:r>
                            <w:r>
                              <w:rPr>
                                <w:rFonts w:eastAsia="Times New Roman"/>
                                <w:i/>
                                <w:sz w:val="20"/>
                                <w:szCs w:val="20"/>
                              </w:rPr>
                              <w:t>a</w:t>
                            </w:r>
                            <w:r w:rsidRPr="00D44676">
                              <w:rPr>
                                <w:rFonts w:eastAsia="Times New Roman"/>
                                <w:i/>
                                <w:sz w:val="20"/>
                                <w:szCs w:val="20"/>
                              </w:rPr>
                              <w:t xml:space="preserve">nd that number is growing. </w:t>
                            </w:r>
                            <w:r>
                              <w:rPr>
                                <w:rFonts w:eastAsia="Times New Roman"/>
                                <w:i/>
                                <w:sz w:val="20"/>
                                <w:szCs w:val="20"/>
                              </w:rPr>
                              <w:t xml:space="preserve">Milk yields for smallholder framers purchasing silage have approximately doubled, with 11,000 farmers benefitting to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29017" id="Text Box 38" o:spid="_x0000_s1028" type="#_x0000_t202" style="position:absolute;margin-left:275.05pt;margin-top:7.65pt;width:211.15pt;height:327.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" fillcolor="white [3212]" strokecolor="#65c5b4 [3204]" strokeweight=".5pt">
                <v:textbox>
                  <w:txbxContent>
                    <w:p w:rsidR="00F46617" w:rsidRPr="000F164B" w:rsidRDefault="00F46617" w:rsidP="007B4725">
                      <w:pPr>
                        <w:spacing w:before="0" w:after="0" w:line="240" w:lineRule="auto"/>
                        <w:rPr>
                          <w:rFonts w:asciiTheme="majorHAnsi" w:eastAsia="Times New Roman" w:hAnsiTheme="majorHAnsi"/>
                          <w:i/>
                          <w:color w:val="3DA18F" w:themeColor="accent1" w:themeShade="BF"/>
                          <w:sz w:val="20"/>
                          <w:szCs w:val="20"/>
                        </w:rPr>
                      </w:pPr>
                      <w:r w:rsidRPr="000F164B">
                        <w:rPr>
                          <w:rFonts w:asciiTheme="majorHAnsi" w:eastAsia="Times New Roman" w:hAnsiTheme="majorHAnsi"/>
                          <w:b/>
                          <w:i/>
                          <w:color w:val="3DA18F" w:themeColor="accent1" w:themeShade="BF"/>
                          <w:sz w:val="20"/>
                          <w:szCs w:val="20"/>
                        </w:rPr>
                        <w:t>Australia’s Market Development Facility</w:t>
                      </w:r>
                      <w:r w:rsidRPr="000F164B">
                        <w:rPr>
                          <w:rFonts w:asciiTheme="majorHAnsi" w:eastAsia="Times New Roman" w:hAnsiTheme="majorHAnsi"/>
                          <w:i/>
                          <w:color w:val="3DA18F" w:themeColor="accent1" w:themeShade="BF"/>
                          <w:sz w:val="20"/>
                          <w:szCs w:val="20"/>
                        </w:rPr>
                        <w:t xml:space="preserve"> </w:t>
                      </w:r>
                    </w:p>
                    <w:p w:rsidR="00F46617" w:rsidRPr="000F164B" w:rsidRDefault="00F46617" w:rsidP="007B4725">
                      <w:pPr>
                        <w:spacing w:before="0" w:after="0" w:line="240" w:lineRule="auto"/>
                        <w:rPr>
                          <w:rFonts w:asciiTheme="majorHAnsi" w:eastAsia="Times New Roman" w:hAnsiTheme="majorHAnsi"/>
                          <w:i/>
                          <w:sz w:val="20"/>
                          <w:szCs w:val="20"/>
                        </w:rPr>
                      </w:pPr>
                    </w:p>
                    <w:p w:rsidR="00F46617" w:rsidRDefault="00F46617" w:rsidP="007B4725">
                      <w:pPr>
                        <w:spacing w:before="0" w:after="0" w:line="240" w:lineRule="auto"/>
                        <w:rPr>
                          <w:rFonts w:eastAsia="Times New Roman"/>
                          <w:i/>
                          <w:sz w:val="20"/>
                          <w:szCs w:val="20"/>
                        </w:rPr>
                      </w:pPr>
                      <w:r>
                        <w:rPr>
                          <w:rFonts w:eastAsia="Times New Roman"/>
                          <w:i/>
                          <w:sz w:val="20"/>
                          <w:szCs w:val="20"/>
                        </w:rPr>
                        <w:t>This facility supports</w:t>
                      </w:r>
                      <w:r w:rsidRPr="00D44676">
                        <w:rPr>
                          <w:rFonts w:eastAsia="Times New Roman"/>
                          <w:i/>
                          <w:sz w:val="20"/>
                          <w:szCs w:val="20"/>
                        </w:rPr>
                        <w:t xml:space="preserve"> the private sector to </w:t>
                      </w:r>
                      <w:r>
                        <w:rPr>
                          <w:rFonts w:eastAsia="Times New Roman"/>
                          <w:i/>
                          <w:sz w:val="20"/>
                          <w:szCs w:val="20"/>
                        </w:rPr>
                        <w:t>develop new</w:t>
                      </w:r>
                      <w:r w:rsidRPr="00D44676">
                        <w:rPr>
                          <w:rFonts w:eastAsia="Times New Roman"/>
                          <w:i/>
                          <w:sz w:val="20"/>
                          <w:szCs w:val="20"/>
                        </w:rPr>
                        <w:t xml:space="preserve"> business </w:t>
                      </w:r>
                      <w:r>
                        <w:rPr>
                          <w:rFonts w:eastAsia="Times New Roman"/>
                          <w:i/>
                          <w:sz w:val="20"/>
                          <w:szCs w:val="20"/>
                        </w:rPr>
                        <w:t>models</w:t>
                      </w:r>
                      <w:r w:rsidRPr="00D44676">
                        <w:rPr>
                          <w:rFonts w:eastAsia="Times New Roman"/>
                          <w:i/>
                          <w:sz w:val="20"/>
                          <w:szCs w:val="20"/>
                        </w:rPr>
                        <w:t xml:space="preserve"> </w:t>
                      </w:r>
                      <w:r>
                        <w:rPr>
                          <w:rFonts w:eastAsia="Times New Roman"/>
                          <w:i/>
                          <w:sz w:val="20"/>
                          <w:szCs w:val="20"/>
                        </w:rPr>
                        <w:t xml:space="preserve">that </w:t>
                      </w:r>
                      <w:r w:rsidRPr="00D44676">
                        <w:rPr>
                          <w:rFonts w:eastAsia="Times New Roman"/>
                          <w:i/>
                          <w:sz w:val="20"/>
                          <w:szCs w:val="20"/>
                        </w:rPr>
                        <w:t xml:space="preserve">improve the lives of the poor. </w:t>
                      </w:r>
                      <w:r>
                        <w:rPr>
                          <w:rFonts w:eastAsia="Times New Roman"/>
                          <w:i/>
                          <w:sz w:val="20"/>
                          <w:szCs w:val="20"/>
                        </w:rPr>
                        <w:t xml:space="preserve"> One example is a new </w:t>
                      </w:r>
                      <w:r w:rsidRPr="00E03789">
                        <w:rPr>
                          <w:rFonts w:eastAsia="Times New Roman"/>
                          <w:b/>
                          <w:i/>
                          <w:sz w:val="20"/>
                          <w:szCs w:val="20"/>
                        </w:rPr>
                        <w:t xml:space="preserve">silage production </w:t>
                      </w:r>
                      <w:r>
                        <w:rPr>
                          <w:rFonts w:eastAsia="Times New Roman"/>
                          <w:b/>
                          <w:i/>
                          <w:sz w:val="20"/>
                          <w:szCs w:val="20"/>
                        </w:rPr>
                        <w:t xml:space="preserve">business </w:t>
                      </w:r>
                      <w:r w:rsidRPr="00E03789">
                        <w:rPr>
                          <w:rFonts w:eastAsia="Times New Roman"/>
                          <w:b/>
                          <w:i/>
                          <w:sz w:val="20"/>
                          <w:szCs w:val="20"/>
                        </w:rPr>
                        <w:t xml:space="preserve">model </w:t>
                      </w:r>
                      <w:r>
                        <w:rPr>
                          <w:rFonts w:eastAsia="Times New Roman"/>
                          <w:b/>
                          <w:i/>
                          <w:sz w:val="20"/>
                          <w:szCs w:val="20"/>
                        </w:rPr>
                        <w:t>that benefits small holders</w:t>
                      </w:r>
                      <w:r>
                        <w:rPr>
                          <w:rFonts w:eastAsia="Times New Roman"/>
                          <w:i/>
                          <w:sz w:val="20"/>
                          <w:szCs w:val="20"/>
                        </w:rPr>
                        <w:t>. In Pakistan, it is mostly women</w:t>
                      </w:r>
                      <w:r w:rsidRPr="00D44676">
                        <w:rPr>
                          <w:rFonts w:eastAsia="Times New Roman"/>
                          <w:i/>
                          <w:sz w:val="20"/>
                          <w:szCs w:val="20"/>
                        </w:rPr>
                        <w:t xml:space="preserve"> </w:t>
                      </w:r>
                      <w:r>
                        <w:rPr>
                          <w:rFonts w:eastAsia="Times New Roman"/>
                          <w:i/>
                          <w:sz w:val="20"/>
                          <w:szCs w:val="20"/>
                        </w:rPr>
                        <w:t xml:space="preserve">who </w:t>
                      </w:r>
                      <w:r w:rsidRPr="00D44676">
                        <w:rPr>
                          <w:rFonts w:eastAsia="Times New Roman"/>
                          <w:i/>
                          <w:sz w:val="20"/>
                          <w:szCs w:val="20"/>
                        </w:rPr>
                        <w:t>care for livestock</w:t>
                      </w:r>
                      <w:r>
                        <w:rPr>
                          <w:rFonts w:eastAsia="Times New Roman"/>
                          <w:i/>
                          <w:sz w:val="20"/>
                          <w:szCs w:val="20"/>
                        </w:rPr>
                        <w:t xml:space="preserve"> and there are cultural and security limits to their travelling unaccompanied to market to buy silage (feed) for their animals. As well, the size of the commercially available silage bales are too large for easy transport.</w:t>
                      </w:r>
                      <w:r w:rsidRPr="00D44676">
                        <w:rPr>
                          <w:rFonts w:eastAsia="Times New Roman"/>
                          <w:i/>
                          <w:sz w:val="20"/>
                          <w:szCs w:val="20"/>
                        </w:rPr>
                        <w:t xml:space="preserve"> </w:t>
                      </w:r>
                    </w:p>
                    <w:p w:rsidR="00F46617" w:rsidRDefault="00F46617" w:rsidP="007B4725">
                      <w:pPr>
                        <w:spacing w:before="0" w:after="0" w:line="240" w:lineRule="auto"/>
                        <w:rPr>
                          <w:rFonts w:eastAsia="Times New Roman"/>
                          <w:i/>
                          <w:sz w:val="20"/>
                          <w:szCs w:val="20"/>
                        </w:rPr>
                      </w:pPr>
                    </w:p>
                    <w:p w:rsidR="00F46617" w:rsidRPr="00D44676" w:rsidRDefault="00F46617" w:rsidP="007B4725">
                      <w:pPr>
                        <w:spacing w:before="0" w:after="0" w:line="240" w:lineRule="auto"/>
                        <w:rPr>
                          <w:rFonts w:eastAsia="Times New Roman"/>
                          <w:i/>
                          <w:sz w:val="20"/>
                          <w:szCs w:val="20"/>
                        </w:rPr>
                      </w:pPr>
                      <w:r>
                        <w:rPr>
                          <w:rFonts w:eastAsia="Times New Roman"/>
                          <w:i/>
                          <w:sz w:val="20"/>
                          <w:szCs w:val="20"/>
                        </w:rPr>
                        <w:t xml:space="preserve">As a result of MDF’s efforts, </w:t>
                      </w:r>
                      <w:r w:rsidRPr="005553C5">
                        <w:rPr>
                          <w:rFonts w:eastAsia="Times New Roman"/>
                          <w:i/>
                          <w:sz w:val="20"/>
                          <w:szCs w:val="20"/>
                        </w:rPr>
                        <w:t>Pioneer, a multinational agribusiness, is now selling seeds for silage production to small-medium entrepreneurs</w:t>
                      </w:r>
                      <w:r>
                        <w:rPr>
                          <w:rFonts w:eastAsia="Times New Roman"/>
                          <w:i/>
                          <w:sz w:val="20"/>
                          <w:szCs w:val="20"/>
                        </w:rPr>
                        <w:t>, taking MDF’s</w:t>
                      </w:r>
                      <w:r w:rsidRPr="00D44676">
                        <w:rPr>
                          <w:rFonts w:eastAsia="Times New Roman"/>
                          <w:i/>
                          <w:sz w:val="20"/>
                          <w:szCs w:val="20"/>
                        </w:rPr>
                        <w:t xml:space="preserve"> pilot</w:t>
                      </w:r>
                      <w:r>
                        <w:rPr>
                          <w:rFonts w:eastAsia="Times New Roman"/>
                          <w:i/>
                          <w:sz w:val="20"/>
                          <w:szCs w:val="20"/>
                        </w:rPr>
                        <w:t xml:space="preserve"> of smaller bale silage production to scale. Pioneer is also </w:t>
                      </w:r>
                      <w:r w:rsidRPr="00D44676">
                        <w:rPr>
                          <w:rFonts w:eastAsia="Times New Roman"/>
                          <w:i/>
                          <w:sz w:val="20"/>
                          <w:szCs w:val="20"/>
                        </w:rPr>
                        <w:t xml:space="preserve">using the point of sale to provide technical support to help ensure silage production remains an effective and growing enterprise. </w:t>
                      </w:r>
                      <w:r>
                        <w:rPr>
                          <w:rFonts w:eastAsia="Times New Roman"/>
                          <w:i/>
                          <w:sz w:val="20"/>
                          <w:szCs w:val="20"/>
                        </w:rPr>
                        <w:t>The program has helped establish o</w:t>
                      </w:r>
                      <w:r w:rsidRPr="00D44676">
                        <w:rPr>
                          <w:rFonts w:eastAsia="Times New Roman"/>
                          <w:i/>
                          <w:sz w:val="20"/>
                          <w:szCs w:val="20"/>
                        </w:rPr>
                        <w:t xml:space="preserve">ver 100 </w:t>
                      </w:r>
                      <w:r>
                        <w:rPr>
                          <w:rFonts w:eastAsia="Times New Roman"/>
                          <w:i/>
                          <w:sz w:val="20"/>
                          <w:szCs w:val="20"/>
                        </w:rPr>
                        <w:t>independent s</w:t>
                      </w:r>
                      <w:r w:rsidRPr="00D44676">
                        <w:rPr>
                          <w:rFonts w:eastAsia="Times New Roman"/>
                          <w:i/>
                          <w:sz w:val="20"/>
                          <w:szCs w:val="20"/>
                        </w:rPr>
                        <w:t xml:space="preserve">ilage enterprises </w:t>
                      </w:r>
                      <w:r>
                        <w:rPr>
                          <w:rFonts w:eastAsia="Times New Roman"/>
                          <w:i/>
                          <w:sz w:val="20"/>
                          <w:szCs w:val="20"/>
                        </w:rPr>
                        <w:t>a</w:t>
                      </w:r>
                      <w:r w:rsidRPr="00D44676">
                        <w:rPr>
                          <w:rFonts w:eastAsia="Times New Roman"/>
                          <w:i/>
                          <w:sz w:val="20"/>
                          <w:szCs w:val="20"/>
                        </w:rPr>
                        <w:t xml:space="preserve">nd that number is growing. </w:t>
                      </w:r>
                      <w:r>
                        <w:rPr>
                          <w:rFonts w:eastAsia="Times New Roman"/>
                          <w:i/>
                          <w:sz w:val="20"/>
                          <w:szCs w:val="20"/>
                        </w:rPr>
                        <w:t xml:space="preserve">Milk yields for smallholder framers purchasing silage have approximately doubled, with 11,000 farmers benefitting to date.  </w:t>
                      </w:r>
                    </w:p>
                  </w:txbxContent>
                </v:textbox>
                <w10:wrap type="square" anchorx="margin"/>
              </v:shape>
            </w:pict>
          </mc:Fallback>
        </mc:AlternateContent>
      </w:r>
      <w:r w:rsidR="00475C4C" w:rsidRPr="008F656A">
        <w:rPr>
          <w:rFonts w:eastAsia="Times New Roman"/>
        </w:rPr>
        <w:t xml:space="preserve">for water management, including people’s rights and obligations, environmental protection and investment needs. </w:t>
      </w:r>
      <w:r w:rsidR="00CF2AB2">
        <w:rPr>
          <w:rFonts w:eastAsia="Times New Roman"/>
        </w:rPr>
        <w:t xml:space="preserve">CSIRO is </w:t>
      </w:r>
      <w:r w:rsidR="00F70299">
        <w:rPr>
          <w:rFonts w:eastAsia="Times New Roman"/>
        </w:rPr>
        <w:t>helping</w:t>
      </w:r>
      <w:r w:rsidR="00CF2AB2">
        <w:rPr>
          <w:rFonts w:eastAsia="Times New Roman"/>
        </w:rPr>
        <w:t xml:space="preserve"> </w:t>
      </w:r>
      <w:r w:rsidRPr="008F656A">
        <w:rPr>
          <w:rFonts w:eastAsia="Times New Roman"/>
        </w:rPr>
        <w:t xml:space="preserve">Pakistan develop an advanced water data </w:t>
      </w:r>
      <w:r w:rsidR="00F70299">
        <w:rPr>
          <w:rFonts w:eastAsia="Times New Roman"/>
        </w:rPr>
        <w:t xml:space="preserve">management and modelling system to allow them to </w:t>
      </w:r>
      <w:r w:rsidRPr="008F656A">
        <w:rPr>
          <w:rFonts w:eastAsia="Times New Roman"/>
        </w:rPr>
        <w:t>make evidence-based decisions</w:t>
      </w:r>
      <w:r w:rsidR="00F6471F">
        <w:rPr>
          <w:rFonts w:eastAsia="Times New Roman"/>
        </w:rPr>
        <w:t>.</w:t>
      </w:r>
      <w:r w:rsidR="00F6471F" w:rsidRPr="00F6471F">
        <w:rPr>
          <w:rFonts w:eastAsia="Times New Roman"/>
        </w:rPr>
        <w:t xml:space="preserve"> </w:t>
      </w:r>
      <w:r w:rsidR="00656EF7" w:rsidRPr="008F656A">
        <w:rPr>
          <w:rFonts w:eastAsia="Times New Roman"/>
        </w:rPr>
        <w:t xml:space="preserve">The Pakistan Water </w:t>
      </w:r>
      <w:r w:rsidR="00820EC5">
        <w:rPr>
          <w:rFonts w:eastAsia="Times New Roman"/>
        </w:rPr>
        <w:t>C</w:t>
      </w:r>
      <w:r w:rsidR="00656EF7" w:rsidRPr="008F656A">
        <w:rPr>
          <w:rFonts w:eastAsia="Times New Roman"/>
        </w:rPr>
        <w:t xml:space="preserve">ommission </w:t>
      </w:r>
      <w:r w:rsidR="00656EF7">
        <w:rPr>
          <w:rFonts w:eastAsia="Times New Roman"/>
        </w:rPr>
        <w:t>was</w:t>
      </w:r>
      <w:r w:rsidR="00656EF7" w:rsidRPr="008F656A">
        <w:rPr>
          <w:rFonts w:eastAsia="Times New Roman"/>
        </w:rPr>
        <w:t xml:space="preserve"> formed just before the July 2018 elections</w:t>
      </w:r>
      <w:r w:rsidR="00656EF7">
        <w:rPr>
          <w:rFonts w:eastAsia="Times New Roman"/>
        </w:rPr>
        <w:t xml:space="preserve">. </w:t>
      </w:r>
      <w:r w:rsidR="00656EF7" w:rsidRPr="008F656A">
        <w:rPr>
          <w:rFonts w:eastAsia="Times New Roman"/>
        </w:rPr>
        <w:t xml:space="preserve">Pakistan’s Cabinet </w:t>
      </w:r>
      <w:r w:rsidR="00656EF7">
        <w:rPr>
          <w:rFonts w:eastAsia="Times New Roman"/>
        </w:rPr>
        <w:t xml:space="preserve">also approved the proposed </w:t>
      </w:r>
      <w:r w:rsidR="00656EF7" w:rsidRPr="00E03789">
        <w:rPr>
          <w:rFonts w:eastAsia="Times New Roman"/>
          <w:b/>
        </w:rPr>
        <w:t>Australia-Pakistan Integrated Water Resource Management MOU</w:t>
      </w:r>
      <w:r w:rsidR="00656EF7" w:rsidRPr="008F656A">
        <w:rPr>
          <w:rFonts w:eastAsia="Times New Roman"/>
        </w:rPr>
        <w:t xml:space="preserve"> in June 2018</w:t>
      </w:r>
      <w:r w:rsidR="00CE73AF">
        <w:rPr>
          <w:rFonts w:eastAsia="Times New Roman"/>
        </w:rPr>
        <w:t>, which was then</w:t>
      </w:r>
      <w:r w:rsidR="00820EC5">
        <w:rPr>
          <w:rFonts w:eastAsia="Times New Roman"/>
        </w:rPr>
        <w:t xml:space="preserve"> </w:t>
      </w:r>
      <w:r w:rsidR="00656EF7" w:rsidRPr="008F656A">
        <w:rPr>
          <w:rFonts w:eastAsia="Times New Roman"/>
        </w:rPr>
        <w:t xml:space="preserve">signed </w:t>
      </w:r>
      <w:r w:rsidR="00656EF7">
        <w:rPr>
          <w:rFonts w:eastAsia="Times New Roman"/>
        </w:rPr>
        <w:t xml:space="preserve">in </w:t>
      </w:r>
      <w:r w:rsidR="00820EC5">
        <w:rPr>
          <w:rFonts w:eastAsia="Times New Roman"/>
        </w:rPr>
        <w:t>September</w:t>
      </w:r>
      <w:r w:rsidR="00656EF7" w:rsidRPr="008F656A">
        <w:rPr>
          <w:rFonts w:eastAsia="Times New Roman"/>
        </w:rPr>
        <w:t xml:space="preserve"> 2018.</w:t>
      </w:r>
      <w:r w:rsidR="00656EF7" w:rsidRPr="00F6471F">
        <w:rPr>
          <w:rFonts w:eastAsia="Times New Roman"/>
        </w:rPr>
        <w:t xml:space="preserve"> </w:t>
      </w:r>
    </w:p>
    <w:p w:rsidR="00733BA5" w:rsidRPr="008F656A" w:rsidRDefault="00733BA5" w:rsidP="001371FE">
      <w:pPr>
        <w:spacing w:line="240" w:lineRule="auto"/>
        <w:rPr>
          <w:rFonts w:eastAsia="Times New Roman"/>
        </w:rPr>
      </w:pPr>
      <w:r>
        <w:rPr>
          <w:rFonts w:eastAsia="Times New Roman"/>
        </w:rPr>
        <w:t xml:space="preserve">The </w:t>
      </w:r>
      <w:r w:rsidRPr="00E03789">
        <w:rPr>
          <w:rFonts w:eastAsia="Times New Roman"/>
          <w:b/>
        </w:rPr>
        <w:t>Better Cotton Initiative</w:t>
      </w:r>
      <w:r w:rsidR="00B705FE">
        <w:rPr>
          <w:rFonts w:eastAsia="Times New Roman"/>
          <w:b/>
        </w:rPr>
        <w:t xml:space="preserve"> (BCI)</w:t>
      </w:r>
      <w:r>
        <w:rPr>
          <w:rFonts w:eastAsia="Times New Roman"/>
        </w:rPr>
        <w:t xml:space="preserve"> under the Business Partnerships Platform trained 55,000 Pakistani cotton farmers </w:t>
      </w:r>
      <w:r w:rsidR="00F70299">
        <w:rPr>
          <w:rFonts w:eastAsia="Times New Roman"/>
        </w:rPr>
        <w:t>in</w:t>
      </w:r>
      <w:r>
        <w:rPr>
          <w:rFonts w:eastAsia="Times New Roman"/>
        </w:rPr>
        <w:t xml:space="preserve"> water stewardship, minimising harmful impact of crop protection practices, care for the health of soil and promoting decent work conditions. ACIAR</w:t>
      </w:r>
      <w:r w:rsidR="006F0287">
        <w:rPr>
          <w:rFonts w:eastAsia="Times New Roman"/>
        </w:rPr>
        <w:t>’s</w:t>
      </w:r>
      <w:r>
        <w:rPr>
          <w:rFonts w:eastAsia="Times New Roman"/>
        </w:rPr>
        <w:t xml:space="preserve"> Irrigation Efficiency Improvement Program helped farmers save up to US</w:t>
      </w:r>
      <w:r w:rsidR="00943607">
        <w:rPr>
          <w:rFonts w:eastAsia="Times New Roman"/>
        </w:rPr>
        <w:t xml:space="preserve">D </w:t>
      </w:r>
      <w:r>
        <w:rPr>
          <w:rFonts w:eastAsia="Times New Roman"/>
        </w:rPr>
        <w:t>500 per cropping season by reducing water</w:t>
      </w:r>
      <w:r w:rsidR="00F70299">
        <w:rPr>
          <w:rFonts w:eastAsia="Times New Roman"/>
        </w:rPr>
        <w:t xml:space="preserve"> and fertilizer waste.</w:t>
      </w:r>
      <w:r>
        <w:rPr>
          <w:rStyle w:val="FootnoteReference"/>
          <w:rFonts w:eastAsia="Times New Roman"/>
        </w:rPr>
        <w:footnoteReference w:id="6"/>
      </w:r>
      <w:r>
        <w:rPr>
          <w:rFonts w:eastAsia="Times New Roman"/>
        </w:rPr>
        <w:t xml:space="preserve"> </w:t>
      </w:r>
    </w:p>
    <w:p w:rsidR="002C3147" w:rsidRDefault="002C3147" w:rsidP="001371FE">
      <w:pPr>
        <w:spacing w:line="240" w:lineRule="auto"/>
        <w:rPr>
          <w:rFonts w:eastAsia="Times New Roman"/>
        </w:rPr>
      </w:pPr>
      <w:r w:rsidRPr="00FE7E6C">
        <w:rPr>
          <w:rFonts w:eastAsia="Times New Roman"/>
          <w:b/>
        </w:rPr>
        <w:t>Pakistan Trade and Investment Policy Program (PTIPP)</w:t>
      </w:r>
      <w:r w:rsidRPr="00A95FE1">
        <w:rPr>
          <w:rFonts w:eastAsia="Times New Roman"/>
        </w:rPr>
        <w:t xml:space="preserve"> received a satisfactory assessment</w:t>
      </w:r>
      <w:r>
        <w:rPr>
          <w:rFonts w:eastAsia="Times New Roman"/>
        </w:rPr>
        <w:t xml:space="preserve"> in the 2018 </w:t>
      </w:r>
      <w:r w:rsidR="00CE73AF">
        <w:rPr>
          <w:rFonts w:eastAsia="Times New Roman"/>
        </w:rPr>
        <w:t>Aid Quality Check</w:t>
      </w:r>
      <w:r>
        <w:rPr>
          <w:rFonts w:eastAsia="Times New Roman"/>
        </w:rPr>
        <w:t xml:space="preserve"> </w:t>
      </w:r>
      <w:r w:rsidRPr="005F4E47">
        <w:rPr>
          <w:rFonts w:eastAsia="Times New Roman"/>
        </w:rPr>
        <w:t>process</w:t>
      </w:r>
      <w:r w:rsidR="00820EC5" w:rsidRPr="005F4E47">
        <w:rPr>
          <w:rFonts w:eastAsia="Times New Roman"/>
        </w:rPr>
        <w:t xml:space="preserve">. </w:t>
      </w:r>
      <w:r w:rsidRPr="0058515D">
        <w:rPr>
          <w:rFonts w:eastAsia="Times New Roman"/>
        </w:rPr>
        <w:t>DFAT and ACIAR are establishing a new partnership approach in Pakistan</w:t>
      </w:r>
      <w:r w:rsidRPr="005F4E47">
        <w:rPr>
          <w:rFonts w:eastAsia="Times New Roman"/>
        </w:rPr>
        <w:t xml:space="preserve"> capitalis</w:t>
      </w:r>
      <w:r w:rsidR="00820EC5" w:rsidRPr="005F4E47">
        <w:rPr>
          <w:rFonts w:eastAsia="Times New Roman"/>
        </w:rPr>
        <w:t>ing</w:t>
      </w:r>
      <w:r>
        <w:rPr>
          <w:rFonts w:eastAsia="Times New Roman"/>
        </w:rPr>
        <w:t xml:space="preserve"> on </w:t>
      </w:r>
      <w:r w:rsidR="00820EC5">
        <w:rPr>
          <w:rFonts w:eastAsia="Times New Roman"/>
        </w:rPr>
        <w:t>the two</w:t>
      </w:r>
      <w:r>
        <w:rPr>
          <w:rFonts w:eastAsia="Times New Roman"/>
        </w:rPr>
        <w:t xml:space="preserve"> organisations’ strengths.</w:t>
      </w:r>
      <w:r w:rsidRPr="002C3147">
        <w:rPr>
          <w:rFonts w:eastAsia="Times New Roman"/>
        </w:rPr>
        <w:t xml:space="preserve"> </w:t>
      </w:r>
      <w:r w:rsidR="00820EC5">
        <w:rPr>
          <w:rFonts w:eastAsia="Times New Roman"/>
        </w:rPr>
        <w:t>DFAT is, accordingly, exiting ACIAR’s Agricultural Value Chain Collaborative Research Program (AVCCR).</w:t>
      </w:r>
    </w:p>
    <w:p w:rsidR="0038653C" w:rsidRDefault="0038653C" w:rsidP="001371FE">
      <w:pPr>
        <w:spacing w:line="240" w:lineRule="auto"/>
        <w:rPr>
          <w:rFonts w:eastAsia="Times New Roman"/>
        </w:rPr>
      </w:pPr>
      <w:r>
        <w:rPr>
          <w:rFonts w:eastAsia="Times New Roman"/>
        </w:rPr>
        <w:t xml:space="preserve">We </w:t>
      </w:r>
      <w:r w:rsidRPr="00B30FB7">
        <w:rPr>
          <w:rFonts w:eastAsia="Times New Roman"/>
        </w:rPr>
        <w:t xml:space="preserve">continued to </w:t>
      </w:r>
      <w:r w:rsidRPr="000C6FFB">
        <w:rPr>
          <w:rFonts w:eastAsia="Times New Roman"/>
          <w:b/>
        </w:rPr>
        <w:t xml:space="preserve">integrate nutrition-sensitive </w:t>
      </w:r>
      <w:r>
        <w:rPr>
          <w:rFonts w:eastAsia="Times New Roman"/>
          <w:b/>
        </w:rPr>
        <w:t>approaches with a focus on our agriculture investments</w:t>
      </w:r>
      <w:r w:rsidRPr="00B30FB7">
        <w:rPr>
          <w:rFonts w:eastAsia="Times New Roman"/>
        </w:rPr>
        <w:t xml:space="preserve">. </w:t>
      </w:r>
      <w:r>
        <w:rPr>
          <w:rFonts w:eastAsia="Times New Roman"/>
        </w:rPr>
        <w:t>N</w:t>
      </w:r>
      <w:r w:rsidRPr="00B30FB7">
        <w:rPr>
          <w:rFonts w:eastAsia="Times New Roman"/>
        </w:rPr>
        <w:t xml:space="preserve">utrition clinics </w:t>
      </w:r>
      <w:r>
        <w:rPr>
          <w:rFonts w:eastAsia="Times New Roman"/>
        </w:rPr>
        <w:t xml:space="preserve">were delivered </w:t>
      </w:r>
      <w:r w:rsidRPr="00B30FB7">
        <w:rPr>
          <w:rFonts w:eastAsia="Times New Roman"/>
        </w:rPr>
        <w:t>in October 2017</w:t>
      </w:r>
      <w:r>
        <w:rPr>
          <w:rFonts w:eastAsia="Times New Roman"/>
        </w:rPr>
        <w:t xml:space="preserve">, with good progress since then against agreed nutrition integration action plans. </w:t>
      </w:r>
      <w:r w:rsidRPr="00B30FB7">
        <w:rPr>
          <w:rFonts w:eastAsia="Times New Roman"/>
        </w:rPr>
        <w:t>SRSP has</w:t>
      </w:r>
      <w:r>
        <w:rPr>
          <w:rFonts w:eastAsia="Times New Roman"/>
        </w:rPr>
        <w:t xml:space="preserve"> </w:t>
      </w:r>
      <w:r w:rsidRPr="00B30FB7">
        <w:rPr>
          <w:rFonts w:eastAsia="Times New Roman"/>
        </w:rPr>
        <w:t>implemented nutrition training for communities benefitting 3610 women</w:t>
      </w:r>
      <w:r>
        <w:rPr>
          <w:rFonts w:eastAsia="Times New Roman"/>
        </w:rPr>
        <w:t>;</w:t>
      </w:r>
      <w:r w:rsidRPr="00B30FB7">
        <w:rPr>
          <w:rFonts w:eastAsia="Times New Roman"/>
        </w:rPr>
        <w:t xml:space="preserve"> MDF </w:t>
      </w:r>
      <w:r>
        <w:rPr>
          <w:rFonts w:eastAsia="Times New Roman"/>
        </w:rPr>
        <w:t xml:space="preserve">is </w:t>
      </w:r>
      <w:r w:rsidRPr="00B30FB7">
        <w:rPr>
          <w:rFonts w:eastAsia="Times New Roman"/>
        </w:rPr>
        <w:t>partner</w:t>
      </w:r>
      <w:r>
        <w:rPr>
          <w:rFonts w:eastAsia="Times New Roman"/>
        </w:rPr>
        <w:t>ing</w:t>
      </w:r>
      <w:r w:rsidRPr="00B30FB7">
        <w:rPr>
          <w:rFonts w:eastAsia="Times New Roman"/>
        </w:rPr>
        <w:t xml:space="preserve"> with Telenor Pakist</w:t>
      </w:r>
      <w:r>
        <w:rPr>
          <w:rFonts w:eastAsia="Times New Roman"/>
        </w:rPr>
        <w:t>an to deliver nutrition advice</w:t>
      </w:r>
      <w:r w:rsidRPr="00B30FB7">
        <w:rPr>
          <w:rFonts w:eastAsia="Times New Roman"/>
        </w:rPr>
        <w:t xml:space="preserve"> through their mobile agriculture service in KP and </w:t>
      </w:r>
      <w:proofErr w:type="spellStart"/>
      <w:r w:rsidRPr="00B30FB7">
        <w:rPr>
          <w:rFonts w:eastAsia="Times New Roman"/>
        </w:rPr>
        <w:t>Balochistan</w:t>
      </w:r>
      <w:proofErr w:type="spellEnd"/>
      <w:r>
        <w:rPr>
          <w:rFonts w:eastAsia="Times New Roman"/>
        </w:rPr>
        <w:t>; and</w:t>
      </w:r>
      <w:r w:rsidRPr="00B30FB7">
        <w:rPr>
          <w:rFonts w:eastAsia="Times New Roman"/>
        </w:rPr>
        <w:t xml:space="preserve"> </w:t>
      </w:r>
      <w:proofErr w:type="spellStart"/>
      <w:r w:rsidRPr="00B30FB7">
        <w:rPr>
          <w:rFonts w:eastAsia="Times New Roman"/>
        </w:rPr>
        <w:t>AusABBA</w:t>
      </w:r>
      <w:proofErr w:type="spellEnd"/>
      <w:r w:rsidRPr="00B30FB7">
        <w:rPr>
          <w:rFonts w:eastAsia="Times New Roman"/>
        </w:rPr>
        <w:t xml:space="preserve"> </w:t>
      </w:r>
      <w:r>
        <w:rPr>
          <w:rFonts w:eastAsia="Times New Roman"/>
        </w:rPr>
        <w:t>commenced its pilot activity, an ‘</w:t>
      </w:r>
      <w:r w:rsidRPr="008131D2">
        <w:rPr>
          <w:rFonts w:eastAsia="Times New Roman"/>
          <w:i/>
        </w:rPr>
        <w:t xml:space="preserve">Enhanced </w:t>
      </w:r>
      <w:proofErr w:type="spellStart"/>
      <w:r w:rsidRPr="008131D2">
        <w:rPr>
          <w:rFonts w:eastAsia="Times New Roman"/>
          <w:i/>
        </w:rPr>
        <w:t>nutri</w:t>
      </w:r>
      <w:proofErr w:type="spellEnd"/>
      <w:r w:rsidRPr="008131D2">
        <w:rPr>
          <w:rFonts w:eastAsia="Times New Roman"/>
          <w:i/>
        </w:rPr>
        <w:t>-homestead food production model</w:t>
      </w:r>
      <w:r w:rsidRPr="00B30FB7">
        <w:rPr>
          <w:rFonts w:eastAsia="Times New Roman"/>
        </w:rPr>
        <w:t>’</w:t>
      </w:r>
      <w:r>
        <w:rPr>
          <w:rFonts w:eastAsia="Times New Roman"/>
        </w:rPr>
        <w:t>, in</w:t>
      </w:r>
      <w:r w:rsidRPr="00B30FB7">
        <w:rPr>
          <w:rFonts w:eastAsia="Times New Roman"/>
        </w:rPr>
        <w:t xml:space="preserve"> collaborati</w:t>
      </w:r>
      <w:r>
        <w:rPr>
          <w:rFonts w:eastAsia="Times New Roman"/>
        </w:rPr>
        <w:t xml:space="preserve">on </w:t>
      </w:r>
      <w:r w:rsidRPr="00B30FB7">
        <w:rPr>
          <w:rFonts w:eastAsia="Times New Roman"/>
        </w:rPr>
        <w:t>with the M</w:t>
      </w:r>
      <w:r w:rsidR="008F1F4B">
        <w:rPr>
          <w:rFonts w:eastAsia="Times New Roman"/>
        </w:rPr>
        <w:t xml:space="preserve">arket </w:t>
      </w:r>
      <w:r w:rsidRPr="00B30FB7">
        <w:rPr>
          <w:rFonts w:eastAsia="Times New Roman"/>
        </w:rPr>
        <w:t>D</w:t>
      </w:r>
      <w:r w:rsidR="008F1F4B">
        <w:rPr>
          <w:rFonts w:eastAsia="Times New Roman"/>
        </w:rPr>
        <w:t xml:space="preserve">evelopment </w:t>
      </w:r>
      <w:r w:rsidRPr="00B30FB7">
        <w:rPr>
          <w:rFonts w:eastAsia="Times New Roman"/>
        </w:rPr>
        <w:t>T</w:t>
      </w:r>
      <w:r w:rsidR="008F1F4B">
        <w:rPr>
          <w:rFonts w:eastAsia="Times New Roman"/>
        </w:rPr>
        <w:t xml:space="preserve">rust </w:t>
      </w:r>
      <w:r w:rsidRPr="00B30FB7">
        <w:rPr>
          <w:rFonts w:eastAsia="Times New Roman"/>
        </w:rPr>
        <w:t>F</w:t>
      </w:r>
      <w:r w:rsidR="008F1F4B">
        <w:rPr>
          <w:rFonts w:eastAsia="Times New Roman"/>
        </w:rPr>
        <w:t xml:space="preserve">und – </w:t>
      </w:r>
      <w:r w:rsidRPr="00B30FB7">
        <w:rPr>
          <w:rFonts w:eastAsia="Times New Roman"/>
        </w:rPr>
        <w:t>N</w:t>
      </w:r>
      <w:r w:rsidR="008F1F4B">
        <w:rPr>
          <w:rFonts w:eastAsia="Times New Roman"/>
        </w:rPr>
        <w:t>utrition (MDTF-N)</w:t>
      </w:r>
      <w:r>
        <w:rPr>
          <w:rFonts w:eastAsia="Times New Roman"/>
        </w:rPr>
        <w:t xml:space="preserve"> </w:t>
      </w:r>
      <w:proofErr w:type="spellStart"/>
      <w:r w:rsidRPr="00B30FB7">
        <w:rPr>
          <w:rFonts w:eastAsia="Times New Roman"/>
        </w:rPr>
        <w:t>Balochistan</w:t>
      </w:r>
      <w:proofErr w:type="spellEnd"/>
      <w:r w:rsidRPr="00B30FB7">
        <w:rPr>
          <w:rFonts w:eastAsia="Times New Roman"/>
        </w:rPr>
        <w:t xml:space="preserve"> </w:t>
      </w:r>
      <w:r>
        <w:rPr>
          <w:rFonts w:eastAsia="Times New Roman"/>
        </w:rPr>
        <w:t xml:space="preserve">project. </w:t>
      </w:r>
    </w:p>
    <w:p w:rsidR="007D1FD3" w:rsidRDefault="002262A9" w:rsidP="001371FE">
      <w:pPr>
        <w:spacing w:line="240" w:lineRule="auto"/>
        <w:rPr>
          <w:rFonts w:eastAsia="Times New Roman"/>
        </w:rPr>
      </w:pPr>
      <w:r>
        <w:rPr>
          <w:rFonts w:eastAsia="Times New Roman"/>
        </w:rPr>
        <w:t xml:space="preserve">The percentage of Pakistan </w:t>
      </w:r>
      <w:r w:rsidRPr="00E03789">
        <w:rPr>
          <w:rFonts w:eastAsia="Times New Roman"/>
          <w:b/>
        </w:rPr>
        <w:t>aid program funding to aid-for-trade programs has increased significantly over past years and is currently at 34</w:t>
      </w:r>
      <w:r w:rsidR="00732567" w:rsidRPr="00E03789">
        <w:rPr>
          <w:rFonts w:eastAsia="Times New Roman"/>
          <w:b/>
        </w:rPr>
        <w:t xml:space="preserve"> percent</w:t>
      </w:r>
      <w:r>
        <w:rPr>
          <w:rFonts w:eastAsia="Times New Roman"/>
        </w:rPr>
        <w:t xml:space="preserve"> (above the Department-wide target of 20</w:t>
      </w:r>
      <w:r w:rsidR="00732567">
        <w:rPr>
          <w:rFonts w:eastAsia="Times New Roman"/>
        </w:rPr>
        <w:t xml:space="preserve"> percent</w:t>
      </w:r>
      <w:r>
        <w:rPr>
          <w:rFonts w:eastAsia="Times New Roman"/>
        </w:rPr>
        <w:t xml:space="preserve">). The new AIP is expected to lead to a rebalancing of aid expenditure across objectives. </w:t>
      </w:r>
      <w:r w:rsidR="00E33176">
        <w:rPr>
          <w:rFonts w:eastAsia="Times New Roman"/>
        </w:rPr>
        <w:t>Over</w:t>
      </w:r>
      <w:r w:rsidR="00990C4E">
        <w:rPr>
          <w:rFonts w:eastAsia="Times New Roman"/>
        </w:rPr>
        <w:t xml:space="preserve"> the next reporting period </w:t>
      </w:r>
      <w:r w:rsidR="00733BA5">
        <w:rPr>
          <w:rFonts w:eastAsia="Times New Roman"/>
        </w:rPr>
        <w:t>we plan</w:t>
      </w:r>
      <w:r w:rsidR="005E1294">
        <w:rPr>
          <w:rFonts w:eastAsia="Times New Roman"/>
        </w:rPr>
        <w:t xml:space="preserve"> to</w:t>
      </w:r>
      <w:r w:rsidR="00990C4E">
        <w:rPr>
          <w:rFonts w:eastAsia="Times New Roman"/>
        </w:rPr>
        <w:t>:</w:t>
      </w:r>
      <w:r w:rsidR="000A7F7E">
        <w:rPr>
          <w:rFonts w:eastAsia="Times New Roman"/>
        </w:rPr>
        <w:t xml:space="preserve"> increase the scale of results by </w:t>
      </w:r>
      <w:r w:rsidR="008F1F4B">
        <w:rPr>
          <w:rFonts w:eastAsia="Times New Roman"/>
        </w:rPr>
        <w:t xml:space="preserve">expanding MDTF to allow better reach into </w:t>
      </w:r>
      <w:proofErr w:type="spellStart"/>
      <w:r w:rsidR="008F1F4B">
        <w:rPr>
          <w:rFonts w:eastAsia="Times New Roman"/>
        </w:rPr>
        <w:t>Balochistan</w:t>
      </w:r>
      <w:proofErr w:type="spellEnd"/>
      <w:r w:rsidR="008F1F4B">
        <w:rPr>
          <w:rFonts w:eastAsia="Times New Roman"/>
        </w:rPr>
        <w:t xml:space="preserve"> and Sindh; </w:t>
      </w:r>
      <w:r>
        <w:rPr>
          <w:rFonts w:eastAsia="Times New Roman"/>
        </w:rPr>
        <w:t xml:space="preserve">stay closely engaged on the </w:t>
      </w:r>
      <w:r w:rsidR="001200EA">
        <w:rPr>
          <w:rFonts w:eastAsia="Times New Roman"/>
        </w:rPr>
        <w:t xml:space="preserve">World Bank </w:t>
      </w:r>
      <w:r>
        <w:rPr>
          <w:rFonts w:eastAsia="Times New Roman"/>
        </w:rPr>
        <w:t xml:space="preserve">PTIPP program; </w:t>
      </w:r>
      <w:r w:rsidR="00B64AEA">
        <w:rPr>
          <w:rFonts w:eastAsia="Times New Roman"/>
        </w:rPr>
        <w:t xml:space="preserve">finalise </w:t>
      </w:r>
      <w:r w:rsidR="00990C4E">
        <w:rPr>
          <w:rFonts w:eastAsia="Times New Roman"/>
        </w:rPr>
        <w:t xml:space="preserve">the </w:t>
      </w:r>
      <w:r w:rsidR="00B64AEA">
        <w:rPr>
          <w:rFonts w:eastAsia="Times New Roman"/>
        </w:rPr>
        <w:t xml:space="preserve">ACIAR partnership; </w:t>
      </w:r>
      <w:r w:rsidR="001408A4">
        <w:rPr>
          <w:rFonts w:eastAsia="Times New Roman"/>
        </w:rPr>
        <w:t xml:space="preserve">and </w:t>
      </w:r>
      <w:r w:rsidR="00B64AEA">
        <w:rPr>
          <w:rFonts w:eastAsia="Times New Roman"/>
        </w:rPr>
        <w:t>continue to deepen integration of nutrition, gender and disability considerations.</w:t>
      </w:r>
    </w:p>
    <w:p w:rsidR="00656EF7" w:rsidRDefault="00656EF7" w:rsidP="00E03789">
      <w:pPr>
        <w:spacing w:after="120" w:line="280" w:lineRule="exact"/>
        <w:rPr>
          <w:rFonts w:eastAsia="Times New Roman"/>
        </w:rPr>
      </w:pPr>
    </w:p>
    <w:p w:rsidR="000F164B" w:rsidRDefault="000F164B" w:rsidP="00E03789">
      <w:pPr>
        <w:spacing w:after="120" w:line="280" w:lineRule="exact"/>
        <w:rPr>
          <w:rFonts w:eastAsia="Times New Roman"/>
        </w:rPr>
      </w:pPr>
    </w:p>
    <w:p w:rsidR="000F164B" w:rsidRDefault="000F164B" w:rsidP="00E03789">
      <w:pPr>
        <w:spacing w:after="120" w:line="280" w:lineRule="exact"/>
        <w:rPr>
          <w:rFonts w:eastAsia="Times New Roman"/>
        </w:rPr>
      </w:pPr>
    </w:p>
    <w:p w:rsidR="000F164B" w:rsidRDefault="000F164B" w:rsidP="00E03789">
      <w:pPr>
        <w:spacing w:after="120" w:line="280" w:lineRule="exact"/>
        <w:rPr>
          <w:rFonts w:eastAsia="Times New Roman"/>
        </w:rPr>
      </w:pPr>
    </w:p>
    <w:p w:rsidR="000F164B" w:rsidRDefault="000F164B" w:rsidP="00E03789">
      <w:pPr>
        <w:spacing w:after="120" w:line="280" w:lineRule="exact"/>
        <w:rPr>
          <w:rFonts w:eastAsia="Times New Roman"/>
        </w:rPr>
      </w:pPr>
    </w:p>
    <w:p w:rsidR="00965AEF" w:rsidRPr="007B4725" w:rsidRDefault="00965AEF" w:rsidP="007B4725">
      <w:pPr>
        <w:suppressAutoHyphens w:val="0"/>
        <w:spacing w:before="0" w:after="0" w:line="440" w:lineRule="atLeast"/>
        <w:rPr>
          <w:rFonts w:asciiTheme="majorHAnsi" w:eastAsiaTheme="majorEastAsia" w:hAnsiTheme="majorHAnsi" w:cstheme="majorBidi"/>
          <w:b/>
          <w:caps/>
          <w:sz w:val="38"/>
          <w:szCs w:val="26"/>
        </w:rPr>
      </w:pPr>
      <w:r w:rsidRPr="007B4725">
        <w:rPr>
          <w:rFonts w:asciiTheme="majorHAnsi" w:eastAsiaTheme="majorEastAsia" w:hAnsiTheme="majorHAnsi" w:cstheme="majorBidi"/>
          <w:b/>
          <w:caps/>
          <w:sz w:val="38"/>
          <w:szCs w:val="26"/>
        </w:rPr>
        <w:t>Objective 2: Investing in pakistan’s people, with a focus on women and girls</w:t>
      </w:r>
      <w:r w:rsidR="006B5CEC" w:rsidRPr="007B4725">
        <w:rPr>
          <w:rStyle w:val="FootnoteReference"/>
          <w:rFonts w:asciiTheme="majorHAnsi" w:eastAsiaTheme="majorEastAsia" w:hAnsiTheme="majorHAnsi" w:cstheme="majorBidi"/>
          <w:b/>
          <w:caps/>
          <w:sz w:val="38"/>
          <w:szCs w:val="26"/>
        </w:rPr>
        <w:footnoteReference w:id="7"/>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1904"/>
        <w:gridCol w:w="1906"/>
        <w:gridCol w:w="1906"/>
        <w:gridCol w:w="1906"/>
      </w:tblGrid>
      <w:tr w:rsidR="00965AEF" w:rsidRPr="00695730" w:rsidTr="00C00672">
        <w:tc>
          <w:tcPr>
            <w:tcW w:w="2016" w:type="dxa"/>
          </w:tcPr>
          <w:p w:rsidR="00965AEF" w:rsidRPr="00695730" w:rsidRDefault="00965AEF" w:rsidP="00C00672">
            <w:pPr>
              <w:suppressAutoHyphens w:val="0"/>
              <w:spacing w:before="80" w:after="80" w:line="240" w:lineRule="auto"/>
              <w:jc w:val="center"/>
              <w:rPr>
                <w:rFonts w:asciiTheme="majorHAnsi" w:eastAsiaTheme="majorEastAsia" w:hAnsiTheme="majorHAnsi" w:cstheme="majorBidi"/>
                <w:caps/>
                <w:sz w:val="38"/>
                <w:szCs w:val="26"/>
              </w:rPr>
            </w:pPr>
            <w:r w:rsidRPr="00695730">
              <w:rPr>
                <w:rFonts w:asciiTheme="majorHAnsi" w:eastAsiaTheme="majorEastAsia" w:hAnsiTheme="majorHAnsi" w:cstheme="majorBidi"/>
                <w:caps/>
                <w:noProof/>
                <w:sz w:val="38"/>
                <w:szCs w:val="26"/>
                <w:lang w:val="en-AU" w:eastAsia="en-AU"/>
              </w:rPr>
              <w:drawing>
                <wp:inline distT="0" distB="0" distL="0" distR="0" wp14:anchorId="04D5C4C8" wp14:editId="17EACFCD">
                  <wp:extent cx="1137600" cy="720000"/>
                  <wp:effectExtent l="0" t="0" r="5715"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G Contribution.JPG"/>
                          <pic:cNvPicPr/>
                        </pic:nvPicPr>
                        <pic:blipFill>
                          <a:blip r:embed="rId17">
                            <a:extLst>
                              <a:ext uri="{28A0092B-C50C-407E-A947-70E740481C1C}">
                                <a14:useLocalDpi xmlns:a14="http://schemas.microsoft.com/office/drawing/2010/main" val="0"/>
                              </a:ext>
                            </a:extLst>
                          </a:blip>
                          <a:stretch>
                            <a:fillRect/>
                          </a:stretch>
                        </pic:blipFill>
                        <pic:spPr>
                          <a:xfrm>
                            <a:off x="0" y="0"/>
                            <a:ext cx="1137600" cy="720000"/>
                          </a:xfrm>
                          <a:prstGeom prst="rect">
                            <a:avLst/>
                          </a:prstGeom>
                        </pic:spPr>
                      </pic:pic>
                    </a:graphicData>
                  </a:graphic>
                </wp:inline>
              </w:drawing>
            </w:r>
          </w:p>
        </w:tc>
        <w:tc>
          <w:tcPr>
            <w:tcW w:w="1904" w:type="dxa"/>
          </w:tcPr>
          <w:p w:rsidR="00965AEF" w:rsidRPr="00695730" w:rsidRDefault="00965AEF" w:rsidP="00C00672">
            <w:pPr>
              <w:suppressAutoHyphens w:val="0"/>
              <w:spacing w:before="160" w:after="80" w:line="240" w:lineRule="auto"/>
              <w:jc w:val="center"/>
              <w:rPr>
                <w:rFonts w:asciiTheme="majorHAnsi" w:eastAsiaTheme="majorEastAsia" w:hAnsiTheme="majorHAnsi" w:cstheme="majorBidi"/>
                <w:caps/>
                <w:sz w:val="38"/>
                <w:szCs w:val="26"/>
              </w:rPr>
            </w:pPr>
            <w:r w:rsidRPr="00695730">
              <w:rPr>
                <w:rFonts w:asciiTheme="majorHAnsi" w:eastAsiaTheme="majorEastAsia" w:hAnsiTheme="majorHAnsi" w:cstheme="majorBidi"/>
                <w:caps/>
                <w:noProof/>
                <w:sz w:val="38"/>
                <w:szCs w:val="26"/>
                <w:lang w:val="en-AU" w:eastAsia="en-AU"/>
              </w:rPr>
              <w:drawing>
                <wp:inline distT="0" distB="0" distL="0" distR="0" wp14:anchorId="2632A638" wp14:editId="001F7569">
                  <wp:extent cx="609600" cy="609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inline>
              </w:drawing>
            </w:r>
          </w:p>
        </w:tc>
        <w:tc>
          <w:tcPr>
            <w:tcW w:w="1906" w:type="dxa"/>
          </w:tcPr>
          <w:p w:rsidR="00965AEF" w:rsidRPr="00695730" w:rsidRDefault="00965AEF" w:rsidP="00C00672">
            <w:pPr>
              <w:suppressAutoHyphens w:val="0"/>
              <w:spacing w:before="160" w:after="80" w:line="240" w:lineRule="auto"/>
              <w:jc w:val="center"/>
              <w:rPr>
                <w:rFonts w:asciiTheme="majorHAnsi" w:eastAsiaTheme="majorEastAsia" w:hAnsiTheme="majorHAnsi" w:cstheme="majorBidi"/>
                <w:caps/>
                <w:sz w:val="38"/>
                <w:szCs w:val="26"/>
              </w:rPr>
            </w:pPr>
            <w:r w:rsidRPr="00695730">
              <w:rPr>
                <w:rFonts w:ascii="Franklin Gothic Book" w:eastAsia="Times New Roman" w:hAnsi="Franklin Gothic Book" w:cs="Times New Roman"/>
                <w:noProof/>
                <w:color w:val="auto"/>
                <w:sz w:val="21"/>
                <w:szCs w:val="24"/>
                <w:lang w:val="en-AU" w:eastAsia="en-AU"/>
              </w:rPr>
              <w:drawing>
                <wp:inline distT="0" distB="0" distL="0" distR="0" wp14:anchorId="51E7E00F" wp14:editId="478B9204">
                  <wp:extent cx="612000" cy="612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G 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1906" w:type="dxa"/>
          </w:tcPr>
          <w:p w:rsidR="00965AEF" w:rsidRPr="00695730" w:rsidRDefault="00965AEF" w:rsidP="00C00672">
            <w:pPr>
              <w:suppressAutoHyphens w:val="0"/>
              <w:spacing w:before="160" w:after="80" w:line="240" w:lineRule="auto"/>
              <w:jc w:val="center"/>
              <w:rPr>
                <w:rFonts w:asciiTheme="majorHAnsi" w:eastAsiaTheme="majorEastAsia" w:hAnsiTheme="majorHAnsi" w:cstheme="majorBidi"/>
                <w:caps/>
                <w:sz w:val="38"/>
                <w:szCs w:val="26"/>
              </w:rPr>
            </w:pPr>
            <w:r w:rsidRPr="00695730">
              <w:rPr>
                <w:rFonts w:ascii="Franklin Gothic Book" w:eastAsia="Times New Roman" w:hAnsi="Franklin Gothic Book" w:cs="Times New Roman"/>
                <w:noProof/>
                <w:color w:val="auto"/>
                <w:sz w:val="21"/>
                <w:szCs w:val="24"/>
                <w:lang w:val="en-AU" w:eastAsia="en-AU"/>
              </w:rPr>
              <w:drawing>
                <wp:inline distT="0" distB="0" distL="0" distR="0" wp14:anchorId="506D8143" wp14:editId="1404D111">
                  <wp:extent cx="612000" cy="6120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DG 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1906" w:type="dxa"/>
          </w:tcPr>
          <w:p w:rsidR="00965AEF" w:rsidRPr="00695730" w:rsidRDefault="00965AEF" w:rsidP="00C00672">
            <w:pPr>
              <w:suppressAutoHyphens w:val="0"/>
              <w:spacing w:before="160" w:after="80" w:line="240" w:lineRule="auto"/>
              <w:jc w:val="center"/>
              <w:rPr>
                <w:rFonts w:asciiTheme="majorHAnsi" w:eastAsiaTheme="majorEastAsia" w:hAnsiTheme="majorHAnsi" w:cstheme="majorBidi"/>
                <w:caps/>
                <w:sz w:val="38"/>
                <w:szCs w:val="26"/>
              </w:rPr>
            </w:pPr>
            <w:r>
              <w:rPr>
                <w:noProof/>
                <w:lang w:val="en-AU" w:eastAsia="en-AU"/>
              </w:rPr>
              <w:drawing>
                <wp:inline distT="0" distB="0" distL="0" distR="0" wp14:anchorId="17D537F8" wp14:editId="69D0E0CF">
                  <wp:extent cx="612000" cy="6120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 5.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r>
    </w:tbl>
    <w:p w:rsidR="00E9399F" w:rsidRPr="001371FE" w:rsidRDefault="00E9399F" w:rsidP="001371FE">
      <w:pPr>
        <w:spacing w:line="240" w:lineRule="auto"/>
        <w:rPr>
          <w:rFonts w:eastAsia="Times New Roman"/>
          <w:b/>
        </w:rPr>
      </w:pPr>
      <w:r w:rsidRPr="001371FE">
        <w:rPr>
          <w:b/>
          <w:lang w:val="en-US"/>
        </w:rPr>
        <w:t>Australia is providing support to provincial governments to deliver nutrition, education and gender-based violence services, with a particular focus on women and girls. Accelerating progress in these areas will promote</w:t>
      </w:r>
      <w:r w:rsidR="002B55E8" w:rsidRPr="001371FE">
        <w:rPr>
          <w:b/>
          <w:lang w:val="en-US"/>
        </w:rPr>
        <w:t xml:space="preserve"> inclusive</w:t>
      </w:r>
      <w:r w:rsidRPr="001371FE">
        <w:rPr>
          <w:b/>
          <w:lang w:val="en-US"/>
        </w:rPr>
        <w:t xml:space="preserve"> economic growth and contribute to Pakistan's stability.</w:t>
      </w:r>
    </w:p>
    <w:p w:rsidR="0008447B" w:rsidRPr="001371FE" w:rsidRDefault="006B5CEC" w:rsidP="001371FE">
      <w:pPr>
        <w:spacing w:line="240" w:lineRule="auto"/>
        <w:rPr>
          <w:rFonts w:eastAsia="Times New Roman"/>
        </w:rPr>
      </w:pPr>
      <w:r w:rsidRPr="001371FE">
        <w:rPr>
          <w:rFonts w:eastAsia="Times New Roman"/>
        </w:rPr>
        <w:t xml:space="preserve">Under </w:t>
      </w:r>
      <w:r w:rsidR="00965AEF" w:rsidRPr="001371FE">
        <w:rPr>
          <w:rFonts w:eastAsia="Times New Roman"/>
          <w:b/>
          <w:u w:val="single"/>
        </w:rPr>
        <w:t>Outcome 3 - Women and Girls have better access to education, nutrition, counselling and support services</w:t>
      </w:r>
      <w:r w:rsidRPr="001371FE">
        <w:rPr>
          <w:rFonts w:eastAsia="Times New Roman"/>
          <w:b/>
        </w:rPr>
        <w:t xml:space="preserve"> – </w:t>
      </w:r>
      <w:r w:rsidR="00A65629" w:rsidRPr="001371FE">
        <w:rPr>
          <w:rFonts w:eastAsia="Times New Roman"/>
        </w:rPr>
        <w:t xml:space="preserve">all targets </w:t>
      </w:r>
      <w:r w:rsidR="00CE036D" w:rsidRPr="001371FE">
        <w:rPr>
          <w:rFonts w:eastAsia="Times New Roman"/>
        </w:rPr>
        <w:t xml:space="preserve">in the PAF </w:t>
      </w:r>
      <w:r w:rsidR="00A65629" w:rsidRPr="001371FE">
        <w:rPr>
          <w:rFonts w:eastAsia="Times New Roman"/>
        </w:rPr>
        <w:t>were met</w:t>
      </w:r>
      <w:r w:rsidR="001408A4" w:rsidRPr="001371FE">
        <w:rPr>
          <w:rFonts w:eastAsia="Times New Roman"/>
        </w:rPr>
        <w:t xml:space="preserve"> or exceeded</w:t>
      </w:r>
      <w:r w:rsidR="00D902E0" w:rsidRPr="001371FE">
        <w:rPr>
          <w:rFonts w:eastAsia="Times New Roman"/>
        </w:rPr>
        <w:t xml:space="preserve">. </w:t>
      </w:r>
      <w:r w:rsidR="00732567" w:rsidRPr="001371FE">
        <w:rPr>
          <w:rFonts w:eastAsia="Times New Roman"/>
        </w:rPr>
        <w:t>Our investment in the DFID-led</w:t>
      </w:r>
      <w:r w:rsidR="00621BDB" w:rsidRPr="001371FE">
        <w:rPr>
          <w:rFonts w:eastAsia="Times New Roman"/>
        </w:rPr>
        <w:t xml:space="preserve"> </w:t>
      </w:r>
      <w:r w:rsidR="0008447B" w:rsidRPr="001371FE">
        <w:rPr>
          <w:rFonts w:eastAsia="Times New Roman"/>
        </w:rPr>
        <w:t xml:space="preserve">Khyber Pakhtunkhwa Education Sector Program (KESP) </w:t>
      </w:r>
      <w:r w:rsidR="00732567" w:rsidRPr="001371FE">
        <w:rPr>
          <w:rFonts w:eastAsia="Times New Roman"/>
        </w:rPr>
        <w:t xml:space="preserve">contributed to assisting </w:t>
      </w:r>
      <w:r w:rsidR="00621BDB" w:rsidRPr="001371FE">
        <w:rPr>
          <w:rFonts w:eastAsia="Times New Roman"/>
        </w:rPr>
        <w:t xml:space="preserve">4.6 million children (over 2 million girls) to access better quality education and </w:t>
      </w:r>
      <w:r w:rsidR="00732567" w:rsidRPr="001371FE">
        <w:rPr>
          <w:rFonts w:eastAsia="Times New Roman"/>
        </w:rPr>
        <w:t xml:space="preserve">supported </w:t>
      </w:r>
      <w:r w:rsidR="0008447B" w:rsidRPr="001371FE">
        <w:rPr>
          <w:rFonts w:eastAsia="Times New Roman"/>
        </w:rPr>
        <w:t>the Government of KP to deliver better quality education to more children across the province.</w:t>
      </w:r>
      <w:r w:rsidR="00621BDB" w:rsidRPr="001371FE">
        <w:rPr>
          <w:rFonts w:eastAsia="Times New Roman"/>
        </w:rPr>
        <w:t xml:space="preserve"> </w:t>
      </w:r>
      <w:r w:rsidR="0008447B" w:rsidRPr="001371FE">
        <w:rPr>
          <w:rFonts w:eastAsia="Times New Roman"/>
        </w:rPr>
        <w:t>The student attendance rate in the province has been increasing from 71</w:t>
      </w:r>
      <w:r w:rsidR="00E51F76" w:rsidRPr="001371FE">
        <w:rPr>
          <w:rFonts w:eastAsia="Times New Roman"/>
        </w:rPr>
        <w:t> </w:t>
      </w:r>
      <w:r w:rsidR="0008447B" w:rsidRPr="001371FE">
        <w:rPr>
          <w:rFonts w:eastAsia="Times New Roman"/>
        </w:rPr>
        <w:t>percent in 2013/14 to 78 percent in 2017/18.</w:t>
      </w:r>
      <w:r w:rsidR="0008447B" w:rsidRPr="001371FE">
        <w:rPr>
          <w:lang w:val="en-AU"/>
        </w:rPr>
        <w:t xml:space="preserve"> </w:t>
      </w:r>
    </w:p>
    <w:p w:rsidR="00B30FB7" w:rsidRPr="001371FE" w:rsidRDefault="00DB6CD7" w:rsidP="001371FE">
      <w:pPr>
        <w:spacing w:line="240" w:lineRule="auto"/>
        <w:rPr>
          <w:rFonts w:eastAsia="Times New Roman"/>
        </w:rPr>
      </w:pPr>
      <w:r w:rsidRPr="001371FE">
        <w:rPr>
          <w:rFonts w:eastAsia="Times New Roman"/>
        </w:rPr>
        <w:t>The</w:t>
      </w:r>
      <w:r w:rsidR="00621BDB" w:rsidRPr="001371FE">
        <w:rPr>
          <w:rFonts w:eastAsia="Times New Roman"/>
        </w:rPr>
        <w:t xml:space="preserve"> </w:t>
      </w:r>
      <w:r w:rsidRPr="001371FE">
        <w:rPr>
          <w:rFonts w:eastAsia="Times New Roman"/>
        </w:rPr>
        <w:t xml:space="preserve">World Bank’s Multi-Donor Trust Fund for Nutrition (MDTF-N), </w:t>
      </w:r>
      <w:r w:rsidR="00D90E4C" w:rsidRPr="001371FE">
        <w:rPr>
          <w:rFonts w:eastAsia="Times New Roman"/>
        </w:rPr>
        <w:t>far exceeded</w:t>
      </w:r>
      <w:r w:rsidR="00621BDB" w:rsidRPr="001371FE">
        <w:rPr>
          <w:rFonts w:eastAsia="Times New Roman"/>
        </w:rPr>
        <w:t xml:space="preserve"> the performance benchmark target for</w:t>
      </w:r>
      <w:r w:rsidRPr="001371FE">
        <w:rPr>
          <w:rFonts w:eastAsia="Times New Roman"/>
          <w:b/>
        </w:rPr>
        <w:t xml:space="preserve"> </w:t>
      </w:r>
      <w:r w:rsidRPr="0058515D">
        <w:rPr>
          <w:rFonts w:eastAsia="Times New Roman"/>
        </w:rPr>
        <w:t xml:space="preserve">nutrition services in </w:t>
      </w:r>
      <w:proofErr w:type="spellStart"/>
      <w:r w:rsidRPr="0058515D">
        <w:rPr>
          <w:rFonts w:eastAsia="Times New Roman"/>
        </w:rPr>
        <w:t>Balochistan</w:t>
      </w:r>
      <w:proofErr w:type="spellEnd"/>
      <w:r w:rsidRPr="005F4E47">
        <w:rPr>
          <w:rFonts w:eastAsia="Times New Roman"/>
        </w:rPr>
        <w:t xml:space="preserve">. </w:t>
      </w:r>
      <w:r w:rsidRPr="001371FE">
        <w:rPr>
          <w:rFonts w:eastAsia="Times New Roman"/>
        </w:rPr>
        <w:t>A UNICEF survey showed that prevalence rates of severe acute malnutrition in our target districts reduced from baseline 7</w:t>
      </w:r>
      <w:r w:rsidR="00732567" w:rsidRPr="001371FE">
        <w:rPr>
          <w:rFonts w:eastAsia="Times New Roman"/>
        </w:rPr>
        <w:t xml:space="preserve"> percent (NNS 2011) to 5.8 percent</w:t>
      </w:r>
      <w:r w:rsidRPr="001371FE">
        <w:rPr>
          <w:rStyle w:val="FootnoteReference"/>
          <w:rFonts w:eastAsia="Times New Roman"/>
        </w:rPr>
        <w:footnoteReference w:id="8"/>
      </w:r>
      <w:r w:rsidRPr="001371FE">
        <w:rPr>
          <w:rFonts w:eastAsia="Times New Roman"/>
        </w:rPr>
        <w:t>.  The project</w:t>
      </w:r>
      <w:r w:rsidR="00D90E4C" w:rsidRPr="001371FE">
        <w:rPr>
          <w:rFonts w:eastAsia="Times New Roman"/>
        </w:rPr>
        <w:t xml:space="preserve"> </w:t>
      </w:r>
      <w:r w:rsidRPr="001371FE">
        <w:rPr>
          <w:rFonts w:eastAsia="Times New Roman"/>
        </w:rPr>
        <w:t xml:space="preserve">reached </w:t>
      </w:r>
      <w:r w:rsidR="00D90E4C" w:rsidRPr="001371FE">
        <w:rPr>
          <w:rFonts w:eastAsia="Times New Roman"/>
        </w:rPr>
        <w:t>286</w:t>
      </w:r>
      <w:r w:rsidR="00732567" w:rsidRPr="001371FE">
        <w:rPr>
          <w:rFonts w:eastAsia="Times New Roman"/>
        </w:rPr>
        <w:t>,</w:t>
      </w:r>
      <w:r w:rsidR="00D90E4C" w:rsidRPr="001371FE">
        <w:rPr>
          <w:rFonts w:eastAsia="Times New Roman"/>
        </w:rPr>
        <w:t xml:space="preserve">782 beneficiaries </w:t>
      </w:r>
      <w:r w:rsidRPr="001371FE">
        <w:rPr>
          <w:rFonts w:eastAsia="Times New Roman"/>
        </w:rPr>
        <w:t xml:space="preserve">(against the target of 80,000), </w:t>
      </w:r>
      <w:r w:rsidR="00D90E4C" w:rsidRPr="001371FE">
        <w:rPr>
          <w:rFonts w:eastAsia="Times New Roman"/>
        </w:rPr>
        <w:t xml:space="preserve">including 83,837 women, 14,002 adolescent girls and 93,127 girls </w:t>
      </w:r>
      <w:r w:rsidRPr="001371FE">
        <w:rPr>
          <w:rFonts w:eastAsia="Times New Roman"/>
        </w:rPr>
        <w:t xml:space="preserve">and </w:t>
      </w:r>
      <w:r w:rsidR="00D90E4C" w:rsidRPr="001371FE">
        <w:rPr>
          <w:rFonts w:eastAsia="Times New Roman"/>
        </w:rPr>
        <w:t>95,816 boys under 5 years of age</w:t>
      </w:r>
      <w:r w:rsidR="001408A4" w:rsidRPr="001371FE">
        <w:rPr>
          <w:rFonts w:eastAsia="Times New Roman"/>
        </w:rPr>
        <w:t xml:space="preserve"> and 166 persons with disability, 115 women</w:t>
      </w:r>
      <w:r w:rsidRPr="001371FE">
        <w:rPr>
          <w:rFonts w:eastAsia="Times New Roman"/>
        </w:rPr>
        <w:t>. The</w:t>
      </w:r>
      <w:r w:rsidR="000F71FB" w:rsidRPr="001371FE">
        <w:rPr>
          <w:rFonts w:eastAsia="Times New Roman"/>
        </w:rPr>
        <w:t xml:space="preserve"> World Bank</w:t>
      </w:r>
      <w:r w:rsidRPr="001371FE">
        <w:rPr>
          <w:rFonts w:eastAsia="Times New Roman"/>
        </w:rPr>
        <w:t>’s</w:t>
      </w:r>
      <w:r w:rsidR="000F71FB" w:rsidRPr="001371FE">
        <w:rPr>
          <w:rFonts w:eastAsia="Times New Roman"/>
        </w:rPr>
        <w:t xml:space="preserve"> Implementation Support Mission (ISM) verified that the</w:t>
      </w:r>
      <w:r w:rsidRPr="001371FE">
        <w:rPr>
          <w:rFonts w:eastAsia="Times New Roman"/>
        </w:rPr>
        <w:t xml:space="preserve"> </w:t>
      </w:r>
      <w:proofErr w:type="spellStart"/>
      <w:r w:rsidRPr="001371FE">
        <w:rPr>
          <w:rFonts w:eastAsia="Times New Roman"/>
        </w:rPr>
        <w:t>Balochistan</w:t>
      </w:r>
      <w:proofErr w:type="spellEnd"/>
      <w:r w:rsidRPr="001371FE">
        <w:rPr>
          <w:rFonts w:eastAsia="Times New Roman"/>
        </w:rPr>
        <w:t xml:space="preserve"> project</w:t>
      </w:r>
      <w:r w:rsidR="000F71FB" w:rsidRPr="001371FE">
        <w:rPr>
          <w:rFonts w:eastAsia="Times New Roman"/>
        </w:rPr>
        <w:t xml:space="preserve"> is on-track</w:t>
      </w:r>
      <w:r w:rsidRPr="001371FE">
        <w:rPr>
          <w:rFonts w:eastAsia="Times New Roman"/>
        </w:rPr>
        <w:t xml:space="preserve">. </w:t>
      </w:r>
      <w:r w:rsidR="000F71FB" w:rsidRPr="001371FE">
        <w:rPr>
          <w:rFonts w:eastAsia="Times New Roman"/>
        </w:rPr>
        <w:t xml:space="preserve">The Khyber Pakhtunkhwa nutrition project was finally approved in February 2018 after a lengthy process.  </w:t>
      </w:r>
    </w:p>
    <w:p w:rsidR="00E10C6F" w:rsidRPr="001371FE" w:rsidRDefault="00E10C6F" w:rsidP="001371FE">
      <w:pPr>
        <w:spacing w:line="240" w:lineRule="auto"/>
        <w:rPr>
          <w:rFonts w:eastAsia="Times New Roman"/>
        </w:rPr>
      </w:pPr>
      <w:r w:rsidRPr="001371FE">
        <w:rPr>
          <w:rFonts w:eastAsia="Times New Roman"/>
        </w:rPr>
        <w:t xml:space="preserve">Australia’s </w:t>
      </w:r>
      <w:r w:rsidR="00304345" w:rsidRPr="001371FE">
        <w:rPr>
          <w:rFonts w:eastAsia="Times New Roman"/>
          <w:b/>
        </w:rPr>
        <w:t>Ending Violence Against Women (</w:t>
      </w:r>
      <w:r w:rsidR="00C27B1B" w:rsidRPr="001371FE">
        <w:rPr>
          <w:rFonts w:eastAsia="Times New Roman"/>
          <w:b/>
        </w:rPr>
        <w:t>EVAW</w:t>
      </w:r>
      <w:r w:rsidR="00304345" w:rsidRPr="001371FE">
        <w:rPr>
          <w:rFonts w:eastAsia="Times New Roman"/>
          <w:b/>
        </w:rPr>
        <w:t>)</w:t>
      </w:r>
      <w:r w:rsidR="00C27B1B" w:rsidRPr="001371FE">
        <w:rPr>
          <w:rFonts w:eastAsia="Times New Roman"/>
        </w:rPr>
        <w:t xml:space="preserve"> </w:t>
      </w:r>
      <w:r w:rsidRPr="001371FE">
        <w:rPr>
          <w:rFonts w:eastAsia="Times New Roman"/>
        </w:rPr>
        <w:t>investment</w:t>
      </w:r>
      <w:r w:rsidR="00304345" w:rsidRPr="001371FE">
        <w:rPr>
          <w:rFonts w:eastAsia="Times New Roman"/>
        </w:rPr>
        <w:t xml:space="preserve">, </w:t>
      </w:r>
      <w:r w:rsidR="00D10B29" w:rsidRPr="001371FE">
        <w:rPr>
          <w:rFonts w:eastAsia="Times New Roman"/>
        </w:rPr>
        <w:t>‘</w:t>
      </w:r>
      <w:r w:rsidR="00C27B1B" w:rsidRPr="001371FE">
        <w:rPr>
          <w:rFonts w:eastAsia="Times New Roman"/>
        </w:rPr>
        <w:t>Challenging Gender Based Violence in KP and Sindh</w:t>
      </w:r>
      <w:r w:rsidR="00D10B29" w:rsidRPr="001371FE">
        <w:rPr>
          <w:rFonts w:eastAsia="Times New Roman"/>
        </w:rPr>
        <w:t>’</w:t>
      </w:r>
      <w:r w:rsidR="00C27B1B" w:rsidRPr="001371FE">
        <w:rPr>
          <w:rFonts w:eastAsia="Times New Roman"/>
        </w:rPr>
        <w:t xml:space="preserve">, </w:t>
      </w:r>
      <w:r w:rsidR="00C27B1B" w:rsidRPr="001371FE">
        <w:t>continues to achieve high quality outcomes and exceed targets in most cases</w:t>
      </w:r>
      <w:r w:rsidRPr="001371FE">
        <w:t>,</w:t>
      </w:r>
      <w:r w:rsidRPr="001371FE">
        <w:rPr>
          <w:rFonts w:eastAsia="Times New Roman"/>
        </w:rPr>
        <w:t xml:space="preserve"> despite uncertainty about the future of the program throughout the reporting period as a result of INGO registration issues</w:t>
      </w:r>
      <w:r w:rsidR="00C27B1B" w:rsidRPr="001371FE">
        <w:t>.</w:t>
      </w:r>
      <w:r w:rsidRPr="001371FE">
        <w:rPr>
          <w:rStyle w:val="FootnoteReference"/>
          <w:rFonts w:eastAsia="Times New Roman"/>
        </w:rPr>
        <w:footnoteReference w:id="9"/>
      </w:r>
      <w:r w:rsidR="00C27B1B" w:rsidRPr="001371FE">
        <w:t xml:space="preserve"> In the reporting period, </w:t>
      </w:r>
      <w:r w:rsidR="00C27B1B" w:rsidRPr="001371FE">
        <w:rPr>
          <w:rFonts w:eastAsia="Times New Roman"/>
        </w:rPr>
        <w:t>2544 women survivors of violence in KP and Sindh provinces (21 with disabilities) received services such as shelter, counselling, legal and health services</w:t>
      </w:r>
      <w:r w:rsidRPr="001371FE">
        <w:rPr>
          <w:rFonts w:eastAsia="Times New Roman"/>
        </w:rPr>
        <w:t>.</w:t>
      </w:r>
      <w:r w:rsidR="008551AF" w:rsidRPr="001371FE">
        <w:rPr>
          <w:rFonts w:eastAsia="Times New Roman"/>
        </w:rPr>
        <w:t xml:space="preserve"> </w:t>
      </w:r>
      <w:r w:rsidR="00D06965" w:rsidRPr="001371FE">
        <w:rPr>
          <w:rFonts w:eastAsia="Times New Roman"/>
        </w:rPr>
        <w:t xml:space="preserve">The program has </w:t>
      </w:r>
      <w:r w:rsidR="00D10B29" w:rsidRPr="001371FE">
        <w:rPr>
          <w:rFonts w:eastAsia="Times New Roman"/>
        </w:rPr>
        <w:t xml:space="preserve">also </w:t>
      </w:r>
      <w:r w:rsidR="00D06965" w:rsidRPr="001371FE">
        <w:rPr>
          <w:rFonts w:eastAsia="Times New Roman"/>
        </w:rPr>
        <w:t xml:space="preserve">been successful in securing government </w:t>
      </w:r>
      <w:r w:rsidR="00D10B29" w:rsidRPr="001371FE">
        <w:rPr>
          <w:rFonts w:eastAsia="Times New Roman"/>
        </w:rPr>
        <w:t>budget allocations</w:t>
      </w:r>
      <w:r w:rsidR="00D06965" w:rsidRPr="001371FE">
        <w:rPr>
          <w:rFonts w:eastAsia="Times New Roman"/>
        </w:rPr>
        <w:t xml:space="preserve"> to support some of the program services, </w:t>
      </w:r>
      <w:r w:rsidR="00D10B29" w:rsidRPr="001371FE">
        <w:rPr>
          <w:rFonts w:eastAsia="Times New Roman"/>
        </w:rPr>
        <w:t xml:space="preserve">such as </w:t>
      </w:r>
      <w:r w:rsidR="00D06965" w:rsidRPr="001371FE">
        <w:rPr>
          <w:rFonts w:eastAsia="Times New Roman"/>
        </w:rPr>
        <w:t>GBV helplines</w:t>
      </w:r>
      <w:r w:rsidR="00D10B29" w:rsidRPr="001371FE">
        <w:rPr>
          <w:rFonts w:eastAsia="Times New Roman"/>
        </w:rPr>
        <w:t>,</w:t>
      </w:r>
      <w:r w:rsidR="00D06965" w:rsidRPr="001371FE">
        <w:rPr>
          <w:rFonts w:eastAsia="Times New Roman"/>
        </w:rPr>
        <w:t xml:space="preserve"> beyond the life of the program. The EVAW program continues to rate highly on internal quality assessments.</w:t>
      </w:r>
    </w:p>
    <w:p w:rsidR="00C83387" w:rsidRPr="001371FE" w:rsidRDefault="009F6A2D" w:rsidP="001371FE">
      <w:pPr>
        <w:spacing w:line="240" w:lineRule="auto"/>
        <w:rPr>
          <w:b/>
        </w:rPr>
      </w:pPr>
      <w:r w:rsidRPr="001371FE">
        <w:rPr>
          <w:rFonts w:eastAsia="Times New Roman"/>
        </w:rPr>
        <w:t xml:space="preserve">Under </w:t>
      </w:r>
      <w:r w:rsidR="00965AEF" w:rsidRPr="001371FE">
        <w:rPr>
          <w:b/>
          <w:u w:val="single"/>
        </w:rPr>
        <w:t>Outcome 4 - Governments are adopting policy reform around inclusive education, nutrition and EVAW as a result of Australian engagement</w:t>
      </w:r>
      <w:r w:rsidRPr="001371FE">
        <w:rPr>
          <w:b/>
        </w:rPr>
        <w:t xml:space="preserve">, </w:t>
      </w:r>
      <w:r w:rsidRPr="001371FE">
        <w:rPr>
          <w:rFonts w:eastAsia="Times New Roman"/>
        </w:rPr>
        <w:t>advocacy from Australian partners and the Australian High Commission have again led to significant policy outcomes.</w:t>
      </w:r>
      <w:r w:rsidRPr="001371FE">
        <w:rPr>
          <w:b/>
        </w:rPr>
        <w:t xml:space="preserve"> </w:t>
      </w:r>
      <w:r w:rsidR="006B5CEC" w:rsidRPr="001371FE">
        <w:rPr>
          <w:rFonts w:eastAsia="Times New Roman"/>
        </w:rPr>
        <w:t xml:space="preserve">Under </w:t>
      </w:r>
      <w:r w:rsidR="000F7CE1" w:rsidRPr="001371FE">
        <w:rPr>
          <w:rFonts w:eastAsia="Times New Roman"/>
        </w:rPr>
        <w:t>KESP</w:t>
      </w:r>
      <w:r w:rsidR="006B5CEC" w:rsidRPr="001371FE">
        <w:rPr>
          <w:rFonts w:eastAsia="Times New Roman"/>
        </w:rPr>
        <w:t xml:space="preserve">, </w:t>
      </w:r>
      <w:r w:rsidR="00D10B29" w:rsidRPr="001371FE">
        <w:rPr>
          <w:rFonts w:eastAsia="Times New Roman"/>
        </w:rPr>
        <w:t xml:space="preserve">the KP Government </w:t>
      </w:r>
      <w:r w:rsidR="00017F56" w:rsidRPr="001371FE">
        <w:rPr>
          <w:rFonts w:eastAsia="Times New Roman"/>
        </w:rPr>
        <w:t>(</w:t>
      </w:r>
      <w:proofErr w:type="spellStart"/>
      <w:r w:rsidR="00017F56" w:rsidRPr="001371FE">
        <w:rPr>
          <w:rFonts w:eastAsia="Times New Roman"/>
        </w:rPr>
        <w:t>GoKP</w:t>
      </w:r>
      <w:proofErr w:type="spellEnd"/>
      <w:r w:rsidR="00017F56" w:rsidRPr="001371FE">
        <w:rPr>
          <w:rFonts w:eastAsia="Times New Roman"/>
        </w:rPr>
        <w:t xml:space="preserve">) </w:t>
      </w:r>
      <w:r w:rsidR="006B5CEC" w:rsidRPr="001371FE">
        <w:rPr>
          <w:rFonts w:eastAsia="Times New Roman"/>
        </w:rPr>
        <w:t xml:space="preserve">year-on-year budgets for education </w:t>
      </w:r>
      <w:r w:rsidR="00D10B29" w:rsidRPr="001371FE">
        <w:rPr>
          <w:rFonts w:eastAsia="Times New Roman"/>
        </w:rPr>
        <w:t>have increased at</w:t>
      </w:r>
      <w:r w:rsidR="00AB3A78" w:rsidRPr="001371FE">
        <w:rPr>
          <w:rFonts w:eastAsia="Times New Roman"/>
        </w:rPr>
        <w:t xml:space="preserve"> an average of 15.3 percent per annum from 2013/14 to 2017/18</w:t>
      </w:r>
      <w:r w:rsidR="006B5CEC" w:rsidRPr="001371FE">
        <w:rPr>
          <w:rFonts w:eastAsia="Times New Roman"/>
        </w:rPr>
        <w:t>.</w:t>
      </w:r>
      <w:r w:rsidR="00AB3A78" w:rsidRPr="001371FE">
        <w:rPr>
          <w:rFonts w:eastAsia="Times New Roman"/>
        </w:rPr>
        <w:t xml:space="preserve"> </w:t>
      </w:r>
      <w:r w:rsidR="008551AF" w:rsidRPr="001371FE">
        <w:rPr>
          <w:rFonts w:eastAsia="Times New Roman"/>
        </w:rPr>
        <w:t xml:space="preserve">The KESP Annual Review </w:t>
      </w:r>
      <w:r w:rsidR="005068F1" w:rsidRPr="001371FE">
        <w:rPr>
          <w:rFonts w:eastAsia="Times New Roman"/>
        </w:rPr>
        <w:t>finalised</w:t>
      </w:r>
      <w:r w:rsidR="008551AF" w:rsidRPr="001371FE">
        <w:rPr>
          <w:rFonts w:eastAsia="Times New Roman"/>
        </w:rPr>
        <w:t xml:space="preserve"> in</w:t>
      </w:r>
      <w:r w:rsidR="005068F1" w:rsidRPr="001371FE">
        <w:rPr>
          <w:rFonts w:eastAsia="Times New Roman"/>
        </w:rPr>
        <w:t xml:space="preserve"> </w:t>
      </w:r>
      <w:r w:rsidR="005C7366" w:rsidRPr="001371FE">
        <w:rPr>
          <w:rFonts w:eastAsia="Times New Roman"/>
        </w:rPr>
        <w:t>Sep</w:t>
      </w:r>
      <w:r w:rsidR="00D06965" w:rsidRPr="001371FE">
        <w:rPr>
          <w:rFonts w:eastAsia="Times New Roman"/>
        </w:rPr>
        <w:t>tember</w:t>
      </w:r>
      <w:r w:rsidR="005068F1" w:rsidRPr="001371FE">
        <w:rPr>
          <w:rFonts w:eastAsia="Times New Roman"/>
        </w:rPr>
        <w:t xml:space="preserve"> 2017 </w:t>
      </w:r>
      <w:r w:rsidR="008551AF" w:rsidRPr="001371FE">
        <w:rPr>
          <w:rFonts w:eastAsia="Times New Roman"/>
        </w:rPr>
        <w:t xml:space="preserve">assessed that </w:t>
      </w:r>
      <w:r w:rsidR="00D10B29" w:rsidRPr="001371FE">
        <w:rPr>
          <w:rFonts w:eastAsia="Times New Roman"/>
        </w:rPr>
        <w:t xml:space="preserve">the </w:t>
      </w:r>
      <w:r w:rsidR="00C83387" w:rsidRPr="001371FE">
        <w:rPr>
          <w:rFonts w:eastAsia="Times New Roman"/>
        </w:rPr>
        <w:t>Sector Budget Support component of KESP is tracking well</w:t>
      </w:r>
      <w:r w:rsidR="00D10B29" w:rsidRPr="001371FE">
        <w:rPr>
          <w:rFonts w:eastAsia="Times New Roman"/>
        </w:rPr>
        <w:t xml:space="preserve">. However, </w:t>
      </w:r>
      <w:r w:rsidR="00C83387" w:rsidRPr="001371FE">
        <w:rPr>
          <w:rFonts w:eastAsia="Times New Roman"/>
        </w:rPr>
        <w:t>the infrastructure component is lagging. In the reporting period, DFID placed the contractor for the infrastructure component on a</w:t>
      </w:r>
      <w:r w:rsidR="00C81A08" w:rsidRPr="001371FE">
        <w:rPr>
          <w:rFonts w:eastAsia="Times New Roman"/>
        </w:rPr>
        <w:t>n</w:t>
      </w:r>
      <w:r w:rsidR="00C83387" w:rsidRPr="001371FE">
        <w:rPr>
          <w:rFonts w:eastAsia="Times New Roman"/>
        </w:rPr>
        <w:t xml:space="preserve"> Improvement Plan </w:t>
      </w:r>
      <w:r w:rsidR="00C81A08" w:rsidRPr="001371FE">
        <w:rPr>
          <w:rFonts w:eastAsia="Times New Roman"/>
        </w:rPr>
        <w:t>(equivalent to our IRI)</w:t>
      </w:r>
      <w:r w:rsidR="00A227AA" w:rsidRPr="001371FE">
        <w:rPr>
          <w:rFonts w:eastAsia="Times New Roman"/>
        </w:rPr>
        <w:t xml:space="preserve"> and commenced an independent review of end-of-program infrastructure targets</w:t>
      </w:r>
      <w:r w:rsidR="00C83387" w:rsidRPr="001371FE">
        <w:rPr>
          <w:rFonts w:eastAsia="Times New Roman"/>
        </w:rPr>
        <w:t xml:space="preserve">. Administrative changes due to </w:t>
      </w:r>
      <w:r w:rsidR="009602BF" w:rsidRPr="001371FE">
        <w:rPr>
          <w:rFonts w:eastAsia="Times New Roman"/>
        </w:rPr>
        <w:t xml:space="preserve">the </w:t>
      </w:r>
      <w:r w:rsidR="00C83387" w:rsidRPr="001371FE">
        <w:rPr>
          <w:rFonts w:eastAsia="Times New Roman"/>
        </w:rPr>
        <w:t>election period have also</w:t>
      </w:r>
      <w:r w:rsidR="002829B0" w:rsidRPr="001371FE">
        <w:rPr>
          <w:rFonts w:eastAsia="Times New Roman"/>
        </w:rPr>
        <w:t xml:space="preserve"> affected the pace of reform, for example</w:t>
      </w:r>
      <w:r w:rsidR="00C83387" w:rsidRPr="001371FE">
        <w:rPr>
          <w:rFonts w:eastAsia="Times New Roman"/>
        </w:rPr>
        <w:t xml:space="preserve"> recruitment of new teachers </w:t>
      </w:r>
      <w:r w:rsidR="002829B0" w:rsidRPr="001371FE">
        <w:rPr>
          <w:rFonts w:eastAsia="Times New Roman"/>
        </w:rPr>
        <w:t xml:space="preserve">was </w:t>
      </w:r>
      <w:r w:rsidR="00C83387" w:rsidRPr="001371FE">
        <w:rPr>
          <w:rFonts w:eastAsia="Times New Roman"/>
        </w:rPr>
        <w:t xml:space="preserve">put on hold. </w:t>
      </w:r>
    </w:p>
    <w:p w:rsidR="00D9759C" w:rsidRPr="001371FE" w:rsidRDefault="00A46AAE" w:rsidP="001371FE">
      <w:pPr>
        <w:spacing w:line="240" w:lineRule="auto"/>
        <w:rPr>
          <w:rFonts w:eastAsia="Times New Roman"/>
        </w:rPr>
      </w:pPr>
      <w:r w:rsidRPr="001371FE">
        <w:rPr>
          <w:noProof/>
          <w:lang w:val="en-AU" w:eastAsia="en-AU"/>
        </w:rPr>
        <mc:AlternateContent>
          <mc:Choice Requires="wps">
            <w:drawing>
              <wp:anchor distT="0" distB="0" distL="114300" distR="114300" simplePos="0" relativeHeight="251694080" behindDoc="0" locked="0" layoutInCell="1" allowOverlap="1" wp14:anchorId="0D4D5C7D" wp14:editId="0BD0EFCF">
                <wp:simplePos x="0" y="0"/>
                <wp:positionH relativeFrom="margin">
                  <wp:posOffset>2739517</wp:posOffset>
                </wp:positionH>
                <wp:positionV relativeFrom="paragraph">
                  <wp:posOffset>5004</wp:posOffset>
                </wp:positionV>
                <wp:extent cx="3404870" cy="4286250"/>
                <wp:effectExtent l="0" t="0" r="24130" b="19050"/>
                <wp:wrapSquare wrapText="bothSides"/>
                <wp:docPr id="39" name="Text Box 39"/>
                <wp:cNvGraphicFramePr/>
                <a:graphic xmlns:a="http://schemas.openxmlformats.org/drawingml/2006/main">
                  <a:graphicData uri="http://schemas.microsoft.com/office/word/2010/wordprocessingShape">
                    <wps:wsp>
                      <wps:cNvSpPr txBox="1"/>
                      <wps:spPr>
                        <a:xfrm>
                          <a:off x="0" y="0"/>
                          <a:ext cx="3404870" cy="4286250"/>
                        </a:xfrm>
                        <a:prstGeom prst="rect">
                          <a:avLst/>
                        </a:prstGeom>
                        <a:solidFill>
                          <a:schemeClr val="bg1"/>
                        </a:solidFill>
                        <a:ln w="6350">
                          <a:solidFill>
                            <a:schemeClr val="accent1"/>
                          </a:solidFill>
                        </a:ln>
                      </wps:spPr>
                      <wps:txbx>
                        <w:txbxContent>
                          <w:p w:rsidR="00F46617" w:rsidRPr="000F164B" w:rsidRDefault="00F46617" w:rsidP="000F164B">
                            <w:pPr>
                              <w:spacing w:before="0" w:after="0" w:line="240" w:lineRule="auto"/>
                              <w:rPr>
                                <w:rFonts w:asciiTheme="majorHAnsi" w:eastAsia="Times New Roman" w:hAnsiTheme="majorHAnsi"/>
                                <w:b/>
                                <w:i/>
                                <w:color w:val="3DA18F" w:themeColor="accent1" w:themeShade="BF"/>
                                <w:sz w:val="20"/>
                                <w:szCs w:val="20"/>
                              </w:rPr>
                            </w:pPr>
                            <w:r>
                              <w:rPr>
                                <w:rFonts w:asciiTheme="majorHAnsi" w:eastAsia="Times New Roman" w:hAnsiTheme="majorHAnsi"/>
                                <w:b/>
                                <w:i/>
                                <w:color w:val="3DA18F" w:themeColor="accent1" w:themeShade="BF"/>
                                <w:sz w:val="20"/>
                                <w:szCs w:val="20"/>
                              </w:rPr>
                              <w:t>Promoting inclusive education</w:t>
                            </w:r>
                          </w:p>
                          <w:p w:rsidR="00F46617" w:rsidRDefault="00F46617" w:rsidP="000F164B">
                            <w:pPr>
                              <w:spacing w:before="0" w:after="0" w:line="240" w:lineRule="auto"/>
                              <w:rPr>
                                <w:rFonts w:eastAsia="Times New Roman"/>
                                <w:i/>
                                <w:sz w:val="20"/>
                                <w:szCs w:val="20"/>
                              </w:rPr>
                            </w:pPr>
                          </w:p>
                          <w:p w:rsidR="00F46617" w:rsidRDefault="00F46617" w:rsidP="000F164B">
                            <w:pPr>
                              <w:spacing w:before="0" w:after="0" w:line="240" w:lineRule="auto"/>
                              <w:rPr>
                                <w:rFonts w:eastAsia="Times New Roman"/>
                                <w:i/>
                                <w:sz w:val="20"/>
                                <w:szCs w:val="20"/>
                              </w:rPr>
                            </w:pPr>
                            <w:r w:rsidRPr="005553C5">
                              <w:rPr>
                                <w:rFonts w:eastAsia="Times New Roman"/>
                                <w:i/>
                                <w:sz w:val="20"/>
                                <w:szCs w:val="20"/>
                              </w:rPr>
                              <w:t>Australia is investing $63.85m (2012-20) in the</w:t>
                            </w:r>
                            <w:r w:rsidRPr="00A97153">
                              <w:rPr>
                                <w:rFonts w:eastAsia="Times New Roman"/>
                                <w:b/>
                                <w:i/>
                                <w:sz w:val="20"/>
                                <w:szCs w:val="20"/>
                                <w:u w:val="single"/>
                              </w:rPr>
                              <w:t xml:space="preserve"> Khyber Pakhtunkhwa Education Sector Program (KESP)</w:t>
                            </w:r>
                            <w:r w:rsidRPr="005553C5">
                              <w:rPr>
                                <w:rFonts w:eastAsia="Times New Roman"/>
                                <w:i/>
                                <w:sz w:val="20"/>
                                <w:szCs w:val="20"/>
                              </w:rPr>
                              <w:t xml:space="preserve"> to support provincial education reform, in partnership with the UK. </w:t>
                            </w:r>
                            <w:r>
                              <w:rPr>
                                <w:rFonts w:eastAsia="Times New Roman"/>
                                <w:i/>
                                <w:sz w:val="20"/>
                                <w:szCs w:val="20"/>
                              </w:rPr>
                              <w:t xml:space="preserve">Through </w:t>
                            </w:r>
                            <w:r w:rsidRPr="005553C5">
                              <w:rPr>
                                <w:rFonts w:eastAsia="Times New Roman"/>
                                <w:i/>
                                <w:sz w:val="20"/>
                                <w:szCs w:val="20"/>
                              </w:rPr>
                              <w:t xml:space="preserve">our engagement on the program, Australia has prioritised girls’ education. A comprehensive survey found that 2.6 million children (23 percent) are currently out of school in KP, of which two thirds are girls. </w:t>
                            </w:r>
                          </w:p>
                          <w:p w:rsidR="00F46617" w:rsidRDefault="00F46617" w:rsidP="000F164B">
                            <w:pPr>
                              <w:spacing w:before="0" w:after="0" w:line="240" w:lineRule="auto"/>
                              <w:rPr>
                                <w:rFonts w:eastAsia="Times New Roman"/>
                                <w:i/>
                                <w:sz w:val="20"/>
                                <w:szCs w:val="20"/>
                              </w:rPr>
                            </w:pPr>
                          </w:p>
                          <w:p w:rsidR="00F46617" w:rsidRDefault="00F46617" w:rsidP="000F164B">
                            <w:pPr>
                              <w:spacing w:before="0" w:after="0" w:line="240" w:lineRule="auto"/>
                              <w:rPr>
                                <w:rFonts w:eastAsia="Times New Roman"/>
                                <w:i/>
                                <w:sz w:val="20"/>
                                <w:szCs w:val="20"/>
                              </w:rPr>
                            </w:pPr>
                            <w:r w:rsidRPr="005553C5">
                              <w:rPr>
                                <w:rFonts w:eastAsia="Times New Roman"/>
                                <w:i/>
                                <w:sz w:val="20"/>
                                <w:szCs w:val="20"/>
                              </w:rPr>
                              <w:t>As a direct result of Australia and the UK’s joint messaging on gender</w:t>
                            </w:r>
                            <w:r>
                              <w:rPr>
                                <w:rFonts w:eastAsia="Times New Roman"/>
                                <w:i/>
                                <w:sz w:val="20"/>
                                <w:szCs w:val="20"/>
                              </w:rPr>
                              <w:t xml:space="preserve"> equality</w:t>
                            </w:r>
                            <w:r w:rsidRPr="005553C5">
                              <w:rPr>
                                <w:rFonts w:eastAsia="Times New Roman"/>
                                <w:i/>
                                <w:sz w:val="20"/>
                                <w:szCs w:val="20"/>
                              </w:rPr>
                              <w:t xml:space="preserve">, the </w:t>
                            </w:r>
                            <w:r w:rsidRPr="005553C5">
                              <w:rPr>
                                <w:rFonts w:eastAsia="Times New Roman"/>
                                <w:b/>
                                <w:i/>
                                <w:sz w:val="20"/>
                                <w:szCs w:val="20"/>
                              </w:rPr>
                              <w:t>Khyber Pakhtunkhwa (KP) Education Department’s Equity Strategy</w:t>
                            </w:r>
                            <w:r w:rsidRPr="005553C5">
                              <w:rPr>
                                <w:rFonts w:eastAsia="Times New Roman"/>
                                <w:i/>
                                <w:sz w:val="20"/>
                                <w:szCs w:val="20"/>
                              </w:rPr>
                              <w:t xml:space="preserve"> was launched in 2017 to improve access to quality education for girls, children with disabilities, minorities and other vulnerable groups. </w:t>
                            </w:r>
                            <w:proofErr w:type="spellStart"/>
                            <w:r w:rsidRPr="005553C5">
                              <w:rPr>
                                <w:rFonts w:eastAsia="Times New Roman"/>
                                <w:i/>
                                <w:sz w:val="20"/>
                                <w:szCs w:val="20"/>
                              </w:rPr>
                              <w:t>GoKP</w:t>
                            </w:r>
                            <w:proofErr w:type="spellEnd"/>
                            <w:r w:rsidRPr="005553C5">
                              <w:rPr>
                                <w:rFonts w:eastAsia="Times New Roman"/>
                                <w:i/>
                                <w:sz w:val="20"/>
                                <w:szCs w:val="20"/>
                              </w:rPr>
                              <w:t xml:space="preserve"> allocated USD 15.7 mi</w:t>
                            </w:r>
                            <w:r>
                              <w:rPr>
                                <w:rFonts w:eastAsia="Times New Roman"/>
                                <w:i/>
                                <w:sz w:val="20"/>
                                <w:szCs w:val="20"/>
                              </w:rPr>
                              <w:t>l</w:t>
                            </w:r>
                            <w:r w:rsidRPr="005553C5">
                              <w:rPr>
                                <w:rFonts w:eastAsia="Times New Roman"/>
                                <w:i/>
                                <w:sz w:val="20"/>
                                <w:szCs w:val="20"/>
                              </w:rPr>
                              <w:t>lion in 2017/18 to implement the Strategy and recognises itself as the leading provincial government in promoting equitable education.  The Government aims to enrol an additional 400,000 children in school by 2021.</w:t>
                            </w:r>
                          </w:p>
                          <w:p w:rsidR="00F46617" w:rsidRPr="005553C5" w:rsidRDefault="00F46617" w:rsidP="000F164B">
                            <w:pPr>
                              <w:spacing w:before="0" w:after="0" w:line="240" w:lineRule="auto"/>
                              <w:rPr>
                                <w:rFonts w:eastAsia="Times New Roman"/>
                                <w:i/>
                                <w:sz w:val="20"/>
                                <w:szCs w:val="20"/>
                              </w:rPr>
                            </w:pPr>
                          </w:p>
                          <w:p w:rsidR="00F46617" w:rsidRPr="005553C5" w:rsidRDefault="00F46617" w:rsidP="000F164B">
                            <w:pPr>
                              <w:spacing w:before="0" w:after="0" w:line="240" w:lineRule="auto"/>
                              <w:rPr>
                                <w:rFonts w:eastAsia="Times New Roman"/>
                                <w:i/>
                                <w:sz w:val="20"/>
                                <w:szCs w:val="20"/>
                              </w:rPr>
                            </w:pPr>
                            <w:r w:rsidRPr="005553C5">
                              <w:rPr>
                                <w:rFonts w:eastAsia="Times New Roman"/>
                                <w:i/>
                                <w:sz w:val="20"/>
                                <w:szCs w:val="20"/>
                              </w:rPr>
                              <w:t xml:space="preserve">Under the Equity Strategy, the </w:t>
                            </w:r>
                            <w:proofErr w:type="spellStart"/>
                            <w:r w:rsidRPr="005553C5">
                              <w:rPr>
                                <w:rFonts w:eastAsia="Times New Roman"/>
                                <w:i/>
                                <w:sz w:val="20"/>
                                <w:szCs w:val="20"/>
                              </w:rPr>
                              <w:t>GoKP</w:t>
                            </w:r>
                            <w:proofErr w:type="spellEnd"/>
                            <w:r w:rsidRPr="005553C5">
                              <w:rPr>
                                <w:rFonts w:eastAsia="Times New Roman"/>
                                <w:i/>
                                <w:sz w:val="20"/>
                                <w:szCs w:val="20"/>
                              </w:rPr>
                              <w:t xml:space="preserve"> will implement innovative solutions to address barriers to education for marginalised children, including partnerships with the private sector. The approved Public Private Partnership Strategy provides short and long-term options to increase enrolments for </w:t>
                            </w:r>
                            <w:r>
                              <w:rPr>
                                <w:rFonts w:eastAsia="Times New Roman"/>
                                <w:i/>
                                <w:sz w:val="20"/>
                                <w:szCs w:val="20"/>
                              </w:rPr>
                              <w:t>o</w:t>
                            </w:r>
                            <w:r w:rsidRPr="005553C5">
                              <w:rPr>
                                <w:rFonts w:eastAsia="Times New Roman"/>
                                <w:i/>
                                <w:sz w:val="20"/>
                                <w:szCs w:val="20"/>
                              </w:rPr>
                              <w:t xml:space="preserve">ut of school children, including the Accelerated Education Program (AEP) and evening shift schools.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D5C7D" id="Text Box 39" o:spid="_x0000_s1029" type="#_x0000_t202" style="position:absolute;margin-left:215.7pt;margin-top:.4pt;width:268.1pt;height:33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" fillcolor="white [3212]" strokecolor="#65c5b4 [3204]" strokeweight=".5pt">
                <v:textbox>
                  <w:txbxContent>
                    <w:p w:rsidR="00F46617" w:rsidRPr="000F164B" w:rsidRDefault="00F46617" w:rsidP="000F164B">
                      <w:pPr>
                        <w:spacing w:before="0" w:after="0" w:line="240" w:lineRule="auto"/>
                        <w:rPr>
                          <w:rFonts w:asciiTheme="majorHAnsi" w:eastAsia="Times New Roman" w:hAnsiTheme="majorHAnsi"/>
                          <w:b/>
                          <w:i/>
                          <w:color w:val="3DA18F" w:themeColor="accent1" w:themeShade="BF"/>
                          <w:sz w:val="20"/>
                          <w:szCs w:val="20"/>
                        </w:rPr>
                      </w:pPr>
                      <w:r>
                        <w:rPr>
                          <w:rFonts w:asciiTheme="majorHAnsi" w:eastAsia="Times New Roman" w:hAnsiTheme="majorHAnsi"/>
                          <w:b/>
                          <w:i/>
                          <w:color w:val="3DA18F" w:themeColor="accent1" w:themeShade="BF"/>
                          <w:sz w:val="20"/>
                          <w:szCs w:val="20"/>
                        </w:rPr>
                        <w:t>Promoting inclusive education</w:t>
                      </w:r>
                    </w:p>
                    <w:p w:rsidR="00F46617" w:rsidRDefault="00F46617" w:rsidP="000F164B">
                      <w:pPr>
                        <w:spacing w:before="0" w:after="0" w:line="240" w:lineRule="auto"/>
                        <w:rPr>
                          <w:rFonts w:eastAsia="Times New Roman"/>
                          <w:i/>
                          <w:sz w:val="20"/>
                          <w:szCs w:val="20"/>
                        </w:rPr>
                      </w:pPr>
                    </w:p>
                    <w:p w:rsidR="00F46617" w:rsidRDefault="00F46617" w:rsidP="000F164B">
                      <w:pPr>
                        <w:spacing w:before="0" w:after="0" w:line="240" w:lineRule="auto"/>
                        <w:rPr>
                          <w:rFonts w:eastAsia="Times New Roman"/>
                          <w:i/>
                          <w:sz w:val="20"/>
                          <w:szCs w:val="20"/>
                        </w:rPr>
                      </w:pPr>
                      <w:r w:rsidRPr="005553C5">
                        <w:rPr>
                          <w:rFonts w:eastAsia="Times New Roman"/>
                          <w:i/>
                          <w:sz w:val="20"/>
                          <w:szCs w:val="20"/>
                        </w:rPr>
                        <w:t>Australia is investing $63.85m (2012-20) in the</w:t>
                      </w:r>
                      <w:r w:rsidRPr="00A97153">
                        <w:rPr>
                          <w:rFonts w:eastAsia="Times New Roman"/>
                          <w:b/>
                          <w:i/>
                          <w:sz w:val="20"/>
                          <w:szCs w:val="20"/>
                          <w:u w:val="single"/>
                        </w:rPr>
                        <w:t xml:space="preserve"> Khyber Pakhtunkhwa Education Sector Program (KESP)</w:t>
                      </w:r>
                      <w:r w:rsidRPr="005553C5">
                        <w:rPr>
                          <w:rFonts w:eastAsia="Times New Roman"/>
                          <w:i/>
                          <w:sz w:val="20"/>
                          <w:szCs w:val="20"/>
                        </w:rPr>
                        <w:t xml:space="preserve"> to support provincial education reform, in partnership with the UK. </w:t>
                      </w:r>
                      <w:r>
                        <w:rPr>
                          <w:rFonts w:eastAsia="Times New Roman"/>
                          <w:i/>
                          <w:sz w:val="20"/>
                          <w:szCs w:val="20"/>
                        </w:rPr>
                        <w:t xml:space="preserve">Through </w:t>
                      </w:r>
                      <w:r w:rsidRPr="005553C5">
                        <w:rPr>
                          <w:rFonts w:eastAsia="Times New Roman"/>
                          <w:i/>
                          <w:sz w:val="20"/>
                          <w:szCs w:val="20"/>
                        </w:rPr>
                        <w:t xml:space="preserve">our engagement on the program, Australia has prioritised girls’ education. A comprehensive survey found that 2.6 million children (23 percent) are currently out of school in KP, of which two thirds are girls. </w:t>
                      </w:r>
                    </w:p>
                    <w:p w:rsidR="00F46617" w:rsidRDefault="00F46617" w:rsidP="000F164B">
                      <w:pPr>
                        <w:spacing w:before="0" w:after="0" w:line="240" w:lineRule="auto"/>
                        <w:rPr>
                          <w:rFonts w:eastAsia="Times New Roman"/>
                          <w:i/>
                          <w:sz w:val="20"/>
                          <w:szCs w:val="20"/>
                        </w:rPr>
                      </w:pPr>
                    </w:p>
                    <w:p w:rsidR="00F46617" w:rsidRDefault="00F46617" w:rsidP="000F164B">
                      <w:pPr>
                        <w:spacing w:before="0" w:after="0" w:line="240" w:lineRule="auto"/>
                        <w:rPr>
                          <w:rFonts w:eastAsia="Times New Roman"/>
                          <w:i/>
                          <w:sz w:val="20"/>
                          <w:szCs w:val="20"/>
                        </w:rPr>
                      </w:pPr>
                      <w:r w:rsidRPr="005553C5">
                        <w:rPr>
                          <w:rFonts w:eastAsia="Times New Roman"/>
                          <w:i/>
                          <w:sz w:val="20"/>
                          <w:szCs w:val="20"/>
                        </w:rPr>
                        <w:t>As a direct result of Australia and the UK’s joint messaging on gender</w:t>
                      </w:r>
                      <w:r>
                        <w:rPr>
                          <w:rFonts w:eastAsia="Times New Roman"/>
                          <w:i/>
                          <w:sz w:val="20"/>
                          <w:szCs w:val="20"/>
                        </w:rPr>
                        <w:t xml:space="preserve"> equality</w:t>
                      </w:r>
                      <w:r w:rsidRPr="005553C5">
                        <w:rPr>
                          <w:rFonts w:eastAsia="Times New Roman"/>
                          <w:i/>
                          <w:sz w:val="20"/>
                          <w:szCs w:val="20"/>
                        </w:rPr>
                        <w:t xml:space="preserve">, the </w:t>
                      </w:r>
                      <w:r w:rsidRPr="005553C5">
                        <w:rPr>
                          <w:rFonts w:eastAsia="Times New Roman"/>
                          <w:b/>
                          <w:i/>
                          <w:sz w:val="20"/>
                          <w:szCs w:val="20"/>
                        </w:rPr>
                        <w:t>Khyber Pakhtunkhwa (KP) Education Department’s Equity Strategy</w:t>
                      </w:r>
                      <w:r w:rsidRPr="005553C5">
                        <w:rPr>
                          <w:rFonts w:eastAsia="Times New Roman"/>
                          <w:i/>
                          <w:sz w:val="20"/>
                          <w:szCs w:val="20"/>
                        </w:rPr>
                        <w:t xml:space="preserve"> was launched in 2017 to improve access to quality education for girls, children with disabilities, minorities and other vulnerable groups. </w:t>
                      </w:r>
                      <w:proofErr w:type="spellStart"/>
                      <w:r w:rsidRPr="005553C5">
                        <w:rPr>
                          <w:rFonts w:eastAsia="Times New Roman"/>
                          <w:i/>
                          <w:sz w:val="20"/>
                          <w:szCs w:val="20"/>
                        </w:rPr>
                        <w:t>GoKP</w:t>
                      </w:r>
                      <w:proofErr w:type="spellEnd"/>
                      <w:r w:rsidRPr="005553C5">
                        <w:rPr>
                          <w:rFonts w:eastAsia="Times New Roman"/>
                          <w:i/>
                          <w:sz w:val="20"/>
                          <w:szCs w:val="20"/>
                        </w:rPr>
                        <w:t xml:space="preserve"> allocated USD 15.7 mi</w:t>
                      </w:r>
                      <w:r>
                        <w:rPr>
                          <w:rFonts w:eastAsia="Times New Roman"/>
                          <w:i/>
                          <w:sz w:val="20"/>
                          <w:szCs w:val="20"/>
                        </w:rPr>
                        <w:t>l</w:t>
                      </w:r>
                      <w:r w:rsidRPr="005553C5">
                        <w:rPr>
                          <w:rFonts w:eastAsia="Times New Roman"/>
                          <w:i/>
                          <w:sz w:val="20"/>
                          <w:szCs w:val="20"/>
                        </w:rPr>
                        <w:t>lion in 2017/18 to implement the Strategy and recognises itself as the leading provincial government in promoting equitable education.  The Government aims to enrol an additional 400,000 children in school by 2021.</w:t>
                      </w:r>
                    </w:p>
                    <w:p w:rsidR="00F46617" w:rsidRPr="005553C5" w:rsidRDefault="00F46617" w:rsidP="000F164B">
                      <w:pPr>
                        <w:spacing w:before="0" w:after="0" w:line="240" w:lineRule="auto"/>
                        <w:rPr>
                          <w:rFonts w:eastAsia="Times New Roman"/>
                          <w:i/>
                          <w:sz w:val="20"/>
                          <w:szCs w:val="20"/>
                        </w:rPr>
                      </w:pPr>
                    </w:p>
                    <w:p w:rsidR="00F46617" w:rsidRPr="005553C5" w:rsidRDefault="00F46617" w:rsidP="000F164B">
                      <w:pPr>
                        <w:spacing w:before="0" w:after="0" w:line="240" w:lineRule="auto"/>
                        <w:rPr>
                          <w:rFonts w:eastAsia="Times New Roman"/>
                          <w:i/>
                          <w:sz w:val="20"/>
                          <w:szCs w:val="20"/>
                        </w:rPr>
                      </w:pPr>
                      <w:r w:rsidRPr="005553C5">
                        <w:rPr>
                          <w:rFonts w:eastAsia="Times New Roman"/>
                          <w:i/>
                          <w:sz w:val="20"/>
                          <w:szCs w:val="20"/>
                        </w:rPr>
                        <w:t xml:space="preserve">Under the Equity Strategy, the </w:t>
                      </w:r>
                      <w:proofErr w:type="spellStart"/>
                      <w:r w:rsidRPr="005553C5">
                        <w:rPr>
                          <w:rFonts w:eastAsia="Times New Roman"/>
                          <w:i/>
                          <w:sz w:val="20"/>
                          <w:szCs w:val="20"/>
                        </w:rPr>
                        <w:t>GoKP</w:t>
                      </w:r>
                      <w:proofErr w:type="spellEnd"/>
                      <w:r w:rsidRPr="005553C5">
                        <w:rPr>
                          <w:rFonts w:eastAsia="Times New Roman"/>
                          <w:i/>
                          <w:sz w:val="20"/>
                          <w:szCs w:val="20"/>
                        </w:rPr>
                        <w:t xml:space="preserve"> will implement innovative solutions to address barriers to education for marginalised children, including partnerships with the private sector. The approved Public Private Partnership Strategy provides short and long-term options to increase enrolments for </w:t>
                      </w:r>
                      <w:r>
                        <w:rPr>
                          <w:rFonts w:eastAsia="Times New Roman"/>
                          <w:i/>
                          <w:sz w:val="20"/>
                          <w:szCs w:val="20"/>
                        </w:rPr>
                        <w:t>o</w:t>
                      </w:r>
                      <w:r w:rsidRPr="005553C5">
                        <w:rPr>
                          <w:rFonts w:eastAsia="Times New Roman"/>
                          <w:i/>
                          <w:sz w:val="20"/>
                          <w:szCs w:val="20"/>
                        </w:rPr>
                        <w:t xml:space="preserve">ut of school children, including the Accelerated Education Program (AEP) and evening shift schools. </w:t>
                      </w:r>
                    </w:p>
                  </w:txbxContent>
                </v:textbox>
                <w10:wrap type="square" anchorx="margin"/>
              </v:shape>
            </w:pict>
          </mc:Fallback>
        </mc:AlternateContent>
      </w:r>
      <w:r w:rsidR="00D9759C" w:rsidRPr="001371FE">
        <w:rPr>
          <w:rFonts w:eastAsia="Times New Roman"/>
        </w:rPr>
        <w:t xml:space="preserve">During the reporting period a focus on provincial level advocacy efforts led to strong progress. </w:t>
      </w:r>
      <w:r w:rsidR="00D9759C" w:rsidRPr="001371FE">
        <w:rPr>
          <w:rFonts w:eastAsia="Times New Roman"/>
          <w:b/>
        </w:rPr>
        <w:t>Local partners contributed to implementation of two EVAW-related laws</w:t>
      </w:r>
      <w:r w:rsidR="00D9759C" w:rsidRPr="001371FE">
        <w:rPr>
          <w:rFonts w:eastAsia="Times New Roman"/>
        </w:rPr>
        <w:t xml:space="preserve"> in Sindh: (1) the Women's Parliamentary Caucus Sindh Bill 2014; and (2) the Sindh Provincial Commission on the Status of Women (SPCSW) Bill 2015. The Sindh advocacy network is supporting SPCSW to examine the Acid Crime Prevention Act 2016 and Dowry Act 2017 and to monitor the implementation of Domestic Violence and Child Marriage Restraint Act. </w:t>
      </w:r>
    </w:p>
    <w:p w:rsidR="00D9759C" w:rsidRPr="001371FE" w:rsidRDefault="00D9759C" w:rsidP="001371FE">
      <w:pPr>
        <w:spacing w:line="240" w:lineRule="auto"/>
        <w:rPr>
          <w:rFonts w:eastAsia="Times New Roman"/>
        </w:rPr>
      </w:pPr>
      <w:r w:rsidRPr="001371FE">
        <w:rPr>
          <w:rFonts w:eastAsia="Times New Roman"/>
          <w:b/>
        </w:rPr>
        <w:t>Parliamentarians are increasingly active in advocating for EVAW-related laws.</w:t>
      </w:r>
      <w:r w:rsidRPr="001371FE">
        <w:rPr>
          <w:rFonts w:eastAsia="Times New Roman"/>
        </w:rPr>
        <w:t xml:space="preserve"> In KP legal protection laws have been extended to Swat district (the Swat Valley), formerly managed through Provincially Administered Tribal Areas (PATA). KP province is also very close to passing the</w:t>
      </w:r>
      <w:r w:rsidR="00E51F76" w:rsidRPr="001371FE">
        <w:rPr>
          <w:rFonts w:eastAsia="Times New Roman"/>
        </w:rPr>
        <w:t>ir</w:t>
      </w:r>
      <w:r w:rsidRPr="001371FE">
        <w:rPr>
          <w:rFonts w:eastAsia="Times New Roman"/>
        </w:rPr>
        <w:t xml:space="preserve"> domestic violence law. EVAW remains sensitive</w:t>
      </w:r>
      <w:r w:rsidR="00E51F76" w:rsidRPr="001371FE">
        <w:rPr>
          <w:rFonts w:eastAsia="Times New Roman"/>
        </w:rPr>
        <w:t>, h</w:t>
      </w:r>
      <w:r w:rsidRPr="001371FE">
        <w:rPr>
          <w:rFonts w:eastAsia="Times New Roman"/>
        </w:rPr>
        <w:t xml:space="preserve">owever the program continues to demonstrate that progress can be made by working with the right partners and seizing opportunities as they arise. The incoming </w:t>
      </w:r>
      <w:r w:rsidR="00E51F76" w:rsidRPr="001371FE">
        <w:rPr>
          <w:rFonts w:eastAsia="Times New Roman"/>
        </w:rPr>
        <w:t xml:space="preserve">national and provincial </w:t>
      </w:r>
      <w:r w:rsidRPr="001371FE">
        <w:rPr>
          <w:rFonts w:eastAsia="Times New Roman"/>
        </w:rPr>
        <w:t>government</w:t>
      </w:r>
      <w:r w:rsidR="00E51F76" w:rsidRPr="001371FE">
        <w:rPr>
          <w:rFonts w:eastAsia="Times New Roman"/>
        </w:rPr>
        <w:t>s</w:t>
      </w:r>
      <w:r w:rsidRPr="001371FE">
        <w:rPr>
          <w:rFonts w:eastAsia="Times New Roman"/>
        </w:rPr>
        <w:t xml:space="preserve"> offer opportunities to continue our efforts for policy reform in this sector. </w:t>
      </w:r>
    </w:p>
    <w:p w:rsidR="00D9759C" w:rsidRPr="001371FE" w:rsidRDefault="00D9759C" w:rsidP="001371FE">
      <w:pPr>
        <w:spacing w:line="240" w:lineRule="auto"/>
        <w:rPr>
          <w:rFonts w:eastAsia="Times New Roman"/>
        </w:rPr>
      </w:pPr>
      <w:r w:rsidRPr="001371FE">
        <w:rPr>
          <w:rFonts w:eastAsia="Times New Roman"/>
        </w:rPr>
        <w:t xml:space="preserve">Combined partner advocacy efforts have led to a </w:t>
      </w:r>
      <w:r w:rsidRPr="001371FE">
        <w:rPr>
          <w:rFonts w:eastAsia="Times New Roman"/>
          <w:b/>
        </w:rPr>
        <w:t>gradual increase in emphasis on nutrition in the political discourse</w:t>
      </w:r>
      <w:r w:rsidRPr="001371FE">
        <w:rPr>
          <w:rFonts w:eastAsia="Times New Roman"/>
        </w:rPr>
        <w:t>, evident in early speeches delivered by incoming Prime Minister</w:t>
      </w:r>
      <w:r w:rsidR="0040395E" w:rsidRPr="001371FE">
        <w:rPr>
          <w:rFonts w:eastAsia="Times New Roman"/>
        </w:rPr>
        <w:t xml:space="preserve"> Imran Khan</w:t>
      </w:r>
      <w:r w:rsidRPr="001371FE">
        <w:rPr>
          <w:rFonts w:eastAsia="Times New Roman"/>
        </w:rPr>
        <w:t xml:space="preserve">. Australia Awards delivered a short course on multi-sectoral nutrition in 2017 and </w:t>
      </w:r>
      <w:r w:rsidR="00622DBB" w:rsidRPr="001371FE">
        <w:rPr>
          <w:rFonts w:eastAsia="Times New Roman"/>
        </w:rPr>
        <w:t>supported training for</w:t>
      </w:r>
      <w:r w:rsidRPr="001371FE">
        <w:rPr>
          <w:rFonts w:eastAsia="Times New Roman"/>
        </w:rPr>
        <w:t xml:space="preserve"> government officials and journalists on the issue of malnutrition. MDTF-Nutrition advocacy </w:t>
      </w:r>
      <w:r w:rsidRPr="005F4E47">
        <w:rPr>
          <w:rFonts w:eastAsia="Times New Roman"/>
        </w:rPr>
        <w:t xml:space="preserve">has </w:t>
      </w:r>
      <w:r w:rsidRPr="0058515D">
        <w:rPr>
          <w:rFonts w:eastAsia="Times New Roman"/>
        </w:rPr>
        <w:t>mobilised funding for nutrition across multiple provincial governments</w:t>
      </w:r>
      <w:r w:rsidRPr="005F4E47">
        <w:rPr>
          <w:rFonts w:eastAsia="Times New Roman"/>
        </w:rPr>
        <w:t>.</w:t>
      </w:r>
      <w:r w:rsidRPr="001371FE">
        <w:rPr>
          <w:rFonts w:eastAsia="Times New Roman"/>
        </w:rPr>
        <w:t xml:space="preserve"> The Government of Punjab has contributed an additional USD15 million commitment for nutrition specific interventions, and the Government of </w:t>
      </w:r>
      <w:proofErr w:type="spellStart"/>
      <w:r w:rsidRPr="001371FE">
        <w:rPr>
          <w:rFonts w:eastAsia="Times New Roman"/>
        </w:rPr>
        <w:t>Balochistan</w:t>
      </w:r>
      <w:proofErr w:type="spellEnd"/>
      <w:r w:rsidRPr="001371FE">
        <w:rPr>
          <w:rFonts w:eastAsia="Times New Roman"/>
        </w:rPr>
        <w:t xml:space="preserve"> has co-financed additional nutrition interventions. </w:t>
      </w:r>
    </w:p>
    <w:p w:rsidR="000F164B" w:rsidRDefault="005268E9" w:rsidP="00525E9D">
      <w:pPr>
        <w:spacing w:line="240" w:lineRule="auto"/>
        <w:rPr>
          <w:rFonts w:eastAsia="Times New Roman"/>
        </w:rPr>
      </w:pPr>
      <w:r w:rsidRPr="001371FE">
        <w:rPr>
          <w:rFonts w:eastAsia="Times New Roman"/>
        </w:rPr>
        <w:t xml:space="preserve">Our policy investment with the World Food Programme (WFP) has contributed to capacity of </w:t>
      </w:r>
      <w:r w:rsidR="00017F56" w:rsidRPr="001371FE">
        <w:rPr>
          <w:rFonts w:eastAsia="Times New Roman"/>
        </w:rPr>
        <w:t>f</w:t>
      </w:r>
      <w:r w:rsidRPr="001371FE">
        <w:rPr>
          <w:rFonts w:eastAsia="Times New Roman"/>
        </w:rPr>
        <w:t xml:space="preserve">ederal and </w:t>
      </w:r>
      <w:r w:rsidR="00017F56" w:rsidRPr="001371FE">
        <w:rPr>
          <w:rFonts w:eastAsia="Times New Roman"/>
        </w:rPr>
        <w:t>p</w:t>
      </w:r>
      <w:r w:rsidRPr="001371FE">
        <w:rPr>
          <w:rFonts w:eastAsia="Times New Roman"/>
        </w:rPr>
        <w:t xml:space="preserve">rovincial </w:t>
      </w:r>
      <w:r w:rsidR="00017F56" w:rsidRPr="001371FE">
        <w:rPr>
          <w:rFonts w:eastAsia="Times New Roman"/>
        </w:rPr>
        <w:t>f</w:t>
      </w:r>
      <w:r w:rsidRPr="001371FE">
        <w:rPr>
          <w:rFonts w:eastAsia="Times New Roman"/>
        </w:rPr>
        <w:t xml:space="preserve">ood </w:t>
      </w:r>
      <w:r w:rsidR="00017F56" w:rsidRPr="001371FE">
        <w:rPr>
          <w:rFonts w:eastAsia="Times New Roman"/>
        </w:rPr>
        <w:t>f</w:t>
      </w:r>
      <w:r w:rsidRPr="001371FE">
        <w:rPr>
          <w:rFonts w:eastAsia="Times New Roman"/>
        </w:rPr>
        <w:t xml:space="preserve">ortification agencies, along with progress on </w:t>
      </w:r>
      <w:r w:rsidR="00A227AA" w:rsidRPr="001371FE">
        <w:rPr>
          <w:rFonts w:eastAsia="Times New Roman"/>
          <w:b/>
        </w:rPr>
        <w:t xml:space="preserve">food fortification </w:t>
      </w:r>
      <w:r w:rsidRPr="001371FE">
        <w:rPr>
          <w:rFonts w:eastAsia="Times New Roman"/>
          <w:b/>
        </w:rPr>
        <w:t>policy reform and private sector engagement</w:t>
      </w:r>
      <w:r w:rsidRPr="001371FE">
        <w:rPr>
          <w:rFonts w:eastAsia="Times New Roman"/>
        </w:rPr>
        <w:t xml:space="preserve">. Progress includes: the design of a fortification intervention for </w:t>
      </w:r>
      <w:proofErr w:type="spellStart"/>
      <w:r w:rsidRPr="001371FE">
        <w:rPr>
          <w:rFonts w:eastAsia="Times New Roman"/>
          <w:i/>
        </w:rPr>
        <w:t>chakkies</w:t>
      </w:r>
      <w:proofErr w:type="spellEnd"/>
      <w:r w:rsidRPr="001371FE">
        <w:rPr>
          <w:rFonts w:eastAsia="Times New Roman"/>
        </w:rPr>
        <w:t xml:space="preserve"> (small scale wheat grinding units)</w:t>
      </w:r>
      <w:r w:rsidR="00656EF7" w:rsidRPr="001371FE">
        <w:rPr>
          <w:rFonts w:eastAsia="Times New Roman"/>
        </w:rPr>
        <w:t xml:space="preserve">, </w:t>
      </w:r>
      <w:r w:rsidRPr="001371FE">
        <w:rPr>
          <w:rFonts w:eastAsia="Times New Roman"/>
        </w:rPr>
        <w:t>development</w:t>
      </w:r>
      <w:r w:rsidR="00A227AA" w:rsidRPr="001371FE">
        <w:rPr>
          <w:rFonts w:eastAsia="Times New Roman"/>
        </w:rPr>
        <w:t xml:space="preserve"> of the Government of Punjab’s </w:t>
      </w:r>
      <w:r w:rsidRPr="001371FE">
        <w:rPr>
          <w:rFonts w:eastAsia="Times New Roman"/>
        </w:rPr>
        <w:t>fortification strategy and legislation on mandatory fortification (Food Fortification Act); the harmonisation of national wheat and oil fortification standards; successful tax exemption on import of nutrient concentrates (pre</w:t>
      </w:r>
      <w:r w:rsidR="00A227AA" w:rsidRPr="001371FE">
        <w:rPr>
          <w:rFonts w:eastAsia="Times New Roman"/>
        </w:rPr>
        <w:t>-</w:t>
      </w:r>
      <w:r w:rsidRPr="001371FE">
        <w:rPr>
          <w:rFonts w:eastAsia="Times New Roman"/>
        </w:rPr>
        <w:t xml:space="preserve">mixes) for fortification; and exemption of duty and tax on the import of equipment for the fortification of wheat flour with premix. </w:t>
      </w:r>
    </w:p>
    <w:p w:rsidR="00525E9D" w:rsidRDefault="00525E9D" w:rsidP="00525E9D">
      <w:pPr>
        <w:spacing w:line="240" w:lineRule="auto"/>
        <w:rPr>
          <w:rFonts w:eastAsia="Times New Roman"/>
        </w:rPr>
      </w:pPr>
    </w:p>
    <w:p w:rsidR="00525E9D" w:rsidRDefault="00525E9D" w:rsidP="00525E9D">
      <w:pPr>
        <w:spacing w:line="240" w:lineRule="auto"/>
        <w:rPr>
          <w:rFonts w:eastAsia="Times New Roman"/>
        </w:rPr>
      </w:pPr>
    </w:p>
    <w:p w:rsidR="00525E9D" w:rsidRDefault="00525E9D" w:rsidP="00525E9D">
      <w:pPr>
        <w:spacing w:line="240" w:lineRule="auto"/>
        <w:rPr>
          <w:rFonts w:eastAsia="Times New Roman"/>
        </w:rPr>
      </w:pPr>
    </w:p>
    <w:p w:rsidR="00525E9D" w:rsidRDefault="00525E9D" w:rsidP="00525E9D">
      <w:pPr>
        <w:spacing w:line="240" w:lineRule="auto"/>
        <w:rPr>
          <w:rFonts w:eastAsia="Times New Roman"/>
        </w:rPr>
      </w:pPr>
    </w:p>
    <w:p w:rsidR="00525E9D" w:rsidRPr="000F164B" w:rsidRDefault="00525E9D" w:rsidP="00525E9D">
      <w:pPr>
        <w:spacing w:line="240" w:lineRule="auto"/>
        <w:rPr>
          <w:rFonts w:eastAsia="Times New Roman"/>
        </w:rPr>
      </w:pPr>
    </w:p>
    <w:p w:rsidR="007B4725" w:rsidRPr="007B4725" w:rsidRDefault="00965AEF" w:rsidP="007B4725">
      <w:pPr>
        <w:spacing w:before="0" w:after="0"/>
        <w:rPr>
          <w:rFonts w:asciiTheme="majorHAnsi" w:eastAsiaTheme="majorEastAsia" w:hAnsiTheme="majorHAnsi" w:cstheme="majorBidi"/>
          <w:b/>
          <w:caps/>
          <w:sz w:val="38"/>
          <w:szCs w:val="38"/>
        </w:rPr>
      </w:pPr>
      <w:r w:rsidRPr="007B4725">
        <w:rPr>
          <w:rFonts w:asciiTheme="majorHAnsi" w:eastAsiaTheme="majorEastAsia" w:hAnsiTheme="majorHAnsi" w:cstheme="majorBidi"/>
          <w:b/>
          <w:caps/>
          <w:sz w:val="38"/>
          <w:szCs w:val="38"/>
        </w:rPr>
        <w:t>objective 3: supporting stabilisation and resilience</w:t>
      </w:r>
      <w:r w:rsidR="00C24EB7" w:rsidRPr="007B4725">
        <w:rPr>
          <w:rStyle w:val="FootnoteReference"/>
          <w:rFonts w:asciiTheme="majorHAnsi" w:eastAsiaTheme="majorEastAsia" w:hAnsiTheme="majorHAnsi" w:cstheme="majorBidi"/>
          <w:b/>
          <w:caps/>
          <w:sz w:val="38"/>
          <w:szCs w:val="38"/>
        </w:rPr>
        <w:footnoteReference w:id="10"/>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1904"/>
        <w:gridCol w:w="1906"/>
        <w:gridCol w:w="1906"/>
        <w:gridCol w:w="1906"/>
      </w:tblGrid>
      <w:tr w:rsidR="00965AEF" w:rsidRPr="00695730" w:rsidTr="00C00672">
        <w:tc>
          <w:tcPr>
            <w:tcW w:w="2016" w:type="dxa"/>
          </w:tcPr>
          <w:p w:rsidR="00965AEF" w:rsidRPr="00695730" w:rsidRDefault="00965AEF" w:rsidP="00C00672">
            <w:pPr>
              <w:suppressAutoHyphens w:val="0"/>
              <w:spacing w:before="80" w:after="80" w:line="240" w:lineRule="auto"/>
              <w:jc w:val="center"/>
              <w:rPr>
                <w:rFonts w:asciiTheme="majorHAnsi" w:eastAsiaTheme="majorEastAsia" w:hAnsiTheme="majorHAnsi" w:cstheme="majorBidi"/>
                <w:caps/>
                <w:sz w:val="38"/>
                <w:szCs w:val="26"/>
              </w:rPr>
            </w:pPr>
            <w:r w:rsidRPr="00695730">
              <w:rPr>
                <w:rFonts w:asciiTheme="majorHAnsi" w:eastAsiaTheme="majorEastAsia" w:hAnsiTheme="majorHAnsi" w:cstheme="majorBidi"/>
                <w:caps/>
                <w:noProof/>
                <w:sz w:val="38"/>
                <w:szCs w:val="26"/>
                <w:lang w:val="en-AU" w:eastAsia="en-AU"/>
              </w:rPr>
              <w:drawing>
                <wp:inline distT="0" distB="0" distL="0" distR="0" wp14:anchorId="5393FCC1" wp14:editId="6F5466A1">
                  <wp:extent cx="1137600" cy="720000"/>
                  <wp:effectExtent l="0" t="0" r="5715" b="444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G Contribution.JPG"/>
                          <pic:cNvPicPr/>
                        </pic:nvPicPr>
                        <pic:blipFill>
                          <a:blip r:embed="rId17">
                            <a:extLst>
                              <a:ext uri="{28A0092B-C50C-407E-A947-70E740481C1C}">
                                <a14:useLocalDpi xmlns:a14="http://schemas.microsoft.com/office/drawing/2010/main" val="0"/>
                              </a:ext>
                            </a:extLst>
                          </a:blip>
                          <a:stretch>
                            <a:fillRect/>
                          </a:stretch>
                        </pic:blipFill>
                        <pic:spPr>
                          <a:xfrm>
                            <a:off x="0" y="0"/>
                            <a:ext cx="1137600" cy="720000"/>
                          </a:xfrm>
                          <a:prstGeom prst="rect">
                            <a:avLst/>
                          </a:prstGeom>
                        </pic:spPr>
                      </pic:pic>
                    </a:graphicData>
                  </a:graphic>
                </wp:inline>
              </w:drawing>
            </w:r>
          </w:p>
        </w:tc>
        <w:tc>
          <w:tcPr>
            <w:tcW w:w="1904" w:type="dxa"/>
          </w:tcPr>
          <w:p w:rsidR="00965AEF" w:rsidRPr="00695730" w:rsidRDefault="00965AEF" w:rsidP="00C00672">
            <w:pPr>
              <w:suppressAutoHyphens w:val="0"/>
              <w:spacing w:before="160" w:after="80" w:line="240" w:lineRule="auto"/>
              <w:jc w:val="center"/>
              <w:rPr>
                <w:rFonts w:asciiTheme="majorHAnsi" w:eastAsiaTheme="majorEastAsia" w:hAnsiTheme="majorHAnsi" w:cstheme="majorBidi"/>
                <w:caps/>
                <w:sz w:val="38"/>
                <w:szCs w:val="26"/>
              </w:rPr>
            </w:pPr>
            <w:r w:rsidRPr="00695730">
              <w:rPr>
                <w:rFonts w:asciiTheme="majorHAnsi" w:eastAsiaTheme="majorEastAsia" w:hAnsiTheme="majorHAnsi" w:cstheme="majorBidi"/>
                <w:caps/>
                <w:noProof/>
                <w:sz w:val="38"/>
                <w:szCs w:val="26"/>
                <w:lang w:val="en-AU" w:eastAsia="en-AU"/>
              </w:rPr>
              <w:drawing>
                <wp:inline distT="0" distB="0" distL="0" distR="0" wp14:anchorId="13F22B9F" wp14:editId="4C80336D">
                  <wp:extent cx="609600" cy="609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inline>
              </w:drawing>
            </w:r>
          </w:p>
        </w:tc>
        <w:tc>
          <w:tcPr>
            <w:tcW w:w="1906" w:type="dxa"/>
          </w:tcPr>
          <w:p w:rsidR="00965AEF" w:rsidRPr="00695730" w:rsidRDefault="008D0415" w:rsidP="00C00672">
            <w:pPr>
              <w:suppressAutoHyphens w:val="0"/>
              <w:spacing w:before="160" w:after="80" w:line="240" w:lineRule="auto"/>
              <w:jc w:val="center"/>
              <w:rPr>
                <w:rFonts w:asciiTheme="majorHAnsi" w:eastAsiaTheme="majorEastAsia" w:hAnsiTheme="majorHAnsi" w:cstheme="majorBidi"/>
                <w:caps/>
                <w:sz w:val="38"/>
                <w:szCs w:val="26"/>
              </w:rPr>
            </w:pPr>
            <w:r w:rsidRPr="00695730">
              <w:rPr>
                <w:rFonts w:ascii="Franklin Gothic Book" w:eastAsia="Times New Roman" w:hAnsi="Franklin Gothic Book" w:cs="Times New Roman"/>
                <w:noProof/>
                <w:color w:val="auto"/>
                <w:sz w:val="21"/>
                <w:szCs w:val="24"/>
                <w:lang w:val="en-AU" w:eastAsia="en-AU"/>
              </w:rPr>
              <w:drawing>
                <wp:inline distT="0" distB="0" distL="0" distR="0" wp14:anchorId="6D41AD11" wp14:editId="0B996887">
                  <wp:extent cx="612000" cy="61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G 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1906" w:type="dxa"/>
          </w:tcPr>
          <w:p w:rsidR="00965AEF" w:rsidRPr="00695730" w:rsidRDefault="008D0415" w:rsidP="00C00672">
            <w:pPr>
              <w:suppressAutoHyphens w:val="0"/>
              <w:spacing w:before="160" w:after="80" w:line="240" w:lineRule="auto"/>
              <w:jc w:val="center"/>
              <w:rPr>
                <w:rFonts w:asciiTheme="majorHAnsi" w:eastAsiaTheme="majorEastAsia" w:hAnsiTheme="majorHAnsi" w:cstheme="majorBidi"/>
                <w:caps/>
                <w:sz w:val="38"/>
                <w:szCs w:val="26"/>
              </w:rPr>
            </w:pPr>
            <w:r>
              <w:rPr>
                <w:noProof/>
                <w:lang w:val="en-AU" w:eastAsia="en-AU"/>
              </w:rPr>
              <w:drawing>
                <wp:inline distT="0" distB="0" distL="0" distR="0" wp14:anchorId="174BC68E" wp14:editId="510D0250">
                  <wp:extent cx="612000" cy="612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 5.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1906" w:type="dxa"/>
          </w:tcPr>
          <w:p w:rsidR="00965AEF" w:rsidRPr="00695730" w:rsidRDefault="008D0415" w:rsidP="00C00672">
            <w:pPr>
              <w:suppressAutoHyphens w:val="0"/>
              <w:spacing w:before="160" w:after="80" w:line="240" w:lineRule="auto"/>
              <w:jc w:val="center"/>
              <w:rPr>
                <w:rFonts w:asciiTheme="majorHAnsi" w:eastAsiaTheme="majorEastAsia" w:hAnsiTheme="majorHAnsi" w:cstheme="majorBidi"/>
                <w:caps/>
                <w:sz w:val="38"/>
                <w:szCs w:val="26"/>
              </w:rPr>
            </w:pPr>
            <w:r>
              <w:rPr>
                <w:noProof/>
                <w:lang w:val="en-AU" w:eastAsia="en-AU"/>
              </w:rPr>
              <w:drawing>
                <wp:inline distT="0" distB="0" distL="0" distR="0" wp14:anchorId="7B1E90E6" wp14:editId="5EA9BF97">
                  <wp:extent cx="608400" cy="61200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DG 16.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8400" cy="612000"/>
                          </a:xfrm>
                          <a:prstGeom prst="rect">
                            <a:avLst/>
                          </a:prstGeom>
                        </pic:spPr>
                      </pic:pic>
                    </a:graphicData>
                  </a:graphic>
                </wp:inline>
              </w:drawing>
            </w:r>
          </w:p>
        </w:tc>
      </w:tr>
    </w:tbl>
    <w:p w:rsidR="00E9399F" w:rsidRPr="00A46AAE" w:rsidRDefault="00E9399F" w:rsidP="00A46AAE">
      <w:pPr>
        <w:spacing w:line="240" w:lineRule="auto"/>
        <w:rPr>
          <w:rFonts w:eastAsia="Times New Roman"/>
          <w:bCs/>
        </w:rPr>
      </w:pPr>
      <w:r w:rsidRPr="00E9399F">
        <w:rPr>
          <w:b/>
          <w:lang w:val="en-US"/>
        </w:rPr>
        <w:t xml:space="preserve">Pakistan's stability is critical to economic growth and human development, and to regional security. Australia </w:t>
      </w:r>
      <w:proofErr w:type="spellStart"/>
      <w:r w:rsidRPr="00E9399F">
        <w:rPr>
          <w:b/>
          <w:lang w:val="en-US"/>
        </w:rPr>
        <w:t>prioritises</w:t>
      </w:r>
      <w:proofErr w:type="spellEnd"/>
      <w:r w:rsidRPr="00E9399F">
        <w:rPr>
          <w:b/>
          <w:lang w:val="en-US"/>
        </w:rPr>
        <w:t xml:space="preserve"> development assistance to Pakistan's insecure and disadvantaged border areas - Khyber Pakhtunkhwa</w:t>
      </w:r>
      <w:r w:rsidR="00A46AAE">
        <w:rPr>
          <w:b/>
          <w:lang w:val="en-US"/>
        </w:rPr>
        <w:t xml:space="preserve"> (KP)</w:t>
      </w:r>
      <w:r w:rsidRPr="00E9399F">
        <w:rPr>
          <w:b/>
          <w:lang w:val="en-US"/>
        </w:rPr>
        <w:t xml:space="preserve">, the Federally Administered Tribal Areas (FATA) and </w:t>
      </w:r>
      <w:proofErr w:type="spellStart"/>
      <w:r w:rsidRPr="00E9399F">
        <w:rPr>
          <w:b/>
          <w:lang w:val="en-US"/>
        </w:rPr>
        <w:t>Balochistan</w:t>
      </w:r>
      <w:proofErr w:type="spellEnd"/>
      <w:r w:rsidRPr="00E9399F">
        <w:rPr>
          <w:b/>
          <w:lang w:val="en-US"/>
        </w:rPr>
        <w:t>. Our aid is promoting human development</w:t>
      </w:r>
      <w:r w:rsidR="002B55E8">
        <w:rPr>
          <w:b/>
          <w:lang w:val="en-US"/>
        </w:rPr>
        <w:t xml:space="preserve"> </w:t>
      </w:r>
      <w:r w:rsidRPr="00E9399F">
        <w:rPr>
          <w:b/>
          <w:lang w:val="en-US"/>
        </w:rPr>
        <w:t>and economic growth in these regions, especially amongst the most vulnerable.</w:t>
      </w:r>
      <w:r w:rsidR="00656EF7">
        <w:rPr>
          <w:b/>
          <w:lang w:val="en-US"/>
        </w:rPr>
        <w:t xml:space="preserve"> </w:t>
      </w:r>
      <w:r w:rsidRPr="00A46AAE">
        <w:rPr>
          <w:lang w:val="en-US"/>
        </w:rPr>
        <w:t xml:space="preserve">We also </w:t>
      </w:r>
      <w:r w:rsidR="002B55E8" w:rsidRPr="00A46AAE">
        <w:rPr>
          <w:lang w:val="en-US"/>
        </w:rPr>
        <w:t>support</w:t>
      </w:r>
      <w:r w:rsidRPr="00A46AAE">
        <w:rPr>
          <w:lang w:val="en-US"/>
        </w:rPr>
        <w:t xml:space="preserve"> community </w:t>
      </w:r>
      <w:proofErr w:type="spellStart"/>
      <w:r w:rsidRPr="00A46AAE">
        <w:rPr>
          <w:lang w:val="en-US"/>
        </w:rPr>
        <w:t>organisations</w:t>
      </w:r>
      <w:proofErr w:type="spellEnd"/>
      <w:r w:rsidRPr="00A46AAE">
        <w:rPr>
          <w:lang w:val="en-US"/>
        </w:rPr>
        <w:t xml:space="preserve"> and government to deliver services, including during crises.</w:t>
      </w:r>
      <w:r w:rsidR="00622DBB" w:rsidRPr="00A46AAE">
        <w:rPr>
          <w:lang w:val="en-US"/>
        </w:rPr>
        <w:t xml:space="preserve"> </w:t>
      </w:r>
      <w:r w:rsidR="00CE020F" w:rsidRPr="00A46AAE">
        <w:rPr>
          <w:lang w:val="en-US"/>
        </w:rPr>
        <w:t xml:space="preserve">This objective is cross-cutting in nature, but </w:t>
      </w:r>
      <w:r w:rsidR="002B55E8" w:rsidRPr="00A46AAE">
        <w:rPr>
          <w:lang w:val="en-US"/>
        </w:rPr>
        <w:t>reporting</w:t>
      </w:r>
      <w:r w:rsidR="00CE020F" w:rsidRPr="00A46AAE">
        <w:rPr>
          <w:lang w:val="en-US"/>
        </w:rPr>
        <w:t xml:space="preserve"> focuses on Australia’s humanitarian assistance, disaster risk reduction work and support to improve governance and state-citizen trust in the border regions. </w:t>
      </w:r>
    </w:p>
    <w:p w:rsidR="005F4E47" w:rsidRDefault="005F4E47" w:rsidP="005F4E47">
      <w:pPr>
        <w:spacing w:line="240" w:lineRule="auto"/>
        <w:rPr>
          <w:rFonts w:eastAsia="Times New Roman"/>
        </w:rPr>
      </w:pPr>
      <w:r>
        <w:rPr>
          <w:rFonts w:eastAsia="Times New Roman"/>
        </w:rPr>
        <w:t xml:space="preserve">The Regional Humanitarian Strategy for Afghanistan and Pakistan 2018-2020, launched by Foreign Minister Bishop in March 2018, is </w:t>
      </w:r>
      <w:r>
        <w:t>Australia’s first multi-year multi-country humanitarian strategy. It is</w:t>
      </w:r>
      <w:r>
        <w:rPr>
          <w:rFonts w:eastAsia="Times New Roman"/>
        </w:rPr>
        <w:t xml:space="preserve"> enabling an integrated response to humanitarian challenges across Afghanistan and Pakistan. In Pakistan our key partners under the Strategy are WFP and UNFPA</w:t>
      </w:r>
      <w:r w:rsidRPr="001B1B71">
        <w:rPr>
          <w:rFonts w:eastAsia="Times New Roman"/>
        </w:rPr>
        <w:t>.</w:t>
      </w:r>
      <w:r>
        <w:rPr>
          <w:rFonts w:eastAsia="Times New Roman"/>
        </w:rPr>
        <w:t xml:space="preserve"> </w:t>
      </w:r>
    </w:p>
    <w:p w:rsidR="00785A85" w:rsidRDefault="005F4E47" w:rsidP="00A46AAE">
      <w:pPr>
        <w:spacing w:line="240" w:lineRule="auto"/>
        <w:rPr>
          <w:rFonts w:eastAsia="Times New Roman"/>
        </w:rPr>
      </w:pPr>
      <w:r>
        <w:rPr>
          <w:rFonts w:eastAsia="Times New Roman"/>
          <w:bCs/>
        </w:rPr>
        <w:t xml:space="preserve">However, </w:t>
      </w:r>
      <w:r w:rsidR="00764352">
        <w:rPr>
          <w:rFonts w:eastAsia="Times New Roman"/>
          <w:bCs/>
        </w:rPr>
        <w:t>Objective 3</w:t>
      </w:r>
      <w:r w:rsidR="000C2FD6" w:rsidRPr="00FE75C2">
        <w:rPr>
          <w:rFonts w:eastAsia="Times New Roman"/>
        </w:rPr>
        <w:t xml:space="preserve"> received an </w:t>
      </w:r>
      <w:r w:rsidR="000C2FD6" w:rsidRPr="00E03789">
        <w:rPr>
          <w:rFonts w:eastAsia="Times New Roman"/>
          <w:b/>
        </w:rPr>
        <w:t xml:space="preserve">amber rating this year due to </w:t>
      </w:r>
      <w:r w:rsidR="00FE75C2" w:rsidRPr="00E03789">
        <w:rPr>
          <w:rFonts w:eastAsia="Times New Roman"/>
          <w:b/>
        </w:rPr>
        <w:t>persistent</w:t>
      </w:r>
      <w:r w:rsidR="000C2FD6" w:rsidRPr="00E03789">
        <w:rPr>
          <w:rFonts w:eastAsia="Times New Roman"/>
          <w:b/>
        </w:rPr>
        <w:t xml:space="preserve"> challenges with implementation</w:t>
      </w:r>
      <w:r w:rsidR="000C2FD6" w:rsidRPr="00FE75C2">
        <w:rPr>
          <w:rFonts w:eastAsia="Times New Roman"/>
        </w:rPr>
        <w:t xml:space="preserve"> </w:t>
      </w:r>
      <w:r w:rsidR="00952423" w:rsidRPr="00E03789">
        <w:rPr>
          <w:rFonts w:eastAsia="Times New Roman"/>
          <w:b/>
        </w:rPr>
        <w:t>in the FATA region</w:t>
      </w:r>
      <w:r w:rsidR="00952423">
        <w:rPr>
          <w:rFonts w:eastAsia="Times New Roman"/>
          <w:b/>
        </w:rPr>
        <w:t xml:space="preserve"> </w:t>
      </w:r>
      <w:r w:rsidR="00952423" w:rsidRPr="00E03789">
        <w:rPr>
          <w:rFonts w:eastAsia="Times New Roman"/>
        </w:rPr>
        <w:t>for</w:t>
      </w:r>
      <w:r w:rsidR="000C2FD6" w:rsidRPr="00952423">
        <w:rPr>
          <w:rFonts w:eastAsia="Times New Roman"/>
        </w:rPr>
        <w:t xml:space="preserve"> </w:t>
      </w:r>
      <w:r w:rsidR="000C2FD6" w:rsidRPr="00FE75C2">
        <w:rPr>
          <w:rFonts w:eastAsia="Times New Roman"/>
        </w:rPr>
        <w:t xml:space="preserve">the two </w:t>
      </w:r>
      <w:r w:rsidR="00952423">
        <w:rPr>
          <w:rFonts w:eastAsia="Times New Roman"/>
        </w:rPr>
        <w:t xml:space="preserve">of our </w:t>
      </w:r>
      <w:r w:rsidR="000C2FD6" w:rsidRPr="00FE75C2">
        <w:rPr>
          <w:rFonts w:eastAsia="Times New Roman"/>
        </w:rPr>
        <w:t xml:space="preserve">major investments under this objective </w:t>
      </w:r>
      <w:r w:rsidR="00785A85">
        <w:rPr>
          <w:rFonts w:eastAsia="Times New Roman"/>
        </w:rPr>
        <w:t>–</w:t>
      </w:r>
      <w:r w:rsidR="000C2FD6" w:rsidRPr="00FE75C2">
        <w:rPr>
          <w:rFonts w:eastAsia="Times New Roman"/>
        </w:rPr>
        <w:t xml:space="preserve"> </w:t>
      </w:r>
      <w:r w:rsidR="00785A85">
        <w:rPr>
          <w:rFonts w:eastAsia="Times New Roman"/>
        </w:rPr>
        <w:t xml:space="preserve">the </w:t>
      </w:r>
      <w:r w:rsidR="005A3B76">
        <w:rPr>
          <w:rFonts w:eastAsia="Times New Roman"/>
        </w:rPr>
        <w:t xml:space="preserve">World Bank </w:t>
      </w:r>
      <w:r w:rsidR="00785A85">
        <w:rPr>
          <w:rFonts w:eastAsia="Times New Roman"/>
        </w:rPr>
        <w:t xml:space="preserve">Multi Donor Trust Fund – the </w:t>
      </w:r>
      <w:r w:rsidR="000C2FD6" w:rsidRPr="00FE75C2">
        <w:rPr>
          <w:rFonts w:eastAsia="Times New Roman"/>
        </w:rPr>
        <w:t xml:space="preserve">Border Areas </w:t>
      </w:r>
      <w:r w:rsidR="00785A85">
        <w:rPr>
          <w:rFonts w:eastAsia="Times New Roman"/>
        </w:rPr>
        <w:t>(MDTF-BA</w:t>
      </w:r>
      <w:r w:rsidR="002E7100">
        <w:rPr>
          <w:rFonts w:eastAsia="Times New Roman"/>
        </w:rPr>
        <w:t xml:space="preserve">) </w:t>
      </w:r>
      <w:r w:rsidR="000C2FD6" w:rsidRPr="00FE75C2">
        <w:rPr>
          <w:rFonts w:eastAsia="Times New Roman"/>
        </w:rPr>
        <w:t xml:space="preserve">and </w:t>
      </w:r>
      <w:r w:rsidR="00785A85">
        <w:rPr>
          <w:rFonts w:eastAsia="Times New Roman"/>
        </w:rPr>
        <w:t xml:space="preserve">the </w:t>
      </w:r>
      <w:r w:rsidR="000C2FD6" w:rsidRPr="00FE75C2">
        <w:rPr>
          <w:rFonts w:eastAsia="Times New Roman"/>
        </w:rPr>
        <w:t>WFP</w:t>
      </w:r>
      <w:r w:rsidR="00785A85">
        <w:rPr>
          <w:rFonts w:eastAsia="Times New Roman"/>
        </w:rPr>
        <w:t xml:space="preserve"> School Feeding Program</w:t>
      </w:r>
      <w:r w:rsidR="000C2FD6" w:rsidRPr="00FE75C2">
        <w:rPr>
          <w:rFonts w:eastAsia="Times New Roman"/>
        </w:rPr>
        <w:t xml:space="preserve">. </w:t>
      </w:r>
      <w:r w:rsidR="002B55E8">
        <w:rPr>
          <w:rFonts w:eastAsia="Times New Roman"/>
        </w:rPr>
        <w:t>Both benchmarks were only partly achieved</w:t>
      </w:r>
      <w:r w:rsidR="0040395E">
        <w:rPr>
          <w:rFonts w:eastAsia="Times New Roman"/>
        </w:rPr>
        <w:t>. B</w:t>
      </w:r>
      <w:r w:rsidR="00064645">
        <w:rPr>
          <w:rFonts w:eastAsia="Times New Roman"/>
        </w:rPr>
        <w:t>oth investments</w:t>
      </w:r>
      <w:r w:rsidR="000C2FD6" w:rsidRPr="00FE75C2">
        <w:rPr>
          <w:rFonts w:eastAsia="Times New Roman"/>
        </w:rPr>
        <w:t xml:space="preserve"> struggled with implementation</w:t>
      </w:r>
      <w:r w:rsidR="00952423">
        <w:rPr>
          <w:rFonts w:eastAsia="Times New Roman"/>
        </w:rPr>
        <w:t xml:space="preserve"> in FATA</w:t>
      </w:r>
      <w:r w:rsidR="0040395E">
        <w:rPr>
          <w:rFonts w:eastAsia="Times New Roman"/>
        </w:rPr>
        <w:t xml:space="preserve"> d</w:t>
      </w:r>
      <w:r w:rsidR="002B55E8">
        <w:rPr>
          <w:rFonts w:eastAsia="Times New Roman"/>
        </w:rPr>
        <w:t xml:space="preserve">ue to </w:t>
      </w:r>
      <w:r w:rsidR="0040395E">
        <w:rPr>
          <w:rFonts w:eastAsia="Times New Roman"/>
        </w:rPr>
        <w:t>weak</w:t>
      </w:r>
      <w:r w:rsidR="00064645">
        <w:rPr>
          <w:rFonts w:eastAsia="Times New Roman"/>
        </w:rPr>
        <w:t xml:space="preserve"> government capacity</w:t>
      </w:r>
      <w:r w:rsidR="00A41162">
        <w:rPr>
          <w:rFonts w:eastAsia="Times New Roman"/>
        </w:rPr>
        <w:t xml:space="preserve"> </w:t>
      </w:r>
      <w:r w:rsidR="00FE75C2">
        <w:rPr>
          <w:rFonts w:eastAsia="Times New Roman"/>
        </w:rPr>
        <w:t xml:space="preserve">and </w:t>
      </w:r>
      <w:r w:rsidR="0040395E">
        <w:rPr>
          <w:rFonts w:eastAsia="Times New Roman"/>
        </w:rPr>
        <w:t xml:space="preserve">the </w:t>
      </w:r>
      <w:r w:rsidR="00FE75C2">
        <w:rPr>
          <w:rFonts w:eastAsia="Times New Roman"/>
        </w:rPr>
        <w:t>chall</w:t>
      </w:r>
      <w:r w:rsidR="002B55E8">
        <w:rPr>
          <w:rFonts w:eastAsia="Times New Roman"/>
        </w:rPr>
        <w:t>enging security situation</w:t>
      </w:r>
      <w:r w:rsidR="0040395E">
        <w:rPr>
          <w:rFonts w:eastAsia="Times New Roman"/>
        </w:rPr>
        <w:t xml:space="preserve">. </w:t>
      </w:r>
    </w:p>
    <w:p w:rsidR="00B316EC" w:rsidRDefault="00FE75C2" w:rsidP="00A46AAE">
      <w:pPr>
        <w:spacing w:line="240" w:lineRule="auto"/>
        <w:rPr>
          <w:rFonts w:eastAsia="Times New Roman"/>
        </w:rPr>
      </w:pPr>
      <w:r>
        <w:rPr>
          <w:rFonts w:eastAsia="Times New Roman"/>
        </w:rPr>
        <w:t xml:space="preserve">Under </w:t>
      </w:r>
      <w:r w:rsidRPr="00E03789">
        <w:rPr>
          <w:b/>
          <w:u w:val="single"/>
        </w:rPr>
        <w:t>Outcome 5: Enhanced Stability</w:t>
      </w:r>
      <w:r w:rsidR="00064645" w:rsidRPr="00E03789">
        <w:rPr>
          <w:b/>
          <w:u w:val="single"/>
        </w:rPr>
        <w:t xml:space="preserve"> in Pakistan’s Border Areas</w:t>
      </w:r>
      <w:r w:rsidR="00064645">
        <w:rPr>
          <w:b/>
        </w:rPr>
        <w:t xml:space="preserve">, </w:t>
      </w:r>
      <w:r w:rsidR="003503DD">
        <w:rPr>
          <w:rFonts w:eastAsia="Times New Roman"/>
        </w:rPr>
        <w:t xml:space="preserve">with </w:t>
      </w:r>
      <w:r w:rsidR="00BD3DDD" w:rsidRPr="00C7684F">
        <w:rPr>
          <w:rFonts w:eastAsia="Times New Roman"/>
        </w:rPr>
        <w:t>Australia</w:t>
      </w:r>
      <w:r w:rsidR="003503DD">
        <w:rPr>
          <w:rFonts w:eastAsia="Times New Roman"/>
        </w:rPr>
        <w:t>’s</w:t>
      </w:r>
      <w:r w:rsidR="00BD3DDD" w:rsidRPr="00C7684F">
        <w:rPr>
          <w:rFonts w:eastAsia="Times New Roman"/>
        </w:rPr>
        <w:t xml:space="preserve"> </w:t>
      </w:r>
      <w:r w:rsidR="000C55C9" w:rsidRPr="00C7684F">
        <w:rPr>
          <w:rFonts w:eastAsia="Times New Roman"/>
        </w:rPr>
        <w:t>support</w:t>
      </w:r>
      <w:r w:rsidR="000C55C9">
        <w:rPr>
          <w:rFonts w:eastAsia="Times New Roman"/>
        </w:rPr>
        <w:t xml:space="preserve"> </w:t>
      </w:r>
      <w:r w:rsidR="00DA26A7">
        <w:rPr>
          <w:rFonts w:eastAsia="Times New Roman"/>
        </w:rPr>
        <w:t xml:space="preserve">the </w:t>
      </w:r>
      <w:r w:rsidR="00DA26A7" w:rsidRPr="00A97153">
        <w:rPr>
          <w:rFonts w:eastAsia="Times New Roman"/>
          <w:b/>
        </w:rPr>
        <w:t xml:space="preserve">International </w:t>
      </w:r>
      <w:r w:rsidR="00DA26A7" w:rsidRPr="005F2563">
        <w:rPr>
          <w:rFonts w:eastAsia="Times New Roman"/>
          <w:b/>
        </w:rPr>
        <w:t>Organisation</w:t>
      </w:r>
      <w:r w:rsidR="00DA26A7" w:rsidRPr="00A97153">
        <w:rPr>
          <w:rFonts w:eastAsia="Times New Roman"/>
          <w:b/>
        </w:rPr>
        <w:t xml:space="preserve"> for Migration</w:t>
      </w:r>
      <w:r w:rsidR="00DA26A7">
        <w:rPr>
          <w:rFonts w:eastAsia="Times New Roman"/>
        </w:rPr>
        <w:t xml:space="preserve"> (</w:t>
      </w:r>
      <w:r w:rsidR="00BD3DDD" w:rsidRPr="00C7684F">
        <w:rPr>
          <w:rFonts w:eastAsia="Times New Roman"/>
        </w:rPr>
        <w:t>IOM</w:t>
      </w:r>
      <w:r w:rsidR="00DA26A7">
        <w:rPr>
          <w:rFonts w:eastAsia="Times New Roman"/>
        </w:rPr>
        <w:t>)</w:t>
      </w:r>
      <w:r w:rsidR="00BD3DDD" w:rsidRPr="00C7684F">
        <w:rPr>
          <w:rFonts w:eastAsia="Times New Roman"/>
        </w:rPr>
        <w:t xml:space="preserve"> </w:t>
      </w:r>
      <w:r w:rsidR="003503DD">
        <w:rPr>
          <w:rFonts w:eastAsia="Times New Roman"/>
        </w:rPr>
        <w:t xml:space="preserve">assisted </w:t>
      </w:r>
      <w:r w:rsidR="000C55C9" w:rsidRPr="00C7684F">
        <w:rPr>
          <w:rFonts w:eastAsia="Times New Roman"/>
        </w:rPr>
        <w:t>8</w:t>
      </w:r>
      <w:r w:rsidR="000C55C9">
        <w:rPr>
          <w:rFonts w:eastAsia="Times New Roman"/>
        </w:rPr>
        <w:t>78</w:t>
      </w:r>
      <w:r w:rsidR="000C55C9" w:rsidRPr="00C7684F">
        <w:rPr>
          <w:rFonts w:eastAsia="Times New Roman"/>
        </w:rPr>
        <w:t>,</w:t>
      </w:r>
      <w:r w:rsidR="000C55C9">
        <w:rPr>
          <w:rFonts w:eastAsia="Times New Roman"/>
        </w:rPr>
        <w:t xml:space="preserve">604 </w:t>
      </w:r>
      <w:r w:rsidR="000C55C9" w:rsidRPr="00C7684F">
        <w:rPr>
          <w:rFonts w:eastAsia="Times New Roman"/>
        </w:rPr>
        <w:t xml:space="preserve">undocumented </w:t>
      </w:r>
      <w:r w:rsidR="00BD3DDD" w:rsidRPr="00C7684F">
        <w:rPr>
          <w:rFonts w:eastAsia="Times New Roman"/>
        </w:rPr>
        <w:t>Afghans in Pakistan</w:t>
      </w:r>
      <w:r w:rsidR="00785A85">
        <w:rPr>
          <w:rFonts w:eastAsia="Times New Roman"/>
        </w:rPr>
        <w:t xml:space="preserve"> </w:t>
      </w:r>
      <w:r w:rsidR="00A41162">
        <w:rPr>
          <w:rFonts w:eastAsia="Times New Roman"/>
        </w:rPr>
        <w:t xml:space="preserve">to </w:t>
      </w:r>
      <w:r w:rsidR="00C7684F">
        <w:rPr>
          <w:rFonts w:eastAsia="Times New Roman"/>
        </w:rPr>
        <w:t>receive Afghan Citizen C</w:t>
      </w:r>
      <w:r w:rsidR="00BD3DDD" w:rsidRPr="00C7684F">
        <w:rPr>
          <w:rFonts w:eastAsia="Times New Roman"/>
        </w:rPr>
        <w:t>ards</w:t>
      </w:r>
      <w:r w:rsidR="00785A85">
        <w:rPr>
          <w:rFonts w:eastAsia="Times New Roman"/>
        </w:rPr>
        <w:t xml:space="preserve"> between July 2017 and May 2018</w:t>
      </w:r>
      <w:r w:rsidR="00BD3DDD" w:rsidRPr="00C7684F">
        <w:rPr>
          <w:rFonts w:eastAsia="Times New Roman"/>
        </w:rPr>
        <w:t xml:space="preserve">. </w:t>
      </w:r>
      <w:r w:rsidR="003503DD">
        <w:rPr>
          <w:rFonts w:eastAsia="Times New Roman"/>
        </w:rPr>
        <w:t>IOM</w:t>
      </w:r>
      <w:r w:rsidR="00785A85">
        <w:rPr>
          <w:rFonts w:eastAsia="Times New Roman"/>
        </w:rPr>
        <w:t xml:space="preserve"> also compiled undocumented Afgh</w:t>
      </w:r>
      <w:r w:rsidR="00E12FBA">
        <w:rPr>
          <w:rFonts w:eastAsia="Times New Roman"/>
        </w:rPr>
        <w:t>an return needs and intentions</w:t>
      </w:r>
      <w:r w:rsidR="00785A85">
        <w:rPr>
          <w:rFonts w:eastAsia="Times New Roman"/>
        </w:rPr>
        <w:t xml:space="preserve">. The project </w:t>
      </w:r>
      <w:r w:rsidR="003503DD">
        <w:rPr>
          <w:rFonts w:eastAsia="Times New Roman"/>
        </w:rPr>
        <w:t>provided humanitarian support to 217,256 people (51</w:t>
      </w:r>
      <w:r w:rsidR="00732567">
        <w:rPr>
          <w:rFonts w:eastAsia="Times New Roman"/>
        </w:rPr>
        <w:t xml:space="preserve"> percent</w:t>
      </w:r>
      <w:r w:rsidR="003503DD">
        <w:rPr>
          <w:rFonts w:eastAsia="Times New Roman"/>
        </w:rPr>
        <w:t xml:space="preserve"> women) against a target of 142,000 (50</w:t>
      </w:r>
      <w:r w:rsidR="00732567">
        <w:rPr>
          <w:rFonts w:eastAsia="Times New Roman"/>
        </w:rPr>
        <w:t xml:space="preserve"> percent</w:t>
      </w:r>
      <w:r w:rsidR="003503DD">
        <w:rPr>
          <w:rFonts w:eastAsia="Times New Roman"/>
        </w:rPr>
        <w:t xml:space="preserve"> women), including health care that benefited more than 19,000 undocumented Afghans (10,541 women and girls) and refurbishing a medical facility in FATA.</w:t>
      </w:r>
      <w:r w:rsidR="00785A85">
        <w:rPr>
          <w:rFonts w:eastAsia="Times New Roman"/>
        </w:rPr>
        <w:t xml:space="preserve"> The investment </w:t>
      </w:r>
      <w:r w:rsidR="003503DD">
        <w:rPr>
          <w:rFonts w:eastAsia="Times New Roman"/>
        </w:rPr>
        <w:t>also delivered a</w:t>
      </w:r>
      <w:r w:rsidR="00785A85">
        <w:rPr>
          <w:rFonts w:eastAsia="Times New Roman"/>
        </w:rPr>
        <w:t xml:space="preserve"> three-month skills </w:t>
      </w:r>
      <w:r w:rsidR="003503DD">
        <w:rPr>
          <w:rFonts w:eastAsia="Times New Roman"/>
        </w:rPr>
        <w:t>and</w:t>
      </w:r>
      <w:r w:rsidR="00785A85">
        <w:rPr>
          <w:rFonts w:eastAsia="Times New Roman"/>
        </w:rPr>
        <w:t xml:space="preserve"> </w:t>
      </w:r>
      <w:r w:rsidR="00B316EC">
        <w:rPr>
          <w:rFonts w:eastAsia="Times New Roman"/>
        </w:rPr>
        <w:t>empowerment</w:t>
      </w:r>
      <w:r w:rsidR="009D28B5">
        <w:rPr>
          <w:rFonts w:eastAsia="Times New Roman"/>
        </w:rPr>
        <w:t>-</w:t>
      </w:r>
      <w:r w:rsidR="00B316EC">
        <w:rPr>
          <w:rFonts w:eastAsia="Times New Roman"/>
        </w:rPr>
        <w:t>training</w:t>
      </w:r>
      <w:r w:rsidR="00785A85">
        <w:rPr>
          <w:rFonts w:eastAsia="Times New Roman"/>
        </w:rPr>
        <w:t xml:space="preserve"> </w:t>
      </w:r>
      <w:r w:rsidR="003503DD">
        <w:rPr>
          <w:rFonts w:eastAsia="Times New Roman"/>
        </w:rPr>
        <w:t xml:space="preserve">program </w:t>
      </w:r>
      <w:r w:rsidR="00785A85">
        <w:rPr>
          <w:rFonts w:eastAsia="Times New Roman"/>
        </w:rPr>
        <w:t xml:space="preserve">for a cohort of 40 young Afghan girls in Peshawar. </w:t>
      </w:r>
      <w:r w:rsidR="00A97153">
        <w:t xml:space="preserve">Under the new </w:t>
      </w:r>
      <w:r w:rsidR="00A97153" w:rsidRPr="00DA26A7">
        <w:t>Regional Humanitarian Strategy,</w:t>
      </w:r>
      <w:r w:rsidR="00A97153">
        <w:t xml:space="preserve"> Australia’s funding will support </w:t>
      </w:r>
      <w:r w:rsidR="00A97153" w:rsidRPr="00C7547B">
        <w:rPr>
          <w:b/>
        </w:rPr>
        <w:t>UNFPA</w:t>
      </w:r>
      <w:r w:rsidR="00A97153">
        <w:t xml:space="preserve"> to provide sexual and reproductive health services in FATA and </w:t>
      </w:r>
      <w:proofErr w:type="spellStart"/>
      <w:r w:rsidR="00A97153">
        <w:t>Balochistan</w:t>
      </w:r>
      <w:proofErr w:type="spellEnd"/>
      <w:r w:rsidR="00A97153">
        <w:t>.</w:t>
      </w:r>
      <w:r w:rsidR="0040395E">
        <w:t xml:space="preserve"> </w:t>
      </w:r>
    </w:p>
    <w:p w:rsidR="000C2FD6" w:rsidRDefault="00843222" w:rsidP="00A46AAE">
      <w:pPr>
        <w:spacing w:line="240" w:lineRule="auto"/>
        <w:rPr>
          <w:rFonts w:eastAsia="Times New Roman"/>
        </w:rPr>
      </w:pPr>
      <w:r>
        <w:rPr>
          <w:rFonts w:eastAsia="Times New Roman"/>
        </w:rPr>
        <w:t>The</w:t>
      </w:r>
      <w:r w:rsidR="003503DD">
        <w:rPr>
          <w:rFonts w:eastAsia="Times New Roman"/>
        </w:rPr>
        <w:t xml:space="preserve"> </w:t>
      </w:r>
      <w:r w:rsidRPr="00E03789">
        <w:rPr>
          <w:rFonts w:eastAsia="Times New Roman"/>
          <w:b/>
        </w:rPr>
        <w:t xml:space="preserve">World Bank </w:t>
      </w:r>
      <w:r w:rsidR="005E313A" w:rsidRPr="00E03789">
        <w:rPr>
          <w:rFonts w:eastAsia="Times New Roman"/>
          <w:b/>
        </w:rPr>
        <w:t>MDTF-BA</w:t>
      </w:r>
      <w:r>
        <w:rPr>
          <w:rFonts w:eastAsia="Times New Roman"/>
        </w:rPr>
        <w:t xml:space="preserve"> continued to deliver </w:t>
      </w:r>
      <w:r w:rsidR="00785A85">
        <w:rPr>
          <w:rFonts w:eastAsia="Times New Roman"/>
        </w:rPr>
        <w:t xml:space="preserve">policy </w:t>
      </w:r>
      <w:r w:rsidR="005E313A">
        <w:rPr>
          <w:rFonts w:eastAsia="Times New Roman"/>
        </w:rPr>
        <w:t xml:space="preserve">and technical support to </w:t>
      </w:r>
      <w:r w:rsidR="00785A85">
        <w:rPr>
          <w:rFonts w:eastAsia="Times New Roman"/>
        </w:rPr>
        <w:t xml:space="preserve">provincial </w:t>
      </w:r>
      <w:r w:rsidR="0040395E">
        <w:rPr>
          <w:rFonts w:eastAsia="Times New Roman"/>
        </w:rPr>
        <w:t>g</w:t>
      </w:r>
      <w:r w:rsidR="005E313A">
        <w:rPr>
          <w:rFonts w:eastAsia="Times New Roman"/>
        </w:rPr>
        <w:t>overnments in the fragile and conflict affected border regions</w:t>
      </w:r>
      <w:r w:rsidR="007C4163">
        <w:rPr>
          <w:rFonts w:eastAsia="Times New Roman"/>
        </w:rPr>
        <w:t xml:space="preserve"> of </w:t>
      </w:r>
      <w:proofErr w:type="spellStart"/>
      <w:r w:rsidR="007C4163">
        <w:rPr>
          <w:rFonts w:eastAsia="Times New Roman"/>
        </w:rPr>
        <w:t>Balochistan</w:t>
      </w:r>
      <w:proofErr w:type="spellEnd"/>
      <w:r w:rsidR="007C4163">
        <w:rPr>
          <w:rFonts w:eastAsia="Times New Roman"/>
        </w:rPr>
        <w:t xml:space="preserve"> and KP</w:t>
      </w:r>
      <w:r w:rsidR="00296D59">
        <w:rPr>
          <w:rFonts w:eastAsia="Times New Roman"/>
        </w:rPr>
        <w:t>,</w:t>
      </w:r>
      <w:r w:rsidR="007C4163">
        <w:rPr>
          <w:rFonts w:eastAsia="Times New Roman"/>
        </w:rPr>
        <w:t xml:space="preserve"> including FATA</w:t>
      </w:r>
      <w:r w:rsidR="005E313A">
        <w:rPr>
          <w:rFonts w:eastAsia="Times New Roman"/>
        </w:rPr>
        <w:t xml:space="preserve">. </w:t>
      </w:r>
      <w:r w:rsidR="00E12FBA">
        <w:rPr>
          <w:rFonts w:eastAsia="Times New Roman"/>
        </w:rPr>
        <w:t>The program contribute</w:t>
      </w:r>
      <w:r w:rsidR="00681E40">
        <w:rPr>
          <w:rFonts w:eastAsia="Times New Roman"/>
        </w:rPr>
        <w:t>s</w:t>
      </w:r>
      <w:r w:rsidR="00E12FBA">
        <w:rPr>
          <w:rFonts w:eastAsia="Times New Roman"/>
        </w:rPr>
        <w:t xml:space="preserve"> to building state-citizen trust through improved service delivery, economic growth and governance. </w:t>
      </w:r>
      <w:r>
        <w:rPr>
          <w:rFonts w:eastAsia="Times New Roman"/>
        </w:rPr>
        <w:t>Despite strong results in some areas</w:t>
      </w:r>
      <w:r w:rsidR="00CF15BA">
        <w:rPr>
          <w:rFonts w:eastAsia="Times New Roman"/>
        </w:rPr>
        <w:t xml:space="preserve"> (refer to outcome 6)</w:t>
      </w:r>
      <w:r>
        <w:rPr>
          <w:rFonts w:eastAsia="Times New Roman"/>
        </w:rPr>
        <w:t xml:space="preserve">, the </w:t>
      </w:r>
      <w:r w:rsidR="00FE75C2">
        <w:rPr>
          <w:rFonts w:eastAsia="Times New Roman"/>
        </w:rPr>
        <w:t>DFID-led annual review</w:t>
      </w:r>
      <w:r>
        <w:rPr>
          <w:rFonts w:eastAsia="Times New Roman"/>
        </w:rPr>
        <w:t xml:space="preserve"> in January 2018</w:t>
      </w:r>
      <w:r w:rsidR="00FE75C2">
        <w:rPr>
          <w:rFonts w:eastAsia="Times New Roman"/>
        </w:rPr>
        <w:t xml:space="preserve"> </w:t>
      </w:r>
      <w:r>
        <w:rPr>
          <w:rFonts w:eastAsia="Times New Roman"/>
        </w:rPr>
        <w:t xml:space="preserve">assessed </w:t>
      </w:r>
      <w:r w:rsidR="00597031">
        <w:rPr>
          <w:rFonts w:eastAsia="Times New Roman"/>
        </w:rPr>
        <w:t xml:space="preserve">MDTF-BA </w:t>
      </w:r>
      <w:r>
        <w:rPr>
          <w:rFonts w:eastAsia="Times New Roman"/>
        </w:rPr>
        <w:t>effectiveness as unsatisfactory</w:t>
      </w:r>
      <w:r w:rsidR="00FE75C2">
        <w:rPr>
          <w:rFonts w:eastAsia="Times New Roman"/>
        </w:rPr>
        <w:t xml:space="preserve">. This assessment was largely due to </w:t>
      </w:r>
      <w:r w:rsidR="000E3580" w:rsidRPr="00FE75C2">
        <w:rPr>
          <w:rFonts w:eastAsia="Times New Roman"/>
        </w:rPr>
        <w:t xml:space="preserve">inability </w:t>
      </w:r>
      <w:r w:rsidR="00FE75C2" w:rsidRPr="00FE75C2">
        <w:rPr>
          <w:rFonts w:eastAsia="Times New Roman"/>
        </w:rPr>
        <w:t xml:space="preserve">to </w:t>
      </w:r>
      <w:r w:rsidR="00E12FBA">
        <w:rPr>
          <w:rFonts w:eastAsia="Times New Roman"/>
        </w:rPr>
        <w:t>progress</w:t>
      </w:r>
      <w:r w:rsidR="00FE75C2" w:rsidRPr="00FE75C2">
        <w:rPr>
          <w:rFonts w:eastAsia="Times New Roman"/>
        </w:rPr>
        <w:t xml:space="preserve"> Round II implementation in FATA</w:t>
      </w:r>
      <w:r w:rsidR="00520CA3">
        <w:rPr>
          <w:rFonts w:eastAsia="Times New Roman"/>
        </w:rPr>
        <w:t>.</w:t>
      </w:r>
      <w:r w:rsidR="00952423">
        <w:rPr>
          <w:rFonts w:eastAsia="Times New Roman"/>
        </w:rPr>
        <w:t xml:space="preserve"> We note </w:t>
      </w:r>
      <w:r>
        <w:rPr>
          <w:rFonts w:eastAsia="Times New Roman"/>
        </w:rPr>
        <w:t>W</w:t>
      </w:r>
      <w:r w:rsidR="00296D59">
        <w:rPr>
          <w:rFonts w:eastAsia="Times New Roman"/>
        </w:rPr>
        <w:t>orld Bank</w:t>
      </w:r>
      <w:r>
        <w:rPr>
          <w:rFonts w:eastAsia="Times New Roman"/>
        </w:rPr>
        <w:t xml:space="preserve"> and UN </w:t>
      </w:r>
      <w:r w:rsidR="00952423">
        <w:rPr>
          <w:rFonts w:eastAsia="Times New Roman"/>
        </w:rPr>
        <w:t xml:space="preserve">efforts this year to finalise the FATA </w:t>
      </w:r>
      <w:r w:rsidR="00A41162">
        <w:rPr>
          <w:rFonts w:eastAsia="Times New Roman"/>
        </w:rPr>
        <w:t>vulnerability assessment</w:t>
      </w:r>
      <w:r w:rsidR="00952423">
        <w:rPr>
          <w:rFonts w:eastAsia="Times New Roman"/>
        </w:rPr>
        <w:t xml:space="preserve">, which </w:t>
      </w:r>
      <w:r w:rsidR="00520CA3" w:rsidRPr="00FE75C2">
        <w:rPr>
          <w:rFonts w:eastAsia="Times New Roman"/>
        </w:rPr>
        <w:t xml:space="preserve">is being used as baseline data for the </w:t>
      </w:r>
      <w:r>
        <w:rPr>
          <w:rFonts w:eastAsia="Times New Roman"/>
        </w:rPr>
        <w:t xml:space="preserve">3-year FATA </w:t>
      </w:r>
      <w:r w:rsidR="007C4163">
        <w:rPr>
          <w:rFonts w:eastAsia="Times New Roman"/>
        </w:rPr>
        <w:t>T</w:t>
      </w:r>
      <w:r w:rsidR="00520CA3" w:rsidRPr="00FE75C2">
        <w:rPr>
          <w:rFonts w:eastAsia="Times New Roman"/>
        </w:rPr>
        <w:t xml:space="preserve">ransition </w:t>
      </w:r>
      <w:r w:rsidR="007C4163">
        <w:rPr>
          <w:rFonts w:eastAsia="Times New Roman"/>
        </w:rPr>
        <w:t>P</w:t>
      </w:r>
      <w:r w:rsidR="00520CA3" w:rsidRPr="00FE75C2">
        <w:rPr>
          <w:rFonts w:eastAsia="Times New Roman"/>
        </w:rPr>
        <w:t>lan</w:t>
      </w:r>
      <w:r w:rsidR="00520CA3">
        <w:rPr>
          <w:rFonts w:eastAsia="Times New Roman"/>
        </w:rPr>
        <w:t xml:space="preserve"> – a small but significant contribution to monitoring longer term stability </w:t>
      </w:r>
      <w:r>
        <w:rPr>
          <w:rFonts w:eastAsia="Times New Roman"/>
        </w:rPr>
        <w:t xml:space="preserve">and humanitarian operations </w:t>
      </w:r>
      <w:r w:rsidR="00520CA3">
        <w:rPr>
          <w:rFonts w:eastAsia="Times New Roman"/>
        </w:rPr>
        <w:t>in the region</w:t>
      </w:r>
      <w:r w:rsidR="00520CA3" w:rsidRPr="00FE75C2">
        <w:rPr>
          <w:rFonts w:eastAsia="Times New Roman"/>
        </w:rPr>
        <w:t xml:space="preserve">. </w:t>
      </w:r>
      <w:r w:rsidR="00FC6830">
        <w:rPr>
          <w:rFonts w:eastAsia="Times New Roman"/>
        </w:rPr>
        <w:t xml:space="preserve">Given the </w:t>
      </w:r>
      <w:r w:rsidR="00E12FBA">
        <w:rPr>
          <w:rFonts w:eastAsia="Times New Roman"/>
        </w:rPr>
        <w:t xml:space="preserve">persistent challenges and </w:t>
      </w:r>
      <w:r w:rsidR="00FC6830">
        <w:rPr>
          <w:rFonts w:eastAsia="Times New Roman"/>
        </w:rPr>
        <w:t xml:space="preserve">changing context, the </w:t>
      </w:r>
      <w:r w:rsidR="00FC6830" w:rsidRPr="00FE75C2">
        <w:rPr>
          <w:rFonts w:eastAsia="Times New Roman"/>
        </w:rPr>
        <w:t>W</w:t>
      </w:r>
      <w:r w:rsidR="00FC6830">
        <w:rPr>
          <w:rFonts w:eastAsia="Times New Roman"/>
        </w:rPr>
        <w:t>orld Bank</w:t>
      </w:r>
      <w:r w:rsidR="00FC6830" w:rsidRPr="00FE75C2">
        <w:rPr>
          <w:rFonts w:eastAsia="Times New Roman"/>
        </w:rPr>
        <w:t>’s</w:t>
      </w:r>
      <w:r w:rsidR="00FC6830">
        <w:rPr>
          <w:rFonts w:eastAsia="Times New Roman"/>
        </w:rPr>
        <w:t xml:space="preserve"> mid-term review of MDTF-BA in 2019 is timely. </w:t>
      </w:r>
    </w:p>
    <w:p w:rsidR="00FC6830" w:rsidRDefault="00D62E20" w:rsidP="00A46AAE">
      <w:pPr>
        <w:spacing w:line="240" w:lineRule="auto"/>
        <w:rPr>
          <w:rFonts w:eastAsia="Times New Roman"/>
        </w:rPr>
      </w:pPr>
      <w:r>
        <w:rPr>
          <w:rFonts w:eastAsia="Times New Roman"/>
        </w:rPr>
        <w:t xml:space="preserve">In 2017 </w:t>
      </w:r>
      <w:r w:rsidR="00D86BBB" w:rsidRPr="00D86BBB">
        <w:rPr>
          <w:rFonts w:eastAsia="Times New Roman"/>
        </w:rPr>
        <w:t>the</w:t>
      </w:r>
      <w:r w:rsidR="00D86BBB">
        <w:rPr>
          <w:b/>
        </w:rPr>
        <w:t xml:space="preserve"> </w:t>
      </w:r>
      <w:r w:rsidR="00D86BBB" w:rsidRPr="00E03789">
        <w:rPr>
          <w:rFonts w:eastAsia="Times New Roman"/>
          <w:b/>
        </w:rPr>
        <w:t xml:space="preserve">World </w:t>
      </w:r>
      <w:r w:rsidR="00D86BBB" w:rsidRPr="005F4E47">
        <w:rPr>
          <w:rFonts w:eastAsia="Times New Roman"/>
          <w:b/>
        </w:rPr>
        <w:t>Food Program</w:t>
      </w:r>
      <w:r w:rsidR="005F4E47" w:rsidRPr="005F4E47">
        <w:rPr>
          <w:rFonts w:eastAsia="Times New Roman"/>
          <w:b/>
        </w:rPr>
        <w:t>me</w:t>
      </w:r>
      <w:r w:rsidR="005F4E47">
        <w:rPr>
          <w:rFonts w:eastAsia="Times New Roman"/>
          <w:b/>
        </w:rPr>
        <w:t xml:space="preserve"> (WFP)</w:t>
      </w:r>
      <w:r w:rsidR="002B55E8" w:rsidRPr="0058515D">
        <w:rPr>
          <w:rFonts w:eastAsia="Times New Roman"/>
          <w:b/>
        </w:rPr>
        <w:t xml:space="preserve"> School F</w:t>
      </w:r>
      <w:r w:rsidR="00D86BBB" w:rsidRPr="0058515D">
        <w:rPr>
          <w:rFonts w:eastAsia="Times New Roman"/>
          <w:b/>
        </w:rPr>
        <w:t xml:space="preserve">eeding </w:t>
      </w:r>
      <w:r w:rsidR="005F4E47" w:rsidRPr="0058515D">
        <w:rPr>
          <w:rFonts w:eastAsia="Times New Roman"/>
          <w:b/>
        </w:rPr>
        <w:t>P</w:t>
      </w:r>
      <w:r w:rsidR="00D86BBB" w:rsidRPr="0058515D">
        <w:rPr>
          <w:rFonts w:eastAsia="Times New Roman"/>
          <w:b/>
        </w:rPr>
        <w:t>rogram in FATA</w:t>
      </w:r>
      <w:r w:rsidR="00D86BBB">
        <w:rPr>
          <w:rFonts w:eastAsia="Times New Roman"/>
        </w:rPr>
        <w:t xml:space="preserve"> continued to assist school-going children across FATA and contribute to enrolment and retention rates. In 2017</w:t>
      </w:r>
      <w:r w:rsidR="00FC6830">
        <w:rPr>
          <w:rFonts w:eastAsia="Times New Roman"/>
        </w:rPr>
        <w:t>-</w:t>
      </w:r>
      <w:r w:rsidR="00D86BBB">
        <w:rPr>
          <w:rFonts w:eastAsia="Times New Roman"/>
        </w:rPr>
        <w:t>18 the program achieved 5.7</w:t>
      </w:r>
      <w:r w:rsidR="00732567">
        <w:rPr>
          <w:rFonts w:eastAsia="Times New Roman"/>
        </w:rPr>
        <w:t xml:space="preserve"> percent</w:t>
      </w:r>
      <w:r w:rsidR="00D86BBB">
        <w:rPr>
          <w:rFonts w:eastAsia="Times New Roman"/>
        </w:rPr>
        <w:t xml:space="preserve"> increase in enrolment and 80</w:t>
      </w:r>
      <w:r w:rsidR="00732567">
        <w:rPr>
          <w:rFonts w:eastAsia="Times New Roman"/>
        </w:rPr>
        <w:t xml:space="preserve"> percent</w:t>
      </w:r>
      <w:r w:rsidR="00D86BBB">
        <w:rPr>
          <w:rFonts w:eastAsia="Times New Roman"/>
        </w:rPr>
        <w:t xml:space="preserve"> retention in assisted schools, in a region where 50</w:t>
      </w:r>
      <w:r w:rsidR="00732567">
        <w:rPr>
          <w:rFonts w:eastAsia="Times New Roman"/>
        </w:rPr>
        <w:t xml:space="preserve"> percent</w:t>
      </w:r>
      <w:r w:rsidR="00D86BBB">
        <w:rPr>
          <w:rFonts w:eastAsia="Times New Roman"/>
        </w:rPr>
        <w:t xml:space="preserve"> of children remain out of school and </w:t>
      </w:r>
      <w:r w:rsidR="00D86BBB" w:rsidRPr="00E03789">
        <w:rPr>
          <w:rFonts w:eastAsia="Times New Roman"/>
        </w:rPr>
        <w:t>68</w:t>
      </w:r>
      <w:r w:rsidR="00732567">
        <w:rPr>
          <w:rFonts w:eastAsia="Times New Roman"/>
        </w:rPr>
        <w:t xml:space="preserve"> percent</w:t>
      </w:r>
      <w:r w:rsidR="00D86BBB" w:rsidRPr="00E03789">
        <w:rPr>
          <w:rFonts w:eastAsia="Times New Roman"/>
        </w:rPr>
        <w:t xml:space="preserve"> drop out annually</w:t>
      </w:r>
      <w:r w:rsidR="00D86BBB" w:rsidRPr="00FE75C2">
        <w:rPr>
          <w:rFonts w:eastAsia="Times New Roman"/>
        </w:rPr>
        <w:t>.</w:t>
      </w:r>
      <w:r w:rsidR="00D86BBB">
        <w:rPr>
          <w:rFonts w:eastAsia="Times New Roman"/>
        </w:rPr>
        <w:t xml:space="preserve"> </w:t>
      </w:r>
      <w:r w:rsidR="00FC6830" w:rsidRPr="006114F2">
        <w:rPr>
          <w:rFonts w:eastAsia="Times New Roman"/>
        </w:rPr>
        <w:t xml:space="preserve">By working through the country system, the </w:t>
      </w:r>
      <w:r w:rsidR="00FC6830">
        <w:rPr>
          <w:rFonts w:eastAsia="Times New Roman"/>
        </w:rPr>
        <w:t xml:space="preserve">WFP’s school feeding initiative has </w:t>
      </w:r>
      <w:r w:rsidR="00FC6830" w:rsidRPr="006114F2">
        <w:rPr>
          <w:rFonts w:eastAsia="Times New Roman"/>
        </w:rPr>
        <w:t xml:space="preserve">indirectly contributed to institutional strengthening such as the </w:t>
      </w:r>
      <w:r w:rsidR="00FC6830">
        <w:rPr>
          <w:rFonts w:eastAsia="Times New Roman"/>
        </w:rPr>
        <w:t xml:space="preserve">ability of the FATA </w:t>
      </w:r>
      <w:r w:rsidR="00FC6830" w:rsidRPr="006114F2">
        <w:rPr>
          <w:rFonts w:eastAsia="Times New Roman"/>
        </w:rPr>
        <w:t>Education Directorate to implement school meal operations independently</w:t>
      </w:r>
      <w:r w:rsidR="00FC6830" w:rsidRPr="00FC6830">
        <w:rPr>
          <w:rFonts w:eastAsia="Times New Roman"/>
        </w:rPr>
        <w:t xml:space="preserve"> </w:t>
      </w:r>
      <w:r w:rsidR="00FC6830">
        <w:rPr>
          <w:rFonts w:eastAsia="Times New Roman"/>
        </w:rPr>
        <w:t xml:space="preserve">and increase </w:t>
      </w:r>
      <w:r w:rsidR="00FC6830" w:rsidRPr="006114F2">
        <w:rPr>
          <w:rFonts w:eastAsia="Times New Roman"/>
        </w:rPr>
        <w:t xml:space="preserve">awareness of nutrition, basic health and hygiene among students. </w:t>
      </w:r>
    </w:p>
    <w:p w:rsidR="00FC6830" w:rsidRDefault="00D86BBB" w:rsidP="00A46AAE">
      <w:pPr>
        <w:spacing w:line="240" w:lineRule="auto"/>
        <w:rPr>
          <w:rFonts w:eastAsia="Times New Roman"/>
        </w:rPr>
      </w:pPr>
      <w:r>
        <w:rPr>
          <w:rFonts w:eastAsia="Times New Roman"/>
        </w:rPr>
        <w:t xml:space="preserve">However, WFP was unable to deliver on </w:t>
      </w:r>
      <w:r w:rsidR="00D62E20">
        <w:rPr>
          <w:rFonts w:eastAsia="Times New Roman"/>
        </w:rPr>
        <w:t>most</w:t>
      </w:r>
      <w:r>
        <w:rPr>
          <w:rFonts w:eastAsia="Times New Roman"/>
        </w:rPr>
        <w:t xml:space="preserve"> targets due to </w:t>
      </w:r>
      <w:r w:rsidRPr="00E03789">
        <w:rPr>
          <w:rFonts w:eastAsia="Times New Roman"/>
          <w:b/>
        </w:rPr>
        <w:t>operational challenges in FATA</w:t>
      </w:r>
      <w:r w:rsidR="00D62E20" w:rsidRPr="00E03789">
        <w:rPr>
          <w:rFonts w:eastAsia="Times New Roman"/>
          <w:b/>
        </w:rPr>
        <w:t xml:space="preserve"> and funding constraints</w:t>
      </w:r>
      <w:r>
        <w:rPr>
          <w:rFonts w:eastAsia="Times New Roman"/>
        </w:rPr>
        <w:t>. During the reporting period, WFP assisted 293,504 students (113,645 girls and 179,859 boys)</w:t>
      </w:r>
      <w:r w:rsidR="009D63A0">
        <w:rPr>
          <w:rFonts w:eastAsia="Times New Roman"/>
        </w:rPr>
        <w:t xml:space="preserve">: </w:t>
      </w:r>
      <w:r>
        <w:rPr>
          <w:rFonts w:eastAsia="Times New Roman"/>
        </w:rPr>
        <w:t>72.5</w:t>
      </w:r>
      <w:r w:rsidR="00732567">
        <w:rPr>
          <w:rFonts w:eastAsia="Times New Roman"/>
        </w:rPr>
        <w:t xml:space="preserve"> percent</w:t>
      </w:r>
      <w:r w:rsidR="00296D59">
        <w:rPr>
          <w:rFonts w:eastAsia="Times New Roman"/>
        </w:rPr>
        <w:t xml:space="preserve"> of the annual target of 404,800</w:t>
      </w:r>
      <w:r>
        <w:rPr>
          <w:rFonts w:eastAsia="Times New Roman"/>
        </w:rPr>
        <w:t>. WFP distributed 1</w:t>
      </w:r>
      <w:r w:rsidRPr="00595ABC">
        <w:rPr>
          <w:rFonts w:eastAsia="Times New Roman"/>
        </w:rPr>
        <w:t xml:space="preserve">,116.5 metric </w:t>
      </w:r>
      <w:r w:rsidR="0038653C" w:rsidRPr="00595ABC">
        <w:rPr>
          <w:rFonts w:eastAsia="Times New Roman"/>
        </w:rPr>
        <w:t>ton</w:t>
      </w:r>
      <w:r w:rsidR="0038653C">
        <w:rPr>
          <w:rFonts w:eastAsia="Times New Roman"/>
        </w:rPr>
        <w:t>nes</w:t>
      </w:r>
      <w:r w:rsidR="0038653C" w:rsidRPr="00595ABC">
        <w:rPr>
          <w:rFonts w:eastAsia="Times New Roman"/>
        </w:rPr>
        <w:t xml:space="preserve"> </w:t>
      </w:r>
      <w:r w:rsidRPr="00595ABC">
        <w:rPr>
          <w:rFonts w:eastAsia="Times New Roman"/>
        </w:rPr>
        <w:t>of multi-nutrient biscuits</w:t>
      </w:r>
      <w:r w:rsidR="00296D59">
        <w:rPr>
          <w:rFonts w:eastAsia="Times New Roman"/>
        </w:rPr>
        <w:t xml:space="preserve">, </w:t>
      </w:r>
      <w:r w:rsidRPr="00595ABC">
        <w:rPr>
          <w:rFonts w:eastAsia="Times New Roman"/>
        </w:rPr>
        <w:t>21</w:t>
      </w:r>
      <w:r w:rsidR="00732567">
        <w:rPr>
          <w:rFonts w:eastAsia="Times New Roman"/>
        </w:rPr>
        <w:t xml:space="preserve"> percent</w:t>
      </w:r>
      <w:r w:rsidRPr="00595ABC">
        <w:rPr>
          <w:rFonts w:eastAsia="Times New Roman"/>
        </w:rPr>
        <w:t xml:space="preserve"> of </w:t>
      </w:r>
      <w:r>
        <w:rPr>
          <w:rFonts w:eastAsia="Times New Roman"/>
        </w:rPr>
        <w:t xml:space="preserve">the annual target of 5,248 </w:t>
      </w:r>
      <w:r w:rsidR="0038653C">
        <w:rPr>
          <w:rFonts w:eastAsia="Times New Roman"/>
        </w:rPr>
        <w:t>metric tonnes</w:t>
      </w:r>
      <w:r w:rsidRPr="00595ABC">
        <w:rPr>
          <w:rFonts w:eastAsia="Times New Roman"/>
        </w:rPr>
        <w:t>. Under the cash-based assistance</w:t>
      </w:r>
      <w:r>
        <w:rPr>
          <w:rFonts w:eastAsia="Times New Roman"/>
        </w:rPr>
        <w:t xml:space="preserve"> outcome</w:t>
      </w:r>
      <w:r w:rsidRPr="00595ABC">
        <w:rPr>
          <w:rFonts w:eastAsia="Times New Roman"/>
        </w:rPr>
        <w:t xml:space="preserve">, </w:t>
      </w:r>
      <w:r>
        <w:rPr>
          <w:rFonts w:eastAsia="Times New Roman"/>
        </w:rPr>
        <w:t xml:space="preserve">WFP </w:t>
      </w:r>
      <w:r w:rsidRPr="00595ABC">
        <w:rPr>
          <w:rFonts w:eastAsia="Times New Roman"/>
        </w:rPr>
        <w:t xml:space="preserve">disbursed 3,941 stipends in 134 schools </w:t>
      </w:r>
      <w:r>
        <w:rPr>
          <w:rFonts w:eastAsia="Times New Roman"/>
        </w:rPr>
        <w:t>across three FATA agencies achieving o</w:t>
      </w:r>
      <w:r w:rsidRPr="00595ABC">
        <w:rPr>
          <w:rFonts w:eastAsia="Times New Roman"/>
        </w:rPr>
        <w:t>nly 30.7</w:t>
      </w:r>
      <w:r w:rsidR="00732567">
        <w:rPr>
          <w:rFonts w:eastAsia="Times New Roman"/>
        </w:rPr>
        <w:t xml:space="preserve"> percent</w:t>
      </w:r>
      <w:r w:rsidRPr="00595ABC">
        <w:rPr>
          <w:rFonts w:eastAsia="Times New Roman"/>
        </w:rPr>
        <w:t xml:space="preserve"> of the annual target of 12,800. </w:t>
      </w:r>
      <w:r w:rsidR="00FC6830">
        <w:rPr>
          <w:rFonts w:eastAsia="Times New Roman"/>
        </w:rPr>
        <w:t>An evaluation of WFP’s Food Assistance to Displaced Persons reported positive beneficiary feedback, good alignment to the Pakistan Government’s FATA Sustainable Return and Rehabilitation Strategy, but reiterated that access in FATA was the key limitation to program delivery.</w:t>
      </w:r>
      <w:r w:rsidR="00FC6830" w:rsidRPr="00FC6830">
        <w:rPr>
          <w:rFonts w:eastAsia="Times New Roman"/>
        </w:rPr>
        <w:t xml:space="preserve"> </w:t>
      </w:r>
    </w:p>
    <w:p w:rsidR="00D86BBB" w:rsidRPr="00E03789" w:rsidRDefault="00FC6830" w:rsidP="00A46AAE">
      <w:pPr>
        <w:spacing w:line="240" w:lineRule="auto"/>
        <w:rPr>
          <w:rFonts w:eastAsia="Times New Roman"/>
        </w:rPr>
      </w:pPr>
      <w:r>
        <w:rPr>
          <w:rFonts w:eastAsia="Times New Roman"/>
        </w:rPr>
        <w:t>In March 2018</w:t>
      </w:r>
      <w:r w:rsidR="0038653C">
        <w:rPr>
          <w:rFonts w:eastAsia="Times New Roman"/>
        </w:rPr>
        <w:t>,</w:t>
      </w:r>
      <w:r w:rsidRPr="00FE75C2">
        <w:rPr>
          <w:rFonts w:eastAsia="Times New Roman"/>
        </w:rPr>
        <w:t xml:space="preserve"> </w:t>
      </w:r>
      <w:r w:rsidR="009D63A0">
        <w:rPr>
          <w:rFonts w:eastAsia="Times New Roman"/>
        </w:rPr>
        <w:t xml:space="preserve">we </w:t>
      </w:r>
      <w:r w:rsidR="002465D6">
        <w:rPr>
          <w:rFonts w:eastAsia="Times New Roman"/>
        </w:rPr>
        <w:t>expanded</w:t>
      </w:r>
      <w:r w:rsidR="009D63A0">
        <w:rPr>
          <w:rFonts w:eastAsia="Times New Roman"/>
        </w:rPr>
        <w:t xml:space="preserve"> our</w:t>
      </w:r>
      <w:r w:rsidR="002465D6">
        <w:rPr>
          <w:rFonts w:eastAsia="Times New Roman"/>
        </w:rPr>
        <w:t xml:space="preserve"> support to WFP’s </w:t>
      </w:r>
      <w:r w:rsidRPr="00FE75C2">
        <w:rPr>
          <w:rFonts w:eastAsia="Times New Roman"/>
        </w:rPr>
        <w:t xml:space="preserve">Country Strategic Plan (CSP) </w:t>
      </w:r>
      <w:r>
        <w:rPr>
          <w:rFonts w:eastAsia="Times New Roman"/>
        </w:rPr>
        <w:t>for Pakistan, including school feeding, food security and nutrition assistance and disaster risk reduction and climate change adaptation/mitigation work.</w:t>
      </w:r>
      <w:r w:rsidR="009872E7">
        <w:rPr>
          <w:rFonts w:eastAsia="Times New Roman"/>
        </w:rPr>
        <w:t xml:space="preserve"> This shift to a broader </w:t>
      </w:r>
      <w:r w:rsidR="00A46AAE">
        <w:rPr>
          <w:rFonts w:eastAsia="Times New Roman"/>
        </w:rPr>
        <w:t xml:space="preserve">WFP partnership </w:t>
      </w:r>
      <w:r w:rsidR="009872E7">
        <w:rPr>
          <w:rFonts w:eastAsia="Times New Roman"/>
        </w:rPr>
        <w:t>was recommended in the Health Check.</w:t>
      </w:r>
    </w:p>
    <w:p w:rsidR="00CF15BA" w:rsidRDefault="00FE338A" w:rsidP="00A46AAE">
      <w:pPr>
        <w:spacing w:line="240" w:lineRule="auto"/>
        <w:rPr>
          <w:rFonts w:eastAsia="Times New Roman"/>
        </w:rPr>
      </w:pPr>
      <w:r w:rsidRPr="00D86BBB">
        <w:rPr>
          <w:rFonts w:eastAsia="Times New Roman"/>
        </w:rPr>
        <w:t xml:space="preserve">Under </w:t>
      </w:r>
      <w:r w:rsidR="00965AEF" w:rsidRPr="00E03789">
        <w:rPr>
          <w:b/>
          <w:u w:val="single"/>
        </w:rPr>
        <w:t>Outcome 6: Enhanced Resilience</w:t>
      </w:r>
      <w:r w:rsidR="00D86BBB" w:rsidRPr="00E03789">
        <w:rPr>
          <w:b/>
          <w:u w:val="single"/>
        </w:rPr>
        <w:t xml:space="preserve"> in Pakistan’s Border Areas</w:t>
      </w:r>
      <w:r w:rsidR="00D86BBB">
        <w:rPr>
          <w:b/>
        </w:rPr>
        <w:t xml:space="preserve">, </w:t>
      </w:r>
      <w:r w:rsidR="00D62E20">
        <w:rPr>
          <w:rFonts w:eastAsia="Times New Roman"/>
        </w:rPr>
        <w:t xml:space="preserve">despite challenges in FATA, </w:t>
      </w:r>
      <w:r w:rsidR="007C4163">
        <w:rPr>
          <w:rFonts w:eastAsia="Times New Roman"/>
        </w:rPr>
        <w:t>MDTF-BA</w:t>
      </w:r>
      <w:r w:rsidR="00520CA3" w:rsidRPr="00FE75C2">
        <w:rPr>
          <w:rFonts w:eastAsia="Times New Roman"/>
        </w:rPr>
        <w:t xml:space="preserve"> has continued to make progress in </w:t>
      </w:r>
      <w:proofErr w:type="spellStart"/>
      <w:r w:rsidR="00520CA3" w:rsidRPr="00FE75C2">
        <w:rPr>
          <w:rFonts w:eastAsia="Times New Roman"/>
        </w:rPr>
        <w:t>Bal</w:t>
      </w:r>
      <w:r w:rsidR="00520CA3">
        <w:rPr>
          <w:rFonts w:eastAsia="Times New Roman"/>
        </w:rPr>
        <w:t>ochistan</w:t>
      </w:r>
      <w:proofErr w:type="spellEnd"/>
      <w:r w:rsidR="00520CA3">
        <w:rPr>
          <w:rFonts w:eastAsia="Times New Roman"/>
        </w:rPr>
        <w:t xml:space="preserve"> and KP and has </w:t>
      </w:r>
      <w:r w:rsidR="00520CA3" w:rsidRPr="00FE75C2">
        <w:rPr>
          <w:rFonts w:eastAsia="Times New Roman"/>
        </w:rPr>
        <w:t>met or exceeded targets in both provinces.</w:t>
      </w:r>
      <w:r w:rsidR="00520CA3">
        <w:rPr>
          <w:rFonts w:eastAsia="Times New Roman"/>
        </w:rPr>
        <w:t xml:space="preserve"> </w:t>
      </w:r>
      <w:r w:rsidR="00CF15BA">
        <w:rPr>
          <w:rFonts w:eastAsia="Times New Roman"/>
        </w:rPr>
        <w:t>During the reporting period, the World Bank undertook a</w:t>
      </w:r>
      <w:r w:rsidR="00CF15BA" w:rsidRPr="00FE75C2">
        <w:rPr>
          <w:rFonts w:eastAsia="Times New Roman"/>
        </w:rPr>
        <w:t xml:space="preserve"> </w:t>
      </w:r>
      <w:r w:rsidR="00CF15BA">
        <w:rPr>
          <w:rFonts w:eastAsia="Times New Roman"/>
        </w:rPr>
        <w:t xml:space="preserve">gender </w:t>
      </w:r>
      <w:r w:rsidR="00CF15BA" w:rsidRPr="00FE75C2">
        <w:rPr>
          <w:rFonts w:eastAsia="Times New Roman"/>
        </w:rPr>
        <w:t>audit</w:t>
      </w:r>
      <w:r w:rsidR="00354ABF">
        <w:rPr>
          <w:rFonts w:eastAsia="Times New Roman"/>
        </w:rPr>
        <w:t xml:space="preserve"> and a</w:t>
      </w:r>
      <w:r w:rsidR="00354ABF" w:rsidRPr="00FE75C2">
        <w:rPr>
          <w:rFonts w:eastAsia="Times New Roman"/>
        </w:rPr>
        <w:t xml:space="preserve"> women’s workforce study</w:t>
      </w:r>
      <w:r w:rsidR="00354ABF">
        <w:rPr>
          <w:rFonts w:eastAsia="Times New Roman"/>
        </w:rPr>
        <w:t>. Gender Action Plans</w:t>
      </w:r>
      <w:r w:rsidR="00354ABF" w:rsidRPr="00FE75C2">
        <w:rPr>
          <w:rFonts w:eastAsia="Times New Roman"/>
        </w:rPr>
        <w:t xml:space="preserve"> </w:t>
      </w:r>
      <w:r w:rsidR="00354ABF">
        <w:rPr>
          <w:rFonts w:eastAsia="Times New Roman"/>
        </w:rPr>
        <w:t>were implemented – noting that it is</w:t>
      </w:r>
      <w:r w:rsidR="00CF15BA">
        <w:rPr>
          <w:rFonts w:eastAsia="Times New Roman"/>
        </w:rPr>
        <w:t xml:space="preserve"> </w:t>
      </w:r>
      <w:r w:rsidR="00354ABF">
        <w:rPr>
          <w:rFonts w:eastAsia="Times New Roman"/>
        </w:rPr>
        <w:t>difficult to verify the impact of these actions on gender equality and women’s empowerment in the border areas.</w:t>
      </w:r>
      <w:r w:rsidR="00354ABF" w:rsidRPr="00354ABF">
        <w:rPr>
          <w:rFonts w:eastAsia="Times New Roman"/>
        </w:rPr>
        <w:t xml:space="preserve"> </w:t>
      </w:r>
      <w:r w:rsidR="00354ABF">
        <w:rPr>
          <w:rFonts w:eastAsia="Times New Roman"/>
        </w:rPr>
        <w:t xml:space="preserve">The </w:t>
      </w:r>
      <w:r w:rsidR="00354ABF" w:rsidRPr="0067223A">
        <w:rPr>
          <w:rFonts w:eastAsia="Times New Roman"/>
        </w:rPr>
        <w:t>KP Digit</w:t>
      </w:r>
      <w:r w:rsidR="00354ABF">
        <w:rPr>
          <w:rFonts w:eastAsia="Times New Roman"/>
        </w:rPr>
        <w:t xml:space="preserve">al Economy (KPDEP) </w:t>
      </w:r>
      <w:r w:rsidR="00354ABF" w:rsidRPr="0067223A">
        <w:rPr>
          <w:rFonts w:eastAsia="Times New Roman"/>
        </w:rPr>
        <w:t xml:space="preserve">and the </w:t>
      </w:r>
      <w:proofErr w:type="spellStart"/>
      <w:r w:rsidR="00354ABF" w:rsidRPr="0067223A">
        <w:rPr>
          <w:rFonts w:eastAsia="Times New Roman"/>
        </w:rPr>
        <w:t>Balochistan</w:t>
      </w:r>
      <w:proofErr w:type="spellEnd"/>
      <w:r w:rsidR="00354ABF" w:rsidRPr="0067223A">
        <w:rPr>
          <w:rFonts w:eastAsia="Times New Roman"/>
        </w:rPr>
        <w:t xml:space="preserve"> L</w:t>
      </w:r>
      <w:r w:rsidR="00354ABF">
        <w:rPr>
          <w:rFonts w:eastAsia="Times New Roman"/>
        </w:rPr>
        <w:t xml:space="preserve">ivelihood and Entrepreneurship </w:t>
      </w:r>
      <w:r w:rsidR="00354ABF" w:rsidRPr="0067223A">
        <w:rPr>
          <w:rFonts w:eastAsia="Times New Roman"/>
        </w:rPr>
        <w:t>(BLEP)</w:t>
      </w:r>
      <w:r w:rsidR="00354ABF">
        <w:rPr>
          <w:rFonts w:eastAsia="Times New Roman"/>
        </w:rPr>
        <w:t xml:space="preserve"> projects were initiated during the reporting period – with a focus on women’s economic empowerment through skills development and employment.</w:t>
      </w:r>
    </w:p>
    <w:p w:rsidR="004246E7" w:rsidRDefault="00FC148A" w:rsidP="00A46AAE">
      <w:pPr>
        <w:spacing w:line="240" w:lineRule="auto"/>
        <w:rPr>
          <w:rFonts w:eastAsia="Times New Roman"/>
        </w:rPr>
      </w:pPr>
      <w:r w:rsidRPr="00FC148A">
        <w:rPr>
          <w:rFonts w:eastAsia="Times New Roman"/>
          <w:b/>
          <w:i/>
          <w:noProof/>
          <w:sz w:val="20"/>
          <w:szCs w:val="20"/>
          <w:u w:val="single"/>
          <w:lang w:val="en-AU" w:eastAsia="en-AU"/>
        </w:rPr>
        <mc:AlternateContent>
          <mc:Choice Requires="wps">
            <w:drawing>
              <wp:anchor distT="45720" distB="45720" distL="114300" distR="114300" simplePos="0" relativeHeight="251704320" behindDoc="0" locked="0" layoutInCell="1" allowOverlap="1" wp14:anchorId="7C25236C" wp14:editId="0FB7D14B">
                <wp:simplePos x="0" y="0"/>
                <wp:positionH relativeFrom="margin">
                  <wp:posOffset>3668674</wp:posOffset>
                </wp:positionH>
                <wp:positionV relativeFrom="paragraph">
                  <wp:posOffset>811835</wp:posOffset>
                </wp:positionV>
                <wp:extent cx="2530475" cy="4010025"/>
                <wp:effectExtent l="0" t="0" r="2222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4010025"/>
                        </a:xfrm>
                        <a:prstGeom prst="rect">
                          <a:avLst/>
                        </a:prstGeom>
                        <a:solidFill>
                          <a:srgbClr val="FFFFFF"/>
                        </a:solidFill>
                        <a:ln w="9525">
                          <a:solidFill>
                            <a:schemeClr val="accent1"/>
                          </a:solidFill>
                          <a:miter lim="800000"/>
                          <a:headEnd/>
                          <a:tailEnd/>
                        </a:ln>
                      </wps:spPr>
                      <wps:txbx>
                        <w:txbxContent>
                          <w:p w:rsidR="00F46617" w:rsidRPr="000F164B" w:rsidRDefault="00F46617" w:rsidP="000F164B">
                            <w:pPr>
                              <w:spacing w:before="0" w:after="0" w:line="240" w:lineRule="auto"/>
                              <w:rPr>
                                <w:rFonts w:asciiTheme="majorHAnsi" w:eastAsia="Times New Roman" w:hAnsiTheme="majorHAnsi"/>
                                <w:b/>
                                <w:i/>
                                <w:color w:val="3DA18F" w:themeColor="accent1" w:themeShade="BF"/>
                                <w:sz w:val="20"/>
                                <w:szCs w:val="20"/>
                              </w:rPr>
                            </w:pPr>
                            <w:r w:rsidRPr="000F164B">
                              <w:rPr>
                                <w:rFonts w:asciiTheme="majorHAnsi" w:eastAsia="Times New Roman" w:hAnsiTheme="majorHAnsi"/>
                                <w:b/>
                                <w:i/>
                                <w:color w:val="3DA18F" w:themeColor="accent1" w:themeShade="BF"/>
                                <w:sz w:val="20"/>
                                <w:szCs w:val="20"/>
                              </w:rPr>
                              <w:t>ADB-supported National Disaster Risk Management Fund</w:t>
                            </w:r>
                            <w:r w:rsidRPr="000F164B">
                              <w:rPr>
                                <w:rFonts w:asciiTheme="majorHAnsi" w:eastAsia="Times New Roman" w:hAnsiTheme="majorHAnsi"/>
                                <w:b/>
                                <w:color w:val="3DA18F" w:themeColor="accent1" w:themeShade="BF"/>
                              </w:rPr>
                              <w:t xml:space="preserve"> </w:t>
                            </w:r>
                            <w:r w:rsidRPr="000F164B">
                              <w:rPr>
                                <w:rFonts w:asciiTheme="majorHAnsi" w:eastAsia="Times New Roman" w:hAnsiTheme="majorHAnsi"/>
                                <w:b/>
                                <w:i/>
                                <w:color w:val="3DA18F" w:themeColor="accent1" w:themeShade="BF"/>
                                <w:sz w:val="20"/>
                                <w:szCs w:val="20"/>
                              </w:rPr>
                              <w:t xml:space="preserve">(NDRMF) </w:t>
                            </w:r>
                          </w:p>
                          <w:p w:rsidR="00F46617" w:rsidRPr="000F164B" w:rsidRDefault="00F46617" w:rsidP="000F164B">
                            <w:pPr>
                              <w:spacing w:before="0" w:after="0" w:line="240" w:lineRule="auto"/>
                              <w:rPr>
                                <w:rFonts w:eastAsia="Times New Roman"/>
                                <w:i/>
                                <w:sz w:val="20"/>
                                <w:szCs w:val="20"/>
                              </w:rPr>
                            </w:pPr>
                          </w:p>
                          <w:p w:rsidR="00F46617" w:rsidRDefault="00F46617" w:rsidP="00A46AAE">
                            <w:pPr>
                              <w:spacing w:before="0" w:after="0" w:line="240" w:lineRule="auto"/>
                              <w:rPr>
                                <w:rFonts w:eastAsia="Times New Roman"/>
                                <w:i/>
                                <w:sz w:val="20"/>
                                <w:szCs w:val="20"/>
                              </w:rPr>
                            </w:pPr>
                            <w:r>
                              <w:rPr>
                                <w:rFonts w:eastAsia="Times New Roman"/>
                                <w:i/>
                                <w:sz w:val="20"/>
                                <w:szCs w:val="20"/>
                              </w:rPr>
                              <w:t xml:space="preserve">This fund </w:t>
                            </w:r>
                            <w:r w:rsidRPr="00FC148A">
                              <w:rPr>
                                <w:rFonts w:eastAsia="Times New Roman"/>
                                <w:i/>
                                <w:sz w:val="20"/>
                                <w:szCs w:val="20"/>
                              </w:rPr>
                              <w:t>aims to build physical and fiscal resilience against disasters. This is critical given Pakistan’s vulnerability to natural disasters, including sudden on-set disasters like earthquakes and floods. Pakistan suffered losses of around USD19 billion in flooding in 2010-18. The NDRMF will co-fund disaster preparedness and resilience building initiatives by government agencies, NGOs and civil society organisations.</w:t>
                            </w:r>
                          </w:p>
                          <w:p w:rsidR="00F46617" w:rsidRDefault="00F46617" w:rsidP="00A46AAE">
                            <w:pPr>
                              <w:spacing w:before="0" w:after="0" w:line="240" w:lineRule="auto"/>
                              <w:rPr>
                                <w:rFonts w:eastAsia="Times New Roman"/>
                                <w:i/>
                                <w:sz w:val="20"/>
                                <w:szCs w:val="20"/>
                              </w:rPr>
                            </w:pPr>
                          </w:p>
                          <w:p w:rsidR="00F46617" w:rsidRPr="00FC148A" w:rsidRDefault="00F46617" w:rsidP="00A46AAE">
                            <w:pPr>
                              <w:spacing w:before="0" w:after="0" w:line="240" w:lineRule="auto"/>
                              <w:rPr>
                                <w:rFonts w:eastAsia="Times New Roman"/>
                                <w:i/>
                                <w:sz w:val="20"/>
                                <w:szCs w:val="20"/>
                              </w:rPr>
                            </w:pPr>
                            <w:r w:rsidRPr="00FC148A">
                              <w:rPr>
                                <w:rFonts w:eastAsia="Times New Roman"/>
                                <w:i/>
                                <w:sz w:val="20"/>
                                <w:szCs w:val="20"/>
                              </w:rPr>
                              <w:t xml:space="preserve">The NDRMF is a public-sector entity established to </w:t>
                            </w:r>
                            <w:r>
                              <w:rPr>
                                <w:rFonts w:eastAsia="Times New Roman"/>
                                <w:i/>
                                <w:sz w:val="20"/>
                                <w:szCs w:val="20"/>
                              </w:rPr>
                              <w:t xml:space="preserve">support the country’s plans on </w:t>
                            </w:r>
                            <w:r w:rsidRPr="00FC148A">
                              <w:rPr>
                                <w:rFonts w:eastAsia="Times New Roman"/>
                                <w:i/>
                                <w:sz w:val="20"/>
                                <w:szCs w:val="20"/>
                              </w:rPr>
                              <w:t xml:space="preserve">Disaster Management (2013-22) and Flood Protection (2016-25). The Pakistan </w:t>
                            </w:r>
                            <w:r>
                              <w:rPr>
                                <w:rFonts w:eastAsia="Times New Roman"/>
                                <w:i/>
                                <w:sz w:val="20"/>
                                <w:szCs w:val="20"/>
                              </w:rPr>
                              <w:t>G</w:t>
                            </w:r>
                            <w:r w:rsidRPr="00FC148A">
                              <w:rPr>
                                <w:rFonts w:eastAsia="Times New Roman"/>
                                <w:i/>
                                <w:sz w:val="20"/>
                                <w:szCs w:val="20"/>
                              </w:rPr>
                              <w:t>overnment has planned a USD1 billion fund between 2016 and 2026, including USD256m during the inception phase (2016-19). Of this, the</w:t>
                            </w:r>
                            <w:r>
                              <w:rPr>
                                <w:rFonts w:eastAsia="Times New Roman"/>
                                <w:i/>
                                <w:sz w:val="20"/>
                                <w:szCs w:val="20"/>
                              </w:rPr>
                              <w:t xml:space="preserve"> ADB </w:t>
                            </w:r>
                            <w:r w:rsidRPr="00FC148A">
                              <w:rPr>
                                <w:rFonts w:eastAsia="Times New Roman"/>
                                <w:i/>
                                <w:sz w:val="20"/>
                                <w:szCs w:val="20"/>
                              </w:rPr>
                              <w:t>has lent U</w:t>
                            </w:r>
                            <w:r>
                              <w:rPr>
                                <w:rFonts w:eastAsia="Times New Roman"/>
                                <w:i/>
                                <w:sz w:val="20"/>
                                <w:szCs w:val="20"/>
                              </w:rPr>
                              <w:t>SD200m credit and the Pakistan G</w:t>
                            </w:r>
                            <w:r w:rsidRPr="00FC148A">
                              <w:rPr>
                                <w:rFonts w:eastAsia="Times New Roman"/>
                                <w:i/>
                                <w:sz w:val="20"/>
                                <w:szCs w:val="20"/>
                              </w:rPr>
                              <w:t xml:space="preserve">overnment has committed USD53m. Australia has contributed AUD4.5m and the Swiss government USD1.5m. </w:t>
                            </w:r>
                          </w:p>
                          <w:p w:rsidR="00F46617" w:rsidRDefault="00F46617" w:rsidP="000F164B">
                            <w:pPr>
                              <w:spacing w:before="0"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5236C" id="Text Box 2" o:spid="_x0000_s1030" type="#_x0000_t202" style="position:absolute;margin-left:288.85pt;margin-top:63.9pt;width:199.25pt;height:315.7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" strokecolor="#65c5b4 [3204]">
                <v:textbox>
                  <w:txbxContent>
                    <w:p w:rsidR="00F46617" w:rsidRPr="000F164B" w:rsidRDefault="00F46617" w:rsidP="000F164B">
                      <w:pPr>
                        <w:spacing w:before="0" w:after="0" w:line="240" w:lineRule="auto"/>
                        <w:rPr>
                          <w:rFonts w:asciiTheme="majorHAnsi" w:eastAsia="Times New Roman" w:hAnsiTheme="majorHAnsi"/>
                          <w:b/>
                          <w:i/>
                          <w:color w:val="3DA18F" w:themeColor="accent1" w:themeShade="BF"/>
                          <w:sz w:val="20"/>
                          <w:szCs w:val="20"/>
                        </w:rPr>
                      </w:pPr>
                      <w:r w:rsidRPr="000F164B">
                        <w:rPr>
                          <w:rFonts w:asciiTheme="majorHAnsi" w:eastAsia="Times New Roman" w:hAnsiTheme="majorHAnsi"/>
                          <w:b/>
                          <w:i/>
                          <w:color w:val="3DA18F" w:themeColor="accent1" w:themeShade="BF"/>
                          <w:sz w:val="20"/>
                          <w:szCs w:val="20"/>
                        </w:rPr>
                        <w:t>ADB-supported National Disaster Risk Management Fund</w:t>
                      </w:r>
                      <w:r w:rsidRPr="000F164B">
                        <w:rPr>
                          <w:rFonts w:asciiTheme="majorHAnsi" w:eastAsia="Times New Roman" w:hAnsiTheme="majorHAnsi"/>
                          <w:b/>
                          <w:color w:val="3DA18F" w:themeColor="accent1" w:themeShade="BF"/>
                        </w:rPr>
                        <w:t xml:space="preserve"> </w:t>
                      </w:r>
                      <w:r w:rsidRPr="000F164B">
                        <w:rPr>
                          <w:rFonts w:asciiTheme="majorHAnsi" w:eastAsia="Times New Roman" w:hAnsiTheme="majorHAnsi"/>
                          <w:b/>
                          <w:i/>
                          <w:color w:val="3DA18F" w:themeColor="accent1" w:themeShade="BF"/>
                          <w:sz w:val="20"/>
                          <w:szCs w:val="20"/>
                        </w:rPr>
                        <w:t xml:space="preserve">(NDRMF) </w:t>
                      </w:r>
                    </w:p>
                    <w:p w:rsidR="00F46617" w:rsidRPr="000F164B" w:rsidRDefault="00F46617" w:rsidP="000F164B">
                      <w:pPr>
                        <w:spacing w:before="0" w:after="0" w:line="240" w:lineRule="auto"/>
                        <w:rPr>
                          <w:rFonts w:eastAsia="Times New Roman"/>
                          <w:i/>
                          <w:sz w:val="20"/>
                          <w:szCs w:val="20"/>
                        </w:rPr>
                      </w:pPr>
                    </w:p>
                    <w:p w:rsidR="00F46617" w:rsidRDefault="00F46617" w:rsidP="00A46AAE">
                      <w:pPr>
                        <w:spacing w:before="0" w:after="0" w:line="240" w:lineRule="auto"/>
                        <w:rPr>
                          <w:rFonts w:eastAsia="Times New Roman"/>
                          <w:i/>
                          <w:sz w:val="20"/>
                          <w:szCs w:val="20"/>
                        </w:rPr>
                      </w:pPr>
                      <w:r>
                        <w:rPr>
                          <w:rFonts w:eastAsia="Times New Roman"/>
                          <w:i/>
                          <w:sz w:val="20"/>
                          <w:szCs w:val="20"/>
                        </w:rPr>
                        <w:t xml:space="preserve">This fund </w:t>
                      </w:r>
                      <w:r w:rsidRPr="00FC148A">
                        <w:rPr>
                          <w:rFonts w:eastAsia="Times New Roman"/>
                          <w:i/>
                          <w:sz w:val="20"/>
                          <w:szCs w:val="20"/>
                        </w:rPr>
                        <w:t>aims to build physical and fiscal resilience against disasters. This is critical given Pakistan’s vulnerability to natural disasters, including sudden on-set disasters like earthquakes and floods. Pakistan suffered losses of around USD19 billion in flooding in 2010-18. The NDRMF will co-fund disaster preparedness and resilience building initiatives by government agencies, NGOs and civil society organisations.</w:t>
                      </w:r>
                    </w:p>
                    <w:p w:rsidR="00F46617" w:rsidRDefault="00F46617" w:rsidP="00A46AAE">
                      <w:pPr>
                        <w:spacing w:before="0" w:after="0" w:line="240" w:lineRule="auto"/>
                        <w:rPr>
                          <w:rFonts w:eastAsia="Times New Roman"/>
                          <w:i/>
                          <w:sz w:val="20"/>
                          <w:szCs w:val="20"/>
                        </w:rPr>
                      </w:pPr>
                    </w:p>
                    <w:p w:rsidR="00F46617" w:rsidRPr="00FC148A" w:rsidRDefault="00F46617" w:rsidP="00A46AAE">
                      <w:pPr>
                        <w:spacing w:before="0" w:after="0" w:line="240" w:lineRule="auto"/>
                        <w:rPr>
                          <w:rFonts w:eastAsia="Times New Roman"/>
                          <w:i/>
                          <w:sz w:val="20"/>
                          <w:szCs w:val="20"/>
                        </w:rPr>
                      </w:pPr>
                      <w:r w:rsidRPr="00FC148A">
                        <w:rPr>
                          <w:rFonts w:eastAsia="Times New Roman"/>
                          <w:i/>
                          <w:sz w:val="20"/>
                          <w:szCs w:val="20"/>
                        </w:rPr>
                        <w:t xml:space="preserve">The NDRMF is a public-sector entity established to </w:t>
                      </w:r>
                      <w:r>
                        <w:rPr>
                          <w:rFonts w:eastAsia="Times New Roman"/>
                          <w:i/>
                          <w:sz w:val="20"/>
                          <w:szCs w:val="20"/>
                        </w:rPr>
                        <w:t xml:space="preserve">support the country’s plans on </w:t>
                      </w:r>
                      <w:r w:rsidRPr="00FC148A">
                        <w:rPr>
                          <w:rFonts w:eastAsia="Times New Roman"/>
                          <w:i/>
                          <w:sz w:val="20"/>
                          <w:szCs w:val="20"/>
                        </w:rPr>
                        <w:t xml:space="preserve">Disaster Management (2013-22) and Flood Protection (2016-25). The Pakistan </w:t>
                      </w:r>
                      <w:r>
                        <w:rPr>
                          <w:rFonts w:eastAsia="Times New Roman"/>
                          <w:i/>
                          <w:sz w:val="20"/>
                          <w:szCs w:val="20"/>
                        </w:rPr>
                        <w:t>G</w:t>
                      </w:r>
                      <w:r w:rsidRPr="00FC148A">
                        <w:rPr>
                          <w:rFonts w:eastAsia="Times New Roman"/>
                          <w:i/>
                          <w:sz w:val="20"/>
                          <w:szCs w:val="20"/>
                        </w:rPr>
                        <w:t>overnment has planned a USD1 billion fund between 2016 and 2026, including USD256m during the inception phase (2016-19). Of this, the</w:t>
                      </w:r>
                      <w:r>
                        <w:rPr>
                          <w:rFonts w:eastAsia="Times New Roman"/>
                          <w:i/>
                          <w:sz w:val="20"/>
                          <w:szCs w:val="20"/>
                        </w:rPr>
                        <w:t xml:space="preserve"> ADB </w:t>
                      </w:r>
                      <w:r w:rsidRPr="00FC148A">
                        <w:rPr>
                          <w:rFonts w:eastAsia="Times New Roman"/>
                          <w:i/>
                          <w:sz w:val="20"/>
                          <w:szCs w:val="20"/>
                        </w:rPr>
                        <w:t>has lent U</w:t>
                      </w:r>
                      <w:r>
                        <w:rPr>
                          <w:rFonts w:eastAsia="Times New Roman"/>
                          <w:i/>
                          <w:sz w:val="20"/>
                          <w:szCs w:val="20"/>
                        </w:rPr>
                        <w:t>SD200m credit and the Pakistan G</w:t>
                      </w:r>
                      <w:r w:rsidRPr="00FC148A">
                        <w:rPr>
                          <w:rFonts w:eastAsia="Times New Roman"/>
                          <w:i/>
                          <w:sz w:val="20"/>
                          <w:szCs w:val="20"/>
                        </w:rPr>
                        <w:t xml:space="preserve">overnment has committed USD53m. Australia has contributed AUD4.5m and the Swiss government USD1.5m. </w:t>
                      </w:r>
                    </w:p>
                    <w:p w:rsidR="00F46617" w:rsidRDefault="00F46617" w:rsidP="000F164B">
                      <w:pPr>
                        <w:spacing w:before="0" w:after="0" w:line="240" w:lineRule="auto"/>
                      </w:pPr>
                    </w:p>
                  </w:txbxContent>
                </v:textbox>
                <w10:wrap type="square" anchorx="margin"/>
              </v:shape>
            </w:pict>
          </mc:Fallback>
        </mc:AlternateContent>
      </w:r>
      <w:r w:rsidR="00CF15BA">
        <w:rPr>
          <w:rFonts w:eastAsia="Times New Roman"/>
        </w:rPr>
        <w:t xml:space="preserve">In KP, </w:t>
      </w:r>
      <w:r w:rsidR="004246E7">
        <w:rPr>
          <w:rFonts w:eastAsia="Times New Roman"/>
        </w:rPr>
        <w:t xml:space="preserve">the </w:t>
      </w:r>
      <w:r w:rsidR="004246E7" w:rsidRPr="00E03789">
        <w:rPr>
          <w:rFonts w:eastAsia="Times New Roman"/>
          <w:b/>
        </w:rPr>
        <w:t>World Bank</w:t>
      </w:r>
      <w:r w:rsidR="004246E7">
        <w:rPr>
          <w:rFonts w:eastAsia="Times New Roman"/>
        </w:rPr>
        <w:t xml:space="preserve"> </w:t>
      </w:r>
      <w:r w:rsidR="00CF15BA" w:rsidRPr="00E03789">
        <w:rPr>
          <w:rFonts w:eastAsia="Times New Roman"/>
          <w:b/>
        </w:rPr>
        <w:t>MDTF-BA</w:t>
      </w:r>
      <w:r w:rsidR="00CF15BA">
        <w:rPr>
          <w:rFonts w:eastAsia="Times New Roman"/>
        </w:rPr>
        <w:t xml:space="preserve"> supported 90 small and medium enterprises (SMEs) with business development grants contributing to economic growth and livelihoods generation. The program also worked with rural communities to build transportation, sanitation and water supply infrastructure in KP and</w:t>
      </w:r>
      <w:r w:rsidR="003D535D">
        <w:rPr>
          <w:rFonts w:eastAsia="Times New Roman"/>
        </w:rPr>
        <w:t xml:space="preserve"> geo-</w:t>
      </w:r>
      <w:r w:rsidR="00CF15BA">
        <w:rPr>
          <w:rFonts w:eastAsia="Times New Roman"/>
        </w:rPr>
        <w:t xml:space="preserve">tag </w:t>
      </w:r>
      <w:r w:rsidR="003D535D">
        <w:rPr>
          <w:rFonts w:eastAsia="Times New Roman"/>
        </w:rPr>
        <w:t>education and water-sanitation facilities</w:t>
      </w:r>
      <w:r w:rsidR="00354ABF">
        <w:rPr>
          <w:rFonts w:eastAsia="Times New Roman"/>
        </w:rPr>
        <w:t xml:space="preserve">, supporting </w:t>
      </w:r>
      <w:r w:rsidR="00354ABF" w:rsidRPr="00ED19E7">
        <w:rPr>
          <w:rFonts w:eastAsia="Times New Roman"/>
        </w:rPr>
        <w:t>337 (annual target 534) Community Organisations and Economic Interest Groups (COs/EIGs)</w:t>
      </w:r>
      <w:r w:rsidR="00354ABF">
        <w:rPr>
          <w:rFonts w:eastAsia="Times New Roman"/>
        </w:rPr>
        <w:t xml:space="preserve">, </w:t>
      </w:r>
      <w:r w:rsidR="00354ABF" w:rsidRPr="00ED19E7">
        <w:rPr>
          <w:rFonts w:eastAsia="Times New Roman"/>
        </w:rPr>
        <w:t>73 infrastructure schemes (target 125) and food assistance</w:t>
      </w:r>
      <w:r w:rsidR="00354ABF">
        <w:rPr>
          <w:rFonts w:eastAsia="Times New Roman"/>
        </w:rPr>
        <w:t xml:space="preserve"> for</w:t>
      </w:r>
      <w:r w:rsidR="00354ABF" w:rsidRPr="00ED19E7">
        <w:rPr>
          <w:rFonts w:eastAsia="Times New Roman"/>
        </w:rPr>
        <w:t xml:space="preserve"> 157 households (target 443</w:t>
      </w:r>
      <w:r w:rsidR="00354ABF">
        <w:rPr>
          <w:rFonts w:eastAsia="Times New Roman"/>
        </w:rPr>
        <w:t>)</w:t>
      </w:r>
      <w:r w:rsidR="00CF15BA">
        <w:rPr>
          <w:rFonts w:eastAsia="Times New Roman"/>
        </w:rPr>
        <w:t>. The MDTF-BA has also helped to strengthen public finance and investment management systems in KP</w:t>
      </w:r>
      <w:r w:rsidR="00354ABF">
        <w:rPr>
          <w:rFonts w:eastAsia="Times New Roman"/>
        </w:rPr>
        <w:t>,</w:t>
      </w:r>
      <w:r w:rsidR="00CF15BA">
        <w:rPr>
          <w:rFonts w:eastAsia="Times New Roman"/>
        </w:rPr>
        <w:t xml:space="preserve"> and establish a KP district judiciary secretariat. </w:t>
      </w:r>
    </w:p>
    <w:p w:rsidR="00D62E20" w:rsidRDefault="004246E7" w:rsidP="00A46AAE">
      <w:pPr>
        <w:spacing w:line="240" w:lineRule="auto"/>
        <w:rPr>
          <w:rFonts w:eastAsia="Times New Roman"/>
        </w:rPr>
      </w:pPr>
      <w:r>
        <w:rPr>
          <w:rFonts w:eastAsia="Times New Roman"/>
        </w:rPr>
        <w:t>SRSP also supported over 1000 women’s organisations in KP province, exceeding their target and mobilising additional organisations to expand coverage of village banking.</w:t>
      </w:r>
      <w:r>
        <w:rPr>
          <w:rStyle w:val="FootnoteReference"/>
          <w:rFonts w:eastAsia="Times New Roman"/>
        </w:rPr>
        <w:footnoteReference w:id="11"/>
      </w:r>
      <w:r>
        <w:rPr>
          <w:rFonts w:eastAsia="Times New Roman"/>
        </w:rPr>
        <w:t xml:space="preserve"> </w:t>
      </w:r>
    </w:p>
    <w:p w:rsidR="00FC148A" w:rsidRPr="00FC148A" w:rsidRDefault="008410A6" w:rsidP="00A46AAE">
      <w:pPr>
        <w:spacing w:line="240" w:lineRule="auto"/>
        <w:rPr>
          <w:rFonts w:eastAsia="Times New Roman"/>
          <w:i/>
          <w:sz w:val="20"/>
          <w:szCs w:val="20"/>
        </w:rPr>
      </w:pPr>
      <w:r>
        <w:rPr>
          <w:rFonts w:eastAsia="Times New Roman"/>
        </w:rPr>
        <w:t xml:space="preserve">Australia’s funding to the </w:t>
      </w:r>
      <w:r w:rsidRPr="00E03789">
        <w:rPr>
          <w:rFonts w:eastAsia="Times New Roman"/>
          <w:b/>
        </w:rPr>
        <w:t>Asian Development Bank for the National Disaster Risk Management Fund</w:t>
      </w:r>
      <w:r>
        <w:rPr>
          <w:rFonts w:eastAsia="Times New Roman"/>
        </w:rPr>
        <w:t xml:space="preserve"> (NDRMF) is a key disaster risk mitigation and risk reduction investment in Pakistan. During the reporting period, the NDRMF was launched </w:t>
      </w:r>
      <w:r w:rsidR="00FC148A">
        <w:rPr>
          <w:rFonts w:eastAsia="Times New Roman"/>
        </w:rPr>
        <w:t xml:space="preserve">and </w:t>
      </w:r>
      <w:r>
        <w:rPr>
          <w:rFonts w:eastAsia="Times New Roman"/>
        </w:rPr>
        <w:t xml:space="preserve">has been registered as a public sector company. The NDRMF will lend financial assistance to public and private sector entities in support of the Pakistan’s Flood Protection and Disaster Risk Reduction plans until 2025. Australian funding for the NDRMF ends in September 2019. </w:t>
      </w:r>
      <w:r w:rsidR="00B316EC">
        <w:rPr>
          <w:rFonts w:eastAsia="Times New Roman"/>
        </w:rPr>
        <w:br/>
      </w:r>
      <w:r>
        <w:rPr>
          <w:rFonts w:eastAsia="Times New Roman"/>
        </w:rPr>
        <w:t xml:space="preserve">In addition, Australia funded the Asian Disaster Preparedness Centre (ADPC) to help Pakistan’s National Disaster Management Authority develop foreign assistance guidelines </w:t>
      </w:r>
      <w:r w:rsidR="00B316EC">
        <w:rPr>
          <w:rFonts w:eastAsia="Times New Roman"/>
        </w:rPr>
        <w:t xml:space="preserve">for </w:t>
      </w:r>
      <w:r>
        <w:rPr>
          <w:rFonts w:eastAsia="Times New Roman"/>
        </w:rPr>
        <w:t>natural disasters. The guidelines</w:t>
      </w:r>
      <w:r w:rsidR="00B316EC">
        <w:rPr>
          <w:rFonts w:eastAsia="Times New Roman"/>
        </w:rPr>
        <w:t>,</w:t>
      </w:r>
      <w:r>
        <w:rPr>
          <w:rFonts w:eastAsia="Times New Roman"/>
        </w:rPr>
        <w:t xml:space="preserve"> launched in June, were the first of </w:t>
      </w:r>
      <w:r w:rsidR="00B316EC">
        <w:rPr>
          <w:rFonts w:eastAsia="Times New Roman"/>
        </w:rPr>
        <w:t xml:space="preserve">their </w:t>
      </w:r>
      <w:r>
        <w:rPr>
          <w:rFonts w:eastAsia="Times New Roman"/>
        </w:rPr>
        <w:t>kind under the Heart of Asia</w:t>
      </w:r>
      <w:r w:rsidR="00B316EC">
        <w:rPr>
          <w:rFonts w:eastAsia="Times New Roman"/>
        </w:rPr>
        <w:t xml:space="preserve"> Istanbul-P</w:t>
      </w:r>
      <w:r>
        <w:rPr>
          <w:rFonts w:eastAsia="Times New Roman"/>
        </w:rPr>
        <w:t>rocess.</w:t>
      </w:r>
      <w:r w:rsidR="00FC148A" w:rsidRPr="00FC148A">
        <w:rPr>
          <w:rFonts w:eastAsia="Times New Roman"/>
          <w:i/>
          <w:sz w:val="20"/>
          <w:szCs w:val="20"/>
        </w:rPr>
        <w:t xml:space="preserve"> </w:t>
      </w:r>
    </w:p>
    <w:p w:rsidR="007B4725" w:rsidRDefault="007B4725" w:rsidP="007B4725">
      <w:pPr>
        <w:pStyle w:val="ListBullet"/>
        <w:tabs>
          <w:tab w:val="clear" w:pos="284"/>
        </w:tabs>
        <w:spacing w:after="0"/>
        <w:rPr>
          <w:rFonts w:asciiTheme="majorHAnsi" w:eastAsiaTheme="majorEastAsia" w:hAnsiTheme="majorHAnsi" w:cstheme="majorBidi"/>
          <w:b/>
          <w:caps/>
          <w:color w:val="495965" w:themeColor="text2"/>
          <w:sz w:val="38"/>
          <w:szCs w:val="38"/>
          <w:lang w:val="en-GB" w:eastAsia="en-US"/>
        </w:rPr>
      </w:pPr>
    </w:p>
    <w:p w:rsidR="007B4725" w:rsidRPr="007B4725" w:rsidRDefault="00965AEF" w:rsidP="007B4725">
      <w:pPr>
        <w:pStyle w:val="ListBullet"/>
        <w:tabs>
          <w:tab w:val="clear" w:pos="284"/>
        </w:tabs>
        <w:spacing w:after="0"/>
        <w:rPr>
          <w:rFonts w:asciiTheme="majorHAnsi" w:eastAsiaTheme="majorEastAsia" w:hAnsiTheme="majorHAnsi" w:cstheme="majorBidi"/>
          <w:b/>
          <w:caps/>
          <w:sz w:val="38"/>
          <w:szCs w:val="38"/>
        </w:rPr>
      </w:pPr>
      <w:r w:rsidRPr="007B4725">
        <w:rPr>
          <w:rFonts w:asciiTheme="majorHAnsi" w:eastAsiaTheme="majorEastAsia" w:hAnsiTheme="majorHAnsi" w:cstheme="majorBidi"/>
          <w:b/>
          <w:caps/>
          <w:color w:val="495965" w:themeColor="text2"/>
          <w:sz w:val="38"/>
          <w:szCs w:val="38"/>
          <w:lang w:val="en-GB" w:eastAsia="en-US"/>
        </w:rPr>
        <w:t>cross cutting policy priorities</w:t>
      </w:r>
    </w:p>
    <w:p w:rsidR="00764352" w:rsidRDefault="000F164B" w:rsidP="00A46AAE">
      <w:pPr>
        <w:spacing w:line="240" w:lineRule="auto"/>
        <w:rPr>
          <w:rFonts w:eastAsia="Times New Roman"/>
        </w:rPr>
      </w:pPr>
      <w:r w:rsidRPr="00A97153">
        <w:rPr>
          <w:rFonts w:eastAsia="Times New Roman"/>
          <w:i/>
          <w:noProof/>
          <w:sz w:val="20"/>
          <w:szCs w:val="20"/>
          <w:lang w:val="en-AU" w:eastAsia="en-AU"/>
        </w:rPr>
        <mc:AlternateContent>
          <mc:Choice Requires="wps">
            <w:drawing>
              <wp:anchor distT="0" distB="0" distL="114300" distR="114300" simplePos="0" relativeHeight="251698176" behindDoc="0" locked="0" layoutInCell="1" allowOverlap="1" wp14:anchorId="3127DD65" wp14:editId="6874B433">
                <wp:simplePos x="0" y="0"/>
                <wp:positionH relativeFrom="margin">
                  <wp:align>right</wp:align>
                </wp:positionH>
                <wp:positionV relativeFrom="paragraph">
                  <wp:posOffset>85725</wp:posOffset>
                </wp:positionV>
                <wp:extent cx="2734310" cy="1804670"/>
                <wp:effectExtent l="0" t="0" r="27940" b="24130"/>
                <wp:wrapSquare wrapText="bothSides"/>
                <wp:docPr id="5" name="Text Box 5"/>
                <wp:cNvGraphicFramePr/>
                <a:graphic xmlns:a="http://schemas.openxmlformats.org/drawingml/2006/main">
                  <a:graphicData uri="http://schemas.microsoft.com/office/word/2010/wordprocessingShape">
                    <wps:wsp>
                      <wps:cNvSpPr txBox="1"/>
                      <wps:spPr>
                        <a:xfrm>
                          <a:off x="0" y="0"/>
                          <a:ext cx="2734310" cy="1804670"/>
                        </a:xfrm>
                        <a:prstGeom prst="rect">
                          <a:avLst/>
                        </a:prstGeom>
                        <a:solidFill>
                          <a:schemeClr val="bg1"/>
                        </a:solidFill>
                        <a:ln w="6350">
                          <a:solidFill>
                            <a:schemeClr val="accent1"/>
                          </a:solidFill>
                        </a:ln>
                      </wps:spPr>
                      <wps:txbx>
                        <w:txbxContent>
                          <w:p w:rsidR="00F46617" w:rsidRPr="000F164B" w:rsidRDefault="00F46617" w:rsidP="000F164B">
                            <w:pPr>
                              <w:spacing w:before="0" w:after="0" w:line="240" w:lineRule="auto"/>
                              <w:rPr>
                                <w:rFonts w:asciiTheme="majorHAnsi" w:eastAsia="Times New Roman" w:hAnsiTheme="majorHAnsi"/>
                                <w:i/>
                                <w:color w:val="3DA18F" w:themeColor="accent1" w:themeShade="BF"/>
                                <w:sz w:val="20"/>
                                <w:szCs w:val="20"/>
                              </w:rPr>
                            </w:pPr>
                            <w:r w:rsidRPr="000F164B">
                              <w:rPr>
                                <w:rFonts w:asciiTheme="majorHAnsi" w:eastAsia="Times New Roman" w:hAnsiTheme="majorHAnsi"/>
                                <w:b/>
                                <w:i/>
                                <w:color w:val="3DA18F" w:themeColor="accent1" w:themeShade="BF"/>
                                <w:sz w:val="20"/>
                                <w:szCs w:val="20"/>
                              </w:rPr>
                              <w:t>The Australia Awards Program</w:t>
                            </w:r>
                          </w:p>
                          <w:p w:rsidR="00F46617" w:rsidRDefault="00F46617" w:rsidP="000F164B">
                            <w:pPr>
                              <w:spacing w:before="0" w:after="0" w:line="240" w:lineRule="auto"/>
                              <w:rPr>
                                <w:rFonts w:eastAsia="Times New Roman"/>
                                <w:i/>
                                <w:sz w:val="20"/>
                                <w:szCs w:val="20"/>
                              </w:rPr>
                            </w:pPr>
                          </w:p>
                          <w:p w:rsidR="00F46617" w:rsidRPr="005553C5" w:rsidRDefault="00F46617" w:rsidP="000F164B">
                            <w:pPr>
                              <w:spacing w:before="0" w:after="0" w:line="240" w:lineRule="auto"/>
                              <w:rPr>
                                <w:rFonts w:eastAsia="Times New Roman"/>
                                <w:i/>
                                <w:sz w:val="20"/>
                                <w:szCs w:val="20"/>
                              </w:rPr>
                            </w:pPr>
                            <w:r>
                              <w:rPr>
                                <w:rFonts w:eastAsia="Times New Roman"/>
                                <w:i/>
                                <w:sz w:val="20"/>
                                <w:szCs w:val="20"/>
                              </w:rPr>
                              <w:t>Australia Awards have</w:t>
                            </w:r>
                            <w:r w:rsidRPr="00404C51">
                              <w:rPr>
                                <w:rFonts w:eastAsia="Times New Roman"/>
                                <w:i/>
                                <w:sz w:val="20"/>
                                <w:szCs w:val="20"/>
                              </w:rPr>
                              <w:t xml:space="preserve"> supported a number of </w:t>
                            </w:r>
                            <w:r w:rsidRPr="00A97153">
                              <w:rPr>
                                <w:rFonts w:eastAsia="Times New Roman"/>
                                <w:b/>
                                <w:i/>
                                <w:sz w:val="20"/>
                                <w:szCs w:val="20"/>
                              </w:rPr>
                              <w:t>women leaders</w:t>
                            </w:r>
                            <w:r w:rsidRPr="00404C51">
                              <w:rPr>
                                <w:rFonts w:eastAsia="Times New Roman"/>
                                <w:i/>
                                <w:sz w:val="20"/>
                                <w:szCs w:val="20"/>
                              </w:rPr>
                              <w:t xml:space="preserve"> who are now in influential positions. For example, advocacy for gender and social inclusion in the Election Reform Bill by Australia Award alumna, Ms </w:t>
                            </w:r>
                            <w:proofErr w:type="spellStart"/>
                            <w:r w:rsidRPr="00404C51">
                              <w:rPr>
                                <w:rFonts w:eastAsia="Times New Roman"/>
                                <w:i/>
                                <w:sz w:val="20"/>
                                <w:szCs w:val="20"/>
                              </w:rPr>
                              <w:t>Nighat</w:t>
                            </w:r>
                            <w:proofErr w:type="spellEnd"/>
                            <w:r w:rsidRPr="00404C51">
                              <w:rPr>
                                <w:rFonts w:eastAsia="Times New Roman"/>
                                <w:i/>
                                <w:sz w:val="20"/>
                                <w:szCs w:val="20"/>
                              </w:rPr>
                              <w:t xml:space="preserve"> Siddique, Additional Director General – Gender Affairs</w:t>
                            </w:r>
                            <w:r>
                              <w:rPr>
                                <w:rFonts w:eastAsia="Times New Roman"/>
                                <w:i/>
                                <w:sz w:val="20"/>
                                <w:szCs w:val="20"/>
                              </w:rPr>
                              <w:t xml:space="preserve"> at the</w:t>
                            </w:r>
                            <w:r w:rsidRPr="00404C51">
                              <w:rPr>
                                <w:rFonts w:eastAsia="Times New Roman"/>
                                <w:i/>
                                <w:sz w:val="20"/>
                                <w:szCs w:val="20"/>
                              </w:rPr>
                              <w:t xml:space="preserve"> Election </w:t>
                            </w:r>
                            <w:r>
                              <w:rPr>
                                <w:rFonts w:eastAsia="Times New Roman"/>
                                <w:i/>
                                <w:sz w:val="20"/>
                                <w:szCs w:val="20"/>
                              </w:rPr>
                              <w:t>C</w:t>
                            </w:r>
                            <w:r w:rsidRPr="00404C51">
                              <w:rPr>
                                <w:rFonts w:eastAsia="Times New Roman"/>
                                <w:i/>
                                <w:sz w:val="20"/>
                                <w:szCs w:val="20"/>
                              </w:rPr>
                              <w:t xml:space="preserve">ommission of Pakistan, was </w:t>
                            </w:r>
                            <w:r>
                              <w:rPr>
                                <w:rFonts w:eastAsia="Times New Roman"/>
                                <w:i/>
                                <w:sz w:val="20"/>
                                <w:szCs w:val="20"/>
                              </w:rPr>
                              <w:t>a</w:t>
                            </w:r>
                            <w:r w:rsidRPr="00404C51">
                              <w:rPr>
                                <w:rFonts w:eastAsia="Times New Roman"/>
                                <w:i/>
                                <w:sz w:val="20"/>
                                <w:szCs w:val="20"/>
                              </w:rPr>
                              <w:t xml:space="preserve"> major contributor to increased women’s participation in the general elections in July 2018.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7DD65" id="Text Box 5" o:spid="_x0000_s1031" type="#_x0000_t202" style="position:absolute;margin-left:164.1pt;margin-top:6.75pt;width:215.3pt;height:142.1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" fillcolor="white [3212]" strokecolor="#65c5b4 [3204]" strokeweight=".5pt">
                <v:textbox>
                  <w:txbxContent>
                    <w:p w:rsidR="00F46617" w:rsidRPr="000F164B" w:rsidRDefault="00F46617" w:rsidP="000F164B">
                      <w:pPr>
                        <w:spacing w:before="0" w:after="0" w:line="240" w:lineRule="auto"/>
                        <w:rPr>
                          <w:rFonts w:asciiTheme="majorHAnsi" w:eastAsia="Times New Roman" w:hAnsiTheme="majorHAnsi"/>
                          <w:i/>
                          <w:color w:val="3DA18F" w:themeColor="accent1" w:themeShade="BF"/>
                          <w:sz w:val="20"/>
                          <w:szCs w:val="20"/>
                        </w:rPr>
                      </w:pPr>
                      <w:r w:rsidRPr="000F164B">
                        <w:rPr>
                          <w:rFonts w:asciiTheme="majorHAnsi" w:eastAsia="Times New Roman" w:hAnsiTheme="majorHAnsi"/>
                          <w:b/>
                          <w:i/>
                          <w:color w:val="3DA18F" w:themeColor="accent1" w:themeShade="BF"/>
                          <w:sz w:val="20"/>
                          <w:szCs w:val="20"/>
                        </w:rPr>
                        <w:t>The Australia Awards Program</w:t>
                      </w:r>
                    </w:p>
                    <w:p w:rsidR="00F46617" w:rsidRDefault="00F46617" w:rsidP="000F164B">
                      <w:pPr>
                        <w:spacing w:before="0" w:after="0" w:line="240" w:lineRule="auto"/>
                        <w:rPr>
                          <w:rFonts w:eastAsia="Times New Roman"/>
                          <w:i/>
                          <w:sz w:val="20"/>
                          <w:szCs w:val="20"/>
                        </w:rPr>
                      </w:pPr>
                    </w:p>
                    <w:p w:rsidR="00F46617" w:rsidRPr="005553C5" w:rsidRDefault="00F46617" w:rsidP="000F164B">
                      <w:pPr>
                        <w:spacing w:before="0" w:after="0" w:line="240" w:lineRule="auto"/>
                        <w:rPr>
                          <w:rFonts w:eastAsia="Times New Roman"/>
                          <w:i/>
                          <w:sz w:val="20"/>
                          <w:szCs w:val="20"/>
                        </w:rPr>
                      </w:pPr>
                      <w:r>
                        <w:rPr>
                          <w:rFonts w:eastAsia="Times New Roman"/>
                          <w:i/>
                          <w:sz w:val="20"/>
                          <w:szCs w:val="20"/>
                        </w:rPr>
                        <w:t>Australia Awards have</w:t>
                      </w:r>
                      <w:r w:rsidRPr="00404C51">
                        <w:rPr>
                          <w:rFonts w:eastAsia="Times New Roman"/>
                          <w:i/>
                          <w:sz w:val="20"/>
                          <w:szCs w:val="20"/>
                        </w:rPr>
                        <w:t xml:space="preserve"> supported a number of </w:t>
                      </w:r>
                      <w:r w:rsidRPr="00A97153">
                        <w:rPr>
                          <w:rFonts w:eastAsia="Times New Roman"/>
                          <w:b/>
                          <w:i/>
                          <w:sz w:val="20"/>
                          <w:szCs w:val="20"/>
                        </w:rPr>
                        <w:t>women leaders</w:t>
                      </w:r>
                      <w:r w:rsidRPr="00404C51">
                        <w:rPr>
                          <w:rFonts w:eastAsia="Times New Roman"/>
                          <w:i/>
                          <w:sz w:val="20"/>
                          <w:szCs w:val="20"/>
                        </w:rPr>
                        <w:t xml:space="preserve"> who are now in influential positions. For example, advocacy for gender and social inclusion in the Election Reform Bill by Australia Award alumna, Ms </w:t>
                      </w:r>
                      <w:proofErr w:type="spellStart"/>
                      <w:r w:rsidRPr="00404C51">
                        <w:rPr>
                          <w:rFonts w:eastAsia="Times New Roman"/>
                          <w:i/>
                          <w:sz w:val="20"/>
                          <w:szCs w:val="20"/>
                        </w:rPr>
                        <w:t>Nighat</w:t>
                      </w:r>
                      <w:proofErr w:type="spellEnd"/>
                      <w:r w:rsidRPr="00404C51">
                        <w:rPr>
                          <w:rFonts w:eastAsia="Times New Roman"/>
                          <w:i/>
                          <w:sz w:val="20"/>
                          <w:szCs w:val="20"/>
                        </w:rPr>
                        <w:t xml:space="preserve"> Siddique, Additional Director General – Gender Affairs</w:t>
                      </w:r>
                      <w:r>
                        <w:rPr>
                          <w:rFonts w:eastAsia="Times New Roman"/>
                          <w:i/>
                          <w:sz w:val="20"/>
                          <w:szCs w:val="20"/>
                        </w:rPr>
                        <w:t xml:space="preserve"> at the</w:t>
                      </w:r>
                      <w:r w:rsidRPr="00404C51">
                        <w:rPr>
                          <w:rFonts w:eastAsia="Times New Roman"/>
                          <w:i/>
                          <w:sz w:val="20"/>
                          <w:szCs w:val="20"/>
                        </w:rPr>
                        <w:t xml:space="preserve"> Election </w:t>
                      </w:r>
                      <w:r>
                        <w:rPr>
                          <w:rFonts w:eastAsia="Times New Roman"/>
                          <w:i/>
                          <w:sz w:val="20"/>
                          <w:szCs w:val="20"/>
                        </w:rPr>
                        <w:t>C</w:t>
                      </w:r>
                      <w:r w:rsidRPr="00404C51">
                        <w:rPr>
                          <w:rFonts w:eastAsia="Times New Roman"/>
                          <w:i/>
                          <w:sz w:val="20"/>
                          <w:szCs w:val="20"/>
                        </w:rPr>
                        <w:t xml:space="preserve">ommission of Pakistan, was </w:t>
                      </w:r>
                      <w:r>
                        <w:rPr>
                          <w:rFonts w:eastAsia="Times New Roman"/>
                          <w:i/>
                          <w:sz w:val="20"/>
                          <w:szCs w:val="20"/>
                        </w:rPr>
                        <w:t>a</w:t>
                      </w:r>
                      <w:r w:rsidRPr="00404C51">
                        <w:rPr>
                          <w:rFonts w:eastAsia="Times New Roman"/>
                          <w:i/>
                          <w:sz w:val="20"/>
                          <w:szCs w:val="20"/>
                        </w:rPr>
                        <w:t xml:space="preserve"> major contributor to increased women’s participation in the general elections in July 2018. </w:t>
                      </w:r>
                    </w:p>
                  </w:txbxContent>
                </v:textbox>
                <w10:wrap type="square" anchorx="margin"/>
              </v:shape>
            </w:pict>
          </mc:Fallback>
        </mc:AlternateContent>
      </w:r>
      <w:r w:rsidR="005026E9" w:rsidRPr="005026E9">
        <w:rPr>
          <w:rFonts w:eastAsia="Times New Roman"/>
        </w:rPr>
        <w:t xml:space="preserve">Under </w:t>
      </w:r>
      <w:r w:rsidR="00965AEF" w:rsidRPr="00E03789">
        <w:rPr>
          <w:b/>
          <w:u w:val="single"/>
        </w:rPr>
        <w:t>Outcome 7: Australia Awards alumni are using their skills, knowledge and networks to contribute to sustainable development in Pakistan</w:t>
      </w:r>
      <w:r w:rsidR="00597031">
        <w:rPr>
          <w:rFonts w:eastAsia="Times New Roman"/>
        </w:rPr>
        <w:t xml:space="preserve">, </w:t>
      </w:r>
      <w:r w:rsidR="00597031" w:rsidRPr="005026E9">
        <w:rPr>
          <w:rFonts w:eastAsia="Times New Roman"/>
        </w:rPr>
        <w:t>support</w:t>
      </w:r>
      <w:r w:rsidR="00597031">
        <w:rPr>
          <w:rFonts w:eastAsia="Times New Roman"/>
        </w:rPr>
        <w:t>ing</w:t>
      </w:r>
      <w:r w:rsidR="00597031" w:rsidRPr="005026E9">
        <w:rPr>
          <w:rFonts w:eastAsia="Times New Roman"/>
        </w:rPr>
        <w:t xml:space="preserve"> aid program priorities and Australia’s broader strategic interests in Pakistan</w:t>
      </w:r>
      <w:r w:rsidR="00597031">
        <w:rPr>
          <w:rFonts w:eastAsia="Times New Roman"/>
        </w:rPr>
        <w:t>.</w:t>
      </w:r>
      <w:r w:rsidR="00597031">
        <w:rPr>
          <w:b/>
        </w:rPr>
        <w:t xml:space="preserve"> </w:t>
      </w:r>
      <w:r w:rsidR="00597031">
        <w:rPr>
          <w:rFonts w:eastAsia="Times New Roman"/>
        </w:rPr>
        <w:t xml:space="preserve">Six major Australia Awards alumni </w:t>
      </w:r>
      <w:r w:rsidR="00597031" w:rsidRPr="008E1B3E">
        <w:rPr>
          <w:rFonts w:eastAsia="Times New Roman"/>
        </w:rPr>
        <w:t>activities</w:t>
      </w:r>
      <w:r w:rsidR="00597031">
        <w:rPr>
          <w:rFonts w:eastAsia="Times New Roman"/>
        </w:rPr>
        <w:t xml:space="preserve"> were delivered in the </w:t>
      </w:r>
      <w:r w:rsidR="00597031" w:rsidRPr="008E1B3E">
        <w:rPr>
          <w:rFonts w:eastAsia="Times New Roman"/>
        </w:rPr>
        <w:t>reporting period including a Mentorship Development Program in March 2018 under the Women in Leadership Network (</w:t>
      </w:r>
      <w:proofErr w:type="spellStart"/>
      <w:r w:rsidR="00597031" w:rsidRPr="008E1B3E">
        <w:rPr>
          <w:rFonts w:eastAsia="Times New Roman"/>
        </w:rPr>
        <w:t>WiLN</w:t>
      </w:r>
      <w:proofErr w:type="spellEnd"/>
      <w:r w:rsidR="00597031" w:rsidRPr="008E1B3E">
        <w:rPr>
          <w:rFonts w:eastAsia="Times New Roman"/>
        </w:rPr>
        <w:t>) Pakistan Chapter for 25 alumnae</w:t>
      </w:r>
      <w:r w:rsidR="00B316EC">
        <w:rPr>
          <w:rFonts w:eastAsia="Times New Roman"/>
        </w:rPr>
        <w:t>.</w:t>
      </w:r>
    </w:p>
    <w:p w:rsidR="00B316EC" w:rsidRDefault="00B316EC" w:rsidP="00A46AAE">
      <w:pPr>
        <w:spacing w:line="240" w:lineRule="auto"/>
        <w:rPr>
          <w:rFonts w:eastAsia="Times New Roman"/>
        </w:rPr>
      </w:pPr>
      <w:r>
        <w:rPr>
          <w:rFonts w:eastAsia="Times New Roman"/>
        </w:rPr>
        <w:t xml:space="preserve">Under </w:t>
      </w:r>
      <w:r w:rsidRPr="00A97153">
        <w:rPr>
          <w:rFonts w:eastAsia="Times New Roman"/>
        </w:rPr>
        <w:t>Australia Awards</w:t>
      </w:r>
      <w:r>
        <w:rPr>
          <w:rFonts w:eastAsia="Times New Roman"/>
        </w:rPr>
        <w:t xml:space="preserve">, 45 people received long-term scholarships, of which 23 (51 per cent) were women. Five people with disability were awarded scholarships for the 2018 intake compared with none in the 2017 intake. Next year will see </w:t>
      </w:r>
      <w:r w:rsidRPr="00A97153">
        <w:rPr>
          <w:rFonts w:eastAsia="Times New Roman"/>
          <w:b/>
        </w:rPr>
        <w:t>increased efforts to include more women and people with disability</w:t>
      </w:r>
      <w:r>
        <w:rPr>
          <w:rFonts w:eastAsia="Times New Roman"/>
        </w:rPr>
        <w:t xml:space="preserve"> in short course Award opportunities, with a target of 50 percent women (currently 40 percent). </w:t>
      </w:r>
    </w:p>
    <w:p w:rsidR="00595279" w:rsidRDefault="00510023" w:rsidP="00A46AAE">
      <w:pPr>
        <w:spacing w:line="240" w:lineRule="auto"/>
        <w:rPr>
          <w:rFonts w:eastAsia="Times New Roman"/>
        </w:rPr>
      </w:pPr>
      <w:r>
        <w:rPr>
          <w:rFonts w:eastAsia="Times New Roman"/>
        </w:rPr>
        <w:t xml:space="preserve">A variety </w:t>
      </w:r>
      <w:r w:rsidRPr="005F2563">
        <w:rPr>
          <w:rFonts w:eastAsia="Times New Roman"/>
        </w:rPr>
        <w:t xml:space="preserve">of </w:t>
      </w:r>
      <w:r w:rsidRPr="00A97153">
        <w:rPr>
          <w:rFonts w:eastAsia="Times New Roman"/>
        </w:rPr>
        <w:t xml:space="preserve">short courses and </w:t>
      </w:r>
      <w:r w:rsidR="00622DBB">
        <w:rPr>
          <w:rFonts w:eastAsia="Times New Roman"/>
        </w:rPr>
        <w:t>other training</w:t>
      </w:r>
      <w:r>
        <w:rPr>
          <w:rFonts w:eastAsia="Times New Roman"/>
        </w:rPr>
        <w:t xml:space="preserve"> were delivered during the reporting period</w:t>
      </w:r>
      <w:r w:rsidR="00EC5C06">
        <w:rPr>
          <w:rFonts w:eastAsia="Times New Roman"/>
        </w:rPr>
        <w:t xml:space="preserve"> that support our priorit</w:t>
      </w:r>
      <w:r w:rsidR="00B316EC">
        <w:rPr>
          <w:rFonts w:eastAsia="Times New Roman"/>
        </w:rPr>
        <w:t>y</w:t>
      </w:r>
      <w:r w:rsidR="00EC5C06">
        <w:rPr>
          <w:rFonts w:eastAsia="Times New Roman"/>
        </w:rPr>
        <w:t xml:space="preserve"> areas under the AIP</w:t>
      </w:r>
      <w:r>
        <w:rPr>
          <w:rFonts w:eastAsia="Times New Roman"/>
        </w:rPr>
        <w:t xml:space="preserve">. </w:t>
      </w:r>
      <w:r w:rsidR="00EC5C06">
        <w:rPr>
          <w:rFonts w:eastAsia="Times New Roman"/>
        </w:rPr>
        <w:t>For example, i</w:t>
      </w:r>
      <w:r w:rsidR="00A05A11">
        <w:rPr>
          <w:rFonts w:eastAsia="Times New Roman"/>
        </w:rPr>
        <w:t>n July 2017, an</w:t>
      </w:r>
      <w:r w:rsidR="008E1B3E" w:rsidRPr="008E1B3E">
        <w:rPr>
          <w:rFonts w:eastAsia="Times New Roman"/>
        </w:rPr>
        <w:t xml:space="preserve"> </w:t>
      </w:r>
      <w:r w:rsidR="00A05A11">
        <w:rPr>
          <w:rFonts w:eastAsia="Times New Roman"/>
        </w:rPr>
        <w:t xml:space="preserve">Australia Awards </w:t>
      </w:r>
      <w:r w:rsidR="008E1B3E" w:rsidRPr="008E1B3E">
        <w:rPr>
          <w:rFonts w:eastAsia="Times New Roman"/>
        </w:rPr>
        <w:t xml:space="preserve">Short </w:t>
      </w:r>
      <w:r w:rsidR="00A05A11">
        <w:rPr>
          <w:rFonts w:eastAsia="Times New Roman"/>
        </w:rPr>
        <w:t>C</w:t>
      </w:r>
      <w:r w:rsidR="008E1B3E" w:rsidRPr="008E1B3E">
        <w:rPr>
          <w:rFonts w:eastAsia="Times New Roman"/>
        </w:rPr>
        <w:t>ourse</w:t>
      </w:r>
      <w:r w:rsidR="00A05A11">
        <w:rPr>
          <w:rFonts w:eastAsia="Times New Roman"/>
        </w:rPr>
        <w:t xml:space="preserve"> on</w:t>
      </w:r>
      <w:r w:rsidR="008E1B3E" w:rsidRPr="008E1B3E">
        <w:rPr>
          <w:rFonts w:eastAsia="Times New Roman"/>
        </w:rPr>
        <w:t xml:space="preserve"> </w:t>
      </w:r>
      <w:r w:rsidR="0054065E" w:rsidRPr="00C203CF">
        <w:rPr>
          <w:rFonts w:eastAsia="Times New Roman"/>
          <w:i/>
        </w:rPr>
        <w:t xml:space="preserve">Strengthening </w:t>
      </w:r>
      <w:r w:rsidR="00E87728" w:rsidRPr="00C203CF">
        <w:rPr>
          <w:rFonts w:eastAsia="Times New Roman"/>
          <w:i/>
        </w:rPr>
        <w:t>TVET: Policy and Management</w:t>
      </w:r>
      <w:r w:rsidR="00E87728" w:rsidRPr="008E1B3E">
        <w:rPr>
          <w:rFonts w:eastAsia="Times New Roman"/>
        </w:rPr>
        <w:t xml:space="preserve"> </w:t>
      </w:r>
      <w:r w:rsidR="008E1B3E" w:rsidRPr="008E1B3E">
        <w:rPr>
          <w:rFonts w:eastAsia="Times New Roman"/>
        </w:rPr>
        <w:t xml:space="preserve">promoted linkages between Australia and Pakistan </w:t>
      </w:r>
      <w:r w:rsidR="00A05A11">
        <w:rPr>
          <w:rFonts w:eastAsia="Times New Roman"/>
        </w:rPr>
        <w:t>and</w:t>
      </w:r>
      <w:r w:rsidR="00A05A11" w:rsidRPr="008E1B3E">
        <w:rPr>
          <w:rFonts w:eastAsia="Times New Roman"/>
        </w:rPr>
        <w:t xml:space="preserve"> </w:t>
      </w:r>
      <w:r w:rsidR="008E1B3E" w:rsidRPr="008E1B3E">
        <w:rPr>
          <w:rFonts w:eastAsia="Times New Roman"/>
        </w:rPr>
        <w:t>le</w:t>
      </w:r>
      <w:r w:rsidR="00A05A11">
        <w:rPr>
          <w:rFonts w:eastAsia="Times New Roman"/>
        </w:rPr>
        <w:t>d</w:t>
      </w:r>
      <w:r w:rsidR="008E1B3E" w:rsidRPr="008E1B3E">
        <w:rPr>
          <w:rFonts w:eastAsia="Times New Roman"/>
        </w:rPr>
        <w:t xml:space="preserve"> </w:t>
      </w:r>
      <w:r w:rsidR="00595279">
        <w:rPr>
          <w:rFonts w:eastAsia="Times New Roman"/>
        </w:rPr>
        <w:t xml:space="preserve">to </w:t>
      </w:r>
      <w:r w:rsidR="00E87728" w:rsidRPr="008E1B3E">
        <w:rPr>
          <w:rFonts w:eastAsia="Times New Roman"/>
        </w:rPr>
        <w:t xml:space="preserve">an MOU being signed between </w:t>
      </w:r>
      <w:r w:rsidR="008E1B3E" w:rsidRPr="008E1B3E">
        <w:rPr>
          <w:rFonts w:eastAsia="Times New Roman"/>
        </w:rPr>
        <w:t>TAFE Directors Australia</w:t>
      </w:r>
      <w:r w:rsidR="00E87728" w:rsidRPr="008E1B3E">
        <w:rPr>
          <w:rFonts w:eastAsia="Times New Roman"/>
        </w:rPr>
        <w:t xml:space="preserve"> and the </w:t>
      </w:r>
      <w:r w:rsidR="008E1B3E" w:rsidRPr="008E1B3E">
        <w:rPr>
          <w:rFonts w:eastAsia="Times New Roman"/>
        </w:rPr>
        <w:t xml:space="preserve">Pakistan </w:t>
      </w:r>
      <w:r w:rsidR="00E87728" w:rsidRPr="008E1B3E">
        <w:rPr>
          <w:rFonts w:eastAsia="Times New Roman"/>
        </w:rPr>
        <w:t>National Vocational and Technical Training Commission (NAVTTC</w:t>
      </w:r>
      <w:r w:rsidR="00764352">
        <w:rPr>
          <w:rFonts w:eastAsia="Times New Roman"/>
        </w:rPr>
        <w:t>).</w:t>
      </w:r>
      <w:r>
        <w:rPr>
          <w:rFonts w:eastAsia="Times New Roman"/>
        </w:rPr>
        <w:t xml:space="preserve"> In support of our EVAW commitments, s</w:t>
      </w:r>
      <w:r w:rsidR="008E1B3E" w:rsidRPr="008E1B3E">
        <w:rPr>
          <w:rFonts w:eastAsia="Times New Roman"/>
        </w:rPr>
        <w:t xml:space="preserve">even </w:t>
      </w:r>
      <w:r w:rsidR="00A05A11">
        <w:rPr>
          <w:rFonts w:eastAsia="Times New Roman"/>
        </w:rPr>
        <w:t>women</w:t>
      </w:r>
      <w:r w:rsidR="008E1B3E" w:rsidRPr="008E1B3E">
        <w:rPr>
          <w:rFonts w:eastAsia="Times New Roman"/>
        </w:rPr>
        <w:t xml:space="preserve"> from the Strategic Reforms Unit in the Government of Punjab visited Australia in November 2017 to share their experiences on combatting violence against women in the province and to learn from Australian experience, particularly in relation to police and judicial approaches. </w:t>
      </w:r>
    </w:p>
    <w:p w:rsidR="00920E91" w:rsidRDefault="008B39AD" w:rsidP="00A46AAE">
      <w:pPr>
        <w:spacing w:line="240" w:lineRule="auto"/>
        <w:rPr>
          <w:rFonts w:eastAsia="Times New Roman"/>
        </w:rPr>
      </w:pPr>
      <w:r>
        <w:rPr>
          <w:noProof/>
          <w:lang w:val="en-AU" w:eastAsia="en-AU"/>
        </w:rPr>
        <mc:AlternateContent>
          <mc:Choice Requires="wps">
            <w:drawing>
              <wp:anchor distT="0" distB="0" distL="114300" distR="114300" simplePos="0" relativeHeight="251696128" behindDoc="0" locked="0" layoutInCell="1" allowOverlap="1" wp14:anchorId="05826013" wp14:editId="2ABFDEA8">
                <wp:simplePos x="0" y="0"/>
                <wp:positionH relativeFrom="margin">
                  <wp:posOffset>3566160</wp:posOffset>
                </wp:positionH>
                <wp:positionV relativeFrom="paragraph">
                  <wp:posOffset>506095</wp:posOffset>
                </wp:positionV>
                <wp:extent cx="2566035" cy="2514600"/>
                <wp:effectExtent l="0" t="0" r="24765" b="19050"/>
                <wp:wrapSquare wrapText="bothSides"/>
                <wp:docPr id="47" name="Text Box 47"/>
                <wp:cNvGraphicFramePr/>
                <a:graphic xmlns:a="http://schemas.openxmlformats.org/drawingml/2006/main">
                  <a:graphicData uri="http://schemas.microsoft.com/office/word/2010/wordprocessingShape">
                    <wps:wsp>
                      <wps:cNvSpPr txBox="1"/>
                      <wps:spPr>
                        <a:xfrm>
                          <a:off x="0" y="0"/>
                          <a:ext cx="2566035" cy="2514600"/>
                        </a:xfrm>
                        <a:prstGeom prst="rect">
                          <a:avLst/>
                        </a:prstGeom>
                        <a:solidFill>
                          <a:schemeClr val="bg1"/>
                        </a:solidFill>
                        <a:ln w="6350">
                          <a:solidFill>
                            <a:schemeClr val="accent1"/>
                          </a:solidFill>
                        </a:ln>
                      </wps:spPr>
                      <wps:txbx>
                        <w:txbxContent>
                          <w:p w:rsidR="00F46617" w:rsidRPr="000F164B" w:rsidRDefault="00F46617" w:rsidP="000F164B">
                            <w:pPr>
                              <w:spacing w:before="0" w:after="0" w:line="240" w:lineRule="auto"/>
                              <w:rPr>
                                <w:rFonts w:asciiTheme="majorHAnsi" w:eastAsia="Times New Roman" w:hAnsiTheme="majorHAnsi"/>
                                <w:b/>
                                <w:i/>
                                <w:color w:val="3DA18F" w:themeColor="accent1" w:themeShade="BF"/>
                                <w:sz w:val="20"/>
                                <w:szCs w:val="20"/>
                              </w:rPr>
                            </w:pPr>
                            <w:r>
                              <w:rPr>
                                <w:rFonts w:asciiTheme="majorHAnsi" w:eastAsia="Times New Roman" w:hAnsiTheme="majorHAnsi"/>
                                <w:b/>
                                <w:i/>
                                <w:color w:val="3DA18F" w:themeColor="accent1" w:themeShade="BF"/>
                                <w:sz w:val="20"/>
                                <w:szCs w:val="20"/>
                              </w:rPr>
                              <w:t>Promoting transformative change</w:t>
                            </w:r>
                          </w:p>
                          <w:p w:rsidR="00F46617" w:rsidRPr="000F164B" w:rsidRDefault="00F46617" w:rsidP="000F164B">
                            <w:pPr>
                              <w:spacing w:before="0" w:after="0" w:line="240" w:lineRule="auto"/>
                              <w:rPr>
                                <w:rFonts w:eastAsia="Times New Roman"/>
                                <w:b/>
                                <w:i/>
                                <w:sz w:val="20"/>
                                <w:szCs w:val="20"/>
                              </w:rPr>
                            </w:pPr>
                          </w:p>
                          <w:p w:rsidR="00F46617" w:rsidRPr="00510023" w:rsidRDefault="00F46617" w:rsidP="000F164B">
                            <w:pPr>
                              <w:spacing w:before="0" w:after="0" w:line="240" w:lineRule="auto"/>
                              <w:rPr>
                                <w:rFonts w:eastAsia="Times New Roman"/>
                                <w:i/>
                                <w:sz w:val="20"/>
                                <w:szCs w:val="20"/>
                              </w:rPr>
                            </w:pPr>
                            <w:r w:rsidRPr="00510023">
                              <w:rPr>
                                <w:rFonts w:eastAsia="Times New Roman"/>
                                <w:i/>
                                <w:sz w:val="20"/>
                                <w:szCs w:val="20"/>
                              </w:rPr>
                              <w:t xml:space="preserve">Under </w:t>
                            </w:r>
                            <w:r>
                              <w:rPr>
                                <w:rFonts w:eastAsia="Times New Roman"/>
                                <w:i/>
                                <w:sz w:val="20"/>
                                <w:szCs w:val="20"/>
                              </w:rPr>
                              <w:t xml:space="preserve">the World Bank’s </w:t>
                            </w:r>
                            <w:r w:rsidRPr="000F164B">
                              <w:rPr>
                                <w:rFonts w:eastAsia="Times New Roman"/>
                                <w:i/>
                                <w:sz w:val="20"/>
                                <w:szCs w:val="20"/>
                              </w:rPr>
                              <w:t>MDTF-Nutrition, A</w:t>
                            </w:r>
                            <w:r w:rsidRPr="00510023">
                              <w:rPr>
                                <w:rFonts w:eastAsia="Times New Roman"/>
                                <w:i/>
                                <w:sz w:val="20"/>
                                <w:szCs w:val="20"/>
                              </w:rPr>
                              <w:t xml:space="preserve">ustralia’s advocacy has led to improved gender equality outcomes for women in </w:t>
                            </w:r>
                            <w:proofErr w:type="spellStart"/>
                            <w:r w:rsidRPr="00510023">
                              <w:rPr>
                                <w:rFonts w:eastAsia="Times New Roman"/>
                                <w:i/>
                                <w:sz w:val="20"/>
                                <w:szCs w:val="20"/>
                              </w:rPr>
                              <w:t>Balochistan</w:t>
                            </w:r>
                            <w:proofErr w:type="spellEnd"/>
                            <w:r w:rsidRPr="00510023">
                              <w:rPr>
                                <w:rFonts w:eastAsia="Times New Roman"/>
                                <w:i/>
                                <w:sz w:val="20"/>
                                <w:szCs w:val="20"/>
                              </w:rPr>
                              <w:t xml:space="preserve"> </w:t>
                            </w:r>
                            <w:r>
                              <w:rPr>
                                <w:rFonts w:eastAsia="Times New Roman"/>
                                <w:i/>
                                <w:sz w:val="20"/>
                                <w:szCs w:val="20"/>
                              </w:rPr>
                              <w:t>P</w:t>
                            </w:r>
                            <w:r w:rsidRPr="00510023">
                              <w:rPr>
                                <w:rFonts w:eastAsia="Times New Roman"/>
                                <w:i/>
                                <w:sz w:val="20"/>
                                <w:szCs w:val="20"/>
                              </w:rPr>
                              <w:t>rovince which borders Iran and Afghanistan. The program has led to a transformative change with an increasing number of women engaged by the Health Department at higher-level positions. Furthermore, contracts with service provider NGOs now include targets of hiring 50</w:t>
                            </w:r>
                            <w:r>
                              <w:rPr>
                                <w:rFonts w:eastAsia="Times New Roman"/>
                                <w:i/>
                                <w:sz w:val="20"/>
                                <w:szCs w:val="20"/>
                              </w:rPr>
                              <w:t xml:space="preserve"> percent</w:t>
                            </w:r>
                            <w:r w:rsidRPr="00510023">
                              <w:rPr>
                                <w:rFonts w:eastAsia="Times New Roman"/>
                                <w:i/>
                                <w:sz w:val="20"/>
                                <w:szCs w:val="20"/>
                              </w:rPr>
                              <w:t xml:space="preserve"> women to deliver services in the community.</w:t>
                            </w:r>
                            <w:r w:rsidRPr="00EC5C06">
                              <w:rPr>
                                <w:rFonts w:eastAsia="Times New Roman"/>
                                <w:i/>
                                <w:sz w:val="20"/>
                                <w:szCs w:val="20"/>
                              </w:rPr>
                              <w:t xml:space="preserve"> </w:t>
                            </w:r>
                            <w:r>
                              <w:rPr>
                                <w:rFonts w:eastAsia="Times New Roman"/>
                                <w:i/>
                                <w:sz w:val="20"/>
                                <w:szCs w:val="20"/>
                              </w:rPr>
                              <w:t>These</w:t>
                            </w:r>
                            <w:r w:rsidRPr="00510023">
                              <w:rPr>
                                <w:rFonts w:eastAsia="Times New Roman"/>
                                <w:i/>
                                <w:sz w:val="20"/>
                                <w:szCs w:val="20"/>
                              </w:rPr>
                              <w:t xml:space="preserve"> result</w:t>
                            </w:r>
                            <w:r>
                              <w:rPr>
                                <w:rFonts w:eastAsia="Times New Roman"/>
                                <w:i/>
                                <w:sz w:val="20"/>
                                <w:szCs w:val="20"/>
                              </w:rPr>
                              <w:t>s, while seemingly modest, are</w:t>
                            </w:r>
                            <w:r w:rsidRPr="00510023">
                              <w:rPr>
                                <w:rFonts w:eastAsia="Times New Roman"/>
                                <w:i/>
                                <w:sz w:val="20"/>
                                <w:szCs w:val="20"/>
                              </w:rPr>
                              <w:t xml:space="preserve"> highly significant in the </w:t>
                            </w:r>
                            <w:proofErr w:type="spellStart"/>
                            <w:r w:rsidRPr="00510023">
                              <w:rPr>
                                <w:rFonts w:eastAsia="Times New Roman"/>
                                <w:i/>
                                <w:sz w:val="20"/>
                                <w:szCs w:val="20"/>
                              </w:rPr>
                              <w:t>Balochistan</w:t>
                            </w:r>
                            <w:proofErr w:type="spellEnd"/>
                            <w:r w:rsidRPr="00510023">
                              <w:rPr>
                                <w:rFonts w:eastAsia="Times New Roman"/>
                                <w:i/>
                                <w:sz w:val="20"/>
                                <w:szCs w:val="20"/>
                              </w:rPr>
                              <w:t xml:space="preserve"> context.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26013" id="Text Box 47" o:spid="_x0000_s1032" type="#_x0000_t202" style="position:absolute;margin-left:280.8pt;margin-top:39.85pt;width:202.05pt;height:19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" fillcolor="white [3212]" strokecolor="#65c5b4 [3204]" strokeweight=".5pt">
                <v:textbox>
                  <w:txbxContent>
                    <w:p w:rsidR="00F46617" w:rsidRPr="000F164B" w:rsidRDefault="00F46617" w:rsidP="000F164B">
                      <w:pPr>
                        <w:spacing w:before="0" w:after="0" w:line="240" w:lineRule="auto"/>
                        <w:rPr>
                          <w:rFonts w:asciiTheme="majorHAnsi" w:eastAsia="Times New Roman" w:hAnsiTheme="majorHAnsi"/>
                          <w:b/>
                          <w:i/>
                          <w:color w:val="3DA18F" w:themeColor="accent1" w:themeShade="BF"/>
                          <w:sz w:val="20"/>
                          <w:szCs w:val="20"/>
                        </w:rPr>
                      </w:pPr>
                      <w:r>
                        <w:rPr>
                          <w:rFonts w:asciiTheme="majorHAnsi" w:eastAsia="Times New Roman" w:hAnsiTheme="majorHAnsi"/>
                          <w:b/>
                          <w:i/>
                          <w:color w:val="3DA18F" w:themeColor="accent1" w:themeShade="BF"/>
                          <w:sz w:val="20"/>
                          <w:szCs w:val="20"/>
                        </w:rPr>
                        <w:t>Promoting transformative change</w:t>
                      </w:r>
                    </w:p>
                    <w:p w:rsidR="00F46617" w:rsidRPr="000F164B" w:rsidRDefault="00F46617" w:rsidP="000F164B">
                      <w:pPr>
                        <w:spacing w:before="0" w:after="0" w:line="240" w:lineRule="auto"/>
                        <w:rPr>
                          <w:rFonts w:eastAsia="Times New Roman"/>
                          <w:b/>
                          <w:i/>
                          <w:sz w:val="20"/>
                          <w:szCs w:val="20"/>
                        </w:rPr>
                      </w:pPr>
                    </w:p>
                    <w:p w:rsidR="00F46617" w:rsidRPr="00510023" w:rsidRDefault="00F46617" w:rsidP="000F164B">
                      <w:pPr>
                        <w:spacing w:before="0" w:after="0" w:line="240" w:lineRule="auto"/>
                        <w:rPr>
                          <w:rFonts w:eastAsia="Times New Roman"/>
                          <w:i/>
                          <w:sz w:val="20"/>
                          <w:szCs w:val="20"/>
                        </w:rPr>
                      </w:pPr>
                      <w:r w:rsidRPr="00510023">
                        <w:rPr>
                          <w:rFonts w:eastAsia="Times New Roman"/>
                          <w:i/>
                          <w:sz w:val="20"/>
                          <w:szCs w:val="20"/>
                        </w:rPr>
                        <w:t xml:space="preserve">Under </w:t>
                      </w:r>
                      <w:r>
                        <w:rPr>
                          <w:rFonts w:eastAsia="Times New Roman"/>
                          <w:i/>
                          <w:sz w:val="20"/>
                          <w:szCs w:val="20"/>
                        </w:rPr>
                        <w:t xml:space="preserve">the World Bank’s </w:t>
                      </w:r>
                      <w:r w:rsidRPr="000F164B">
                        <w:rPr>
                          <w:rFonts w:eastAsia="Times New Roman"/>
                          <w:i/>
                          <w:sz w:val="20"/>
                          <w:szCs w:val="20"/>
                        </w:rPr>
                        <w:t>MDTF-Nutrition, A</w:t>
                      </w:r>
                      <w:r w:rsidRPr="00510023">
                        <w:rPr>
                          <w:rFonts w:eastAsia="Times New Roman"/>
                          <w:i/>
                          <w:sz w:val="20"/>
                          <w:szCs w:val="20"/>
                        </w:rPr>
                        <w:t xml:space="preserve">ustralia’s advocacy has led to improved gender equality outcomes for women in Balochistan </w:t>
                      </w:r>
                      <w:r>
                        <w:rPr>
                          <w:rFonts w:eastAsia="Times New Roman"/>
                          <w:i/>
                          <w:sz w:val="20"/>
                          <w:szCs w:val="20"/>
                        </w:rPr>
                        <w:t>P</w:t>
                      </w:r>
                      <w:r w:rsidRPr="00510023">
                        <w:rPr>
                          <w:rFonts w:eastAsia="Times New Roman"/>
                          <w:i/>
                          <w:sz w:val="20"/>
                          <w:szCs w:val="20"/>
                        </w:rPr>
                        <w:t>rovince which borders Iran and Afghanistan. The program has led to a transformative change with an increasing number of women engaged by the Health Department at higher-level positions. Furthermore, contracts with service provider NGOs now include targets of hiring 50</w:t>
                      </w:r>
                      <w:r>
                        <w:rPr>
                          <w:rFonts w:eastAsia="Times New Roman"/>
                          <w:i/>
                          <w:sz w:val="20"/>
                          <w:szCs w:val="20"/>
                        </w:rPr>
                        <w:t xml:space="preserve"> percent</w:t>
                      </w:r>
                      <w:r w:rsidRPr="00510023">
                        <w:rPr>
                          <w:rFonts w:eastAsia="Times New Roman"/>
                          <w:i/>
                          <w:sz w:val="20"/>
                          <w:szCs w:val="20"/>
                        </w:rPr>
                        <w:t xml:space="preserve"> women to deliver services in the community.</w:t>
                      </w:r>
                      <w:r w:rsidRPr="00EC5C06">
                        <w:rPr>
                          <w:rFonts w:eastAsia="Times New Roman"/>
                          <w:i/>
                          <w:sz w:val="20"/>
                          <w:szCs w:val="20"/>
                        </w:rPr>
                        <w:t xml:space="preserve"> </w:t>
                      </w:r>
                      <w:r>
                        <w:rPr>
                          <w:rFonts w:eastAsia="Times New Roman"/>
                          <w:i/>
                          <w:sz w:val="20"/>
                          <w:szCs w:val="20"/>
                        </w:rPr>
                        <w:t>These</w:t>
                      </w:r>
                      <w:r w:rsidRPr="00510023">
                        <w:rPr>
                          <w:rFonts w:eastAsia="Times New Roman"/>
                          <w:i/>
                          <w:sz w:val="20"/>
                          <w:szCs w:val="20"/>
                        </w:rPr>
                        <w:t xml:space="preserve"> result</w:t>
                      </w:r>
                      <w:r>
                        <w:rPr>
                          <w:rFonts w:eastAsia="Times New Roman"/>
                          <w:i/>
                          <w:sz w:val="20"/>
                          <w:szCs w:val="20"/>
                        </w:rPr>
                        <w:t>s, while seemingly modest, are</w:t>
                      </w:r>
                      <w:r w:rsidRPr="00510023">
                        <w:rPr>
                          <w:rFonts w:eastAsia="Times New Roman"/>
                          <w:i/>
                          <w:sz w:val="20"/>
                          <w:szCs w:val="20"/>
                        </w:rPr>
                        <w:t xml:space="preserve"> highly significant in the Balochistan context.</w:t>
                      </w:r>
                    </w:p>
                  </w:txbxContent>
                </v:textbox>
                <w10:wrap type="square" anchorx="margin"/>
              </v:shape>
            </w:pict>
          </mc:Fallback>
        </mc:AlternateContent>
      </w:r>
      <w:r w:rsidR="00595279" w:rsidRPr="00595279">
        <w:rPr>
          <w:rFonts w:eastAsia="Times New Roman"/>
        </w:rPr>
        <w:t>The program has made good progress towards</w:t>
      </w:r>
      <w:r w:rsidR="00595279">
        <w:rPr>
          <w:b/>
        </w:rPr>
        <w:t xml:space="preserve"> </w:t>
      </w:r>
      <w:r w:rsidR="00965AEF" w:rsidRPr="00E03789">
        <w:rPr>
          <w:b/>
          <w:u w:val="single"/>
        </w:rPr>
        <w:t>Outcome 8: Improved integration of gender equality into aid investments</w:t>
      </w:r>
      <w:r w:rsidR="00C203CF">
        <w:rPr>
          <w:b/>
        </w:rPr>
        <w:t xml:space="preserve">. </w:t>
      </w:r>
      <w:r w:rsidR="0090272C" w:rsidRPr="00E03789">
        <w:rPr>
          <w:rFonts w:eastAsia="Times New Roman"/>
          <w:b/>
        </w:rPr>
        <w:t>Performance on gender equality</w:t>
      </w:r>
      <w:r w:rsidR="0090272C" w:rsidRPr="0058515D">
        <w:rPr>
          <w:rFonts w:eastAsia="Times New Roman"/>
          <w:b/>
        </w:rPr>
        <w:t xml:space="preserve"> has gradually improved</w:t>
      </w:r>
      <w:r w:rsidR="0090272C" w:rsidRPr="003B75E4">
        <w:rPr>
          <w:rFonts w:eastAsia="Times New Roman"/>
        </w:rPr>
        <w:t xml:space="preserve"> from a low of 55 per cent </w:t>
      </w:r>
      <w:r w:rsidR="0090272C">
        <w:rPr>
          <w:rFonts w:eastAsia="Times New Roman"/>
        </w:rPr>
        <w:t xml:space="preserve">of initiatives rated as </w:t>
      </w:r>
      <w:r w:rsidR="0090272C" w:rsidRPr="003B75E4">
        <w:rPr>
          <w:rFonts w:eastAsia="Times New Roman"/>
        </w:rPr>
        <w:t>satisfactory two years ago</w:t>
      </w:r>
      <w:r w:rsidR="0090272C">
        <w:rPr>
          <w:rFonts w:eastAsia="Times New Roman"/>
        </w:rPr>
        <w:t xml:space="preserve"> to over 90 percent this year</w:t>
      </w:r>
      <w:r w:rsidR="0090272C" w:rsidRPr="003B75E4">
        <w:rPr>
          <w:rFonts w:eastAsia="Times New Roman"/>
        </w:rPr>
        <w:t xml:space="preserve">. </w:t>
      </w:r>
      <w:r w:rsidR="00B64D35">
        <w:rPr>
          <w:rFonts w:eastAsia="Times New Roman"/>
        </w:rPr>
        <w:t>This is</w:t>
      </w:r>
      <w:r w:rsidR="0090272C" w:rsidRPr="003B75E4">
        <w:rPr>
          <w:rFonts w:eastAsia="Times New Roman"/>
        </w:rPr>
        <w:t xml:space="preserve"> due to strong leadership and increased resourcing over a number of years to improve performance in this area</w:t>
      </w:r>
      <w:r w:rsidR="0090272C">
        <w:rPr>
          <w:rFonts w:eastAsia="Times New Roman"/>
        </w:rPr>
        <w:t>.</w:t>
      </w:r>
      <w:r w:rsidR="0090272C" w:rsidRPr="0090272C">
        <w:rPr>
          <w:rFonts w:eastAsia="Times New Roman"/>
        </w:rPr>
        <w:t xml:space="preserve"> </w:t>
      </w:r>
      <w:r w:rsidR="0090272C" w:rsidRPr="00510023">
        <w:rPr>
          <w:rFonts w:eastAsia="Times New Roman"/>
        </w:rPr>
        <w:t>An internal review</w:t>
      </w:r>
      <w:r w:rsidR="0090272C">
        <w:t xml:space="preserve"> of Post’s Gender Strategy in 2017 commended Post’s progress, including its </w:t>
      </w:r>
      <w:r w:rsidR="0090272C" w:rsidRPr="00E03789">
        <w:t>whole-of-Post</w:t>
      </w:r>
      <w:r w:rsidR="0090272C">
        <w:rPr>
          <w:color w:val="1F497D"/>
        </w:rPr>
        <w:t xml:space="preserve"> </w:t>
      </w:r>
      <w:r w:rsidR="0090272C">
        <w:t>approach to gender equality.</w:t>
      </w:r>
      <w:r w:rsidR="00525E9D">
        <w:rPr>
          <w:rFonts w:eastAsia="Times New Roman"/>
        </w:rPr>
        <w:t xml:space="preserve"> </w:t>
      </w:r>
      <w:r w:rsidR="00D27051" w:rsidRPr="003B75E4">
        <w:rPr>
          <w:rFonts w:eastAsia="Times New Roman"/>
        </w:rPr>
        <w:t xml:space="preserve">Only one investment received an unsatisfactory rating for gender equality this year and the program has now </w:t>
      </w:r>
      <w:r w:rsidR="00595279">
        <w:rPr>
          <w:rFonts w:eastAsia="Times New Roman"/>
        </w:rPr>
        <w:t>exceeded</w:t>
      </w:r>
      <w:r w:rsidR="00D27051" w:rsidRPr="003B75E4">
        <w:rPr>
          <w:rFonts w:eastAsia="Times New Roman"/>
        </w:rPr>
        <w:t xml:space="preserve"> the 80</w:t>
      </w:r>
      <w:r w:rsidR="00732567">
        <w:rPr>
          <w:rFonts w:eastAsia="Times New Roman"/>
        </w:rPr>
        <w:t xml:space="preserve"> percent</w:t>
      </w:r>
      <w:r w:rsidR="00D27051" w:rsidRPr="003B75E4">
        <w:rPr>
          <w:rFonts w:eastAsia="Times New Roman"/>
        </w:rPr>
        <w:t xml:space="preserve"> target. </w:t>
      </w:r>
      <w:r w:rsidR="0090272C">
        <w:rPr>
          <w:rFonts w:eastAsia="Times New Roman"/>
        </w:rPr>
        <w:t>The new AIP will see an ongoing</w:t>
      </w:r>
      <w:r w:rsidR="004246E7" w:rsidRPr="003B75E4">
        <w:rPr>
          <w:rFonts w:eastAsia="Times New Roman"/>
        </w:rPr>
        <w:t xml:space="preserve"> focus on gender </w:t>
      </w:r>
      <w:r w:rsidR="002B55E8">
        <w:rPr>
          <w:rFonts w:eastAsia="Times New Roman"/>
        </w:rPr>
        <w:t xml:space="preserve">equality </w:t>
      </w:r>
      <w:r>
        <w:rPr>
          <w:rFonts w:eastAsia="Times New Roman"/>
        </w:rPr>
        <w:t xml:space="preserve">and women’s empowerment </w:t>
      </w:r>
      <w:r w:rsidR="004246E7" w:rsidRPr="003B75E4">
        <w:rPr>
          <w:rFonts w:eastAsia="Times New Roman"/>
        </w:rPr>
        <w:t>outcomes.</w:t>
      </w:r>
      <w:r w:rsidR="004246E7">
        <w:rPr>
          <w:rFonts w:eastAsia="Times New Roman"/>
        </w:rPr>
        <w:t xml:space="preserve"> </w:t>
      </w:r>
    </w:p>
    <w:p w:rsidR="00D27051" w:rsidRDefault="00D27051" w:rsidP="00A46AAE">
      <w:pPr>
        <w:spacing w:line="240" w:lineRule="auto"/>
        <w:rPr>
          <w:rFonts w:eastAsia="Times New Roman"/>
        </w:rPr>
      </w:pPr>
      <w:r w:rsidRPr="003B75E4">
        <w:rPr>
          <w:rFonts w:eastAsia="Times New Roman"/>
        </w:rPr>
        <w:t>World Bank investments continue to present a challenge in term</w:t>
      </w:r>
      <w:r w:rsidR="00595279">
        <w:rPr>
          <w:rFonts w:eastAsia="Times New Roman"/>
        </w:rPr>
        <w:t xml:space="preserve">s of gender equality outcomes. </w:t>
      </w:r>
      <w:r w:rsidRPr="003B75E4">
        <w:rPr>
          <w:rFonts w:eastAsia="Times New Roman"/>
        </w:rPr>
        <w:t xml:space="preserve">The Pakistan program is working closely with other parts of the department to </w:t>
      </w:r>
      <w:r w:rsidR="00E12FBA">
        <w:rPr>
          <w:rFonts w:eastAsia="Times New Roman"/>
        </w:rPr>
        <w:t>refine our</w:t>
      </w:r>
      <w:r w:rsidRPr="00E03789">
        <w:rPr>
          <w:rFonts w:eastAsia="Times New Roman"/>
          <w:b/>
        </w:rPr>
        <w:t xml:space="preserve"> approach to working with the World Bank on gender equality</w:t>
      </w:r>
      <w:r w:rsidRPr="003B75E4">
        <w:rPr>
          <w:rFonts w:eastAsia="Times New Roman"/>
        </w:rPr>
        <w:t>, drawing on the findings of a paper commissioned last reporting period and updated in June 2018. This is an iterative process that is starting to see changes in the way we work with the World Bank in Pakistan (and Afghanistan) for better gender</w:t>
      </w:r>
      <w:r w:rsidR="00E12FBA">
        <w:rPr>
          <w:rFonts w:eastAsia="Times New Roman"/>
        </w:rPr>
        <w:t xml:space="preserve"> equality</w:t>
      </w:r>
      <w:r w:rsidRPr="003B75E4">
        <w:rPr>
          <w:rFonts w:eastAsia="Times New Roman"/>
        </w:rPr>
        <w:t xml:space="preserve"> as well as M&amp;E outcomes. </w:t>
      </w:r>
    </w:p>
    <w:p w:rsidR="00510023" w:rsidRDefault="000C592C" w:rsidP="00A46AAE">
      <w:pPr>
        <w:spacing w:line="240" w:lineRule="auto"/>
        <w:rPr>
          <w:rFonts w:eastAsia="Times New Roman"/>
        </w:rPr>
      </w:pPr>
      <w:r w:rsidRPr="007D28BE">
        <w:rPr>
          <w:rFonts w:eastAsia="Times New Roman"/>
        </w:rPr>
        <w:t xml:space="preserve">Australia </w:t>
      </w:r>
      <w:r w:rsidR="00A05A11" w:rsidRPr="007D28BE">
        <w:rPr>
          <w:rFonts w:eastAsia="Times New Roman"/>
        </w:rPr>
        <w:t>also</w:t>
      </w:r>
      <w:r w:rsidRPr="007D28BE">
        <w:rPr>
          <w:rFonts w:eastAsia="Times New Roman"/>
        </w:rPr>
        <w:t xml:space="preserve"> </w:t>
      </w:r>
      <w:r w:rsidR="00510023">
        <w:rPr>
          <w:rFonts w:eastAsia="Times New Roman"/>
        </w:rPr>
        <w:t>contributed to gender equality outcomes t</w:t>
      </w:r>
      <w:r w:rsidRPr="007D28BE">
        <w:rPr>
          <w:rFonts w:eastAsia="Times New Roman"/>
        </w:rPr>
        <w:t xml:space="preserve">hrough </w:t>
      </w:r>
      <w:r w:rsidRPr="00E03789">
        <w:rPr>
          <w:rFonts w:eastAsia="Times New Roman"/>
          <w:b/>
        </w:rPr>
        <w:t>centrally funded programs such as the Australian NGO Cooperation Program (ANCP)</w:t>
      </w:r>
      <w:r w:rsidR="00510023">
        <w:rPr>
          <w:rFonts w:eastAsia="Times New Roman"/>
        </w:rPr>
        <w:t>.</w:t>
      </w:r>
      <w:r w:rsidR="00A05A11" w:rsidRPr="007D28BE">
        <w:rPr>
          <w:rFonts w:eastAsia="Times New Roman"/>
        </w:rPr>
        <w:t xml:space="preserve"> </w:t>
      </w:r>
      <w:r w:rsidRPr="007D28BE">
        <w:rPr>
          <w:rFonts w:eastAsia="Times New Roman"/>
        </w:rPr>
        <w:t xml:space="preserve">Oxfam’s </w:t>
      </w:r>
      <w:r w:rsidRPr="00EC5C06">
        <w:rPr>
          <w:rFonts w:eastAsia="Times New Roman"/>
          <w:i/>
        </w:rPr>
        <w:t xml:space="preserve">She Can Lead </w:t>
      </w:r>
      <w:r w:rsidR="00A21834">
        <w:rPr>
          <w:rFonts w:eastAsia="Times New Roman"/>
          <w:i/>
        </w:rPr>
        <w:t>P</w:t>
      </w:r>
      <w:r w:rsidRPr="00EC5C06">
        <w:rPr>
          <w:rFonts w:eastAsia="Times New Roman"/>
          <w:i/>
        </w:rPr>
        <w:t>roject</w:t>
      </w:r>
      <w:r w:rsidRPr="007D28BE">
        <w:rPr>
          <w:rFonts w:eastAsia="Times New Roman"/>
        </w:rPr>
        <w:t xml:space="preserve"> (2017-2020) aims to strengthen democracy in Pakistan, </w:t>
      </w:r>
      <w:r w:rsidR="00A05A11" w:rsidRPr="007D28BE">
        <w:rPr>
          <w:rFonts w:eastAsia="Times New Roman"/>
        </w:rPr>
        <w:t xml:space="preserve">by </w:t>
      </w:r>
      <w:r w:rsidRPr="007D28BE">
        <w:rPr>
          <w:rFonts w:eastAsia="Times New Roman"/>
        </w:rPr>
        <w:t>focusing on gender respon</w:t>
      </w:r>
      <w:r w:rsidR="00EC5C06">
        <w:rPr>
          <w:rFonts w:eastAsia="Times New Roman"/>
        </w:rPr>
        <w:t>siveness in electoral processes,</w:t>
      </w:r>
      <w:r w:rsidRPr="007D28BE">
        <w:rPr>
          <w:rFonts w:eastAsia="Times New Roman"/>
        </w:rPr>
        <w:t xml:space="preserve"> promoting women’s politi</w:t>
      </w:r>
      <w:r w:rsidR="00EC5C06">
        <w:rPr>
          <w:rFonts w:eastAsia="Times New Roman"/>
        </w:rPr>
        <w:t>cal emancipation and leadership,</w:t>
      </w:r>
      <w:r w:rsidRPr="007D28BE">
        <w:rPr>
          <w:rFonts w:eastAsia="Times New Roman"/>
        </w:rPr>
        <w:t xml:space="preserve"> and ensuring their equal participation in decision-making, utilising established Women Leaders Groups. </w:t>
      </w:r>
      <w:r w:rsidR="00510023">
        <w:rPr>
          <w:rFonts w:eastAsia="Times New Roman"/>
        </w:rPr>
        <w:t xml:space="preserve">In the lead up to the general election, </w:t>
      </w:r>
      <w:r w:rsidRPr="007D28BE">
        <w:rPr>
          <w:rFonts w:eastAsia="Times New Roman"/>
        </w:rPr>
        <w:t>Oxfam launched a ‘Rickshaw’ campaign, which displayed messages calling for women’s meaningful partici</w:t>
      </w:r>
      <w:r w:rsidR="00510023">
        <w:rPr>
          <w:rFonts w:eastAsia="Times New Roman"/>
        </w:rPr>
        <w:t>pation in the general elections</w:t>
      </w:r>
      <w:r w:rsidRPr="007D28BE">
        <w:rPr>
          <w:rFonts w:eastAsia="Times New Roman"/>
        </w:rPr>
        <w:t>.</w:t>
      </w:r>
    </w:p>
    <w:p w:rsidR="00920E91" w:rsidRDefault="00EC5C06" w:rsidP="00A46AAE">
      <w:pPr>
        <w:spacing w:line="240" w:lineRule="auto"/>
        <w:rPr>
          <w:rFonts w:eastAsia="Times New Roman"/>
        </w:rPr>
      </w:pPr>
      <w:r w:rsidRPr="00EC5C06">
        <w:t xml:space="preserve">Under </w:t>
      </w:r>
      <w:r w:rsidR="00965AEF" w:rsidRPr="00E03789">
        <w:rPr>
          <w:b/>
          <w:u w:val="single"/>
        </w:rPr>
        <w:t>Outcome 9: Improved integration of disability in Australian aid investments</w:t>
      </w:r>
      <w:r>
        <w:rPr>
          <w:b/>
        </w:rPr>
        <w:t xml:space="preserve">, </w:t>
      </w:r>
      <w:r w:rsidRPr="00EC5C06">
        <w:t>l</w:t>
      </w:r>
      <w:r w:rsidR="00E56E64" w:rsidRPr="0086753B">
        <w:t xml:space="preserve">ast year’s management response focussed efforts on education and EVAW programs. </w:t>
      </w:r>
      <w:r w:rsidR="0086753B" w:rsidRPr="0086753B">
        <w:t xml:space="preserve">Significant gains have been made in these sectors. For example, </w:t>
      </w:r>
      <w:r w:rsidR="00E56E64" w:rsidRPr="0086753B">
        <w:t xml:space="preserve">Washington Group </w:t>
      </w:r>
      <w:r w:rsidR="00E56E64" w:rsidRPr="00A97153">
        <w:rPr>
          <w:b/>
        </w:rPr>
        <w:t>questions on disability</w:t>
      </w:r>
      <w:r w:rsidR="0086753B" w:rsidRPr="00A97153">
        <w:rPr>
          <w:b/>
        </w:rPr>
        <w:t xml:space="preserve"> have now been included in </w:t>
      </w:r>
      <w:r w:rsidR="00E56E64" w:rsidRPr="00A97153">
        <w:rPr>
          <w:b/>
        </w:rPr>
        <w:t>the Annual School Census</w:t>
      </w:r>
      <w:r w:rsidR="005C7366">
        <w:t xml:space="preserve"> (ASC)</w:t>
      </w:r>
      <w:r w:rsidR="00E56E64" w:rsidRPr="0086753B">
        <w:t xml:space="preserve"> undertaken by the KP Government</w:t>
      </w:r>
      <w:r w:rsidR="0086753B" w:rsidRPr="0086753B">
        <w:t xml:space="preserve"> under KESP</w:t>
      </w:r>
      <w:r w:rsidR="00E56E64" w:rsidRPr="0086753B">
        <w:t>.</w:t>
      </w:r>
      <w:r w:rsidR="00D902E0" w:rsidRPr="0086753B">
        <w:t xml:space="preserve"> </w:t>
      </w:r>
      <w:r w:rsidR="00E4738E" w:rsidRPr="009278F3">
        <w:rPr>
          <w:rFonts w:eastAsia="Times New Roman"/>
        </w:rPr>
        <w:t>The ASC found more than 37,000 children with disability in schools (including 33 per cent girls). Results will be used to inform the future programming on disability.</w:t>
      </w:r>
      <w:r w:rsidR="00E4738E">
        <w:rPr>
          <w:rFonts w:eastAsia="Times New Roman"/>
        </w:rPr>
        <w:t xml:space="preserve"> </w:t>
      </w:r>
      <w:r w:rsidR="00E4738E" w:rsidRPr="009278F3">
        <w:rPr>
          <w:rFonts w:eastAsia="Times New Roman"/>
        </w:rPr>
        <w:t xml:space="preserve">The teacher’s induction </w:t>
      </w:r>
      <w:r w:rsidR="00E4738E" w:rsidRPr="00EC5C06">
        <w:t>program now includes</w:t>
      </w:r>
      <w:r w:rsidR="00E4738E" w:rsidRPr="009278F3">
        <w:rPr>
          <w:rFonts w:eastAsia="Times New Roman"/>
        </w:rPr>
        <w:t xml:space="preserve"> modules on pluralism, ge</w:t>
      </w:r>
      <w:r w:rsidR="00E4738E">
        <w:rPr>
          <w:rFonts w:eastAsia="Times New Roman"/>
        </w:rPr>
        <w:t xml:space="preserve">nder, dyslexia and disability. </w:t>
      </w:r>
    </w:p>
    <w:p w:rsidR="00E4738E" w:rsidRPr="00EC5C06" w:rsidRDefault="0086753B" w:rsidP="00A46AAE">
      <w:pPr>
        <w:spacing w:line="240" w:lineRule="auto"/>
        <w:rPr>
          <w:b/>
        </w:rPr>
      </w:pPr>
      <w:r w:rsidRPr="0086753B">
        <w:t>Under the extension phase of EVAW, the program</w:t>
      </w:r>
      <w:r w:rsidR="00D902E0" w:rsidRPr="0086753B">
        <w:t xml:space="preserve"> </w:t>
      </w:r>
      <w:r w:rsidRPr="0086753B">
        <w:t>has strengthened engagement with D</w:t>
      </w:r>
      <w:r w:rsidR="00E4738E">
        <w:t xml:space="preserve">isabled People’s Organisations (DPOs) and </w:t>
      </w:r>
      <w:r w:rsidR="00D902E0" w:rsidRPr="0086753B">
        <w:t xml:space="preserve">is engaging </w:t>
      </w:r>
      <w:r w:rsidR="00510023">
        <w:t xml:space="preserve">a </w:t>
      </w:r>
      <w:r w:rsidR="00E4738E">
        <w:t>DPO</w:t>
      </w:r>
      <w:r w:rsidRPr="0086753B">
        <w:t xml:space="preserve"> as a full time partner – </w:t>
      </w:r>
      <w:r w:rsidR="00510023">
        <w:t xml:space="preserve">the </w:t>
      </w:r>
      <w:r w:rsidRPr="0086753B">
        <w:t xml:space="preserve">next APPR will report on the impact of that partnership. The </w:t>
      </w:r>
      <w:r w:rsidR="00D902E0" w:rsidRPr="0086753B">
        <w:t xml:space="preserve">KP Bar Association </w:t>
      </w:r>
      <w:r w:rsidRPr="0086753B">
        <w:t xml:space="preserve">also </w:t>
      </w:r>
      <w:r w:rsidR="00D902E0" w:rsidRPr="0086753B">
        <w:t>introduced accessibility aids</w:t>
      </w:r>
      <w:r w:rsidR="00E4738E">
        <w:t xml:space="preserve"> fo</w:t>
      </w:r>
      <w:r w:rsidR="00EC5C06">
        <w:t xml:space="preserve">r people with disability wanting </w:t>
      </w:r>
      <w:r w:rsidR="00E4738E">
        <w:t xml:space="preserve">to access </w:t>
      </w:r>
      <w:r w:rsidR="00EC5C06">
        <w:t>legal aid</w:t>
      </w:r>
      <w:r w:rsidR="00E4738E">
        <w:t xml:space="preserve"> services. </w:t>
      </w:r>
      <w:r w:rsidR="00643FA1" w:rsidRPr="0086753B">
        <w:t xml:space="preserve"> </w:t>
      </w:r>
    </w:p>
    <w:p w:rsidR="00047C4F" w:rsidRDefault="00E4738E" w:rsidP="00A46AAE">
      <w:pPr>
        <w:spacing w:line="240" w:lineRule="auto"/>
      </w:pPr>
      <w:r>
        <w:rPr>
          <w:rFonts w:eastAsia="Times New Roman"/>
        </w:rPr>
        <w:t>Small steps hav</w:t>
      </w:r>
      <w:r w:rsidR="00CC789F">
        <w:rPr>
          <w:rFonts w:eastAsia="Times New Roman"/>
        </w:rPr>
        <w:t>e also been made in other areas</w:t>
      </w:r>
      <w:r>
        <w:rPr>
          <w:rFonts w:eastAsia="Times New Roman"/>
        </w:rPr>
        <w:t>. For example, MDTF-Nutrition now collects</w:t>
      </w:r>
      <w:r w:rsidR="00D27051" w:rsidRPr="009278F3">
        <w:rPr>
          <w:rFonts w:eastAsia="Times New Roman"/>
        </w:rPr>
        <w:t xml:space="preserve"> </w:t>
      </w:r>
      <w:r>
        <w:rPr>
          <w:rFonts w:eastAsia="Times New Roman"/>
        </w:rPr>
        <w:t xml:space="preserve">disability disaggregated data. MDF has a disability focal point and the results measurement system is now capturing data on people with disabilities. Under the Direct Aid </w:t>
      </w:r>
      <w:r w:rsidR="00047C4F">
        <w:rPr>
          <w:rFonts w:eastAsia="Times New Roman"/>
        </w:rPr>
        <w:t>Program</w:t>
      </w:r>
      <w:r>
        <w:rPr>
          <w:rFonts w:eastAsia="Times New Roman"/>
        </w:rPr>
        <w:t>, we have funded Livelihood Centre for Disability and Development Program</w:t>
      </w:r>
      <w:r w:rsidR="005F68A7">
        <w:rPr>
          <w:rFonts w:eastAsia="Times New Roman"/>
        </w:rPr>
        <w:t xml:space="preserve"> </w:t>
      </w:r>
      <w:r>
        <w:rPr>
          <w:rFonts w:eastAsia="Times New Roman"/>
        </w:rPr>
        <w:t>to undertake skills development programs for persons with disability.</w:t>
      </w:r>
      <w:r w:rsidRPr="00E4738E">
        <w:t xml:space="preserve"> </w:t>
      </w:r>
    </w:p>
    <w:p w:rsidR="00E4738E" w:rsidRDefault="00E4738E" w:rsidP="00A46AAE">
      <w:pPr>
        <w:spacing w:line="240" w:lineRule="auto"/>
      </w:pPr>
      <w:r w:rsidRPr="0086753B">
        <w:t>However, the program has not met i</w:t>
      </w:r>
      <w:r w:rsidR="00047C4F">
        <w:t>t</w:t>
      </w:r>
      <w:r w:rsidRPr="0086753B">
        <w:t>s broader</w:t>
      </w:r>
      <w:r w:rsidR="00CC789F">
        <w:t xml:space="preserve"> (aspirational)</w:t>
      </w:r>
      <w:r w:rsidRPr="0086753B">
        <w:t xml:space="preserve"> target of 50</w:t>
      </w:r>
      <w:r w:rsidR="00732567">
        <w:t xml:space="preserve"> percent</w:t>
      </w:r>
      <w:r w:rsidRPr="0086753B">
        <w:t xml:space="preserve"> of investments receiving satisfactory assessments</w:t>
      </w:r>
      <w:r w:rsidR="00E16CD9">
        <w:t xml:space="preserve"> for disability inclusiveness</w:t>
      </w:r>
      <w:r w:rsidR="00C203CF">
        <w:t xml:space="preserve"> in this year</w:t>
      </w:r>
      <w:r w:rsidR="00EC5C06">
        <w:t>’s AQCs. Only 30</w:t>
      </w:r>
      <w:r w:rsidR="00732567">
        <w:t xml:space="preserve"> percent</w:t>
      </w:r>
      <w:r w:rsidR="00C203CF">
        <w:t xml:space="preserve"> </w:t>
      </w:r>
      <w:r w:rsidRPr="0086753B">
        <w:t>of investments were assessed as sat</w:t>
      </w:r>
      <w:r>
        <w:t>isfactory</w:t>
      </w:r>
      <w:r w:rsidR="00F9434D">
        <w:t xml:space="preserve">, although KESP and EVAW continued to score </w:t>
      </w:r>
      <w:r w:rsidR="009B1EFD">
        <w:t>satisfactorily</w:t>
      </w:r>
      <w:r>
        <w:t xml:space="preserve">. </w:t>
      </w:r>
      <w:r w:rsidR="00AD20BB">
        <w:t xml:space="preserve">Under the new AIP, the </w:t>
      </w:r>
      <w:r w:rsidR="00AD20BB" w:rsidRPr="00A97153">
        <w:rPr>
          <w:b/>
        </w:rPr>
        <w:t>program will promote incremental improvements in disability inclusive development</w:t>
      </w:r>
      <w:r w:rsidR="00AD20BB">
        <w:t xml:space="preserve">, including through </w:t>
      </w:r>
      <w:r w:rsidR="00CC789F">
        <w:t xml:space="preserve">increased </w:t>
      </w:r>
      <w:r w:rsidR="00AD20BB">
        <w:t>engagement with DPOs.</w:t>
      </w:r>
    </w:p>
    <w:p w:rsidR="007B4725" w:rsidRDefault="00EC5C06" w:rsidP="00A46AAE">
      <w:pPr>
        <w:spacing w:line="240" w:lineRule="auto"/>
        <w:rPr>
          <w:rFonts w:eastAsia="Times New Roman"/>
        </w:rPr>
      </w:pPr>
      <w:r w:rsidRPr="00EC5C06">
        <w:rPr>
          <w:rFonts w:eastAsia="Times New Roman"/>
        </w:rPr>
        <w:t>Under</w:t>
      </w:r>
      <w:r>
        <w:rPr>
          <w:b/>
        </w:rPr>
        <w:t xml:space="preserve"> </w:t>
      </w:r>
      <w:r w:rsidR="00965AEF" w:rsidRPr="00E03789">
        <w:rPr>
          <w:b/>
          <w:u w:val="single"/>
        </w:rPr>
        <w:t xml:space="preserve">Outcome 10: </w:t>
      </w:r>
      <w:r w:rsidR="00E16CD9">
        <w:rPr>
          <w:b/>
          <w:u w:val="single"/>
        </w:rPr>
        <w:t>Australia’s a</w:t>
      </w:r>
      <w:r w:rsidR="00965AEF" w:rsidRPr="00E03789">
        <w:rPr>
          <w:b/>
          <w:u w:val="single"/>
        </w:rPr>
        <w:t xml:space="preserve">id </w:t>
      </w:r>
      <w:r w:rsidR="00E16CD9">
        <w:rPr>
          <w:b/>
          <w:u w:val="single"/>
        </w:rPr>
        <w:t>p</w:t>
      </w:r>
      <w:r w:rsidR="00965AEF" w:rsidRPr="00E03789">
        <w:rPr>
          <w:b/>
          <w:u w:val="single"/>
        </w:rPr>
        <w:t xml:space="preserve">rogram </w:t>
      </w:r>
      <w:r w:rsidR="00E16CD9">
        <w:rPr>
          <w:b/>
          <w:u w:val="single"/>
        </w:rPr>
        <w:t xml:space="preserve">in Pakistan </w:t>
      </w:r>
      <w:r w:rsidR="00965AEF" w:rsidRPr="00E03789">
        <w:rPr>
          <w:b/>
          <w:u w:val="single"/>
        </w:rPr>
        <w:t>is more consolidated over time</w:t>
      </w:r>
      <w:r>
        <w:rPr>
          <w:b/>
        </w:rPr>
        <w:t xml:space="preserve">, </w:t>
      </w:r>
      <w:r w:rsidRPr="00EF408A">
        <w:rPr>
          <w:rFonts w:eastAsia="Times New Roman"/>
        </w:rPr>
        <w:t>t</w:t>
      </w:r>
      <w:r w:rsidR="00507CC1" w:rsidRPr="003B75E4">
        <w:rPr>
          <w:rFonts w:eastAsia="Times New Roman"/>
        </w:rPr>
        <w:t>he November 2017 internal health check emphasised the need for consolidation</w:t>
      </w:r>
      <w:r w:rsidR="00507CC1">
        <w:rPr>
          <w:rFonts w:eastAsia="Times New Roman"/>
        </w:rPr>
        <w:t xml:space="preserve"> and greater refinement of policy priorities</w:t>
      </w:r>
      <w:r w:rsidR="00507CC1" w:rsidRPr="003B75E4">
        <w:rPr>
          <w:rFonts w:eastAsia="Times New Roman"/>
        </w:rPr>
        <w:t xml:space="preserve">. </w:t>
      </w:r>
      <w:r w:rsidR="00E16CD9">
        <w:rPr>
          <w:rFonts w:eastAsia="Times New Roman"/>
        </w:rPr>
        <w:t>T</w:t>
      </w:r>
      <w:r w:rsidR="00E4738E">
        <w:rPr>
          <w:rFonts w:eastAsia="Times New Roman"/>
        </w:rPr>
        <w:t xml:space="preserve">he new AIP </w:t>
      </w:r>
      <w:r w:rsidR="00507CC1" w:rsidRPr="003B75E4">
        <w:rPr>
          <w:rFonts w:eastAsia="Times New Roman"/>
        </w:rPr>
        <w:t xml:space="preserve">will outline a process to consolidate </w:t>
      </w:r>
      <w:r w:rsidR="00E4738E">
        <w:rPr>
          <w:rFonts w:eastAsia="Times New Roman"/>
        </w:rPr>
        <w:t xml:space="preserve">significantly </w:t>
      </w:r>
      <w:r w:rsidR="00507CC1" w:rsidRPr="003B75E4">
        <w:rPr>
          <w:rFonts w:eastAsia="Times New Roman"/>
        </w:rPr>
        <w:t xml:space="preserve">by </w:t>
      </w:r>
      <w:r w:rsidR="00E4738E">
        <w:rPr>
          <w:rFonts w:eastAsia="Times New Roman"/>
        </w:rPr>
        <w:t>2021</w:t>
      </w:r>
      <w:r w:rsidR="00507CC1" w:rsidRPr="003B75E4">
        <w:rPr>
          <w:rFonts w:eastAsia="Times New Roman"/>
        </w:rPr>
        <w:t xml:space="preserve">, with several programs </w:t>
      </w:r>
      <w:r w:rsidR="004246E7" w:rsidRPr="003B75E4">
        <w:rPr>
          <w:rFonts w:eastAsia="Times New Roman"/>
        </w:rPr>
        <w:t>phased</w:t>
      </w:r>
      <w:r w:rsidR="004246E7">
        <w:rPr>
          <w:rFonts w:eastAsia="Times New Roman"/>
        </w:rPr>
        <w:t>-</w:t>
      </w:r>
      <w:r w:rsidR="00507CC1" w:rsidRPr="003B75E4">
        <w:rPr>
          <w:rFonts w:eastAsia="Times New Roman"/>
        </w:rPr>
        <w:t xml:space="preserve">out over the next two years. The 2018 </w:t>
      </w:r>
      <w:r w:rsidR="008B39AD">
        <w:rPr>
          <w:rFonts w:eastAsia="Times New Roman"/>
        </w:rPr>
        <w:t xml:space="preserve">investment </w:t>
      </w:r>
      <w:r w:rsidR="00FD459D">
        <w:rPr>
          <w:rFonts w:eastAsia="Times New Roman"/>
        </w:rPr>
        <w:t xml:space="preserve">quality </w:t>
      </w:r>
      <w:r w:rsidR="009C7DC8" w:rsidRPr="003B75E4">
        <w:rPr>
          <w:rFonts w:eastAsia="Times New Roman"/>
        </w:rPr>
        <w:t xml:space="preserve">reporting </w:t>
      </w:r>
      <w:r w:rsidR="00507CC1" w:rsidRPr="003B75E4">
        <w:rPr>
          <w:rFonts w:eastAsia="Times New Roman"/>
        </w:rPr>
        <w:t>process will inform decisions around consolidation of investments under the new AIP such that we have a smaller portfolio of high quality programs</w:t>
      </w:r>
      <w:r w:rsidR="00E16CD9">
        <w:rPr>
          <w:rFonts w:eastAsia="Times New Roman"/>
        </w:rPr>
        <w:t xml:space="preserve"> by 2020</w:t>
      </w:r>
      <w:r w:rsidR="0027696A">
        <w:rPr>
          <w:rFonts w:eastAsia="Times New Roman"/>
        </w:rPr>
        <w:t>/21</w:t>
      </w:r>
      <w:r w:rsidR="00507CC1" w:rsidRPr="003B75E4">
        <w:rPr>
          <w:rFonts w:eastAsia="Times New Roman"/>
        </w:rPr>
        <w:t>.</w:t>
      </w:r>
    </w:p>
    <w:p w:rsidR="0041172E" w:rsidRPr="00EC5C06" w:rsidRDefault="00507CC1" w:rsidP="0086753B">
      <w:pPr>
        <w:rPr>
          <w:b/>
        </w:rPr>
      </w:pPr>
      <w:r w:rsidRPr="003B75E4">
        <w:rPr>
          <w:rFonts w:eastAsia="Times New Roman"/>
        </w:rPr>
        <w:t xml:space="preserve"> </w:t>
      </w:r>
    </w:p>
    <w:p w:rsidR="002A51CA" w:rsidRDefault="002A51CA" w:rsidP="007B4725">
      <w:pPr>
        <w:pStyle w:val="Heading2"/>
        <w:spacing w:before="0" w:after="0"/>
      </w:pPr>
      <w:r w:rsidRPr="007B4725">
        <w:rPr>
          <w:b/>
          <w:szCs w:val="38"/>
        </w:rPr>
        <w:t>Mutual obligations</w:t>
      </w:r>
    </w:p>
    <w:p w:rsidR="00223E1E" w:rsidRDefault="009278F3" w:rsidP="00A46AAE">
      <w:pPr>
        <w:spacing w:line="240" w:lineRule="auto"/>
        <w:rPr>
          <w:rFonts w:eastAsia="Times New Roman"/>
        </w:rPr>
      </w:pPr>
      <w:r>
        <w:rPr>
          <w:rFonts w:eastAsia="Times New Roman"/>
        </w:rPr>
        <w:t xml:space="preserve">Australia’s aid program in Pakistan </w:t>
      </w:r>
      <w:r w:rsidR="00223E1E" w:rsidRPr="00E03789">
        <w:rPr>
          <w:rFonts w:eastAsia="Times New Roman"/>
        </w:rPr>
        <w:t xml:space="preserve">supports Australia’s </w:t>
      </w:r>
      <w:r w:rsidR="00E16CD9">
        <w:rPr>
          <w:rFonts w:eastAsia="Times New Roman"/>
        </w:rPr>
        <w:t xml:space="preserve">national </w:t>
      </w:r>
      <w:r w:rsidR="000C2943" w:rsidRPr="00E03789">
        <w:rPr>
          <w:rFonts w:eastAsia="Times New Roman"/>
        </w:rPr>
        <w:t>interest</w:t>
      </w:r>
      <w:r w:rsidR="004246E7" w:rsidRPr="00E03789">
        <w:rPr>
          <w:rFonts w:eastAsia="Times New Roman"/>
        </w:rPr>
        <w:t>s</w:t>
      </w:r>
      <w:r w:rsidR="000C2943" w:rsidRPr="00E03789">
        <w:rPr>
          <w:rFonts w:eastAsia="Times New Roman"/>
        </w:rPr>
        <w:t xml:space="preserve"> outlined in the </w:t>
      </w:r>
      <w:r w:rsidR="00223E1E" w:rsidRPr="00E03789">
        <w:rPr>
          <w:rFonts w:eastAsia="Times New Roman"/>
        </w:rPr>
        <w:t>Foreign Policy White Paper</w:t>
      </w:r>
      <w:r w:rsidR="001200EA" w:rsidRPr="00E03789">
        <w:rPr>
          <w:rFonts w:eastAsia="Times New Roman"/>
        </w:rPr>
        <w:t xml:space="preserve">, the Sustainable Development Goals and </w:t>
      </w:r>
      <w:r w:rsidRPr="00E03789">
        <w:rPr>
          <w:rFonts w:eastAsia="Times New Roman"/>
        </w:rPr>
        <w:t>Pakistan</w:t>
      </w:r>
      <w:r w:rsidR="00223E1E" w:rsidRPr="00E03789">
        <w:rPr>
          <w:rFonts w:eastAsia="Times New Roman"/>
        </w:rPr>
        <w:t xml:space="preserve">’s </w:t>
      </w:r>
      <w:r w:rsidRPr="00E03789">
        <w:rPr>
          <w:rFonts w:eastAsia="Times New Roman"/>
        </w:rPr>
        <w:t xml:space="preserve">Vision 2025 </w:t>
      </w:r>
      <w:r w:rsidR="00223E1E" w:rsidRPr="00E03789">
        <w:rPr>
          <w:rFonts w:eastAsia="Times New Roman"/>
        </w:rPr>
        <w:t xml:space="preserve">development </w:t>
      </w:r>
      <w:r w:rsidRPr="00E03789">
        <w:rPr>
          <w:rFonts w:eastAsia="Times New Roman"/>
        </w:rPr>
        <w:t>agenda.</w:t>
      </w:r>
      <w:r w:rsidR="0030471E">
        <w:t xml:space="preserve"> Implementation is guided by the principles for cooperation outlined in the </w:t>
      </w:r>
      <w:r w:rsidR="0030471E" w:rsidRPr="00E03789">
        <w:rPr>
          <w:b/>
        </w:rPr>
        <w:t>Australia and Pakistan Aid Partnership A</w:t>
      </w:r>
      <w:r w:rsidR="00C203CF" w:rsidRPr="00E03789">
        <w:rPr>
          <w:b/>
        </w:rPr>
        <w:t>rrangement</w:t>
      </w:r>
      <w:r w:rsidR="0030471E">
        <w:t xml:space="preserve"> </w:t>
      </w:r>
      <w:r w:rsidR="00B515B8">
        <w:t xml:space="preserve">(2016-2025) </w:t>
      </w:r>
      <w:r w:rsidR="000C2943">
        <w:t xml:space="preserve">that was </w:t>
      </w:r>
      <w:r w:rsidR="0030471E">
        <w:t>renewed in December 2016</w:t>
      </w:r>
      <w:r w:rsidR="0030471E">
        <w:rPr>
          <w:rFonts w:eastAsia="Times New Roman"/>
        </w:rPr>
        <w:t xml:space="preserve">. </w:t>
      </w:r>
      <w:r w:rsidR="0030471E">
        <w:t>The new AIP will</w:t>
      </w:r>
      <w:r w:rsidR="00CC789F">
        <w:t xml:space="preserve"> also</w:t>
      </w:r>
      <w:r w:rsidR="0030471E">
        <w:t xml:space="preserve"> sit under this arrangement and will align with the Pakistan election cycle. It will </w:t>
      </w:r>
      <w:r w:rsidR="000C2943">
        <w:t xml:space="preserve">support </w:t>
      </w:r>
      <w:r w:rsidR="0030471E">
        <w:t xml:space="preserve">the </w:t>
      </w:r>
      <w:r w:rsidR="000C2943">
        <w:t xml:space="preserve">new </w:t>
      </w:r>
      <w:r w:rsidR="0030471E">
        <w:t xml:space="preserve">Government’s </w:t>
      </w:r>
      <w:r w:rsidR="00154E7F" w:rsidRPr="00A92BF6">
        <w:t>anticipated</w:t>
      </w:r>
      <w:r w:rsidR="00154E7F">
        <w:t xml:space="preserve"> </w:t>
      </w:r>
      <w:r w:rsidR="0030471E">
        <w:t>policy priorities</w:t>
      </w:r>
      <w:r w:rsidR="00E16CD9">
        <w:t xml:space="preserve"> for</w:t>
      </w:r>
      <w:r w:rsidR="007D28BE">
        <w:t xml:space="preserve"> water </w:t>
      </w:r>
      <w:r w:rsidR="000C2943">
        <w:t>and</w:t>
      </w:r>
      <w:r w:rsidR="007D28BE">
        <w:t xml:space="preserve"> food security, nutrition</w:t>
      </w:r>
      <w:r w:rsidR="00E16CD9">
        <w:t>,</w:t>
      </w:r>
      <w:r w:rsidR="007D28BE">
        <w:t xml:space="preserve"> and </w:t>
      </w:r>
      <w:r w:rsidR="00B82D48">
        <w:t xml:space="preserve">addressing </w:t>
      </w:r>
      <w:r w:rsidR="007D28BE">
        <w:t xml:space="preserve">population </w:t>
      </w:r>
      <w:r w:rsidR="000C2943">
        <w:t>growth</w:t>
      </w:r>
      <w:r w:rsidR="0030471E">
        <w:t>.</w:t>
      </w:r>
    </w:p>
    <w:p w:rsidR="000C2943" w:rsidRPr="009B1EFD" w:rsidRDefault="000C2943" w:rsidP="00A46AAE">
      <w:pPr>
        <w:spacing w:line="240" w:lineRule="auto"/>
        <w:rPr>
          <w:rFonts w:eastAsia="Times New Roman"/>
        </w:rPr>
      </w:pPr>
      <w:r>
        <w:rPr>
          <w:rFonts w:eastAsia="Times New Roman"/>
        </w:rPr>
        <w:t xml:space="preserve">At the </w:t>
      </w:r>
      <w:r w:rsidR="001200EA">
        <w:rPr>
          <w:rFonts w:eastAsia="Times New Roman"/>
        </w:rPr>
        <w:t>federal</w:t>
      </w:r>
      <w:r>
        <w:rPr>
          <w:rFonts w:eastAsia="Times New Roman"/>
        </w:rPr>
        <w:t xml:space="preserve"> level, the National Water Policy, draft Agriculture, Food and Rural Transformation Strategy, and National Agriculture </w:t>
      </w:r>
      <w:r w:rsidR="00E16CD9">
        <w:rPr>
          <w:rFonts w:eastAsia="Times New Roman"/>
        </w:rPr>
        <w:t>P</w:t>
      </w:r>
      <w:r>
        <w:rPr>
          <w:rFonts w:eastAsia="Times New Roman"/>
        </w:rPr>
        <w:t>olic</w:t>
      </w:r>
      <w:r w:rsidR="00E16CD9">
        <w:rPr>
          <w:rFonts w:eastAsia="Times New Roman"/>
        </w:rPr>
        <w:t>y</w:t>
      </w:r>
      <w:r>
        <w:rPr>
          <w:rFonts w:eastAsia="Times New Roman"/>
        </w:rPr>
        <w:t xml:space="preserve"> were important steps towards improved water resource management and food security in the country and provide formal frameworks to sharpen policy engagement. We look </w:t>
      </w:r>
      <w:r w:rsidRPr="009B1EFD">
        <w:rPr>
          <w:rFonts w:eastAsia="Times New Roman"/>
        </w:rPr>
        <w:t xml:space="preserve">forward to finalisation and implementation of the gender-sensitive Strategic Trade Policy </w:t>
      </w:r>
      <w:r>
        <w:rPr>
          <w:rFonts w:eastAsia="Times New Roman"/>
        </w:rPr>
        <w:t>F</w:t>
      </w:r>
      <w:r w:rsidRPr="009B1EFD">
        <w:rPr>
          <w:rFonts w:eastAsia="Times New Roman"/>
        </w:rPr>
        <w:t xml:space="preserve">ramework. </w:t>
      </w:r>
    </w:p>
    <w:p w:rsidR="009F6A2D" w:rsidRDefault="00516956" w:rsidP="00A46AAE">
      <w:pPr>
        <w:spacing w:line="240" w:lineRule="auto"/>
        <w:rPr>
          <w:rFonts w:eastAsia="Times New Roman"/>
        </w:rPr>
      </w:pPr>
      <w:r>
        <w:rPr>
          <w:rFonts w:eastAsia="Times New Roman"/>
        </w:rPr>
        <w:t xml:space="preserve">Pakistan </w:t>
      </w:r>
      <w:r w:rsidR="00A21834">
        <w:rPr>
          <w:rFonts w:eastAsia="Times New Roman"/>
        </w:rPr>
        <w:t>has</w:t>
      </w:r>
      <w:r>
        <w:rPr>
          <w:rFonts w:eastAsia="Times New Roman"/>
        </w:rPr>
        <w:t xml:space="preserve"> a decentralised </w:t>
      </w:r>
      <w:r w:rsidR="00A21834">
        <w:rPr>
          <w:rFonts w:eastAsia="Times New Roman"/>
        </w:rPr>
        <w:t>federal governance structure</w:t>
      </w:r>
      <w:r>
        <w:rPr>
          <w:rFonts w:eastAsia="Times New Roman"/>
        </w:rPr>
        <w:t xml:space="preserve">, </w:t>
      </w:r>
      <w:r w:rsidR="00223E1E">
        <w:rPr>
          <w:rFonts w:eastAsia="Times New Roman"/>
        </w:rPr>
        <w:t xml:space="preserve">and as such </w:t>
      </w:r>
      <w:r w:rsidRPr="00E03789">
        <w:rPr>
          <w:rFonts w:eastAsia="Times New Roman"/>
          <w:b/>
        </w:rPr>
        <w:t>policy reform</w:t>
      </w:r>
      <w:r w:rsidR="001200EA" w:rsidRPr="00E03789">
        <w:rPr>
          <w:rFonts w:eastAsia="Times New Roman"/>
          <w:b/>
        </w:rPr>
        <w:t xml:space="preserve"> at the provincial level</w:t>
      </w:r>
      <w:r w:rsidR="001200EA">
        <w:rPr>
          <w:rFonts w:eastAsia="Times New Roman"/>
        </w:rPr>
        <w:t xml:space="preserve"> </w:t>
      </w:r>
      <w:r>
        <w:rPr>
          <w:rFonts w:eastAsia="Times New Roman"/>
        </w:rPr>
        <w:t>in support of Australian and Pakistan development objectives</w:t>
      </w:r>
      <w:r w:rsidR="001200EA">
        <w:rPr>
          <w:rFonts w:eastAsia="Times New Roman"/>
        </w:rPr>
        <w:t xml:space="preserve"> is critical</w:t>
      </w:r>
      <w:r>
        <w:rPr>
          <w:rFonts w:eastAsia="Times New Roman"/>
        </w:rPr>
        <w:t xml:space="preserve">. During the reporting period, several significant reforms were approved at provincial level, </w:t>
      </w:r>
      <w:r w:rsidR="00223E1E">
        <w:rPr>
          <w:rFonts w:eastAsia="Times New Roman"/>
        </w:rPr>
        <w:t>for example</w:t>
      </w:r>
      <w:r>
        <w:rPr>
          <w:rFonts w:eastAsia="Times New Roman"/>
        </w:rPr>
        <w:t xml:space="preserve"> </w:t>
      </w:r>
      <w:r w:rsidR="001200EA">
        <w:rPr>
          <w:rFonts w:eastAsia="Times New Roman"/>
        </w:rPr>
        <w:t xml:space="preserve">the </w:t>
      </w:r>
      <w:proofErr w:type="spellStart"/>
      <w:r>
        <w:rPr>
          <w:rFonts w:eastAsia="Times New Roman"/>
        </w:rPr>
        <w:t>Balochistan</w:t>
      </w:r>
      <w:proofErr w:type="spellEnd"/>
      <w:r>
        <w:rPr>
          <w:rFonts w:eastAsia="Times New Roman"/>
        </w:rPr>
        <w:t xml:space="preserve"> Ag</w:t>
      </w:r>
      <w:r w:rsidR="00223E1E">
        <w:rPr>
          <w:rFonts w:eastAsia="Times New Roman"/>
        </w:rPr>
        <w:t xml:space="preserve">riculture Policy, </w:t>
      </w:r>
      <w:proofErr w:type="spellStart"/>
      <w:r>
        <w:rPr>
          <w:rFonts w:eastAsia="Times New Roman"/>
        </w:rPr>
        <w:t>Balochistan</w:t>
      </w:r>
      <w:proofErr w:type="spellEnd"/>
      <w:r>
        <w:rPr>
          <w:rFonts w:eastAsia="Times New Roman"/>
        </w:rPr>
        <w:t xml:space="preserve"> Infant an</w:t>
      </w:r>
      <w:r w:rsidR="00223E1E">
        <w:rPr>
          <w:rFonts w:eastAsia="Times New Roman"/>
        </w:rPr>
        <w:t>d Young Child Feeding Strategy, and KP Protection Laws exten</w:t>
      </w:r>
      <w:r w:rsidR="001200EA">
        <w:rPr>
          <w:rFonts w:eastAsia="Times New Roman"/>
        </w:rPr>
        <w:t>sion</w:t>
      </w:r>
      <w:r w:rsidR="00223E1E">
        <w:rPr>
          <w:rFonts w:eastAsia="Times New Roman"/>
        </w:rPr>
        <w:t xml:space="preserve"> to Swat. During the reporting period </w:t>
      </w:r>
      <w:r w:rsidR="00A21834">
        <w:rPr>
          <w:rFonts w:eastAsia="Times New Roman"/>
        </w:rPr>
        <w:t xml:space="preserve">the decision was taken to merge </w:t>
      </w:r>
      <w:r w:rsidR="00223E1E">
        <w:rPr>
          <w:rFonts w:eastAsia="Times New Roman"/>
        </w:rPr>
        <w:t xml:space="preserve">FATA into KP </w:t>
      </w:r>
      <w:r w:rsidR="00A21834">
        <w:rPr>
          <w:rFonts w:eastAsia="Times New Roman"/>
        </w:rPr>
        <w:t>P</w:t>
      </w:r>
      <w:r w:rsidR="00223E1E">
        <w:rPr>
          <w:rFonts w:eastAsia="Times New Roman"/>
        </w:rPr>
        <w:t>rovince in a bid to promote stability, a decision which will bring both opportunities and additional challenges.</w:t>
      </w:r>
    </w:p>
    <w:p w:rsidR="00F02ADA" w:rsidRDefault="00920E91" w:rsidP="00A46AAE">
      <w:pPr>
        <w:spacing w:line="240" w:lineRule="auto"/>
        <w:rPr>
          <w:rFonts w:eastAsia="Times New Roman"/>
        </w:rPr>
      </w:pPr>
      <w:r>
        <w:rPr>
          <w:rFonts w:eastAsia="Times New Roman"/>
        </w:rPr>
        <w:t>Important</w:t>
      </w:r>
      <w:r w:rsidR="000C2943" w:rsidRPr="00E03789">
        <w:rPr>
          <w:rFonts w:eastAsia="Times New Roman"/>
        </w:rPr>
        <w:t xml:space="preserve"> </w:t>
      </w:r>
      <w:r>
        <w:rPr>
          <w:rFonts w:eastAsia="Times New Roman"/>
        </w:rPr>
        <w:t xml:space="preserve">additional </w:t>
      </w:r>
      <w:r w:rsidRPr="00E03789">
        <w:rPr>
          <w:rFonts w:eastAsia="Times New Roman"/>
          <w:b/>
        </w:rPr>
        <w:t>budget commitments at</w:t>
      </w:r>
      <w:r w:rsidR="000C2943" w:rsidRPr="00E03789">
        <w:rPr>
          <w:rFonts w:eastAsia="Times New Roman"/>
          <w:b/>
        </w:rPr>
        <w:t xml:space="preserve"> the provincial government level</w:t>
      </w:r>
      <w:r w:rsidR="000C2943" w:rsidRPr="00E03789">
        <w:rPr>
          <w:rFonts w:eastAsia="Times New Roman"/>
        </w:rPr>
        <w:t xml:space="preserve"> included t</w:t>
      </w:r>
      <w:r w:rsidR="00F02ADA" w:rsidRPr="00920E91">
        <w:rPr>
          <w:rFonts w:eastAsia="Times New Roman"/>
        </w:rPr>
        <w:t>he KP Government</w:t>
      </w:r>
      <w:r w:rsidR="000C2943" w:rsidRPr="00E03789">
        <w:rPr>
          <w:rFonts w:eastAsia="Times New Roman"/>
        </w:rPr>
        <w:t>’s budget allocation for its</w:t>
      </w:r>
      <w:r w:rsidR="00F02ADA" w:rsidRPr="00920E91">
        <w:rPr>
          <w:rFonts w:eastAsia="Times New Roman"/>
        </w:rPr>
        <w:t xml:space="preserve"> Education Equity Strategy</w:t>
      </w:r>
      <w:r w:rsidR="000C2943" w:rsidRPr="00E03789">
        <w:rPr>
          <w:rFonts w:eastAsia="Times New Roman"/>
        </w:rPr>
        <w:t xml:space="preserve">, </w:t>
      </w:r>
      <w:r w:rsidR="00F02ADA" w:rsidRPr="00920E91">
        <w:rPr>
          <w:rFonts w:eastAsia="Times New Roman"/>
        </w:rPr>
        <w:t>developed under the KP Education Sector Program</w:t>
      </w:r>
      <w:r w:rsidR="000C2943" w:rsidRPr="00E03789">
        <w:rPr>
          <w:rFonts w:eastAsia="Times New Roman"/>
        </w:rPr>
        <w:t xml:space="preserve">. </w:t>
      </w:r>
      <w:r w:rsidR="001200EA">
        <w:rPr>
          <w:rFonts w:eastAsia="Times New Roman"/>
        </w:rPr>
        <w:t xml:space="preserve">The </w:t>
      </w:r>
      <w:proofErr w:type="spellStart"/>
      <w:r w:rsidR="00F02ADA" w:rsidRPr="00920E91">
        <w:rPr>
          <w:rFonts w:eastAsia="Times New Roman"/>
        </w:rPr>
        <w:t>Balochistan</w:t>
      </w:r>
      <w:proofErr w:type="spellEnd"/>
      <w:r w:rsidR="00F02ADA" w:rsidRPr="00920E91">
        <w:rPr>
          <w:rFonts w:eastAsia="Times New Roman"/>
        </w:rPr>
        <w:t xml:space="preserve"> Government</w:t>
      </w:r>
      <w:r w:rsidR="001200EA">
        <w:rPr>
          <w:rFonts w:eastAsia="Times New Roman"/>
        </w:rPr>
        <w:t>’s</w:t>
      </w:r>
      <w:r w:rsidR="00F02ADA" w:rsidRPr="00920E91">
        <w:rPr>
          <w:rFonts w:eastAsia="Times New Roman"/>
        </w:rPr>
        <w:t xml:space="preserve"> </w:t>
      </w:r>
      <w:r w:rsidRPr="00E03789">
        <w:rPr>
          <w:rFonts w:eastAsia="Times New Roman"/>
        </w:rPr>
        <w:t>budget allocation of</w:t>
      </w:r>
      <w:r w:rsidR="00F02ADA" w:rsidRPr="00920E91">
        <w:rPr>
          <w:rFonts w:eastAsia="Times New Roman"/>
        </w:rPr>
        <w:t xml:space="preserve"> AUD5.6</w:t>
      </w:r>
      <w:r w:rsidR="00E16CD9">
        <w:rPr>
          <w:rFonts w:eastAsia="Times New Roman"/>
        </w:rPr>
        <w:t xml:space="preserve"> </w:t>
      </w:r>
      <w:r w:rsidR="00F02ADA" w:rsidRPr="00920E91">
        <w:rPr>
          <w:rFonts w:eastAsia="Times New Roman"/>
        </w:rPr>
        <w:t>million for nutrition-related interventions in health and education sectors up to FY18/19</w:t>
      </w:r>
      <w:r w:rsidR="000C2943" w:rsidRPr="00E03789">
        <w:rPr>
          <w:rFonts w:eastAsia="Times New Roman"/>
        </w:rPr>
        <w:t xml:space="preserve"> is a key result of our World Bank nutrition partnership</w:t>
      </w:r>
      <w:r w:rsidRPr="00E03789">
        <w:rPr>
          <w:rFonts w:eastAsia="Times New Roman"/>
        </w:rPr>
        <w:t>, including the</w:t>
      </w:r>
      <w:r w:rsidR="00F02ADA" w:rsidRPr="00920E91">
        <w:rPr>
          <w:rFonts w:eastAsia="Times New Roman"/>
        </w:rPr>
        <w:t xml:space="preserve"> first ever nutrition sensitive project in the education sector.</w:t>
      </w:r>
    </w:p>
    <w:p w:rsidR="009C7DC8" w:rsidRPr="00741FE1" w:rsidRDefault="00154E7F" w:rsidP="00A46AAE">
      <w:pPr>
        <w:spacing w:line="240" w:lineRule="auto"/>
      </w:pPr>
      <w:r>
        <w:rPr>
          <w:rFonts w:eastAsia="Times New Roman"/>
        </w:rPr>
        <w:t xml:space="preserve">Strong </w:t>
      </w:r>
      <w:r w:rsidRPr="00E03789">
        <w:rPr>
          <w:rFonts w:eastAsia="Times New Roman"/>
          <w:b/>
        </w:rPr>
        <w:t>advocacy on gender equality, women’s empowerment and disability inclusive development</w:t>
      </w:r>
      <w:r>
        <w:rPr>
          <w:rFonts w:eastAsia="Times New Roman"/>
        </w:rPr>
        <w:t xml:space="preserve"> continued across the High Commission’s engagement</w:t>
      </w:r>
      <w:r w:rsidR="00300567">
        <w:rPr>
          <w:rFonts w:eastAsia="Times New Roman"/>
        </w:rPr>
        <w:t>, led by the High Commissioner</w:t>
      </w:r>
      <w:r>
        <w:rPr>
          <w:rFonts w:eastAsia="Times New Roman"/>
        </w:rPr>
        <w:t xml:space="preserve">. </w:t>
      </w:r>
      <w:r w:rsidR="00BF7EC1">
        <w:rPr>
          <w:rFonts w:eastAsia="Times New Roman"/>
        </w:rPr>
        <w:t xml:space="preserve">For example, </w:t>
      </w:r>
      <w:r w:rsidR="0027696A">
        <w:t>i</w:t>
      </w:r>
      <w:r>
        <w:t xml:space="preserve">n 2017, </w:t>
      </w:r>
      <w:r w:rsidR="0027696A">
        <w:t xml:space="preserve">the High Commission </w:t>
      </w:r>
      <w:r>
        <w:t xml:space="preserve">co-sponsored an event with </w:t>
      </w:r>
      <w:proofErr w:type="spellStart"/>
      <w:r>
        <w:t>Trocaire</w:t>
      </w:r>
      <w:proofErr w:type="spellEnd"/>
      <w:r w:rsidR="001200EA">
        <w:t>,</w:t>
      </w:r>
      <w:r>
        <w:t xml:space="preserve"> </w:t>
      </w:r>
      <w:r w:rsidR="001200EA">
        <w:t xml:space="preserve">our </w:t>
      </w:r>
      <w:r w:rsidR="00BF7EC1">
        <w:t>EVAW program partner</w:t>
      </w:r>
      <w:r w:rsidR="001200EA">
        <w:t xml:space="preserve">, </w:t>
      </w:r>
      <w:r>
        <w:t xml:space="preserve">to recognise and honour the achievements of women with disabilities and voiced our strong support for recent efforts to draft the first comprehensive bill </w:t>
      </w:r>
      <w:r w:rsidRPr="00741FE1">
        <w:t>on disability</w:t>
      </w:r>
      <w:r w:rsidR="00AD20BB" w:rsidRPr="00741FE1">
        <w:t xml:space="preserve">. </w:t>
      </w:r>
      <w:r w:rsidR="00A21834" w:rsidRPr="00741FE1">
        <w:t>The High Commission hosted a visit by Elizabeth Broderick to explore private sector interest in establishing a Male Champions of Change Pakistan</w:t>
      </w:r>
      <w:r w:rsidR="00300567" w:rsidRPr="00741FE1">
        <w:t xml:space="preserve"> Chapter</w:t>
      </w:r>
      <w:r w:rsidR="00A21834" w:rsidRPr="00741FE1">
        <w:t>, and the High Commissioner launched</w:t>
      </w:r>
      <w:r w:rsidR="00300567" w:rsidRPr="00741FE1">
        <w:t>,</w:t>
      </w:r>
      <w:r w:rsidR="00A21834" w:rsidRPr="00741FE1">
        <w:t xml:space="preserve"> with the World Bank</w:t>
      </w:r>
      <w:r w:rsidR="00300567" w:rsidRPr="00741FE1">
        <w:t>,</w:t>
      </w:r>
      <w:r w:rsidR="00A21834" w:rsidRPr="00741FE1">
        <w:t xml:space="preserve"> the </w:t>
      </w:r>
      <w:r w:rsidR="00300567" w:rsidRPr="00741FE1">
        <w:rPr>
          <w:rFonts w:eastAsia="Times New Roman"/>
        </w:rPr>
        <w:t>Pakistan Women Entrepreneurs Network for Trade (WE-NET)</w:t>
      </w:r>
      <w:r w:rsidR="00300567" w:rsidRPr="00741FE1">
        <w:t xml:space="preserve"> under the PTIPP Program</w:t>
      </w:r>
      <w:r w:rsidR="00741FE1" w:rsidRPr="00741FE1">
        <w:t>.</w:t>
      </w:r>
    </w:p>
    <w:p w:rsidR="009F6A2D" w:rsidRPr="009B1EFD" w:rsidRDefault="009F6A2D" w:rsidP="00A46AAE">
      <w:pPr>
        <w:spacing w:line="240" w:lineRule="auto"/>
        <w:rPr>
          <w:rFonts w:eastAsia="Times New Roman"/>
        </w:rPr>
      </w:pPr>
      <w:r w:rsidRPr="00741FE1">
        <w:rPr>
          <w:rFonts w:eastAsia="Times New Roman"/>
        </w:rPr>
        <w:t xml:space="preserve">Australia remains committed to </w:t>
      </w:r>
      <w:r w:rsidRPr="00741FE1">
        <w:rPr>
          <w:rFonts w:eastAsia="Times New Roman"/>
          <w:b/>
        </w:rPr>
        <w:t>supporting a strong and vibrant civil society</w:t>
      </w:r>
      <w:r w:rsidRPr="00741FE1">
        <w:rPr>
          <w:rFonts w:eastAsia="Times New Roman"/>
        </w:rPr>
        <w:t xml:space="preserve"> </w:t>
      </w:r>
      <w:r w:rsidRPr="009B1EFD">
        <w:rPr>
          <w:rFonts w:eastAsia="Times New Roman"/>
        </w:rPr>
        <w:t>in Pakistan. Australia has consistently been a strong advocate with the Government of Pakistan throughou</w:t>
      </w:r>
      <w:r w:rsidR="001E057B" w:rsidRPr="009B1EFD">
        <w:rPr>
          <w:rFonts w:eastAsia="Times New Roman"/>
        </w:rPr>
        <w:t>t the INGO registration process</w:t>
      </w:r>
      <w:r w:rsidRPr="009B1EFD">
        <w:rPr>
          <w:rFonts w:eastAsia="Times New Roman"/>
        </w:rPr>
        <w:t xml:space="preserve">. In addition to </w:t>
      </w:r>
      <w:r w:rsidR="001E057B" w:rsidRPr="009B1EFD">
        <w:rPr>
          <w:rFonts w:eastAsia="Times New Roman"/>
        </w:rPr>
        <w:t>joining other donors in direct</w:t>
      </w:r>
      <w:r w:rsidRPr="009B1EFD">
        <w:rPr>
          <w:rFonts w:eastAsia="Times New Roman"/>
        </w:rPr>
        <w:t xml:space="preserve"> representation</w:t>
      </w:r>
      <w:r w:rsidR="00A21834">
        <w:rPr>
          <w:rFonts w:eastAsia="Times New Roman"/>
        </w:rPr>
        <w:t>s</w:t>
      </w:r>
      <w:r w:rsidRPr="009B1EFD">
        <w:rPr>
          <w:rFonts w:eastAsia="Times New Roman"/>
        </w:rPr>
        <w:t>, the Australian High Commission</w:t>
      </w:r>
      <w:r w:rsidR="00A21834">
        <w:rPr>
          <w:rFonts w:eastAsia="Times New Roman"/>
        </w:rPr>
        <w:t>er</w:t>
      </w:r>
      <w:r w:rsidRPr="009B1EFD">
        <w:rPr>
          <w:rFonts w:eastAsia="Times New Roman"/>
        </w:rPr>
        <w:t xml:space="preserve"> recently hosted Oxfam </w:t>
      </w:r>
      <w:r w:rsidR="0086753B" w:rsidRPr="009B1EFD">
        <w:rPr>
          <w:rFonts w:eastAsia="Times New Roman"/>
        </w:rPr>
        <w:t>Australia</w:t>
      </w:r>
      <w:r w:rsidR="00A21834">
        <w:rPr>
          <w:rFonts w:eastAsia="Times New Roman"/>
        </w:rPr>
        <w:t>’s</w:t>
      </w:r>
      <w:r w:rsidR="0086753B" w:rsidRPr="009B1EFD">
        <w:rPr>
          <w:rFonts w:eastAsia="Times New Roman"/>
        </w:rPr>
        <w:t xml:space="preserve"> </w:t>
      </w:r>
      <w:r w:rsidRPr="009B1EFD">
        <w:rPr>
          <w:rFonts w:eastAsia="Times New Roman"/>
        </w:rPr>
        <w:t xml:space="preserve">Chief Executive </w:t>
      </w:r>
      <w:r w:rsidR="0086753B" w:rsidRPr="009B1EFD">
        <w:rPr>
          <w:rFonts w:eastAsia="Times New Roman"/>
        </w:rPr>
        <w:t xml:space="preserve">in an event </w:t>
      </w:r>
      <w:r w:rsidRPr="009B1EFD">
        <w:rPr>
          <w:rFonts w:eastAsia="Times New Roman"/>
        </w:rPr>
        <w:t>celebrating</w:t>
      </w:r>
      <w:r w:rsidR="0086753B" w:rsidRPr="009B1EFD">
        <w:rPr>
          <w:rFonts w:eastAsia="Times New Roman"/>
        </w:rPr>
        <w:t xml:space="preserve"> civil society in Pakist</w:t>
      </w:r>
      <w:r w:rsidRPr="009B1EFD">
        <w:rPr>
          <w:rFonts w:eastAsia="Times New Roman"/>
        </w:rPr>
        <w:t>an.</w:t>
      </w:r>
    </w:p>
    <w:p w:rsidR="004D43F3" w:rsidRDefault="001E057B" w:rsidP="00A46AAE">
      <w:pPr>
        <w:spacing w:line="240" w:lineRule="auto"/>
        <w:rPr>
          <w:rFonts w:eastAsia="Times New Roman"/>
        </w:rPr>
      </w:pPr>
      <w:r w:rsidRPr="009B1EFD">
        <w:rPr>
          <w:rFonts w:eastAsia="Times New Roman"/>
        </w:rPr>
        <w:t>The g</w:t>
      </w:r>
      <w:r w:rsidR="005E313A" w:rsidRPr="009B1EFD">
        <w:rPr>
          <w:rFonts w:eastAsia="Times New Roman"/>
        </w:rPr>
        <w:t>ene</w:t>
      </w:r>
      <w:r w:rsidRPr="009B1EFD">
        <w:rPr>
          <w:rFonts w:eastAsia="Times New Roman"/>
        </w:rPr>
        <w:t>ral election</w:t>
      </w:r>
      <w:r>
        <w:rPr>
          <w:rFonts w:eastAsia="Times New Roman"/>
        </w:rPr>
        <w:t xml:space="preserve"> period and change</w:t>
      </w:r>
      <w:r w:rsidR="005E313A">
        <w:rPr>
          <w:rFonts w:eastAsia="Times New Roman"/>
        </w:rPr>
        <w:t xml:space="preserve">over </w:t>
      </w:r>
      <w:r>
        <w:rPr>
          <w:rFonts w:eastAsia="Times New Roman"/>
        </w:rPr>
        <w:t>in</w:t>
      </w:r>
      <w:r w:rsidR="005E313A">
        <w:rPr>
          <w:rFonts w:eastAsia="Times New Roman"/>
        </w:rPr>
        <w:t xml:space="preserve"> the High Commissioner in Canberra has effected </w:t>
      </w:r>
      <w:r>
        <w:rPr>
          <w:rFonts w:eastAsia="Times New Roman"/>
        </w:rPr>
        <w:t>implementation of the aid program</w:t>
      </w:r>
      <w:r w:rsidR="00C203CF">
        <w:rPr>
          <w:rFonts w:eastAsia="Times New Roman"/>
        </w:rPr>
        <w:t xml:space="preserve"> to some extent</w:t>
      </w:r>
      <w:r>
        <w:rPr>
          <w:rFonts w:eastAsia="Times New Roman"/>
        </w:rPr>
        <w:t xml:space="preserve">, </w:t>
      </w:r>
      <w:r w:rsidR="005E313A">
        <w:rPr>
          <w:rFonts w:eastAsia="Times New Roman"/>
        </w:rPr>
        <w:t xml:space="preserve">including </w:t>
      </w:r>
      <w:r w:rsidR="0030471E">
        <w:rPr>
          <w:rFonts w:eastAsia="Times New Roman"/>
        </w:rPr>
        <w:t xml:space="preserve">delays in program implementation and </w:t>
      </w:r>
      <w:r w:rsidR="005E313A">
        <w:rPr>
          <w:rFonts w:eastAsia="Times New Roman"/>
        </w:rPr>
        <w:t>ability of officials and contractors to obtain visas</w:t>
      </w:r>
      <w:r>
        <w:rPr>
          <w:rFonts w:eastAsia="Times New Roman"/>
        </w:rPr>
        <w:t xml:space="preserve"> to Pakistan</w:t>
      </w:r>
      <w:r w:rsidR="00C203CF">
        <w:rPr>
          <w:rFonts w:eastAsia="Times New Roman"/>
        </w:rPr>
        <w:t>.</w:t>
      </w:r>
      <w:r w:rsidR="00BF7EC1">
        <w:rPr>
          <w:rFonts w:eastAsia="Times New Roman"/>
        </w:rPr>
        <w:t xml:space="preserve"> </w:t>
      </w:r>
    </w:p>
    <w:p w:rsidR="002A12E8" w:rsidRDefault="002A12E8" w:rsidP="0030471E"/>
    <w:p w:rsidR="0041172E" w:rsidRPr="007B4725" w:rsidRDefault="002A51CA" w:rsidP="007B4725">
      <w:pPr>
        <w:pStyle w:val="Heading2"/>
        <w:spacing w:before="0" w:after="0"/>
        <w:rPr>
          <w:b/>
          <w:szCs w:val="38"/>
        </w:rPr>
      </w:pPr>
      <w:r w:rsidRPr="007B4725">
        <w:rPr>
          <w:b/>
          <w:szCs w:val="38"/>
        </w:rPr>
        <w:t xml:space="preserve">Program Quality </w:t>
      </w:r>
    </w:p>
    <w:p w:rsidR="009B2023" w:rsidRPr="003B75E4" w:rsidRDefault="00BF7EC1" w:rsidP="00A46AAE">
      <w:pPr>
        <w:spacing w:line="240" w:lineRule="auto"/>
        <w:rPr>
          <w:rFonts w:eastAsia="Times New Roman"/>
        </w:rPr>
      </w:pPr>
      <w:r w:rsidRPr="00E03789">
        <w:rPr>
          <w:rFonts w:eastAsia="Times New Roman"/>
          <w:b/>
        </w:rPr>
        <w:t>Eleven</w:t>
      </w:r>
      <w:r w:rsidR="008873B5" w:rsidRPr="00E03789">
        <w:rPr>
          <w:rFonts w:eastAsia="Times New Roman"/>
          <w:b/>
        </w:rPr>
        <w:t xml:space="preserve"> investments </w:t>
      </w:r>
      <w:r w:rsidR="000C2943" w:rsidRPr="00E03789">
        <w:rPr>
          <w:rFonts w:eastAsia="Times New Roman"/>
          <w:b/>
        </w:rPr>
        <w:t xml:space="preserve">were subject to </w:t>
      </w:r>
      <w:r w:rsidR="008873B5" w:rsidRPr="00E03789">
        <w:rPr>
          <w:rFonts w:eastAsia="Times New Roman"/>
          <w:b/>
        </w:rPr>
        <w:t>quality assessments</w:t>
      </w:r>
      <w:r w:rsidR="008873B5" w:rsidRPr="003B75E4">
        <w:rPr>
          <w:rFonts w:eastAsia="Times New Roman"/>
        </w:rPr>
        <w:t xml:space="preserve"> </w:t>
      </w:r>
      <w:r w:rsidR="00F531F6">
        <w:rPr>
          <w:rFonts w:eastAsia="Times New Roman"/>
        </w:rPr>
        <w:t>(including one F</w:t>
      </w:r>
      <w:r w:rsidR="008F1F4B">
        <w:rPr>
          <w:rFonts w:eastAsia="Times New Roman"/>
        </w:rPr>
        <w:t xml:space="preserve">inal </w:t>
      </w:r>
      <w:r w:rsidR="00F531F6">
        <w:rPr>
          <w:rFonts w:eastAsia="Times New Roman"/>
        </w:rPr>
        <w:t>A</w:t>
      </w:r>
      <w:r w:rsidR="008F1F4B">
        <w:rPr>
          <w:rFonts w:eastAsia="Times New Roman"/>
        </w:rPr>
        <w:t xml:space="preserve">id </w:t>
      </w:r>
      <w:r w:rsidR="00F531F6">
        <w:rPr>
          <w:rFonts w:eastAsia="Times New Roman"/>
        </w:rPr>
        <w:t>Q</w:t>
      </w:r>
      <w:r w:rsidR="008F1F4B">
        <w:rPr>
          <w:rFonts w:eastAsia="Times New Roman"/>
        </w:rPr>
        <w:t xml:space="preserve">uality </w:t>
      </w:r>
      <w:r w:rsidR="00F531F6">
        <w:rPr>
          <w:rFonts w:eastAsia="Times New Roman"/>
        </w:rPr>
        <w:t>C</w:t>
      </w:r>
      <w:r w:rsidR="008F1F4B">
        <w:rPr>
          <w:rFonts w:eastAsia="Times New Roman"/>
        </w:rPr>
        <w:t>heck</w:t>
      </w:r>
      <w:r w:rsidR="00F531F6">
        <w:rPr>
          <w:rFonts w:eastAsia="Times New Roman"/>
        </w:rPr>
        <w:t xml:space="preserve">) </w:t>
      </w:r>
      <w:r w:rsidR="008873B5" w:rsidRPr="003B75E4">
        <w:rPr>
          <w:rFonts w:eastAsia="Times New Roman"/>
        </w:rPr>
        <w:t xml:space="preserve">as part of </w:t>
      </w:r>
      <w:r w:rsidR="008B39AD">
        <w:rPr>
          <w:rFonts w:eastAsia="Times New Roman"/>
        </w:rPr>
        <w:t>the 2017/18 Investment Quality R</w:t>
      </w:r>
      <w:r w:rsidR="008873B5" w:rsidRPr="003B75E4">
        <w:rPr>
          <w:rFonts w:eastAsia="Times New Roman"/>
        </w:rPr>
        <w:t xml:space="preserve">eporting round. </w:t>
      </w:r>
      <w:r w:rsidR="001200EA" w:rsidRPr="00E03789">
        <w:rPr>
          <w:rFonts w:eastAsia="Times New Roman"/>
        </w:rPr>
        <w:t xml:space="preserve">There was </w:t>
      </w:r>
      <w:r w:rsidR="001200EA">
        <w:rPr>
          <w:rFonts w:eastAsia="Times New Roman"/>
          <w:b/>
        </w:rPr>
        <w:t>steady i</w:t>
      </w:r>
      <w:r w:rsidR="0041172E" w:rsidRPr="00E03789">
        <w:rPr>
          <w:rFonts w:eastAsia="Times New Roman"/>
          <w:b/>
        </w:rPr>
        <w:t xml:space="preserve">mprovement </w:t>
      </w:r>
      <w:r w:rsidR="001200EA">
        <w:rPr>
          <w:rFonts w:eastAsia="Times New Roman"/>
          <w:b/>
        </w:rPr>
        <w:t>in</w:t>
      </w:r>
      <w:r w:rsidR="001200EA" w:rsidRPr="00E03789">
        <w:rPr>
          <w:rFonts w:eastAsia="Times New Roman"/>
          <w:b/>
        </w:rPr>
        <w:t xml:space="preserve"> </w:t>
      </w:r>
      <w:r w:rsidR="001200EA">
        <w:rPr>
          <w:rFonts w:eastAsia="Times New Roman"/>
          <w:b/>
        </w:rPr>
        <w:t xml:space="preserve">the </w:t>
      </w:r>
      <w:r w:rsidR="009B2023" w:rsidRPr="00E03789">
        <w:rPr>
          <w:rFonts w:eastAsia="Times New Roman"/>
          <w:b/>
        </w:rPr>
        <w:t>Pakistan program</w:t>
      </w:r>
      <w:r w:rsidR="001200EA">
        <w:rPr>
          <w:rFonts w:eastAsia="Times New Roman"/>
          <w:b/>
        </w:rPr>
        <w:t>’s</w:t>
      </w:r>
      <w:r w:rsidR="009B2023" w:rsidRPr="00E03789">
        <w:rPr>
          <w:rFonts w:eastAsia="Times New Roman"/>
          <w:b/>
        </w:rPr>
        <w:t xml:space="preserve"> performance </w:t>
      </w:r>
      <w:r w:rsidR="005A04A4" w:rsidRPr="00E03789">
        <w:rPr>
          <w:rFonts w:eastAsia="Times New Roman"/>
          <w:b/>
        </w:rPr>
        <w:t>on</w:t>
      </w:r>
      <w:r w:rsidR="008873B5" w:rsidRPr="00E03789">
        <w:rPr>
          <w:rFonts w:eastAsia="Times New Roman"/>
          <w:b/>
        </w:rPr>
        <w:t xml:space="preserve"> </w:t>
      </w:r>
      <w:r w:rsidR="000C2943" w:rsidRPr="00E03789">
        <w:rPr>
          <w:rFonts w:eastAsia="Times New Roman"/>
          <w:b/>
        </w:rPr>
        <w:t>‘</w:t>
      </w:r>
      <w:r w:rsidR="008873B5" w:rsidRPr="00E03789">
        <w:rPr>
          <w:rFonts w:eastAsia="Times New Roman"/>
          <w:b/>
        </w:rPr>
        <w:t>gender</w:t>
      </w:r>
      <w:r w:rsidR="0027696A">
        <w:rPr>
          <w:rFonts w:eastAsia="Times New Roman"/>
          <w:b/>
        </w:rPr>
        <w:t xml:space="preserve"> equality</w:t>
      </w:r>
      <w:r w:rsidR="000C2943" w:rsidRPr="00E03789">
        <w:rPr>
          <w:rFonts w:eastAsia="Times New Roman"/>
          <w:b/>
        </w:rPr>
        <w:t>’</w:t>
      </w:r>
      <w:r w:rsidR="008873B5" w:rsidRPr="00E03789">
        <w:rPr>
          <w:rFonts w:eastAsia="Times New Roman"/>
          <w:b/>
        </w:rPr>
        <w:t xml:space="preserve">, </w:t>
      </w:r>
      <w:r w:rsidR="000C2943" w:rsidRPr="00E03789">
        <w:rPr>
          <w:rFonts w:eastAsia="Times New Roman"/>
          <w:b/>
        </w:rPr>
        <w:t>‘</w:t>
      </w:r>
      <w:r w:rsidR="008873B5" w:rsidRPr="00E03789">
        <w:rPr>
          <w:rFonts w:eastAsia="Times New Roman"/>
          <w:b/>
        </w:rPr>
        <w:t>M&amp;E</w:t>
      </w:r>
      <w:r w:rsidR="000C2943" w:rsidRPr="00E03789">
        <w:rPr>
          <w:rFonts w:eastAsia="Times New Roman"/>
          <w:b/>
        </w:rPr>
        <w:t>’</w:t>
      </w:r>
      <w:r w:rsidR="008873B5" w:rsidRPr="00E03789">
        <w:rPr>
          <w:rFonts w:eastAsia="Times New Roman"/>
          <w:b/>
        </w:rPr>
        <w:t xml:space="preserve"> and </w:t>
      </w:r>
      <w:r w:rsidR="000C2943" w:rsidRPr="00E03789">
        <w:rPr>
          <w:rFonts w:eastAsia="Times New Roman"/>
          <w:b/>
        </w:rPr>
        <w:t>‘</w:t>
      </w:r>
      <w:r w:rsidR="008873B5" w:rsidRPr="00E03789">
        <w:rPr>
          <w:rFonts w:eastAsia="Times New Roman"/>
          <w:b/>
        </w:rPr>
        <w:t>efficiency</w:t>
      </w:r>
      <w:r w:rsidR="000C2943" w:rsidRPr="00E03789">
        <w:rPr>
          <w:rFonts w:eastAsia="Times New Roman"/>
          <w:b/>
        </w:rPr>
        <w:t>’</w:t>
      </w:r>
      <w:r w:rsidR="008873B5" w:rsidRPr="00E03789">
        <w:rPr>
          <w:rFonts w:eastAsia="Times New Roman"/>
          <w:b/>
        </w:rPr>
        <w:t xml:space="preserve"> </w:t>
      </w:r>
      <w:r w:rsidR="001200EA">
        <w:rPr>
          <w:rFonts w:eastAsia="Times New Roman"/>
        </w:rPr>
        <w:t>with</w:t>
      </w:r>
      <w:r w:rsidR="0041172E" w:rsidRPr="003B75E4">
        <w:rPr>
          <w:rFonts w:eastAsia="Times New Roman"/>
        </w:rPr>
        <w:t xml:space="preserve"> increased management attenti</w:t>
      </w:r>
      <w:r w:rsidR="008873B5" w:rsidRPr="003B75E4">
        <w:rPr>
          <w:rFonts w:eastAsia="Times New Roman"/>
        </w:rPr>
        <w:t xml:space="preserve">on and allocation of resources </w:t>
      </w:r>
      <w:r w:rsidR="0041172E" w:rsidRPr="003B75E4">
        <w:rPr>
          <w:rFonts w:eastAsia="Times New Roman"/>
        </w:rPr>
        <w:t xml:space="preserve">to address issues </w:t>
      </w:r>
      <w:r w:rsidR="008873B5" w:rsidRPr="003B75E4">
        <w:rPr>
          <w:rFonts w:eastAsia="Times New Roman"/>
        </w:rPr>
        <w:t xml:space="preserve">identified in the previous round, including the two IRIs. </w:t>
      </w:r>
      <w:r w:rsidR="00712DA1">
        <w:rPr>
          <w:rFonts w:eastAsia="Times New Roman"/>
        </w:rPr>
        <w:t xml:space="preserve">The program has now met the 80 percent target for gender equality (see outcome 8 above). </w:t>
      </w:r>
      <w:r w:rsidR="008873B5" w:rsidRPr="003B75E4">
        <w:rPr>
          <w:rFonts w:eastAsia="Times New Roman"/>
        </w:rPr>
        <w:t>Improved</w:t>
      </w:r>
      <w:r w:rsidR="00973239" w:rsidRPr="003B75E4">
        <w:rPr>
          <w:rFonts w:eastAsia="Times New Roman"/>
        </w:rPr>
        <w:t xml:space="preserve"> efficiency ratings</w:t>
      </w:r>
      <w:r w:rsidR="005A04A4" w:rsidRPr="003B75E4">
        <w:rPr>
          <w:rFonts w:eastAsia="Times New Roman"/>
        </w:rPr>
        <w:t xml:space="preserve"> </w:t>
      </w:r>
      <w:r w:rsidR="00973239" w:rsidRPr="003B75E4">
        <w:rPr>
          <w:rFonts w:eastAsia="Times New Roman"/>
        </w:rPr>
        <w:t xml:space="preserve">(now comparable to ratings 2 years ago) </w:t>
      </w:r>
      <w:r w:rsidR="0041172E" w:rsidRPr="003B75E4">
        <w:rPr>
          <w:rFonts w:eastAsia="Times New Roman"/>
        </w:rPr>
        <w:t xml:space="preserve">are based on factors including better disbursement rates, improved management systems and acknowledgement that certain modalities </w:t>
      </w:r>
      <w:r w:rsidR="008873B5" w:rsidRPr="003B75E4">
        <w:rPr>
          <w:rFonts w:eastAsia="Times New Roman"/>
        </w:rPr>
        <w:t>(</w:t>
      </w:r>
      <w:r w:rsidR="00DB22DE">
        <w:rPr>
          <w:rFonts w:eastAsia="Times New Roman"/>
        </w:rPr>
        <w:t>for example,</w:t>
      </w:r>
      <w:r w:rsidR="00DB22DE" w:rsidRPr="003B75E4">
        <w:rPr>
          <w:rFonts w:eastAsia="Times New Roman"/>
        </w:rPr>
        <w:t xml:space="preserve"> </w:t>
      </w:r>
      <w:r w:rsidR="008873B5" w:rsidRPr="003B75E4">
        <w:rPr>
          <w:rFonts w:eastAsia="Times New Roman"/>
        </w:rPr>
        <w:t xml:space="preserve">working with the </w:t>
      </w:r>
      <w:r w:rsidR="005A3B76">
        <w:rPr>
          <w:rFonts w:eastAsia="Times New Roman"/>
        </w:rPr>
        <w:t>World Bank</w:t>
      </w:r>
      <w:r w:rsidR="008873B5" w:rsidRPr="003B75E4">
        <w:rPr>
          <w:rFonts w:eastAsia="Times New Roman"/>
        </w:rPr>
        <w:t xml:space="preserve"> to provide budget support to local governments in the border regions) </w:t>
      </w:r>
      <w:r w:rsidR="0041172E" w:rsidRPr="003B75E4">
        <w:rPr>
          <w:rFonts w:eastAsia="Times New Roman"/>
        </w:rPr>
        <w:t>are fit-for-purpose despite presenting</w:t>
      </w:r>
      <w:r w:rsidR="008873B5" w:rsidRPr="003B75E4">
        <w:rPr>
          <w:rFonts w:eastAsia="Times New Roman"/>
        </w:rPr>
        <w:t xml:space="preserve"> ongoing</w:t>
      </w:r>
      <w:r w:rsidR="0041172E" w:rsidRPr="003B75E4">
        <w:rPr>
          <w:rFonts w:eastAsia="Times New Roman"/>
        </w:rPr>
        <w:t xml:space="preserve"> challenges</w:t>
      </w:r>
      <w:r w:rsidR="008873B5" w:rsidRPr="003B75E4">
        <w:rPr>
          <w:rFonts w:eastAsia="Times New Roman"/>
        </w:rPr>
        <w:t xml:space="preserve">. </w:t>
      </w:r>
      <w:r w:rsidR="0041172E" w:rsidRPr="003B75E4">
        <w:rPr>
          <w:rFonts w:eastAsia="Times New Roman"/>
        </w:rPr>
        <w:t xml:space="preserve">The </w:t>
      </w:r>
      <w:r w:rsidR="008F1F4B">
        <w:rPr>
          <w:rFonts w:eastAsia="Times New Roman"/>
          <w:b/>
        </w:rPr>
        <w:t>dip</w:t>
      </w:r>
      <w:r w:rsidR="0041172E" w:rsidRPr="00E03789">
        <w:rPr>
          <w:rFonts w:eastAsia="Times New Roman"/>
          <w:b/>
        </w:rPr>
        <w:t xml:space="preserve"> in effectiveness reflects a </w:t>
      </w:r>
      <w:r w:rsidR="00973239" w:rsidRPr="00E03789">
        <w:rPr>
          <w:rFonts w:eastAsia="Times New Roman"/>
          <w:b/>
        </w:rPr>
        <w:t>stronger focus on outcome-level reporting</w:t>
      </w:r>
      <w:r w:rsidR="00973239" w:rsidRPr="003B75E4">
        <w:rPr>
          <w:rFonts w:eastAsia="Times New Roman"/>
        </w:rPr>
        <w:t xml:space="preserve"> and </w:t>
      </w:r>
      <w:r w:rsidR="00F40F42">
        <w:rPr>
          <w:rFonts w:eastAsia="Times New Roman"/>
        </w:rPr>
        <w:t xml:space="preserve">our </w:t>
      </w:r>
      <w:r w:rsidR="0041172E" w:rsidRPr="003B75E4">
        <w:rPr>
          <w:rFonts w:eastAsia="Times New Roman"/>
        </w:rPr>
        <w:t xml:space="preserve">assessment that some mature </w:t>
      </w:r>
      <w:r w:rsidR="009C7DC8">
        <w:rPr>
          <w:rFonts w:eastAsia="Times New Roman"/>
        </w:rPr>
        <w:t xml:space="preserve">multi-donor </w:t>
      </w:r>
      <w:r w:rsidR="0041172E" w:rsidRPr="003B75E4">
        <w:rPr>
          <w:rFonts w:eastAsia="Times New Roman"/>
        </w:rPr>
        <w:t>programs</w:t>
      </w:r>
      <w:r w:rsidR="009C7DC8">
        <w:rPr>
          <w:rFonts w:eastAsia="Times New Roman"/>
        </w:rPr>
        <w:t xml:space="preserve"> (particularly those operating in challenging border areas)</w:t>
      </w:r>
      <w:r w:rsidR="0041172E" w:rsidRPr="003B75E4">
        <w:rPr>
          <w:rFonts w:eastAsia="Times New Roman"/>
        </w:rPr>
        <w:t xml:space="preserve"> are not where we would expect them to be</w:t>
      </w:r>
      <w:r w:rsidR="001200EA">
        <w:rPr>
          <w:rFonts w:eastAsia="Times New Roman"/>
        </w:rPr>
        <w:t>,</w:t>
      </w:r>
      <w:r w:rsidR="0041172E" w:rsidRPr="003B75E4">
        <w:rPr>
          <w:rFonts w:eastAsia="Times New Roman"/>
        </w:rPr>
        <w:t xml:space="preserve"> in terms of progress towards end-of-investment outcomes. </w:t>
      </w:r>
    </w:p>
    <w:p w:rsidR="008873B5" w:rsidRPr="003B75E4" w:rsidRDefault="00712DA1" w:rsidP="00A46AAE">
      <w:pPr>
        <w:spacing w:line="240" w:lineRule="auto"/>
        <w:rPr>
          <w:rFonts w:eastAsia="Times New Roman"/>
        </w:rPr>
      </w:pPr>
      <w:r>
        <w:rPr>
          <w:rFonts w:eastAsia="Times New Roman"/>
        </w:rPr>
        <w:t xml:space="preserve">Of the two IRIs from 2016/17, management was closely involved to bring about change.  </w:t>
      </w:r>
      <w:r w:rsidR="008873B5" w:rsidRPr="003B75E4">
        <w:rPr>
          <w:rFonts w:eastAsia="Times New Roman"/>
        </w:rPr>
        <w:t xml:space="preserve">The </w:t>
      </w:r>
      <w:r>
        <w:rPr>
          <w:rFonts w:eastAsia="Times New Roman"/>
        </w:rPr>
        <w:t xml:space="preserve">IRI involving the </w:t>
      </w:r>
      <w:r w:rsidR="001200EA" w:rsidRPr="003B75E4">
        <w:rPr>
          <w:rFonts w:eastAsia="Times New Roman"/>
        </w:rPr>
        <w:t>W</w:t>
      </w:r>
      <w:r w:rsidR="001200EA">
        <w:rPr>
          <w:rFonts w:eastAsia="Times New Roman"/>
        </w:rPr>
        <w:t>orld Bank</w:t>
      </w:r>
      <w:r w:rsidR="001200EA" w:rsidRPr="003B75E4">
        <w:rPr>
          <w:rFonts w:eastAsia="Times New Roman"/>
        </w:rPr>
        <w:t xml:space="preserve"> </w:t>
      </w:r>
      <w:r w:rsidR="008873B5" w:rsidRPr="003B75E4">
        <w:rPr>
          <w:rFonts w:eastAsia="Times New Roman"/>
        </w:rPr>
        <w:t xml:space="preserve">improved performance over the past year and received satisfactory ratings for </w:t>
      </w:r>
      <w:r w:rsidR="00643726" w:rsidRPr="003B75E4">
        <w:rPr>
          <w:rFonts w:eastAsia="Times New Roman"/>
        </w:rPr>
        <w:t xml:space="preserve">effectiveness, efficiency and gender. The ACIAR investment continued to deliver below expectations and was again deemed an IRI in the 2017/18 round. Both DFAT and ACIAR have acknowledged that the </w:t>
      </w:r>
      <w:r w:rsidR="00973239" w:rsidRPr="003B75E4">
        <w:rPr>
          <w:rFonts w:eastAsia="Times New Roman"/>
        </w:rPr>
        <w:t xml:space="preserve">AVCCR </w:t>
      </w:r>
      <w:r w:rsidR="00643726" w:rsidRPr="003B75E4">
        <w:rPr>
          <w:rFonts w:eastAsia="Times New Roman"/>
        </w:rPr>
        <w:t xml:space="preserve">modality was not fit-for purpose, and are now pursuing an alternative partnership arrangement which is expected to be signed by the end of 2018. This partnership will </w:t>
      </w:r>
      <w:r w:rsidR="000C2943">
        <w:rPr>
          <w:rFonts w:eastAsia="Times New Roman"/>
        </w:rPr>
        <w:t xml:space="preserve">position </w:t>
      </w:r>
      <w:r w:rsidR="00643726" w:rsidRPr="003B75E4">
        <w:rPr>
          <w:rFonts w:eastAsia="Times New Roman"/>
        </w:rPr>
        <w:t>ACIAR as a policy rather than an implementing partner</w:t>
      </w:r>
      <w:r w:rsidR="00F531F6">
        <w:rPr>
          <w:rFonts w:eastAsia="Times New Roman"/>
        </w:rPr>
        <w:t>.</w:t>
      </w:r>
    </w:p>
    <w:p w:rsidR="00920E91" w:rsidRDefault="005A04A4" w:rsidP="00A46AAE">
      <w:pPr>
        <w:spacing w:line="240" w:lineRule="auto"/>
        <w:rPr>
          <w:rFonts w:eastAsia="Times New Roman"/>
        </w:rPr>
      </w:pPr>
      <w:r w:rsidRPr="003B75E4">
        <w:rPr>
          <w:rFonts w:eastAsia="Times New Roman"/>
        </w:rPr>
        <w:t xml:space="preserve">The updated </w:t>
      </w:r>
      <w:r w:rsidR="009C7DC8">
        <w:rPr>
          <w:rFonts w:eastAsia="Times New Roman"/>
        </w:rPr>
        <w:t>Performance Assessment Framework (</w:t>
      </w:r>
      <w:r w:rsidRPr="003B75E4">
        <w:rPr>
          <w:rFonts w:eastAsia="Times New Roman"/>
        </w:rPr>
        <w:t>PAF</w:t>
      </w:r>
      <w:r w:rsidR="009C7DC8">
        <w:rPr>
          <w:rFonts w:eastAsia="Times New Roman"/>
        </w:rPr>
        <w:t>)</w:t>
      </w:r>
      <w:r w:rsidRPr="003B75E4">
        <w:rPr>
          <w:rFonts w:eastAsia="Times New Roman"/>
        </w:rPr>
        <w:t xml:space="preserve"> put in place last September has </w:t>
      </w:r>
      <w:r w:rsidR="00973239" w:rsidRPr="003B75E4">
        <w:rPr>
          <w:rFonts w:eastAsia="Times New Roman"/>
        </w:rPr>
        <w:t>improved</w:t>
      </w:r>
      <w:r w:rsidRPr="003B75E4">
        <w:rPr>
          <w:rFonts w:eastAsia="Times New Roman"/>
        </w:rPr>
        <w:t xml:space="preserve"> the performance culture </w:t>
      </w:r>
      <w:r w:rsidR="009C7DC8">
        <w:rPr>
          <w:rFonts w:eastAsia="Times New Roman"/>
        </w:rPr>
        <w:t>across</w:t>
      </w:r>
      <w:r w:rsidR="009C7DC8" w:rsidRPr="003B75E4">
        <w:rPr>
          <w:rFonts w:eastAsia="Times New Roman"/>
        </w:rPr>
        <w:t xml:space="preserve"> </w:t>
      </w:r>
      <w:r w:rsidRPr="003B75E4">
        <w:rPr>
          <w:rFonts w:eastAsia="Times New Roman"/>
        </w:rPr>
        <w:t xml:space="preserve">the program and led to a greater focus on outcome reporting – </w:t>
      </w:r>
      <w:r w:rsidR="000C2943">
        <w:rPr>
          <w:rFonts w:eastAsia="Times New Roman"/>
        </w:rPr>
        <w:t>which partly explains</w:t>
      </w:r>
      <w:r w:rsidRPr="003B75E4">
        <w:rPr>
          <w:rFonts w:eastAsia="Times New Roman"/>
        </w:rPr>
        <w:t xml:space="preserve"> the lower effectiveness scores this year. </w:t>
      </w:r>
      <w:r w:rsidR="001E057B">
        <w:rPr>
          <w:rFonts w:eastAsia="Times New Roman"/>
        </w:rPr>
        <w:t>In the past year, we carried out 11 monitoring visits</w:t>
      </w:r>
      <w:r w:rsidR="001E057B" w:rsidRPr="003B75E4">
        <w:rPr>
          <w:rFonts w:eastAsia="Times New Roman"/>
        </w:rPr>
        <w:t xml:space="preserve"> </w:t>
      </w:r>
      <w:r w:rsidR="001E057B">
        <w:rPr>
          <w:rFonts w:eastAsia="Times New Roman"/>
        </w:rPr>
        <w:t xml:space="preserve">but </w:t>
      </w:r>
      <w:r w:rsidR="00A40B58" w:rsidRPr="003B75E4">
        <w:rPr>
          <w:rFonts w:eastAsia="Times New Roman"/>
        </w:rPr>
        <w:t>ongoing</w:t>
      </w:r>
      <w:r w:rsidR="000C2943">
        <w:rPr>
          <w:rFonts w:eastAsia="Times New Roman"/>
        </w:rPr>
        <w:t xml:space="preserve"> </w:t>
      </w:r>
      <w:r w:rsidR="005F4E47">
        <w:rPr>
          <w:rFonts w:eastAsia="Times New Roman"/>
        </w:rPr>
        <w:t>in</w:t>
      </w:r>
      <w:r w:rsidR="000C2943">
        <w:rPr>
          <w:rFonts w:eastAsia="Times New Roman"/>
        </w:rPr>
        <w:t>security</w:t>
      </w:r>
      <w:r w:rsidR="00A40B58" w:rsidRPr="003B75E4">
        <w:rPr>
          <w:rFonts w:eastAsia="Times New Roman"/>
        </w:rPr>
        <w:t xml:space="preserve"> </w:t>
      </w:r>
      <w:r w:rsidR="000C2943">
        <w:rPr>
          <w:rFonts w:eastAsia="Times New Roman"/>
        </w:rPr>
        <w:t>ha</w:t>
      </w:r>
      <w:r w:rsidR="005F4E47">
        <w:rPr>
          <w:rFonts w:eastAsia="Times New Roman"/>
        </w:rPr>
        <w:t>s</w:t>
      </w:r>
      <w:r w:rsidR="000C2943">
        <w:rPr>
          <w:rFonts w:eastAsia="Times New Roman"/>
        </w:rPr>
        <w:t xml:space="preserve"> hampered</w:t>
      </w:r>
      <w:r w:rsidR="00A40B58" w:rsidRPr="003B75E4">
        <w:rPr>
          <w:rFonts w:eastAsia="Times New Roman"/>
        </w:rPr>
        <w:t xml:space="preserve"> access </w:t>
      </w:r>
      <w:r w:rsidR="000C2943">
        <w:rPr>
          <w:rFonts w:eastAsia="Times New Roman"/>
        </w:rPr>
        <w:t xml:space="preserve">to </w:t>
      </w:r>
      <w:r w:rsidR="00A40B58" w:rsidRPr="003B75E4">
        <w:rPr>
          <w:rFonts w:eastAsia="Times New Roman"/>
        </w:rPr>
        <w:t xml:space="preserve">program implementation sites in the border areas, in particular FATA and </w:t>
      </w:r>
      <w:proofErr w:type="spellStart"/>
      <w:r w:rsidR="00A40B58" w:rsidRPr="003B75E4">
        <w:rPr>
          <w:rFonts w:eastAsia="Times New Roman"/>
        </w:rPr>
        <w:t>Balochistan</w:t>
      </w:r>
      <w:proofErr w:type="spellEnd"/>
      <w:r w:rsidR="00920E91">
        <w:rPr>
          <w:rFonts w:eastAsia="Times New Roman"/>
        </w:rPr>
        <w:t xml:space="preserve">. </w:t>
      </w:r>
      <w:r w:rsidR="001E057B">
        <w:rPr>
          <w:rFonts w:eastAsia="Times New Roman"/>
        </w:rPr>
        <w:t xml:space="preserve">The </w:t>
      </w:r>
      <w:r w:rsidR="00A40B58" w:rsidRPr="003B75E4">
        <w:rPr>
          <w:rFonts w:eastAsia="Times New Roman"/>
        </w:rPr>
        <w:t xml:space="preserve">Pakistan program </w:t>
      </w:r>
      <w:r w:rsidR="00040F1C">
        <w:rPr>
          <w:rFonts w:eastAsia="Times New Roman"/>
        </w:rPr>
        <w:t>will</w:t>
      </w:r>
      <w:r w:rsidR="00A40B58" w:rsidRPr="003B75E4">
        <w:rPr>
          <w:rFonts w:eastAsia="Times New Roman"/>
        </w:rPr>
        <w:t xml:space="preserve"> link into remote monitoring </w:t>
      </w:r>
      <w:r w:rsidR="00040F1C">
        <w:rPr>
          <w:rFonts w:eastAsia="Times New Roman"/>
        </w:rPr>
        <w:t>work being undertaken by</w:t>
      </w:r>
      <w:r w:rsidR="00040F1C" w:rsidRPr="003B75E4">
        <w:rPr>
          <w:rFonts w:eastAsia="Times New Roman"/>
        </w:rPr>
        <w:t xml:space="preserve"> </w:t>
      </w:r>
      <w:r w:rsidR="00A40B58" w:rsidRPr="003B75E4">
        <w:rPr>
          <w:rFonts w:eastAsia="Times New Roman"/>
        </w:rPr>
        <w:t>the Afghanistan program to mitigate risks associated with restricted access to program sites.</w:t>
      </w:r>
      <w:r w:rsidR="00753530">
        <w:rPr>
          <w:rFonts w:eastAsia="Times New Roman"/>
        </w:rPr>
        <w:t xml:space="preserve"> </w:t>
      </w:r>
    </w:p>
    <w:p w:rsidR="00B316EC" w:rsidRDefault="00753530" w:rsidP="00A46AAE">
      <w:pPr>
        <w:spacing w:line="240" w:lineRule="auto"/>
        <w:rPr>
          <w:rFonts w:eastAsia="Times New Roman"/>
        </w:rPr>
      </w:pPr>
      <w:r>
        <w:rPr>
          <w:rFonts w:eastAsia="Times New Roman"/>
        </w:rPr>
        <w:t xml:space="preserve">The Pakistan program is </w:t>
      </w:r>
      <w:r w:rsidR="00040F1C">
        <w:rPr>
          <w:rFonts w:eastAsia="Times New Roman"/>
        </w:rPr>
        <w:t xml:space="preserve">also </w:t>
      </w:r>
      <w:r>
        <w:rPr>
          <w:rFonts w:eastAsia="Times New Roman"/>
        </w:rPr>
        <w:t>prioritising a smaller number of evaluations in line with the Evaluation Policy. This year we undertook an evaluation of the economic portfolio as a whole; next year we</w:t>
      </w:r>
      <w:r w:rsidR="00D500FE">
        <w:rPr>
          <w:rFonts w:eastAsia="Times New Roman"/>
        </w:rPr>
        <w:t xml:space="preserve"> will </w:t>
      </w:r>
      <w:r w:rsidR="00656EF7">
        <w:rPr>
          <w:rFonts w:eastAsia="Times New Roman"/>
        </w:rPr>
        <w:t xml:space="preserve">prioritise review and evaluation </w:t>
      </w:r>
      <w:r w:rsidR="00D500FE">
        <w:rPr>
          <w:rFonts w:eastAsia="Times New Roman"/>
        </w:rPr>
        <w:t xml:space="preserve">that </w:t>
      </w:r>
      <w:r w:rsidR="00656EF7">
        <w:rPr>
          <w:rFonts w:eastAsia="Times New Roman"/>
        </w:rPr>
        <w:t xml:space="preserve">supports </w:t>
      </w:r>
      <w:r w:rsidR="00D500FE">
        <w:rPr>
          <w:rFonts w:eastAsia="Times New Roman"/>
        </w:rPr>
        <w:t>learning for the new AIP</w:t>
      </w:r>
      <w:r w:rsidRPr="003B75E4">
        <w:rPr>
          <w:rFonts w:eastAsia="Times New Roman"/>
        </w:rPr>
        <w:t>.</w:t>
      </w:r>
    </w:p>
    <w:p w:rsidR="002A51CA" w:rsidRPr="007B4725" w:rsidRDefault="002A51CA" w:rsidP="007B4725">
      <w:pPr>
        <w:pStyle w:val="Heading2"/>
        <w:spacing w:before="0" w:after="0"/>
        <w:rPr>
          <w:b/>
          <w:szCs w:val="38"/>
        </w:rPr>
      </w:pPr>
      <w:r w:rsidRPr="007B4725">
        <w:rPr>
          <w:b/>
          <w:szCs w:val="38"/>
        </w:rPr>
        <w:t xml:space="preserve">Management </w:t>
      </w:r>
      <w:r w:rsidR="00AC302F" w:rsidRPr="007B4725">
        <w:rPr>
          <w:b/>
          <w:szCs w:val="38"/>
        </w:rPr>
        <w:t>actions</w:t>
      </w:r>
    </w:p>
    <w:p w:rsidR="005A3B76" w:rsidRPr="00A92BF6" w:rsidRDefault="009C7DC8" w:rsidP="00A46AAE">
      <w:pPr>
        <w:spacing w:line="240" w:lineRule="auto"/>
      </w:pPr>
      <w:r>
        <w:t>Over the next reporting period, we will finalise and publish the new Pakistan Aid Investment Plan (2019-2023) and associated Performance Assessment Framework. In support of this, t</w:t>
      </w:r>
      <w:r w:rsidRPr="00A92BF6">
        <w:t xml:space="preserve">he following </w:t>
      </w:r>
      <w:r w:rsidR="001A1F3D">
        <w:t xml:space="preserve">strategic and operational </w:t>
      </w:r>
      <w:r w:rsidRPr="00A92BF6">
        <w:t xml:space="preserve">management actions have been agreed for the 2018-19 </w:t>
      </w:r>
      <w:r>
        <w:t xml:space="preserve">reporting </w:t>
      </w:r>
      <w:r w:rsidRPr="00A92BF6">
        <w:t>period</w:t>
      </w:r>
      <w:r>
        <w:t>:</w:t>
      </w:r>
    </w:p>
    <w:p w:rsidR="009B1EFD" w:rsidRPr="00E03789" w:rsidRDefault="009B1EFD" w:rsidP="00A46AAE">
      <w:pPr>
        <w:spacing w:line="240" w:lineRule="auto"/>
        <w:rPr>
          <w:u w:val="single"/>
        </w:rPr>
      </w:pPr>
      <w:r w:rsidRPr="00E03789">
        <w:rPr>
          <w:b/>
          <w:u w:val="single"/>
        </w:rPr>
        <w:t>Strategic level management actions</w:t>
      </w:r>
      <w:r w:rsidRPr="00E03789">
        <w:rPr>
          <w:u w:val="single"/>
        </w:rPr>
        <w:t xml:space="preserve">: </w:t>
      </w:r>
    </w:p>
    <w:p w:rsidR="009B1EFD" w:rsidRDefault="00CC789F" w:rsidP="00A46AAE">
      <w:pPr>
        <w:spacing w:line="240" w:lineRule="auto"/>
      </w:pPr>
      <w:r>
        <w:t xml:space="preserve">1. </w:t>
      </w:r>
      <w:r w:rsidR="00040F1C">
        <w:t xml:space="preserve">We will </w:t>
      </w:r>
      <w:r w:rsidR="00712DA1">
        <w:t xml:space="preserve">continue to </w:t>
      </w:r>
      <w:r w:rsidR="00040F1C">
        <w:t xml:space="preserve">deliver a </w:t>
      </w:r>
      <w:r w:rsidR="009B1EFD">
        <w:t xml:space="preserve">body of work to </w:t>
      </w:r>
      <w:r w:rsidR="001B1B71">
        <w:t xml:space="preserve">implement Health Check recommendations and to </w:t>
      </w:r>
      <w:r w:rsidR="009B1EFD">
        <w:t xml:space="preserve">assist with </w:t>
      </w:r>
      <w:r w:rsidR="009B1EFD" w:rsidRPr="00B64821">
        <w:rPr>
          <w:b/>
        </w:rPr>
        <w:t>transition to the new AIP</w:t>
      </w:r>
      <w:r w:rsidR="009B1EFD">
        <w:t>, including:</w:t>
      </w:r>
    </w:p>
    <w:p w:rsidR="002D5A71" w:rsidRDefault="002D5A71" w:rsidP="002D5A71">
      <w:pPr>
        <w:pStyle w:val="Bullet2"/>
        <w:numPr>
          <w:ilvl w:val="1"/>
          <w:numId w:val="14"/>
        </w:numPr>
        <w:spacing w:before="120" w:line="240" w:lineRule="auto"/>
      </w:pPr>
      <w:r>
        <w:t xml:space="preserve">Liaise closely with the Economic Affairs Division (EAD), particularly as the new Government settles in, and with other development partners to manage expectations on the direction of the next AIP </w:t>
      </w:r>
    </w:p>
    <w:p w:rsidR="008F1F4B" w:rsidRDefault="008F1F4B" w:rsidP="008F1F4B">
      <w:pPr>
        <w:pStyle w:val="Bullet2"/>
        <w:numPr>
          <w:ilvl w:val="1"/>
          <w:numId w:val="14"/>
        </w:numPr>
        <w:spacing w:before="120" w:line="240" w:lineRule="auto"/>
      </w:pPr>
      <w:r>
        <w:t>Continue to assess and recalibrate DFAT’s engagement with partners, with an emphasis on World Bank, ACIAR and WFP, to ensure we are collaborating as effectively as possible</w:t>
      </w:r>
    </w:p>
    <w:p w:rsidR="002D5A71" w:rsidRDefault="008C23B0" w:rsidP="002D5A71">
      <w:pPr>
        <w:pStyle w:val="Bullet2"/>
        <w:numPr>
          <w:ilvl w:val="1"/>
          <w:numId w:val="14"/>
        </w:numPr>
        <w:spacing w:before="120" w:line="240" w:lineRule="auto"/>
      </w:pPr>
      <w:r>
        <w:t>Finalise and implement a pipeline and budget transition plan, r</w:t>
      </w:r>
      <w:r w:rsidR="002D5A71">
        <w:t xml:space="preserve">educing the number of bilateral </w:t>
      </w:r>
      <w:r>
        <w:t>investments over the next three years</w:t>
      </w:r>
    </w:p>
    <w:p w:rsidR="002D5A71" w:rsidRDefault="002D5A71" w:rsidP="002D5A71">
      <w:pPr>
        <w:pStyle w:val="Bullet2"/>
        <w:numPr>
          <w:ilvl w:val="1"/>
          <w:numId w:val="14"/>
        </w:numPr>
        <w:spacing w:before="120" w:line="240" w:lineRule="auto"/>
      </w:pPr>
      <w:r>
        <w:t>Continue to manage carefully change in our programming and strategic approach with DFAT staff, at Post and Canberra, including developing capability where necessary</w:t>
      </w:r>
    </w:p>
    <w:p w:rsidR="008C23B0" w:rsidRDefault="002D5A71" w:rsidP="00A46AAE">
      <w:pPr>
        <w:pStyle w:val="Bullet2"/>
        <w:numPr>
          <w:ilvl w:val="1"/>
          <w:numId w:val="14"/>
        </w:numPr>
        <w:spacing w:before="120" w:line="240" w:lineRule="auto"/>
      </w:pPr>
      <w:r>
        <w:t>Develop policy engagement plans for our priority areas of gender equality and water and agriculture policy engagement plan, both linking to our forthcoming Post public diplomacy strategy and reflecting the importance of provincial and federal level stakeholders</w:t>
      </w:r>
    </w:p>
    <w:p w:rsidR="008F1F4B" w:rsidRDefault="008F1F4B" w:rsidP="008F1F4B">
      <w:pPr>
        <w:pStyle w:val="Bullet2"/>
        <w:numPr>
          <w:ilvl w:val="1"/>
          <w:numId w:val="14"/>
        </w:numPr>
        <w:spacing w:before="120" w:line="240" w:lineRule="auto"/>
      </w:pPr>
      <w:r>
        <w:t>Commence design on new investments, such as the gender portfolio, knowledge partnership and small grants fund, to ensure seamless transition of programming 2019/20 and 2020/21</w:t>
      </w:r>
    </w:p>
    <w:p w:rsidR="003E5501" w:rsidRDefault="008C23B0" w:rsidP="00A46AAE">
      <w:pPr>
        <w:pStyle w:val="Bullet2"/>
        <w:numPr>
          <w:ilvl w:val="1"/>
          <w:numId w:val="14"/>
        </w:numPr>
        <w:spacing w:before="120" w:line="240" w:lineRule="auto"/>
      </w:pPr>
      <w:r w:rsidRPr="009872E7">
        <w:t>Ensure systems, resources and strategies are in place to maintain solid gender performance across the aid program in 2018/19 and throughout the next AIP, including increasing our emphasis on managing risks to gender equality work and monitoring for unintended consequences</w:t>
      </w:r>
      <w:r w:rsidR="003E5501">
        <w:t xml:space="preserve">. </w:t>
      </w:r>
      <w:r>
        <w:t>This includes f</w:t>
      </w:r>
      <w:r w:rsidR="005A3B76">
        <w:t>inalis</w:t>
      </w:r>
      <w:r>
        <w:t>ing</w:t>
      </w:r>
      <w:r w:rsidR="005A3B76">
        <w:t xml:space="preserve"> </w:t>
      </w:r>
      <w:r w:rsidR="00712DA1">
        <w:t xml:space="preserve">a </w:t>
      </w:r>
      <w:r w:rsidR="009B1EFD">
        <w:t>Post Gender</w:t>
      </w:r>
      <w:r w:rsidR="009872E7">
        <w:t xml:space="preserve"> </w:t>
      </w:r>
      <w:r w:rsidR="009B1EFD">
        <w:t>Strategy</w:t>
      </w:r>
      <w:r w:rsidR="00000A5C">
        <w:t xml:space="preserve"> and</w:t>
      </w:r>
      <w:r w:rsidR="009B1EFD">
        <w:t xml:space="preserve"> Action Plan </w:t>
      </w:r>
    </w:p>
    <w:p w:rsidR="008B39AD" w:rsidRDefault="008C16A3" w:rsidP="00F46617">
      <w:pPr>
        <w:pStyle w:val="Bullet2"/>
        <w:numPr>
          <w:ilvl w:val="1"/>
          <w:numId w:val="14"/>
        </w:numPr>
        <w:spacing w:before="120" w:line="240" w:lineRule="auto"/>
      </w:pPr>
      <w:r>
        <w:t xml:space="preserve">Give considered focus to the cross-cutting issues of systems strengthening, </w:t>
      </w:r>
      <w:r w:rsidR="00F32081">
        <w:t xml:space="preserve">conflict sensitivity, gender equality, </w:t>
      </w:r>
      <w:r>
        <w:t>climate change</w:t>
      </w:r>
      <w:r w:rsidR="00F32081">
        <w:t xml:space="preserve"> and</w:t>
      </w:r>
      <w:r>
        <w:t xml:space="preserve"> disability under the next AIP, including working with DFAT specialists and partners for policy impact</w:t>
      </w:r>
      <w:r w:rsidR="008B39AD" w:rsidRPr="008B39AD">
        <w:t xml:space="preserve"> </w:t>
      </w:r>
    </w:p>
    <w:p w:rsidR="008C16A3" w:rsidRDefault="008B39AD" w:rsidP="00F46617">
      <w:pPr>
        <w:pStyle w:val="Bullet2"/>
        <w:numPr>
          <w:ilvl w:val="1"/>
          <w:numId w:val="14"/>
        </w:numPr>
        <w:spacing w:before="120" w:line="240" w:lineRule="auto"/>
      </w:pPr>
      <w:r>
        <w:t>Ensure risk management and innovation continues to be at the core of our operations</w:t>
      </w:r>
      <w:r w:rsidR="00F46617">
        <w:t>.</w:t>
      </w:r>
    </w:p>
    <w:p w:rsidR="009B1EFD" w:rsidRPr="00E03789" w:rsidRDefault="009B1EFD" w:rsidP="00A46AAE">
      <w:pPr>
        <w:spacing w:line="240" w:lineRule="auto"/>
        <w:rPr>
          <w:b/>
          <w:u w:val="single"/>
        </w:rPr>
      </w:pPr>
      <w:r w:rsidRPr="00E03789">
        <w:rPr>
          <w:b/>
          <w:u w:val="single"/>
        </w:rPr>
        <w:t xml:space="preserve">Operational level management actions: </w:t>
      </w:r>
    </w:p>
    <w:p w:rsidR="009B1EFD" w:rsidRDefault="00D500FE" w:rsidP="00A46AAE">
      <w:pPr>
        <w:spacing w:line="240" w:lineRule="auto"/>
      </w:pPr>
      <w:r>
        <w:t>2</w:t>
      </w:r>
      <w:r w:rsidR="00CC789F">
        <w:t xml:space="preserve">. </w:t>
      </w:r>
      <w:r w:rsidR="00040F1C">
        <w:t>We will pursue a</w:t>
      </w:r>
      <w:r w:rsidR="009B1EFD">
        <w:t xml:space="preserve"> number of operational level actions over the next reporting period, including:</w:t>
      </w:r>
    </w:p>
    <w:p w:rsidR="00FD459D" w:rsidRDefault="00FD459D" w:rsidP="00F46617">
      <w:pPr>
        <w:pStyle w:val="Bullet2"/>
        <w:numPr>
          <w:ilvl w:val="1"/>
          <w:numId w:val="24"/>
        </w:numPr>
        <w:spacing w:before="120" w:line="240" w:lineRule="auto"/>
      </w:pPr>
      <w:r>
        <w:t xml:space="preserve">Continue to advocate for a robust civil society in Pakistan, including closely monitoring and preparing for the outcome of the INGO registration process for </w:t>
      </w:r>
      <w:proofErr w:type="spellStart"/>
      <w:r>
        <w:t>Trocaire</w:t>
      </w:r>
      <w:proofErr w:type="spellEnd"/>
      <w:r>
        <w:t xml:space="preserve"> (our lead EVAW implementing partner), The Asia Foundation and other INGO partners (Objective 2)</w:t>
      </w:r>
    </w:p>
    <w:p w:rsidR="00FD459D" w:rsidRDefault="00FD459D" w:rsidP="00F46617">
      <w:pPr>
        <w:pStyle w:val="Bullet2"/>
        <w:numPr>
          <w:ilvl w:val="1"/>
          <w:numId w:val="24"/>
        </w:numPr>
        <w:spacing w:before="120" w:line="240" w:lineRule="auto"/>
      </w:pPr>
      <w:r>
        <w:t>Work with UNFPA and WFP under the new Afghanistan Pakistan Humanitarian Strategy, closely monitoring implications of the FATA merger with KP, and future plans for MDTF-BA (Objective 3)</w:t>
      </w:r>
    </w:p>
    <w:p w:rsidR="00D500FE" w:rsidRPr="001A1F3D" w:rsidRDefault="00D500FE" w:rsidP="00F46617">
      <w:pPr>
        <w:pStyle w:val="Bullet2"/>
        <w:numPr>
          <w:ilvl w:val="1"/>
          <w:numId w:val="24"/>
        </w:numPr>
        <w:spacing w:before="120" w:line="240" w:lineRule="auto"/>
      </w:pPr>
      <w:r w:rsidRPr="005F2563">
        <w:t>Develop and monitor s</w:t>
      </w:r>
      <w:r w:rsidRPr="001A1F3D">
        <w:t>trategies to increase the percentage of women receiving short course awards</w:t>
      </w:r>
      <w:r w:rsidR="00622DBB">
        <w:t xml:space="preserve"> (Objective 2)</w:t>
      </w:r>
    </w:p>
    <w:p w:rsidR="003E5501" w:rsidRDefault="001A1F3D" w:rsidP="00F46617">
      <w:pPr>
        <w:pStyle w:val="Bullet2"/>
        <w:numPr>
          <w:ilvl w:val="1"/>
          <w:numId w:val="24"/>
        </w:numPr>
        <w:spacing w:before="120" w:line="240" w:lineRule="auto"/>
      </w:pPr>
      <w:r>
        <w:t>B</w:t>
      </w:r>
      <w:r w:rsidR="009B1EFD">
        <w:t xml:space="preserve">uild on efforts to strengthen </w:t>
      </w:r>
      <w:r w:rsidR="008B39AD">
        <w:t>links</w:t>
      </w:r>
      <w:r w:rsidR="009B1EFD">
        <w:t xml:space="preserve"> with the South Asia </w:t>
      </w:r>
      <w:r w:rsidR="00040F1C">
        <w:t xml:space="preserve">Regional </w:t>
      </w:r>
      <w:r w:rsidR="009B1EFD">
        <w:t>Sustainable Development Investment Portfolio</w:t>
      </w:r>
      <w:r w:rsidR="003E5501">
        <w:t xml:space="preserve"> (SDIP) </w:t>
      </w:r>
      <w:r w:rsidR="008B39AD">
        <w:t xml:space="preserve">program </w:t>
      </w:r>
      <w:r w:rsidR="00121086">
        <w:t>(Objective 1)</w:t>
      </w:r>
    </w:p>
    <w:p w:rsidR="008C23B0" w:rsidRDefault="008C23B0" w:rsidP="00F46617">
      <w:pPr>
        <w:pStyle w:val="Bullet2"/>
        <w:numPr>
          <w:ilvl w:val="1"/>
          <w:numId w:val="24"/>
        </w:numPr>
        <w:spacing w:before="120" w:line="240" w:lineRule="auto"/>
      </w:pPr>
      <w:r>
        <w:t>Conduct a climate change workshop at Post and establish a climate change/DRR focal-point</w:t>
      </w:r>
    </w:p>
    <w:p w:rsidR="00F32081" w:rsidRDefault="00F32081" w:rsidP="00F46617">
      <w:pPr>
        <w:pStyle w:val="Bullet2"/>
        <w:numPr>
          <w:ilvl w:val="1"/>
          <w:numId w:val="24"/>
        </w:numPr>
        <w:spacing w:before="120" w:line="240" w:lineRule="auto"/>
      </w:pPr>
      <w:r>
        <w:t>Refresh skills and preparedness on humanitarian response in the event of a large-scale emergency</w:t>
      </w:r>
      <w:r w:rsidR="008B39AD">
        <w:t>.</w:t>
      </w:r>
    </w:p>
    <w:p w:rsidR="00A46AAE" w:rsidRDefault="00A46AAE" w:rsidP="00A46AAE">
      <w:pPr>
        <w:pStyle w:val="Bullet2"/>
        <w:numPr>
          <w:ilvl w:val="0"/>
          <w:numId w:val="0"/>
        </w:numPr>
        <w:sectPr w:rsidR="00A46AAE" w:rsidSect="00C6626C">
          <w:pgSz w:w="11906" w:h="16838" w:code="9"/>
          <w:pgMar w:top="1527" w:right="1134" w:bottom="851" w:left="1134" w:header="1418" w:footer="567" w:gutter="0"/>
          <w:cols w:space="397"/>
          <w:docGrid w:linePitch="360"/>
        </w:sectPr>
      </w:pPr>
    </w:p>
    <w:p w:rsidR="00A46AAE" w:rsidRPr="00A46AAE" w:rsidRDefault="00400B0F" w:rsidP="00A46AAE">
      <w:pPr>
        <w:pStyle w:val="Subtitle"/>
        <w:numPr>
          <w:ilvl w:val="0"/>
          <w:numId w:val="0"/>
        </w:numPr>
        <w:spacing w:before="0" w:after="0"/>
        <w:rPr>
          <w:rFonts w:asciiTheme="majorHAnsi" w:hAnsiTheme="majorHAnsi"/>
          <w:b/>
          <w:szCs w:val="38"/>
        </w:rPr>
      </w:pPr>
      <w:r w:rsidRPr="007B4725">
        <w:rPr>
          <w:rFonts w:asciiTheme="majorHAnsi" w:hAnsiTheme="majorHAnsi"/>
          <w:b/>
          <w:szCs w:val="38"/>
        </w:rPr>
        <w:t xml:space="preserve">Annex A </w:t>
      </w:r>
      <w:r w:rsidR="007B4725">
        <w:rPr>
          <w:rFonts w:asciiTheme="majorHAnsi" w:hAnsiTheme="majorHAnsi"/>
          <w:b/>
          <w:szCs w:val="38"/>
        </w:rPr>
        <w:t>–</w:t>
      </w:r>
      <w:r w:rsidRPr="007B4725">
        <w:rPr>
          <w:rFonts w:asciiTheme="majorHAnsi" w:hAnsiTheme="majorHAnsi"/>
          <w:b/>
          <w:szCs w:val="38"/>
        </w:rPr>
        <w:t xml:space="preserve"> Progress in Addressing Management </w:t>
      </w:r>
      <w:r w:rsidR="00AC302F" w:rsidRPr="007B4725">
        <w:rPr>
          <w:rFonts w:asciiTheme="majorHAnsi" w:hAnsiTheme="majorHAnsi"/>
          <w:b/>
          <w:szCs w:val="38"/>
        </w:rPr>
        <w:t>actions</w:t>
      </w:r>
    </w:p>
    <w:tbl>
      <w:tblPr>
        <w:tblStyle w:val="APPR"/>
        <w:tblpPr w:leftFromText="180" w:rightFromText="180" w:vertAnchor="text" w:tblpY="1"/>
        <w:tblW w:w="5000" w:type="pct"/>
        <w:tblLayout w:type="fixed"/>
        <w:tblLook w:val="0000" w:firstRow="0" w:lastRow="0" w:firstColumn="0" w:lastColumn="0" w:noHBand="0" w:noVBand="0"/>
      </w:tblPr>
      <w:tblGrid>
        <w:gridCol w:w="6522"/>
        <w:gridCol w:w="993"/>
        <w:gridCol w:w="6945"/>
      </w:tblGrid>
      <w:tr w:rsidR="00400B0F" w:rsidRPr="00C61187" w:rsidTr="006F27B1">
        <w:trPr>
          <w:cnfStyle w:val="000000010000" w:firstRow="0" w:lastRow="0" w:firstColumn="0" w:lastColumn="0" w:oddVBand="0" w:evenVBand="0" w:oddHBand="0" w:evenHBand="1" w:firstRowFirstColumn="0" w:firstRowLastColumn="0" w:lastRowFirstColumn="0" w:lastRowLastColumn="0"/>
        </w:trPr>
        <w:tc>
          <w:tcPr>
            <w:tcW w:w="6473" w:type="dxa"/>
          </w:tcPr>
          <w:p w:rsidR="00400B0F" w:rsidRPr="00880004" w:rsidRDefault="00400B0F" w:rsidP="00A54034">
            <w:pPr>
              <w:keepLines/>
              <w:spacing w:before="80" w:after="80" w:line="200" w:lineRule="atLeast"/>
              <w:rPr>
                <w:rFonts w:asciiTheme="minorHAnsi" w:eastAsia="Times New Roman" w:hAnsiTheme="minorHAnsi"/>
                <w:b/>
                <w:iCs/>
                <w:szCs w:val="17"/>
                <w:lang w:eastAsia="en-US"/>
              </w:rPr>
            </w:pPr>
            <w:r w:rsidRPr="00880004">
              <w:rPr>
                <w:rFonts w:asciiTheme="minorHAnsi" w:eastAsia="Times New Roman" w:hAnsiTheme="minorHAnsi"/>
                <w:b/>
                <w:iCs/>
                <w:szCs w:val="17"/>
                <w:lang w:eastAsia="en-US"/>
              </w:rPr>
              <w:t xml:space="preserve">Management </w:t>
            </w:r>
            <w:r w:rsidR="00A54034">
              <w:rPr>
                <w:rFonts w:asciiTheme="minorHAnsi" w:eastAsia="Times New Roman" w:hAnsiTheme="minorHAnsi"/>
                <w:b/>
                <w:iCs/>
                <w:szCs w:val="17"/>
                <w:lang w:eastAsia="en-US"/>
              </w:rPr>
              <w:t>actions</w:t>
            </w:r>
            <w:r w:rsidRPr="00880004">
              <w:rPr>
                <w:rFonts w:asciiTheme="minorHAnsi" w:eastAsia="Times New Roman" w:hAnsiTheme="minorHAnsi"/>
                <w:b/>
                <w:iCs/>
                <w:szCs w:val="17"/>
                <w:lang w:eastAsia="en-US"/>
              </w:rPr>
              <w:t xml:space="preserve"> identified in 201</w:t>
            </w:r>
            <w:r w:rsidR="009D28B5">
              <w:rPr>
                <w:rFonts w:asciiTheme="minorHAnsi" w:eastAsia="Times New Roman" w:hAnsiTheme="minorHAnsi"/>
                <w:b/>
                <w:iCs/>
                <w:szCs w:val="17"/>
                <w:lang w:eastAsia="en-US"/>
              </w:rPr>
              <w:t>6</w:t>
            </w:r>
            <w:r w:rsidRPr="00880004">
              <w:rPr>
                <w:rFonts w:asciiTheme="minorHAnsi" w:eastAsia="Times New Roman" w:hAnsiTheme="minorHAnsi"/>
                <w:b/>
                <w:iCs/>
                <w:szCs w:val="17"/>
                <w:lang w:eastAsia="en-US"/>
              </w:rPr>
              <w:t>-1</w:t>
            </w:r>
            <w:r w:rsidR="009D28B5">
              <w:rPr>
                <w:rFonts w:asciiTheme="minorHAnsi" w:eastAsia="Times New Roman" w:hAnsiTheme="minorHAnsi"/>
                <w:b/>
                <w:iCs/>
                <w:szCs w:val="17"/>
                <w:lang w:eastAsia="en-US"/>
              </w:rPr>
              <w:t>7</w:t>
            </w:r>
            <w:r w:rsidRPr="00880004">
              <w:rPr>
                <w:rFonts w:asciiTheme="minorHAnsi" w:eastAsia="Times New Roman" w:hAnsiTheme="minorHAnsi"/>
                <w:b/>
                <w:iCs/>
                <w:szCs w:val="17"/>
                <w:lang w:eastAsia="en-US"/>
              </w:rPr>
              <w:t xml:space="preserve"> APPR</w:t>
            </w:r>
            <w:r w:rsidRPr="00880004">
              <w:rPr>
                <w:rFonts w:asciiTheme="minorHAnsi" w:eastAsia="Times New Roman" w:hAnsiTheme="minorHAnsi"/>
                <w:b/>
                <w:iCs/>
                <w:szCs w:val="17"/>
                <w:lang w:eastAsia="en-US"/>
              </w:rPr>
              <w:tab/>
            </w:r>
          </w:p>
        </w:tc>
        <w:tc>
          <w:tcPr>
            <w:tcW w:w="964" w:type="dxa"/>
          </w:tcPr>
          <w:p w:rsidR="00400B0F" w:rsidRPr="00880004" w:rsidRDefault="00400B0F" w:rsidP="006F27B1">
            <w:pPr>
              <w:keepLines/>
              <w:spacing w:before="80" w:after="80" w:line="200" w:lineRule="atLeast"/>
              <w:rPr>
                <w:rFonts w:asciiTheme="minorHAnsi" w:eastAsia="Times New Roman" w:hAnsiTheme="minorHAnsi"/>
                <w:b/>
                <w:iCs/>
                <w:szCs w:val="17"/>
                <w:lang w:eastAsia="en-US"/>
              </w:rPr>
            </w:pPr>
            <w:r w:rsidRPr="00880004">
              <w:rPr>
                <w:rFonts w:asciiTheme="minorHAnsi" w:eastAsia="Times New Roman" w:hAnsiTheme="minorHAnsi"/>
                <w:b/>
                <w:iCs/>
                <w:szCs w:val="17"/>
                <w:lang w:eastAsia="en-US"/>
              </w:rPr>
              <w:t>Rating</w:t>
            </w:r>
          </w:p>
        </w:tc>
        <w:tc>
          <w:tcPr>
            <w:tcW w:w="6896" w:type="dxa"/>
          </w:tcPr>
          <w:p w:rsidR="00400B0F" w:rsidRPr="00880004" w:rsidRDefault="00400B0F" w:rsidP="002D37BC">
            <w:pPr>
              <w:keepLines/>
              <w:spacing w:before="80" w:after="80" w:line="200" w:lineRule="atLeast"/>
              <w:jc w:val="center"/>
              <w:rPr>
                <w:rFonts w:asciiTheme="minorHAnsi" w:eastAsia="Times New Roman" w:hAnsiTheme="minorHAnsi"/>
                <w:b/>
                <w:iCs/>
                <w:szCs w:val="17"/>
                <w:lang w:eastAsia="en-US"/>
              </w:rPr>
            </w:pPr>
            <w:r w:rsidRPr="00880004">
              <w:rPr>
                <w:rFonts w:asciiTheme="minorHAnsi" w:eastAsia="Times New Roman" w:hAnsiTheme="minorHAnsi"/>
                <w:b/>
                <w:iCs/>
                <w:szCs w:val="17"/>
                <w:lang w:eastAsia="en-US"/>
              </w:rPr>
              <w:t>Progress made  in 201</w:t>
            </w:r>
            <w:r w:rsidR="002D37BC">
              <w:rPr>
                <w:rFonts w:asciiTheme="minorHAnsi" w:eastAsia="Times New Roman" w:hAnsiTheme="minorHAnsi"/>
                <w:b/>
                <w:iCs/>
                <w:szCs w:val="17"/>
                <w:lang w:eastAsia="en-US"/>
              </w:rPr>
              <w:t>7</w:t>
            </w:r>
            <w:r w:rsidRPr="00880004">
              <w:rPr>
                <w:rFonts w:asciiTheme="minorHAnsi" w:eastAsia="Times New Roman" w:hAnsiTheme="minorHAnsi"/>
                <w:b/>
                <w:iCs/>
                <w:szCs w:val="17"/>
                <w:lang w:eastAsia="en-US"/>
              </w:rPr>
              <w:t>-1</w:t>
            </w:r>
            <w:r w:rsidR="002D37BC">
              <w:rPr>
                <w:rFonts w:asciiTheme="minorHAnsi" w:eastAsia="Times New Roman" w:hAnsiTheme="minorHAnsi"/>
                <w:b/>
                <w:iCs/>
                <w:szCs w:val="17"/>
                <w:lang w:eastAsia="en-US"/>
              </w:rPr>
              <w:t>8</w:t>
            </w:r>
          </w:p>
        </w:tc>
      </w:tr>
      <w:tr w:rsidR="00400B0F" w:rsidRPr="00C61187" w:rsidTr="006F27B1">
        <w:trPr>
          <w:cnfStyle w:val="000000010000" w:firstRow="0" w:lastRow="0" w:firstColumn="0" w:lastColumn="0" w:oddVBand="0" w:evenVBand="0" w:oddHBand="0" w:evenHBand="1" w:firstRowFirstColumn="0" w:firstRowLastColumn="0" w:lastRowFirstColumn="0" w:lastRowLastColumn="0"/>
        </w:trPr>
        <w:tc>
          <w:tcPr>
            <w:tcW w:w="6473" w:type="dxa"/>
          </w:tcPr>
          <w:p w:rsidR="00400B0F" w:rsidRPr="003341D9" w:rsidRDefault="009E41ED" w:rsidP="009E41ED">
            <w:pPr>
              <w:keepLines/>
              <w:spacing w:before="40" w:after="40" w:line="200" w:lineRule="atLeast"/>
              <w:rPr>
                <w:rFonts w:asciiTheme="minorHAnsi" w:eastAsia="Times New Roman" w:hAnsiTheme="minorHAnsi"/>
                <w:iCs/>
                <w:color w:val="36424B" w:themeColor="text2" w:themeShade="BF"/>
                <w:szCs w:val="17"/>
                <w:lang w:eastAsia="en-US"/>
              </w:rPr>
            </w:pPr>
            <w:r w:rsidRPr="003341D9">
              <w:rPr>
                <w:rFonts w:asciiTheme="minorHAnsi" w:eastAsia="Times New Roman" w:hAnsiTheme="minorHAnsi"/>
                <w:iCs/>
                <w:color w:val="36424B" w:themeColor="text2" w:themeShade="BF"/>
                <w:szCs w:val="17"/>
                <w:lang w:eastAsia="en-US"/>
              </w:rPr>
              <w:t>Undertake strategic program review and pipeline planning including Gender Strategy Review, DFAT Aid Health Check and AIP review to feed into Australia’s next Aid Investment Plan for Pakistan</w:t>
            </w:r>
            <w:r w:rsidRPr="003341D9">
              <w:rPr>
                <w:b/>
                <w:color w:val="36424B" w:themeColor="text2" w:themeShade="BF"/>
              </w:rPr>
              <w:t xml:space="preserve"> </w:t>
            </w:r>
          </w:p>
        </w:tc>
        <w:tc>
          <w:tcPr>
            <w:tcW w:w="964" w:type="dxa"/>
            <w:shd w:val="clear" w:color="auto" w:fill="72AF2F"/>
          </w:tcPr>
          <w:p w:rsidR="00400B0F" w:rsidRPr="00880004" w:rsidRDefault="00400B0F" w:rsidP="006F27B1">
            <w:pPr>
              <w:keepLines/>
              <w:spacing w:before="40" w:after="40" w:line="200" w:lineRule="atLeast"/>
              <w:jc w:val="center"/>
              <w:rPr>
                <w:rFonts w:asciiTheme="minorHAnsi" w:eastAsia="Times New Roman" w:hAnsiTheme="minorHAnsi"/>
                <w:iCs/>
                <w:color w:val="FFFFFF" w:themeColor="background1"/>
                <w:szCs w:val="17"/>
                <w:lang w:eastAsia="en-US"/>
              </w:rPr>
            </w:pPr>
            <w:r w:rsidRPr="00880004">
              <w:rPr>
                <w:rFonts w:asciiTheme="minorHAnsi" w:eastAsia="Times New Roman" w:hAnsiTheme="minorHAnsi"/>
                <w:iCs/>
                <w:color w:val="FFFFFF" w:themeColor="background1"/>
                <w:szCs w:val="17"/>
                <w:lang w:eastAsia="en-US"/>
              </w:rPr>
              <w:t>Achieved</w:t>
            </w:r>
          </w:p>
        </w:tc>
        <w:tc>
          <w:tcPr>
            <w:tcW w:w="6896" w:type="dxa"/>
          </w:tcPr>
          <w:p w:rsidR="00400B0F" w:rsidRPr="003341D9" w:rsidRDefault="00ED5BC2" w:rsidP="00016ABD">
            <w:pPr>
              <w:keepLines/>
              <w:spacing w:before="40" w:after="40" w:line="200" w:lineRule="atLeast"/>
              <w:rPr>
                <w:rFonts w:asciiTheme="minorHAnsi" w:eastAsia="Times New Roman" w:hAnsiTheme="minorHAnsi"/>
                <w:iCs/>
                <w:color w:val="36424B" w:themeColor="text2" w:themeShade="BF"/>
                <w:szCs w:val="17"/>
                <w:lang w:eastAsia="en-US"/>
              </w:rPr>
            </w:pPr>
            <w:r w:rsidRPr="003341D9">
              <w:rPr>
                <w:rFonts w:asciiTheme="minorHAnsi" w:eastAsia="Times New Roman" w:hAnsiTheme="minorHAnsi"/>
                <w:iCs/>
                <w:color w:val="36424B" w:themeColor="text2" w:themeShade="BF"/>
                <w:szCs w:val="17"/>
                <w:lang w:eastAsia="en-US"/>
              </w:rPr>
              <w:t>We have</w:t>
            </w:r>
            <w:r w:rsidR="009E41ED" w:rsidRPr="003341D9">
              <w:rPr>
                <w:rFonts w:asciiTheme="minorHAnsi" w:eastAsia="Times New Roman" w:hAnsiTheme="minorHAnsi"/>
                <w:iCs/>
                <w:color w:val="36424B" w:themeColor="text2" w:themeShade="BF"/>
                <w:szCs w:val="17"/>
                <w:lang w:eastAsia="en-US"/>
              </w:rPr>
              <w:t xml:space="preserve"> undertaken a number of reviews to inform future strategic priorities, consolidation options and pipeline planning for the next AIP. It includes: Aid Health check; Review of Post’s Gender </w:t>
            </w:r>
            <w:r w:rsidR="009D63A0">
              <w:rPr>
                <w:rFonts w:asciiTheme="minorHAnsi" w:eastAsia="Times New Roman" w:hAnsiTheme="minorHAnsi"/>
                <w:iCs/>
                <w:color w:val="36424B" w:themeColor="text2" w:themeShade="BF"/>
                <w:szCs w:val="17"/>
                <w:lang w:eastAsia="en-US"/>
              </w:rPr>
              <w:t>S</w:t>
            </w:r>
            <w:r w:rsidR="009E41ED" w:rsidRPr="003341D9">
              <w:rPr>
                <w:rFonts w:asciiTheme="minorHAnsi" w:eastAsia="Times New Roman" w:hAnsiTheme="minorHAnsi"/>
                <w:iCs/>
                <w:color w:val="36424B" w:themeColor="text2" w:themeShade="BF"/>
                <w:szCs w:val="17"/>
                <w:lang w:eastAsia="en-US"/>
              </w:rPr>
              <w:t>trategy; Analysis of development donors</w:t>
            </w:r>
            <w:r w:rsidR="00016ABD">
              <w:rPr>
                <w:rFonts w:asciiTheme="minorHAnsi" w:eastAsia="Times New Roman" w:hAnsiTheme="minorHAnsi"/>
                <w:iCs/>
                <w:color w:val="36424B" w:themeColor="text2" w:themeShade="BF"/>
                <w:szCs w:val="17"/>
                <w:lang w:eastAsia="en-US"/>
              </w:rPr>
              <w:t xml:space="preserve"> and </w:t>
            </w:r>
            <w:r w:rsidR="009E41ED" w:rsidRPr="003341D9">
              <w:rPr>
                <w:rFonts w:asciiTheme="minorHAnsi" w:eastAsia="Times New Roman" w:hAnsiTheme="minorHAnsi"/>
                <w:iCs/>
                <w:color w:val="36424B" w:themeColor="text2" w:themeShade="BF"/>
                <w:szCs w:val="17"/>
                <w:lang w:eastAsia="en-US"/>
              </w:rPr>
              <w:t>Pakistan</w:t>
            </w:r>
            <w:r w:rsidR="00016ABD">
              <w:rPr>
                <w:rFonts w:asciiTheme="minorHAnsi" w:eastAsia="Times New Roman" w:hAnsiTheme="minorHAnsi"/>
                <w:iCs/>
                <w:color w:val="36424B" w:themeColor="text2" w:themeShade="BF"/>
                <w:szCs w:val="17"/>
                <w:lang w:eastAsia="en-US"/>
              </w:rPr>
              <w:t>’s</w:t>
            </w:r>
            <w:r w:rsidR="009E41ED" w:rsidRPr="003341D9">
              <w:rPr>
                <w:rFonts w:asciiTheme="minorHAnsi" w:eastAsia="Times New Roman" w:hAnsiTheme="minorHAnsi"/>
                <w:iCs/>
                <w:color w:val="36424B" w:themeColor="text2" w:themeShade="BF"/>
                <w:szCs w:val="17"/>
                <w:lang w:eastAsia="en-US"/>
              </w:rPr>
              <w:t xml:space="preserve"> </w:t>
            </w:r>
            <w:r w:rsidR="00016ABD">
              <w:rPr>
                <w:rFonts w:asciiTheme="minorHAnsi" w:eastAsia="Times New Roman" w:hAnsiTheme="minorHAnsi"/>
                <w:iCs/>
                <w:color w:val="36424B" w:themeColor="text2" w:themeShade="BF"/>
                <w:szCs w:val="17"/>
                <w:lang w:eastAsia="en-US"/>
              </w:rPr>
              <w:t>d</w:t>
            </w:r>
            <w:r w:rsidR="009E41ED" w:rsidRPr="003341D9">
              <w:rPr>
                <w:rFonts w:asciiTheme="minorHAnsi" w:eastAsia="Times New Roman" w:hAnsiTheme="minorHAnsi"/>
                <w:iCs/>
                <w:color w:val="36424B" w:themeColor="text2" w:themeShade="BF"/>
                <w:szCs w:val="17"/>
                <w:lang w:eastAsia="en-US"/>
              </w:rPr>
              <w:t xml:space="preserve">evelopment </w:t>
            </w:r>
            <w:r w:rsidR="00016ABD">
              <w:rPr>
                <w:rFonts w:asciiTheme="minorHAnsi" w:eastAsia="Times New Roman" w:hAnsiTheme="minorHAnsi"/>
                <w:iCs/>
                <w:color w:val="36424B" w:themeColor="text2" w:themeShade="BF"/>
                <w:szCs w:val="17"/>
                <w:lang w:eastAsia="en-US"/>
              </w:rPr>
              <w:t>o</w:t>
            </w:r>
            <w:r w:rsidR="009E41ED" w:rsidRPr="003341D9">
              <w:rPr>
                <w:rFonts w:asciiTheme="minorHAnsi" w:eastAsia="Times New Roman" w:hAnsiTheme="minorHAnsi"/>
                <w:iCs/>
                <w:color w:val="36424B" w:themeColor="text2" w:themeShade="BF"/>
                <w:szCs w:val="17"/>
                <w:lang w:eastAsia="en-US"/>
              </w:rPr>
              <w:t>utlook</w:t>
            </w:r>
            <w:r w:rsidR="00016ABD">
              <w:rPr>
                <w:rFonts w:asciiTheme="minorHAnsi" w:eastAsia="Times New Roman" w:hAnsiTheme="minorHAnsi"/>
                <w:iCs/>
                <w:color w:val="36424B" w:themeColor="text2" w:themeShade="BF"/>
                <w:szCs w:val="17"/>
                <w:lang w:eastAsia="en-US"/>
              </w:rPr>
              <w:t>;</w:t>
            </w:r>
            <w:r w:rsidR="009E41ED" w:rsidRPr="003341D9">
              <w:rPr>
                <w:rFonts w:asciiTheme="minorHAnsi" w:eastAsia="Times New Roman" w:hAnsiTheme="minorHAnsi"/>
                <w:iCs/>
                <w:color w:val="36424B" w:themeColor="text2" w:themeShade="BF"/>
                <w:szCs w:val="17"/>
                <w:lang w:eastAsia="en-US"/>
              </w:rPr>
              <w:t xml:space="preserve"> and Economic Growth Portfolio Review.</w:t>
            </w:r>
          </w:p>
        </w:tc>
      </w:tr>
      <w:tr w:rsidR="00400B0F" w:rsidRPr="00C61187" w:rsidTr="009E41ED">
        <w:trPr>
          <w:cnfStyle w:val="000000010000" w:firstRow="0" w:lastRow="0" w:firstColumn="0" w:lastColumn="0" w:oddVBand="0" w:evenVBand="0" w:oddHBand="0" w:evenHBand="1" w:firstRowFirstColumn="0" w:firstRowLastColumn="0" w:lastRowFirstColumn="0" w:lastRowLastColumn="0"/>
        </w:trPr>
        <w:tc>
          <w:tcPr>
            <w:tcW w:w="6473" w:type="dxa"/>
          </w:tcPr>
          <w:p w:rsidR="00400B0F" w:rsidRPr="003341D9" w:rsidRDefault="009E41ED" w:rsidP="009E41ED">
            <w:pPr>
              <w:keepLines/>
              <w:spacing w:before="40" w:after="40" w:line="200" w:lineRule="atLeast"/>
              <w:rPr>
                <w:rFonts w:asciiTheme="minorHAnsi" w:eastAsia="Times New Roman" w:hAnsiTheme="minorHAnsi"/>
                <w:iCs/>
                <w:color w:val="36424B" w:themeColor="text2" w:themeShade="BF"/>
                <w:szCs w:val="17"/>
                <w:lang w:eastAsia="en-US"/>
              </w:rPr>
            </w:pPr>
            <w:r w:rsidRPr="003341D9">
              <w:rPr>
                <w:rFonts w:asciiTheme="minorHAnsi" w:eastAsia="Times New Roman" w:hAnsiTheme="minorHAnsi"/>
                <w:iCs/>
                <w:color w:val="36424B" w:themeColor="text2" w:themeShade="BF"/>
                <w:szCs w:val="17"/>
                <w:lang w:eastAsia="en-US"/>
              </w:rPr>
              <w:t>Define annual policy priorities (particularly in gender equality, agriculture, water, trade and economic improvements and nutrition) for inclusion in the Pakistan Performance Assessment Framework by December 2017</w:t>
            </w:r>
            <w:r w:rsidR="00965AEF" w:rsidRPr="003341D9">
              <w:rPr>
                <w:b/>
                <w:color w:val="36424B" w:themeColor="text2" w:themeShade="BF"/>
              </w:rPr>
              <w:t xml:space="preserve"> </w:t>
            </w:r>
          </w:p>
        </w:tc>
        <w:tc>
          <w:tcPr>
            <w:tcW w:w="964" w:type="dxa"/>
            <w:shd w:val="clear" w:color="auto" w:fill="E36C0A"/>
          </w:tcPr>
          <w:p w:rsidR="00400B0F" w:rsidRPr="00880004" w:rsidRDefault="009E41ED" w:rsidP="006F27B1">
            <w:pPr>
              <w:keepLines/>
              <w:spacing w:before="40" w:after="40" w:line="200" w:lineRule="atLeast"/>
              <w:jc w:val="center"/>
              <w:rPr>
                <w:rFonts w:asciiTheme="minorHAnsi" w:eastAsia="Times New Roman" w:hAnsiTheme="minorHAnsi"/>
                <w:iCs/>
                <w:color w:val="FFFFFF" w:themeColor="background1"/>
                <w:szCs w:val="17"/>
                <w:lang w:eastAsia="en-US"/>
              </w:rPr>
            </w:pPr>
            <w:r>
              <w:rPr>
                <w:rFonts w:asciiTheme="minorHAnsi" w:eastAsia="Times New Roman" w:hAnsiTheme="minorHAnsi"/>
                <w:iCs/>
                <w:color w:val="FFFFFF" w:themeColor="background1"/>
                <w:szCs w:val="17"/>
                <w:lang w:eastAsia="en-US"/>
              </w:rPr>
              <w:t xml:space="preserve">Partly </w:t>
            </w:r>
            <w:r w:rsidR="00400B0F" w:rsidRPr="00880004">
              <w:rPr>
                <w:rFonts w:asciiTheme="minorHAnsi" w:eastAsia="Times New Roman" w:hAnsiTheme="minorHAnsi"/>
                <w:iCs/>
                <w:color w:val="FFFFFF" w:themeColor="background1"/>
                <w:szCs w:val="17"/>
                <w:lang w:eastAsia="en-US"/>
              </w:rPr>
              <w:t>Achieved</w:t>
            </w:r>
            <w:r w:rsidR="00400B0F" w:rsidRPr="00880004">
              <w:rPr>
                <w:rFonts w:eastAsia="Times New Roman"/>
                <w:iCs/>
                <w:color w:val="FFFFFF" w:themeColor="background1"/>
                <w:szCs w:val="17"/>
              </w:rPr>
              <w:fldChar w:fldCharType="begin"/>
            </w:r>
            <w:r w:rsidR="00400B0F" w:rsidRPr="00880004">
              <w:rPr>
                <w:rFonts w:asciiTheme="minorHAnsi" w:eastAsia="Times New Roman" w:hAnsiTheme="minorHAnsi"/>
                <w:iCs/>
                <w:color w:val="FFFFFF" w:themeColor="background1"/>
                <w:szCs w:val="17"/>
                <w:lang w:eastAsia="en-US"/>
              </w:rPr>
              <w:instrText xml:space="preserve"> AUTOTEXTLIST  \s "Rating bullet"\t "Right click to choose a rating" \* MERGEFORMAT </w:instrText>
            </w:r>
            <w:r w:rsidR="00400B0F" w:rsidRPr="00880004">
              <w:rPr>
                <w:rFonts w:eastAsia="Times New Roman"/>
                <w:iCs/>
                <w:color w:val="FFFFFF" w:themeColor="background1"/>
                <w:szCs w:val="17"/>
              </w:rPr>
              <w:fldChar w:fldCharType="end"/>
            </w:r>
          </w:p>
        </w:tc>
        <w:tc>
          <w:tcPr>
            <w:tcW w:w="6896" w:type="dxa"/>
          </w:tcPr>
          <w:p w:rsidR="00400B0F" w:rsidRPr="003341D9" w:rsidRDefault="005E1294" w:rsidP="00C203CF">
            <w:pPr>
              <w:keepLines/>
              <w:spacing w:before="40" w:after="40" w:line="200" w:lineRule="atLeast"/>
              <w:rPr>
                <w:rFonts w:asciiTheme="minorHAnsi" w:eastAsia="Times New Roman" w:hAnsiTheme="minorHAnsi"/>
                <w:iCs/>
                <w:color w:val="36424B" w:themeColor="text2" w:themeShade="BF"/>
                <w:szCs w:val="17"/>
                <w:lang w:eastAsia="en-US"/>
              </w:rPr>
            </w:pPr>
            <w:r w:rsidRPr="003341D9">
              <w:rPr>
                <w:rFonts w:asciiTheme="minorHAnsi" w:eastAsia="Times New Roman" w:hAnsiTheme="minorHAnsi"/>
                <w:iCs/>
                <w:color w:val="36424B" w:themeColor="text2" w:themeShade="BF"/>
                <w:szCs w:val="17"/>
                <w:lang w:eastAsia="en-US"/>
              </w:rPr>
              <w:t xml:space="preserve">This management action was put on hold pending the outcome of the AIP planning process. Significant progress has been made in refining policy priorities, but annual priorities have not yet been articulated. A smaller number of policy priorities will be identified in the new AIP/PAF, and annual policy engagement plans will be developed within the next reporting period.  </w:t>
            </w:r>
          </w:p>
        </w:tc>
      </w:tr>
      <w:tr w:rsidR="00400B0F" w:rsidRPr="00C61187" w:rsidTr="006F27B1">
        <w:trPr>
          <w:cnfStyle w:val="000000010000" w:firstRow="0" w:lastRow="0" w:firstColumn="0" w:lastColumn="0" w:oddVBand="0" w:evenVBand="0" w:oddHBand="0" w:evenHBand="1" w:firstRowFirstColumn="0" w:firstRowLastColumn="0" w:lastRowFirstColumn="0" w:lastRowLastColumn="0"/>
        </w:trPr>
        <w:tc>
          <w:tcPr>
            <w:tcW w:w="6473" w:type="dxa"/>
          </w:tcPr>
          <w:p w:rsidR="00400B0F" w:rsidRPr="003341D9" w:rsidRDefault="009E41ED" w:rsidP="009E41ED">
            <w:pPr>
              <w:keepLines/>
              <w:spacing w:before="40" w:after="40" w:line="200" w:lineRule="atLeast"/>
              <w:rPr>
                <w:rFonts w:asciiTheme="minorHAnsi" w:eastAsia="Times New Roman" w:hAnsiTheme="minorHAnsi"/>
                <w:iCs/>
                <w:color w:val="36424B" w:themeColor="text2" w:themeShade="BF"/>
                <w:szCs w:val="17"/>
                <w:lang w:eastAsia="en-US"/>
              </w:rPr>
            </w:pPr>
            <w:r w:rsidRPr="003341D9">
              <w:rPr>
                <w:rFonts w:asciiTheme="minorHAnsi" w:eastAsia="Times New Roman" w:hAnsiTheme="minorHAnsi"/>
                <w:iCs/>
                <w:color w:val="36424B" w:themeColor="text2" w:themeShade="BF"/>
                <w:szCs w:val="17"/>
                <w:lang w:eastAsia="en-US"/>
              </w:rPr>
              <w:t>Progress nutrition sensitive programming through conducting nutrition clinics with selected development partners.</w:t>
            </w:r>
          </w:p>
        </w:tc>
        <w:tc>
          <w:tcPr>
            <w:tcW w:w="964" w:type="dxa"/>
            <w:shd w:val="clear" w:color="auto" w:fill="72AF2F"/>
          </w:tcPr>
          <w:p w:rsidR="00400B0F" w:rsidRPr="00880004" w:rsidRDefault="00400B0F" w:rsidP="006F27B1">
            <w:pPr>
              <w:keepLines/>
              <w:spacing w:before="40" w:after="40" w:line="200" w:lineRule="atLeast"/>
              <w:jc w:val="center"/>
              <w:rPr>
                <w:rFonts w:asciiTheme="minorHAnsi" w:eastAsia="Times New Roman" w:hAnsiTheme="minorHAnsi"/>
                <w:iCs/>
                <w:color w:val="FFFFFF" w:themeColor="background1"/>
                <w:szCs w:val="17"/>
                <w:lang w:eastAsia="en-US"/>
              </w:rPr>
            </w:pPr>
            <w:r w:rsidRPr="00880004">
              <w:rPr>
                <w:rFonts w:asciiTheme="minorHAnsi" w:eastAsia="Times New Roman" w:hAnsiTheme="minorHAnsi"/>
                <w:iCs/>
                <w:color w:val="FFFFFF" w:themeColor="background1"/>
                <w:szCs w:val="17"/>
                <w:lang w:eastAsia="en-US"/>
              </w:rPr>
              <w:t>Achieved</w:t>
            </w:r>
          </w:p>
        </w:tc>
        <w:tc>
          <w:tcPr>
            <w:tcW w:w="6896" w:type="dxa"/>
          </w:tcPr>
          <w:p w:rsidR="00400B0F" w:rsidRPr="003341D9" w:rsidRDefault="00BF7EC1" w:rsidP="00BF7EC1">
            <w:pPr>
              <w:keepLines/>
              <w:spacing w:before="40" w:after="40" w:line="200" w:lineRule="atLeast"/>
              <w:rPr>
                <w:rFonts w:asciiTheme="minorHAnsi" w:eastAsia="Times New Roman" w:hAnsiTheme="minorHAnsi"/>
                <w:iCs/>
                <w:color w:val="36424B" w:themeColor="text2" w:themeShade="BF"/>
                <w:szCs w:val="17"/>
                <w:lang w:eastAsia="en-US"/>
              </w:rPr>
            </w:pPr>
            <w:r w:rsidRPr="003341D9">
              <w:rPr>
                <w:rFonts w:asciiTheme="minorHAnsi" w:hAnsiTheme="minorHAnsi"/>
                <w:color w:val="36424B" w:themeColor="text2" w:themeShade="BF"/>
              </w:rPr>
              <w:t>N</w:t>
            </w:r>
            <w:r w:rsidR="009E41ED" w:rsidRPr="003341D9">
              <w:rPr>
                <w:rFonts w:asciiTheme="minorHAnsi" w:hAnsiTheme="minorHAnsi"/>
                <w:color w:val="36424B" w:themeColor="text2" w:themeShade="BF"/>
              </w:rPr>
              <w:t xml:space="preserve">utrition clinics were carried out in October 2017 with select programs including </w:t>
            </w:r>
            <w:proofErr w:type="spellStart"/>
            <w:r w:rsidR="009E41ED" w:rsidRPr="003341D9">
              <w:rPr>
                <w:rFonts w:asciiTheme="minorHAnsi" w:hAnsiTheme="minorHAnsi"/>
                <w:color w:val="36424B" w:themeColor="text2" w:themeShade="BF"/>
              </w:rPr>
              <w:t>AusABBA</w:t>
            </w:r>
            <w:proofErr w:type="spellEnd"/>
            <w:r w:rsidR="009E41ED" w:rsidRPr="003341D9">
              <w:rPr>
                <w:rFonts w:asciiTheme="minorHAnsi" w:hAnsiTheme="minorHAnsi"/>
                <w:color w:val="36424B" w:themeColor="text2" w:themeShade="BF"/>
              </w:rPr>
              <w:t xml:space="preserve"> (partner FAO), MDF (partner Palladium), WEEMD (partner SRSP), KESP (partner DFID), Australia Awards (partner Scope Global) and AVCCR (partner ACIAR). Specific actions were identified for each program to undertake nutrition-sensitive work. </w:t>
            </w:r>
          </w:p>
        </w:tc>
      </w:tr>
      <w:tr w:rsidR="00400B0F" w:rsidRPr="00C61187" w:rsidTr="009E41ED">
        <w:trPr>
          <w:cnfStyle w:val="000000010000" w:firstRow="0" w:lastRow="0" w:firstColumn="0" w:lastColumn="0" w:oddVBand="0" w:evenVBand="0" w:oddHBand="0" w:evenHBand="1" w:firstRowFirstColumn="0" w:firstRowLastColumn="0" w:lastRowFirstColumn="0" w:lastRowLastColumn="0"/>
        </w:trPr>
        <w:tc>
          <w:tcPr>
            <w:tcW w:w="6473" w:type="dxa"/>
          </w:tcPr>
          <w:p w:rsidR="00400B0F" w:rsidRPr="003341D9" w:rsidRDefault="009E41ED" w:rsidP="009E41ED">
            <w:pPr>
              <w:keepLines/>
              <w:spacing w:before="40" w:after="40" w:line="200" w:lineRule="atLeast"/>
              <w:rPr>
                <w:rFonts w:asciiTheme="minorHAnsi" w:eastAsia="Times New Roman" w:hAnsiTheme="minorHAnsi"/>
                <w:iCs/>
                <w:color w:val="36424B" w:themeColor="text2" w:themeShade="BF"/>
                <w:szCs w:val="17"/>
                <w:lang w:eastAsia="en-US"/>
              </w:rPr>
            </w:pPr>
            <w:r w:rsidRPr="003341D9">
              <w:rPr>
                <w:rFonts w:asciiTheme="minorHAnsi" w:eastAsia="Times New Roman" w:hAnsiTheme="minorHAnsi"/>
                <w:iCs/>
                <w:color w:val="36424B" w:themeColor="text2" w:themeShade="BF"/>
                <w:szCs w:val="17"/>
                <w:lang w:eastAsia="en-US"/>
              </w:rPr>
              <w:t>Sustain and enhance the Pakistan program’s performance in the area of gender equality by defining gender resource requirements for the program and ensuring technical expertise on selected review teams; implementing recommendations from the gender strategy review and defining our approach to gender through our World Bank investments. The two IRIs will receive close oversight from senior management including through quarterly program meetings for the duration of the FY.</w:t>
            </w:r>
          </w:p>
        </w:tc>
        <w:tc>
          <w:tcPr>
            <w:tcW w:w="964" w:type="dxa"/>
            <w:shd w:val="clear" w:color="auto" w:fill="72AF2F"/>
          </w:tcPr>
          <w:p w:rsidR="00400B0F" w:rsidRPr="00880004" w:rsidRDefault="009E41ED" w:rsidP="006F27B1">
            <w:pPr>
              <w:keepLines/>
              <w:spacing w:before="40" w:after="40" w:line="200" w:lineRule="atLeast"/>
              <w:jc w:val="center"/>
              <w:rPr>
                <w:rFonts w:asciiTheme="minorHAnsi" w:eastAsia="Times New Roman" w:hAnsiTheme="minorHAnsi"/>
                <w:iCs/>
                <w:color w:val="FFFFFF" w:themeColor="background1"/>
                <w:szCs w:val="17"/>
                <w:lang w:eastAsia="en-US"/>
              </w:rPr>
            </w:pPr>
            <w:r>
              <w:rPr>
                <w:rFonts w:asciiTheme="minorHAnsi" w:eastAsia="Times New Roman" w:hAnsiTheme="minorHAnsi"/>
                <w:iCs/>
                <w:color w:val="FFFFFF" w:themeColor="background1"/>
                <w:szCs w:val="17"/>
                <w:lang w:eastAsia="en-US"/>
              </w:rPr>
              <w:t>Achieved</w:t>
            </w:r>
          </w:p>
        </w:tc>
        <w:tc>
          <w:tcPr>
            <w:tcW w:w="6896" w:type="dxa"/>
          </w:tcPr>
          <w:p w:rsidR="00400B0F" w:rsidRPr="003341D9" w:rsidRDefault="009E41ED" w:rsidP="008C16A3">
            <w:pPr>
              <w:keepLines/>
              <w:spacing w:before="40" w:after="40" w:line="200" w:lineRule="atLeast"/>
              <w:rPr>
                <w:rFonts w:asciiTheme="minorHAnsi" w:hAnsiTheme="minorHAnsi"/>
                <w:color w:val="36424B" w:themeColor="text2" w:themeShade="BF"/>
              </w:rPr>
            </w:pPr>
            <w:r w:rsidRPr="003341D9">
              <w:rPr>
                <w:rFonts w:asciiTheme="minorHAnsi" w:hAnsiTheme="minorHAnsi"/>
                <w:color w:val="36424B" w:themeColor="text2" w:themeShade="BF"/>
              </w:rPr>
              <w:t>Post’s performance on gender equality in aid investments has visibly improved with a score of 90.9</w:t>
            </w:r>
            <w:r w:rsidR="00732567" w:rsidRPr="003341D9">
              <w:rPr>
                <w:rFonts w:asciiTheme="minorHAnsi" w:hAnsiTheme="minorHAnsi"/>
                <w:color w:val="36424B" w:themeColor="text2" w:themeShade="BF"/>
              </w:rPr>
              <w:t xml:space="preserve"> percent</w:t>
            </w:r>
            <w:r w:rsidRPr="003341D9">
              <w:rPr>
                <w:rFonts w:asciiTheme="minorHAnsi" w:hAnsiTheme="minorHAnsi"/>
                <w:color w:val="36424B" w:themeColor="text2" w:themeShade="BF"/>
              </w:rPr>
              <w:t xml:space="preserve"> on gender equality in the recent AQCs round against </w:t>
            </w:r>
            <w:r w:rsidR="00BF7EC1" w:rsidRPr="003341D9">
              <w:rPr>
                <w:rFonts w:asciiTheme="minorHAnsi" w:hAnsiTheme="minorHAnsi"/>
                <w:color w:val="36424B" w:themeColor="text2" w:themeShade="BF"/>
              </w:rPr>
              <w:t>the department’s target of 80</w:t>
            </w:r>
            <w:r w:rsidR="00732567" w:rsidRPr="003341D9">
              <w:rPr>
                <w:rFonts w:asciiTheme="minorHAnsi" w:hAnsiTheme="minorHAnsi"/>
                <w:color w:val="36424B" w:themeColor="text2" w:themeShade="BF"/>
              </w:rPr>
              <w:t xml:space="preserve"> percent</w:t>
            </w:r>
            <w:r w:rsidR="00BF7EC1" w:rsidRPr="003341D9">
              <w:rPr>
                <w:rFonts w:asciiTheme="minorHAnsi" w:hAnsiTheme="minorHAnsi"/>
                <w:color w:val="36424B" w:themeColor="text2" w:themeShade="BF"/>
              </w:rPr>
              <w:t xml:space="preserve">. </w:t>
            </w:r>
            <w:r w:rsidRPr="003341D9">
              <w:rPr>
                <w:rFonts w:asciiTheme="minorHAnsi" w:hAnsiTheme="minorHAnsi"/>
                <w:color w:val="36424B" w:themeColor="text2" w:themeShade="BF"/>
              </w:rPr>
              <w:t xml:space="preserve">The higher rating is the result of increased management attention, staff efforts and technical </w:t>
            </w:r>
            <w:r w:rsidR="00BF7EC1" w:rsidRPr="003341D9">
              <w:rPr>
                <w:rFonts w:asciiTheme="minorHAnsi" w:hAnsiTheme="minorHAnsi"/>
                <w:color w:val="36424B" w:themeColor="text2" w:themeShade="BF"/>
              </w:rPr>
              <w:t>assistance,</w:t>
            </w:r>
            <w:r w:rsidRPr="003341D9">
              <w:rPr>
                <w:rFonts w:asciiTheme="minorHAnsi" w:hAnsiTheme="minorHAnsi"/>
                <w:color w:val="36424B" w:themeColor="text2" w:themeShade="BF"/>
              </w:rPr>
              <w:t xml:space="preserve"> including a visit from </w:t>
            </w:r>
            <w:r w:rsidR="00BF7EC1" w:rsidRPr="003341D9">
              <w:rPr>
                <w:rFonts w:asciiTheme="minorHAnsi" w:hAnsiTheme="minorHAnsi"/>
                <w:color w:val="36424B" w:themeColor="text2" w:themeShade="BF"/>
              </w:rPr>
              <w:t>DFAT’s</w:t>
            </w:r>
            <w:r w:rsidRPr="003341D9">
              <w:rPr>
                <w:rFonts w:asciiTheme="minorHAnsi" w:hAnsiTheme="minorHAnsi"/>
                <w:color w:val="36424B" w:themeColor="text2" w:themeShade="BF"/>
              </w:rPr>
              <w:t xml:space="preserve"> Senior Gender Specialist. Other specific measures which were </w:t>
            </w:r>
            <w:r w:rsidR="00BF7EC1" w:rsidRPr="003341D9">
              <w:rPr>
                <w:rFonts w:asciiTheme="minorHAnsi" w:hAnsiTheme="minorHAnsi"/>
                <w:color w:val="36424B" w:themeColor="text2" w:themeShade="BF"/>
              </w:rPr>
              <w:t>under</w:t>
            </w:r>
            <w:r w:rsidRPr="003341D9">
              <w:rPr>
                <w:rFonts w:asciiTheme="minorHAnsi" w:hAnsiTheme="minorHAnsi"/>
                <w:color w:val="36424B" w:themeColor="text2" w:themeShade="BF"/>
              </w:rPr>
              <w:t xml:space="preserve">taken include: arranging for </w:t>
            </w:r>
            <w:r w:rsidR="008C16A3">
              <w:rPr>
                <w:rFonts w:asciiTheme="minorHAnsi" w:hAnsiTheme="minorHAnsi"/>
                <w:color w:val="36424B" w:themeColor="text2" w:themeShade="BF"/>
              </w:rPr>
              <w:t xml:space="preserve">the </w:t>
            </w:r>
            <w:r w:rsidR="009D63A0">
              <w:rPr>
                <w:rFonts w:asciiTheme="minorHAnsi" w:hAnsiTheme="minorHAnsi"/>
                <w:color w:val="36424B" w:themeColor="text2" w:themeShade="BF"/>
              </w:rPr>
              <w:t>G</w:t>
            </w:r>
            <w:r w:rsidRPr="003341D9">
              <w:rPr>
                <w:rFonts w:asciiTheme="minorHAnsi" w:hAnsiTheme="minorHAnsi"/>
                <w:color w:val="36424B" w:themeColor="text2" w:themeShade="BF"/>
              </w:rPr>
              <w:t xml:space="preserve">ender </w:t>
            </w:r>
            <w:r w:rsidR="009D63A0">
              <w:rPr>
                <w:rFonts w:asciiTheme="minorHAnsi" w:hAnsiTheme="minorHAnsi"/>
                <w:color w:val="36424B" w:themeColor="text2" w:themeShade="BF"/>
              </w:rPr>
              <w:t>S</w:t>
            </w:r>
            <w:r w:rsidRPr="003341D9">
              <w:rPr>
                <w:rFonts w:asciiTheme="minorHAnsi" w:hAnsiTheme="minorHAnsi"/>
                <w:color w:val="36424B" w:themeColor="text2" w:themeShade="BF"/>
              </w:rPr>
              <w:t>pecialist to participate in the joint donor annual review of MDTF-BA;</w:t>
            </w:r>
            <w:r w:rsidR="00ED5BC2" w:rsidRPr="003341D9">
              <w:rPr>
                <w:rFonts w:asciiTheme="minorHAnsi" w:hAnsiTheme="minorHAnsi"/>
                <w:color w:val="36424B" w:themeColor="text2" w:themeShade="BF"/>
              </w:rPr>
              <w:t xml:space="preserve"> </w:t>
            </w:r>
            <w:r w:rsidRPr="003341D9">
              <w:rPr>
                <w:rFonts w:asciiTheme="minorHAnsi" w:hAnsiTheme="minorHAnsi"/>
                <w:color w:val="36424B" w:themeColor="text2" w:themeShade="BF"/>
              </w:rPr>
              <w:t>review of Post’s Gender Strategy; paper on improving gender performance of World Bank investments</w:t>
            </w:r>
            <w:r w:rsidR="00ED5BC2" w:rsidRPr="003341D9">
              <w:rPr>
                <w:rFonts w:asciiTheme="minorHAnsi" w:hAnsiTheme="minorHAnsi"/>
                <w:color w:val="36424B" w:themeColor="text2" w:themeShade="BF"/>
              </w:rPr>
              <w:t>.</w:t>
            </w:r>
            <w:r w:rsidR="00CC789F" w:rsidRPr="003341D9">
              <w:rPr>
                <w:rFonts w:asciiTheme="minorHAnsi" w:hAnsiTheme="minorHAnsi"/>
                <w:color w:val="36424B" w:themeColor="text2" w:themeShade="BF"/>
              </w:rPr>
              <w:t xml:space="preserve"> </w:t>
            </w:r>
            <w:r w:rsidRPr="003341D9">
              <w:rPr>
                <w:rFonts w:asciiTheme="minorHAnsi" w:hAnsiTheme="minorHAnsi"/>
                <w:color w:val="36424B" w:themeColor="text2" w:themeShade="BF"/>
              </w:rPr>
              <w:t>The gender scor</w:t>
            </w:r>
            <w:r w:rsidR="008C16A3">
              <w:rPr>
                <w:rFonts w:asciiTheme="minorHAnsi" w:hAnsiTheme="minorHAnsi"/>
                <w:color w:val="36424B" w:themeColor="text2" w:themeShade="BF"/>
              </w:rPr>
              <w:t>e</w:t>
            </w:r>
            <w:r w:rsidRPr="003341D9">
              <w:rPr>
                <w:rFonts w:asciiTheme="minorHAnsi" w:hAnsiTheme="minorHAnsi"/>
                <w:color w:val="36424B" w:themeColor="text2" w:themeShade="BF"/>
              </w:rPr>
              <w:t xml:space="preserve"> of one of the IRI (PTIPP) improved and was rated satisfactory (score 4) in the recent AQC round. For the second IRI ( AVCCR), the gender rati</w:t>
            </w:r>
            <w:r w:rsidR="00BF7EC1" w:rsidRPr="003341D9">
              <w:rPr>
                <w:rFonts w:asciiTheme="minorHAnsi" w:hAnsiTheme="minorHAnsi"/>
                <w:color w:val="36424B" w:themeColor="text2" w:themeShade="BF"/>
              </w:rPr>
              <w:t>ng was unsatisfactory (score 3)</w:t>
            </w:r>
            <w:r w:rsidRPr="003341D9">
              <w:rPr>
                <w:rFonts w:asciiTheme="minorHAnsi" w:hAnsiTheme="minorHAnsi"/>
                <w:color w:val="36424B" w:themeColor="text2" w:themeShade="BF"/>
              </w:rPr>
              <w:t xml:space="preserve">. </w:t>
            </w:r>
          </w:p>
        </w:tc>
      </w:tr>
      <w:tr w:rsidR="00400B0F" w:rsidRPr="00C61187" w:rsidTr="009E41ED">
        <w:trPr>
          <w:cnfStyle w:val="000000010000" w:firstRow="0" w:lastRow="0" w:firstColumn="0" w:lastColumn="0" w:oddVBand="0" w:evenVBand="0" w:oddHBand="0" w:evenHBand="1" w:firstRowFirstColumn="0" w:firstRowLastColumn="0" w:lastRowFirstColumn="0" w:lastRowLastColumn="0"/>
        </w:trPr>
        <w:tc>
          <w:tcPr>
            <w:tcW w:w="6473" w:type="dxa"/>
          </w:tcPr>
          <w:p w:rsidR="00400B0F" w:rsidRPr="003341D9" w:rsidRDefault="009E41ED" w:rsidP="009E41ED">
            <w:pPr>
              <w:keepLines/>
              <w:spacing w:before="40" w:after="40" w:line="200" w:lineRule="atLeast"/>
              <w:rPr>
                <w:rFonts w:asciiTheme="minorHAnsi" w:eastAsia="Times New Roman" w:hAnsiTheme="minorHAnsi"/>
                <w:iCs/>
                <w:color w:val="36424B" w:themeColor="text2" w:themeShade="BF"/>
                <w:szCs w:val="17"/>
                <w:lang w:eastAsia="en-US"/>
              </w:rPr>
            </w:pPr>
            <w:r w:rsidRPr="003341D9">
              <w:rPr>
                <w:rFonts w:asciiTheme="minorHAnsi" w:eastAsia="Times New Roman" w:hAnsiTheme="minorHAnsi"/>
                <w:iCs/>
                <w:color w:val="36424B" w:themeColor="text2" w:themeShade="BF"/>
                <w:szCs w:val="17"/>
                <w:lang w:eastAsia="en-US"/>
              </w:rPr>
              <w:t>Progress the integration of disability inclusive development approaches with an emphasis on ensuring integration of disability inclusiveness in Gender-based violence and education programs</w:t>
            </w:r>
            <w:r w:rsidR="009D28B5" w:rsidRPr="003341D9">
              <w:rPr>
                <w:rFonts w:asciiTheme="minorHAnsi" w:eastAsia="Times New Roman" w:hAnsiTheme="minorHAnsi"/>
                <w:iCs/>
                <w:color w:val="36424B" w:themeColor="text2" w:themeShade="BF"/>
                <w:szCs w:val="17"/>
                <w:lang w:eastAsia="en-US"/>
              </w:rPr>
              <w:t>.</w:t>
            </w:r>
            <w:r w:rsidRPr="003341D9">
              <w:rPr>
                <w:b/>
                <w:color w:val="36424B" w:themeColor="text2" w:themeShade="BF"/>
              </w:rPr>
              <w:t xml:space="preserve"> </w:t>
            </w:r>
          </w:p>
        </w:tc>
        <w:tc>
          <w:tcPr>
            <w:tcW w:w="964" w:type="dxa"/>
            <w:shd w:val="clear" w:color="auto" w:fill="E36C0A"/>
          </w:tcPr>
          <w:p w:rsidR="00400B0F" w:rsidRPr="00880004" w:rsidRDefault="009E41ED" w:rsidP="0004037C">
            <w:pPr>
              <w:keepLines/>
              <w:spacing w:before="40" w:after="40" w:line="200" w:lineRule="atLeast"/>
              <w:jc w:val="center"/>
              <w:rPr>
                <w:rFonts w:asciiTheme="minorHAnsi" w:eastAsia="Times New Roman" w:hAnsiTheme="minorHAnsi"/>
                <w:iCs/>
                <w:color w:val="FFFFFF" w:themeColor="background1"/>
                <w:szCs w:val="17"/>
                <w:lang w:eastAsia="en-US"/>
              </w:rPr>
            </w:pPr>
            <w:r>
              <w:rPr>
                <w:rFonts w:asciiTheme="minorHAnsi" w:eastAsia="Times New Roman" w:hAnsiTheme="minorHAnsi"/>
                <w:iCs/>
                <w:color w:val="FFFFFF" w:themeColor="background1"/>
                <w:szCs w:val="17"/>
                <w:lang w:eastAsia="en-US"/>
              </w:rPr>
              <w:t>Partly</w:t>
            </w:r>
            <w:r w:rsidR="00400B0F" w:rsidRPr="00880004">
              <w:rPr>
                <w:rFonts w:asciiTheme="minorHAnsi" w:eastAsia="Times New Roman" w:hAnsiTheme="minorHAnsi"/>
                <w:iCs/>
                <w:color w:val="FFFFFF" w:themeColor="background1"/>
                <w:szCs w:val="17"/>
                <w:lang w:eastAsia="en-US"/>
              </w:rPr>
              <w:t xml:space="preserve"> </w:t>
            </w:r>
            <w:r w:rsidR="0004037C">
              <w:rPr>
                <w:rFonts w:asciiTheme="minorHAnsi" w:eastAsia="Times New Roman" w:hAnsiTheme="minorHAnsi"/>
                <w:iCs/>
                <w:color w:val="FFFFFF" w:themeColor="background1"/>
                <w:szCs w:val="17"/>
                <w:lang w:eastAsia="en-US"/>
              </w:rPr>
              <w:t>A</w:t>
            </w:r>
            <w:r w:rsidR="00400B0F" w:rsidRPr="00880004">
              <w:rPr>
                <w:rFonts w:asciiTheme="minorHAnsi" w:eastAsia="Times New Roman" w:hAnsiTheme="minorHAnsi"/>
                <w:iCs/>
                <w:color w:val="FFFFFF" w:themeColor="background1"/>
                <w:szCs w:val="17"/>
                <w:lang w:eastAsia="en-US"/>
              </w:rPr>
              <w:t>chieved</w:t>
            </w:r>
          </w:p>
        </w:tc>
        <w:tc>
          <w:tcPr>
            <w:tcW w:w="6896" w:type="dxa"/>
          </w:tcPr>
          <w:p w:rsidR="00400B0F" w:rsidRPr="003341D9" w:rsidRDefault="00BF7EC1" w:rsidP="0025618D">
            <w:pPr>
              <w:rPr>
                <w:rFonts w:asciiTheme="minorHAnsi" w:hAnsiTheme="minorHAnsi"/>
                <w:bCs/>
                <w:color w:val="36424B" w:themeColor="text2" w:themeShade="BF"/>
                <w:szCs w:val="17"/>
              </w:rPr>
            </w:pPr>
            <w:r w:rsidRPr="003341D9">
              <w:rPr>
                <w:rFonts w:asciiTheme="minorHAnsi" w:hAnsiTheme="minorHAnsi"/>
                <w:bCs/>
                <w:color w:val="36424B" w:themeColor="text2" w:themeShade="BF"/>
                <w:szCs w:val="17"/>
              </w:rPr>
              <w:t>As outlined under Outcome 9,</w:t>
            </w:r>
            <w:r w:rsidR="00DB22DE" w:rsidRPr="003341D9">
              <w:rPr>
                <w:rFonts w:asciiTheme="minorHAnsi" w:hAnsiTheme="minorHAnsi"/>
                <w:bCs/>
                <w:color w:val="36424B" w:themeColor="text2" w:themeShade="BF"/>
                <w:szCs w:val="17"/>
              </w:rPr>
              <w:t xml:space="preserve"> </w:t>
            </w:r>
            <w:r w:rsidRPr="003341D9">
              <w:rPr>
                <w:rFonts w:asciiTheme="minorHAnsi" w:hAnsiTheme="minorHAnsi"/>
                <w:bCs/>
                <w:color w:val="36424B" w:themeColor="text2" w:themeShade="BF"/>
                <w:szCs w:val="17"/>
              </w:rPr>
              <w:t>o</w:t>
            </w:r>
            <w:r w:rsidR="009E41ED" w:rsidRPr="003341D9">
              <w:rPr>
                <w:rFonts w:asciiTheme="minorHAnsi" w:hAnsiTheme="minorHAnsi"/>
                <w:color w:val="36424B" w:themeColor="text2" w:themeShade="BF"/>
                <w:szCs w:val="17"/>
              </w:rPr>
              <w:t>verall we did not meet the 50</w:t>
            </w:r>
            <w:r w:rsidR="00732567" w:rsidRPr="003341D9">
              <w:rPr>
                <w:rFonts w:asciiTheme="minorHAnsi" w:hAnsiTheme="minorHAnsi"/>
                <w:color w:val="36424B" w:themeColor="text2" w:themeShade="BF"/>
                <w:szCs w:val="17"/>
              </w:rPr>
              <w:t xml:space="preserve"> percent</w:t>
            </w:r>
            <w:r w:rsidR="009E41ED" w:rsidRPr="003341D9">
              <w:rPr>
                <w:rFonts w:asciiTheme="minorHAnsi" w:hAnsiTheme="minorHAnsi"/>
                <w:color w:val="36424B" w:themeColor="text2" w:themeShade="BF"/>
                <w:szCs w:val="17"/>
              </w:rPr>
              <w:t xml:space="preserve"> target for disability. There is a need to build the capacity of our implementing partners to better integrate disability into their programming and also to report on disability disaggregated data. </w:t>
            </w:r>
            <w:r w:rsidR="009E41ED" w:rsidRPr="003341D9">
              <w:rPr>
                <w:rFonts w:asciiTheme="minorHAnsi" w:hAnsiTheme="minorHAnsi"/>
                <w:bCs/>
                <w:color w:val="36424B" w:themeColor="text2" w:themeShade="BF"/>
                <w:szCs w:val="17"/>
              </w:rPr>
              <w:t>However, positive progress was made by the two investments specifically identified for disability inclusiveness,</w:t>
            </w:r>
            <w:r w:rsidR="00753530" w:rsidRPr="003341D9">
              <w:rPr>
                <w:rFonts w:asciiTheme="minorHAnsi" w:hAnsiTheme="minorHAnsi"/>
                <w:bCs/>
                <w:color w:val="36424B" w:themeColor="text2" w:themeShade="BF"/>
                <w:szCs w:val="17"/>
              </w:rPr>
              <w:t xml:space="preserve"> EVAW and KESP. </w:t>
            </w:r>
            <w:r w:rsidR="009E41ED" w:rsidRPr="003341D9">
              <w:rPr>
                <w:rFonts w:asciiTheme="minorHAnsi" w:hAnsiTheme="minorHAnsi"/>
                <w:color w:val="36424B" w:themeColor="text2" w:themeShade="BF"/>
                <w:szCs w:val="17"/>
              </w:rPr>
              <w:t>The EVAW program continues to incorporate disability into the services offered at shelters, including through the provision of accessible rooms on the ground floor, ramps and other forms of wheelchair access for women/girls with disabilities. The program provided several wheelchairs, walking sticks, walkers, and hearing aids to the Peshawar District Bar to enable survivors wit</w:t>
            </w:r>
            <w:r w:rsidRPr="003341D9">
              <w:rPr>
                <w:rFonts w:asciiTheme="minorHAnsi" w:hAnsiTheme="minorHAnsi"/>
                <w:color w:val="36424B" w:themeColor="text2" w:themeShade="BF"/>
                <w:szCs w:val="17"/>
              </w:rPr>
              <w:t>h disabilities to access courts</w:t>
            </w:r>
            <w:r w:rsidR="009E41ED" w:rsidRPr="003341D9">
              <w:rPr>
                <w:rFonts w:asciiTheme="minorHAnsi" w:hAnsiTheme="minorHAnsi"/>
                <w:color w:val="36424B" w:themeColor="text2" w:themeShade="BF"/>
                <w:szCs w:val="17"/>
              </w:rPr>
              <w:t>. KESP undertook important initiatives for disability inclusion in the education sector, including the dev</w:t>
            </w:r>
            <w:r w:rsidR="005F2297" w:rsidRPr="003341D9">
              <w:rPr>
                <w:rFonts w:asciiTheme="minorHAnsi" w:hAnsiTheme="minorHAnsi"/>
                <w:color w:val="36424B" w:themeColor="text2" w:themeShade="BF"/>
                <w:szCs w:val="17"/>
              </w:rPr>
              <w:t xml:space="preserve">elopment of an equity strategy which </w:t>
            </w:r>
            <w:r w:rsidR="009E41ED" w:rsidRPr="003341D9">
              <w:rPr>
                <w:rFonts w:asciiTheme="minorHAnsi" w:hAnsiTheme="minorHAnsi"/>
                <w:color w:val="36424B" w:themeColor="text2" w:themeShade="BF"/>
                <w:szCs w:val="17"/>
              </w:rPr>
              <w:t xml:space="preserve">focuses on marginalised children, especially girls and children with disability. The KP Education Department </w:t>
            </w:r>
            <w:r w:rsidR="009E41ED" w:rsidRPr="003341D9">
              <w:rPr>
                <w:rFonts w:asciiTheme="minorHAnsi" w:hAnsiTheme="minorHAnsi"/>
                <w:bCs/>
                <w:color w:val="36424B" w:themeColor="text2" w:themeShade="BF"/>
                <w:szCs w:val="17"/>
              </w:rPr>
              <w:t xml:space="preserve">allocated </w:t>
            </w:r>
            <w:r w:rsidR="009E41ED" w:rsidRPr="003341D9">
              <w:rPr>
                <w:rFonts w:asciiTheme="minorHAnsi" w:hAnsiTheme="minorHAnsi"/>
                <w:color w:val="36424B" w:themeColor="text2" w:themeShade="BF"/>
                <w:szCs w:val="17"/>
              </w:rPr>
              <w:t>AUD 16</w:t>
            </w:r>
            <w:r w:rsidR="001A1F3D" w:rsidRPr="003341D9">
              <w:rPr>
                <w:rFonts w:asciiTheme="minorHAnsi" w:hAnsiTheme="minorHAnsi"/>
                <w:color w:val="36424B" w:themeColor="text2" w:themeShade="BF"/>
                <w:szCs w:val="17"/>
              </w:rPr>
              <w:t>0,000</w:t>
            </w:r>
            <w:r w:rsidR="009E41ED" w:rsidRPr="003341D9">
              <w:rPr>
                <w:rFonts w:asciiTheme="minorHAnsi" w:hAnsiTheme="minorHAnsi"/>
                <w:color w:val="36424B" w:themeColor="text2" w:themeShade="BF"/>
                <w:szCs w:val="17"/>
              </w:rPr>
              <w:t xml:space="preserve"> in 2018/19 to mainstream support for dyslexic students. The Annual School Census for the first time used the </w:t>
            </w:r>
            <w:r w:rsidR="009E41ED" w:rsidRPr="003341D9">
              <w:rPr>
                <w:rFonts w:asciiTheme="minorHAnsi" w:hAnsiTheme="minorHAnsi"/>
                <w:bCs/>
                <w:color w:val="36424B" w:themeColor="text2" w:themeShade="BF"/>
                <w:szCs w:val="17"/>
              </w:rPr>
              <w:t>Washington Group Questions</w:t>
            </w:r>
            <w:r w:rsidR="009E41ED" w:rsidRPr="003341D9">
              <w:rPr>
                <w:rFonts w:asciiTheme="minorHAnsi" w:hAnsiTheme="minorHAnsi"/>
                <w:color w:val="36424B" w:themeColor="text2" w:themeShade="BF"/>
                <w:szCs w:val="17"/>
              </w:rPr>
              <w:t xml:space="preserve"> to collect data on disability</w:t>
            </w:r>
            <w:r w:rsidRPr="003341D9">
              <w:rPr>
                <w:rFonts w:asciiTheme="minorHAnsi" w:hAnsiTheme="minorHAnsi"/>
                <w:color w:val="36424B" w:themeColor="text2" w:themeShade="BF"/>
                <w:szCs w:val="17"/>
              </w:rPr>
              <w:t>- the r</w:t>
            </w:r>
            <w:r w:rsidR="009E41ED" w:rsidRPr="003341D9">
              <w:rPr>
                <w:rFonts w:asciiTheme="minorHAnsi" w:hAnsiTheme="minorHAnsi"/>
                <w:color w:val="36424B" w:themeColor="text2" w:themeShade="BF"/>
                <w:szCs w:val="17"/>
              </w:rPr>
              <w:t xml:space="preserve">esults </w:t>
            </w:r>
            <w:r w:rsidR="0057433C" w:rsidRPr="003341D9">
              <w:rPr>
                <w:rFonts w:asciiTheme="minorHAnsi" w:hAnsiTheme="minorHAnsi"/>
                <w:color w:val="36424B" w:themeColor="text2" w:themeShade="BF"/>
                <w:szCs w:val="17"/>
              </w:rPr>
              <w:t>will</w:t>
            </w:r>
            <w:r w:rsidR="009E41ED" w:rsidRPr="003341D9">
              <w:rPr>
                <w:rFonts w:asciiTheme="minorHAnsi" w:hAnsiTheme="minorHAnsi"/>
                <w:color w:val="36424B" w:themeColor="text2" w:themeShade="BF"/>
                <w:szCs w:val="17"/>
              </w:rPr>
              <w:t xml:space="preserve"> inform future programming on disability.</w:t>
            </w:r>
          </w:p>
        </w:tc>
      </w:tr>
    </w:tbl>
    <w:p w:rsidR="00033AB7" w:rsidRPr="007B4725" w:rsidRDefault="00400B0F" w:rsidP="007B4725">
      <w:pPr>
        <w:pStyle w:val="Subtitle"/>
        <w:numPr>
          <w:ilvl w:val="0"/>
          <w:numId w:val="0"/>
        </w:numPr>
        <w:spacing w:before="0" w:after="0"/>
        <w:rPr>
          <w:rFonts w:asciiTheme="majorHAnsi" w:hAnsiTheme="majorHAnsi"/>
          <w:b/>
          <w:szCs w:val="38"/>
        </w:rPr>
      </w:pPr>
      <w:r w:rsidRPr="007B4725">
        <w:rPr>
          <w:rFonts w:asciiTheme="majorHAnsi" w:hAnsiTheme="majorHAnsi"/>
          <w:b/>
          <w:szCs w:val="38"/>
        </w:rPr>
        <w:t xml:space="preserve">Annex B </w:t>
      </w:r>
      <w:r w:rsidR="00033AB7" w:rsidRPr="007B4725">
        <w:rPr>
          <w:rFonts w:asciiTheme="majorHAnsi" w:hAnsiTheme="majorHAnsi"/>
          <w:b/>
          <w:szCs w:val="38"/>
        </w:rPr>
        <w:t>–</w:t>
      </w:r>
      <w:r w:rsidRPr="007B4725">
        <w:rPr>
          <w:rFonts w:asciiTheme="majorHAnsi" w:hAnsiTheme="majorHAnsi"/>
          <w:b/>
          <w:szCs w:val="38"/>
        </w:rPr>
        <w:t xml:space="preserve"> </w:t>
      </w:r>
      <w:r w:rsidR="00033AB7" w:rsidRPr="007B4725">
        <w:rPr>
          <w:rFonts w:asciiTheme="majorHAnsi" w:hAnsiTheme="majorHAnsi"/>
          <w:b/>
          <w:szCs w:val="38"/>
        </w:rPr>
        <w:t>PERFORMANCE BENCHMARKS</w:t>
      </w:r>
    </w:p>
    <w:p w:rsidR="00CE5DF0" w:rsidRPr="0057433C" w:rsidRDefault="00320251" w:rsidP="00CE5DF0">
      <w:pPr>
        <w:rPr>
          <w:rFonts w:ascii="Franklin Gothic Book" w:eastAsia="Times New Roman" w:hAnsi="Franklin Gothic Book"/>
          <w:b/>
          <w:sz w:val="24"/>
          <w:szCs w:val="24"/>
        </w:rPr>
      </w:pPr>
      <w:r w:rsidRPr="00320251">
        <w:rPr>
          <w:rFonts w:ascii="Franklin Gothic Book" w:eastAsia="Times New Roman" w:hAnsi="Franklin Gothic Book"/>
          <w:b/>
          <w:sz w:val="24"/>
          <w:szCs w:val="24"/>
        </w:rPr>
        <w:t>Progress towards Performance Benchmarks in 201</w:t>
      </w:r>
      <w:r w:rsidR="002D37BC">
        <w:rPr>
          <w:rFonts w:ascii="Franklin Gothic Book" w:eastAsia="Times New Roman" w:hAnsi="Franklin Gothic Book"/>
          <w:b/>
          <w:sz w:val="24"/>
          <w:szCs w:val="24"/>
        </w:rPr>
        <w:t>7</w:t>
      </w:r>
      <w:r w:rsidRPr="00320251">
        <w:rPr>
          <w:rFonts w:ascii="Franklin Gothic Book" w:eastAsia="Times New Roman" w:hAnsi="Franklin Gothic Book"/>
          <w:b/>
          <w:sz w:val="24"/>
          <w:szCs w:val="24"/>
        </w:rPr>
        <w:t>-1</w:t>
      </w:r>
      <w:r w:rsidR="002D37BC">
        <w:rPr>
          <w:rFonts w:ascii="Franklin Gothic Book" w:eastAsia="Times New Roman" w:hAnsi="Franklin Gothic Book"/>
          <w:b/>
          <w:sz w:val="24"/>
          <w:szCs w:val="24"/>
        </w:rPr>
        <w:t>8</w:t>
      </w:r>
    </w:p>
    <w:tbl>
      <w:tblPr>
        <w:tblStyle w:val="DFATTable"/>
        <w:tblW w:w="5000" w:type="pct"/>
        <w:tblLook w:val="04A0" w:firstRow="1" w:lastRow="0" w:firstColumn="1" w:lastColumn="0" w:noHBand="0" w:noVBand="1"/>
      </w:tblPr>
      <w:tblGrid>
        <w:gridCol w:w="2256"/>
        <w:gridCol w:w="2256"/>
        <w:gridCol w:w="1359"/>
        <w:gridCol w:w="8589"/>
      </w:tblGrid>
      <w:tr w:rsidR="00400B0F" w:rsidRPr="00C61187" w:rsidTr="006F27B1">
        <w:trPr>
          <w:tblHeader/>
        </w:trPr>
        <w:tc>
          <w:tcPr>
            <w:tcW w:w="780" w:type="pct"/>
            <w:tcMar>
              <w:top w:w="57" w:type="dxa"/>
              <w:bottom w:w="57" w:type="dxa"/>
            </w:tcMar>
          </w:tcPr>
          <w:p w:rsidR="00400B0F" w:rsidRPr="00880004" w:rsidRDefault="00400B0F" w:rsidP="006F27B1">
            <w:pPr>
              <w:keepLines/>
              <w:spacing w:before="80" w:after="80" w:line="200" w:lineRule="atLeast"/>
              <w:rPr>
                <w:rFonts w:asciiTheme="minorHAnsi" w:eastAsia="Times New Roman" w:hAnsiTheme="minorHAnsi"/>
                <w:b/>
                <w:iCs/>
                <w:szCs w:val="17"/>
                <w:lang w:eastAsia="en-US"/>
              </w:rPr>
            </w:pPr>
            <w:r w:rsidRPr="00880004">
              <w:rPr>
                <w:rFonts w:asciiTheme="minorHAnsi" w:eastAsia="Times New Roman" w:hAnsiTheme="minorHAnsi"/>
                <w:b/>
                <w:iCs/>
                <w:szCs w:val="17"/>
                <w:lang w:eastAsia="en-US"/>
              </w:rPr>
              <w:t>Aid objective</w:t>
            </w:r>
          </w:p>
        </w:tc>
        <w:tc>
          <w:tcPr>
            <w:tcW w:w="780" w:type="pct"/>
          </w:tcPr>
          <w:p w:rsidR="00400B0F" w:rsidRPr="00880004" w:rsidRDefault="00320251" w:rsidP="00320251">
            <w:pPr>
              <w:keepLines/>
              <w:spacing w:before="80" w:after="80" w:line="200" w:lineRule="atLeast"/>
              <w:rPr>
                <w:rFonts w:asciiTheme="minorHAnsi" w:eastAsia="Times New Roman" w:hAnsiTheme="minorHAnsi"/>
                <w:b/>
                <w:iCs/>
                <w:szCs w:val="17"/>
                <w:lang w:eastAsia="en-US"/>
              </w:rPr>
            </w:pPr>
            <w:r>
              <w:rPr>
                <w:rFonts w:asciiTheme="minorHAnsi" w:eastAsia="Times New Roman" w:hAnsiTheme="minorHAnsi"/>
                <w:b/>
                <w:iCs/>
                <w:szCs w:val="17"/>
                <w:lang w:eastAsia="en-US"/>
              </w:rPr>
              <w:t>Performance B</w:t>
            </w:r>
            <w:r w:rsidR="00400B0F" w:rsidRPr="00880004">
              <w:rPr>
                <w:rFonts w:asciiTheme="minorHAnsi" w:eastAsia="Times New Roman" w:hAnsiTheme="minorHAnsi"/>
                <w:b/>
                <w:iCs/>
                <w:szCs w:val="17"/>
                <w:lang w:eastAsia="en-US"/>
              </w:rPr>
              <w:t xml:space="preserve">enchmark </w:t>
            </w:r>
          </w:p>
        </w:tc>
        <w:tc>
          <w:tcPr>
            <w:tcW w:w="470" w:type="pct"/>
          </w:tcPr>
          <w:p w:rsidR="00400B0F" w:rsidRPr="00880004" w:rsidRDefault="00400B0F" w:rsidP="009E7BB8">
            <w:pPr>
              <w:keepLines/>
              <w:spacing w:before="80" w:after="80" w:line="200" w:lineRule="atLeast"/>
              <w:jc w:val="center"/>
              <w:rPr>
                <w:rFonts w:asciiTheme="minorHAnsi" w:eastAsia="Times New Roman" w:hAnsiTheme="minorHAnsi"/>
                <w:b/>
                <w:iCs/>
                <w:szCs w:val="17"/>
                <w:lang w:eastAsia="en-US"/>
              </w:rPr>
            </w:pPr>
            <w:r w:rsidRPr="00880004">
              <w:rPr>
                <w:rFonts w:asciiTheme="minorHAnsi" w:eastAsia="Times New Roman" w:hAnsiTheme="minorHAnsi"/>
                <w:b/>
                <w:iCs/>
                <w:szCs w:val="17"/>
                <w:lang w:eastAsia="en-US"/>
              </w:rPr>
              <w:t>Rating</w:t>
            </w:r>
          </w:p>
        </w:tc>
        <w:tc>
          <w:tcPr>
            <w:tcW w:w="2970" w:type="pct"/>
          </w:tcPr>
          <w:p w:rsidR="00400B0F" w:rsidRPr="00880004" w:rsidRDefault="00400B0F" w:rsidP="002D37BC">
            <w:pPr>
              <w:keepLines/>
              <w:spacing w:before="80" w:after="80" w:line="200" w:lineRule="atLeast"/>
              <w:jc w:val="center"/>
              <w:rPr>
                <w:rFonts w:asciiTheme="minorHAnsi" w:eastAsia="Times New Roman" w:hAnsiTheme="minorHAnsi"/>
                <w:b/>
                <w:iCs/>
                <w:szCs w:val="17"/>
                <w:lang w:eastAsia="en-US"/>
              </w:rPr>
            </w:pPr>
            <w:r w:rsidRPr="00880004">
              <w:rPr>
                <w:rFonts w:asciiTheme="minorHAnsi" w:eastAsia="Times New Roman" w:hAnsiTheme="minorHAnsi"/>
                <w:b/>
                <w:iCs/>
                <w:szCs w:val="17"/>
                <w:lang w:eastAsia="en-US"/>
              </w:rPr>
              <w:t>Progress in 201</w:t>
            </w:r>
            <w:r w:rsidR="002D37BC">
              <w:rPr>
                <w:rFonts w:asciiTheme="minorHAnsi" w:eastAsia="Times New Roman" w:hAnsiTheme="minorHAnsi"/>
                <w:b/>
                <w:iCs/>
                <w:szCs w:val="17"/>
                <w:lang w:eastAsia="en-US"/>
              </w:rPr>
              <w:t>7</w:t>
            </w:r>
            <w:r w:rsidRPr="00880004">
              <w:rPr>
                <w:rFonts w:asciiTheme="minorHAnsi" w:eastAsia="Times New Roman" w:hAnsiTheme="minorHAnsi"/>
                <w:b/>
                <w:iCs/>
                <w:szCs w:val="17"/>
                <w:lang w:eastAsia="en-US"/>
              </w:rPr>
              <w:t>-1</w:t>
            </w:r>
            <w:r w:rsidR="002D37BC">
              <w:rPr>
                <w:rFonts w:asciiTheme="minorHAnsi" w:eastAsia="Times New Roman" w:hAnsiTheme="minorHAnsi"/>
                <w:b/>
                <w:iCs/>
                <w:szCs w:val="17"/>
                <w:lang w:eastAsia="en-US"/>
              </w:rPr>
              <w:t>8</w:t>
            </w:r>
          </w:p>
        </w:tc>
      </w:tr>
      <w:tr w:rsidR="002612DE" w:rsidRPr="00C61187" w:rsidTr="002612DE">
        <w:tc>
          <w:tcPr>
            <w:tcW w:w="780" w:type="pct"/>
            <w:tcMar>
              <w:top w:w="57" w:type="dxa"/>
              <w:bottom w:w="57" w:type="dxa"/>
            </w:tcMar>
          </w:tcPr>
          <w:p w:rsidR="002612DE" w:rsidRPr="00880004" w:rsidRDefault="002612DE" w:rsidP="002612DE">
            <w:pPr>
              <w:keepLines/>
              <w:spacing w:before="40" w:after="40" w:line="200" w:lineRule="atLeast"/>
              <w:rPr>
                <w:rFonts w:asciiTheme="minorHAnsi" w:eastAsia="Times New Roman" w:hAnsiTheme="minorHAnsi"/>
                <w:iCs/>
                <w:szCs w:val="17"/>
                <w:lang w:eastAsia="en-US"/>
              </w:rPr>
            </w:pPr>
            <w:r w:rsidRPr="00E3385B">
              <w:rPr>
                <w:rFonts w:ascii="Calibri Light" w:eastAsia="Calibri Light" w:hAnsi="Calibri Light" w:cs="Times New Roman"/>
                <w:color w:val="495965"/>
              </w:rPr>
              <w:t>Objective 1: Generating sustainable inclusive growth and employment</w:t>
            </w:r>
          </w:p>
        </w:tc>
        <w:tc>
          <w:tcPr>
            <w:tcW w:w="780" w:type="pct"/>
          </w:tcPr>
          <w:p w:rsidR="002612DE" w:rsidRPr="003341D9" w:rsidRDefault="002612DE" w:rsidP="002612DE">
            <w:pPr>
              <w:keepLines/>
              <w:spacing w:before="40" w:after="40" w:line="200" w:lineRule="atLeast"/>
              <w:rPr>
                <w:rFonts w:asciiTheme="minorHAnsi" w:eastAsia="Times New Roman" w:hAnsiTheme="minorHAnsi"/>
                <w:iCs/>
                <w:szCs w:val="17"/>
                <w:lang w:eastAsia="en-US"/>
              </w:rPr>
            </w:pPr>
            <w:r w:rsidRPr="003341D9">
              <w:rPr>
                <w:rFonts w:asciiTheme="minorHAnsi" w:hAnsiTheme="minorHAnsi"/>
              </w:rPr>
              <w:t>Number (per cent women) of poor farmers and small business owners who have increased their income</w:t>
            </w:r>
          </w:p>
        </w:tc>
        <w:tc>
          <w:tcPr>
            <w:tcW w:w="470" w:type="pct"/>
            <w:shd w:val="clear" w:color="auto" w:fill="72AF2F"/>
          </w:tcPr>
          <w:p w:rsidR="002612DE" w:rsidRDefault="002612DE" w:rsidP="002612DE">
            <w:pPr>
              <w:keepLines/>
              <w:spacing w:before="40" w:after="40" w:line="200" w:lineRule="atLeast"/>
              <w:jc w:val="center"/>
              <w:rPr>
                <w:rFonts w:asciiTheme="minorHAnsi" w:eastAsia="Times New Roman" w:hAnsiTheme="minorHAnsi"/>
                <w:iCs/>
                <w:color w:val="FFFFFF" w:themeColor="background1"/>
                <w:szCs w:val="17"/>
                <w:lang w:eastAsia="en-US"/>
              </w:rPr>
            </w:pPr>
          </w:p>
          <w:p w:rsidR="002612DE" w:rsidRPr="00880004" w:rsidRDefault="002612DE" w:rsidP="002612DE">
            <w:pPr>
              <w:keepLines/>
              <w:spacing w:before="40" w:after="40" w:line="200" w:lineRule="atLeast"/>
              <w:jc w:val="center"/>
              <w:rPr>
                <w:rFonts w:asciiTheme="minorHAnsi" w:eastAsia="Times New Roman" w:hAnsiTheme="minorHAnsi"/>
                <w:iCs/>
                <w:color w:val="FFFFFF" w:themeColor="background1"/>
                <w:szCs w:val="17"/>
                <w:lang w:eastAsia="en-US"/>
              </w:rPr>
            </w:pPr>
            <w:r w:rsidRPr="00880004">
              <w:rPr>
                <w:rFonts w:asciiTheme="minorHAnsi" w:eastAsia="Times New Roman" w:hAnsiTheme="minorHAnsi"/>
                <w:iCs/>
                <w:color w:val="FFFFFF" w:themeColor="background1"/>
                <w:szCs w:val="17"/>
                <w:lang w:eastAsia="en-US"/>
              </w:rPr>
              <w:t>Achieved</w:t>
            </w:r>
          </w:p>
        </w:tc>
        <w:tc>
          <w:tcPr>
            <w:tcW w:w="2970" w:type="pct"/>
          </w:tcPr>
          <w:p w:rsidR="002612DE" w:rsidRPr="00880004" w:rsidRDefault="00FF6DF7">
            <w:pPr>
              <w:keepLines/>
              <w:spacing w:before="40" w:after="40" w:line="200" w:lineRule="atLeast"/>
              <w:rPr>
                <w:rFonts w:asciiTheme="minorHAnsi" w:eastAsia="Times New Roman" w:hAnsiTheme="minorHAnsi"/>
                <w:iCs/>
                <w:szCs w:val="17"/>
                <w:lang w:eastAsia="en-US"/>
              </w:rPr>
            </w:pPr>
            <w:r>
              <w:rPr>
                <w:rFonts w:ascii="Calibri Light" w:eastAsia="Calibri Light" w:hAnsi="Calibri Light" w:cs="Times New Roman"/>
                <w:color w:val="495965"/>
              </w:rPr>
              <w:t>14830</w:t>
            </w:r>
            <w:r w:rsidR="002612DE" w:rsidRPr="00E3385B">
              <w:rPr>
                <w:rFonts w:ascii="Calibri Light" w:eastAsia="Calibri Light" w:hAnsi="Calibri Light" w:cs="Times New Roman"/>
                <w:color w:val="495965"/>
              </w:rPr>
              <w:t xml:space="preserve"> people (</w:t>
            </w:r>
            <w:r w:rsidR="002612DE">
              <w:rPr>
                <w:rFonts w:ascii="Calibri Light" w:eastAsia="Calibri Light" w:hAnsi="Calibri Light" w:cs="Times New Roman"/>
                <w:color w:val="495965"/>
              </w:rPr>
              <w:t xml:space="preserve">including </w:t>
            </w:r>
            <w:r>
              <w:rPr>
                <w:rFonts w:ascii="Calibri Light" w:eastAsia="Calibri Light" w:hAnsi="Calibri Light" w:cs="Times New Roman"/>
                <w:color w:val="495965"/>
              </w:rPr>
              <w:t xml:space="preserve">7540 </w:t>
            </w:r>
            <w:r w:rsidR="002612DE" w:rsidRPr="00E3385B">
              <w:rPr>
                <w:rFonts w:ascii="Calibri Light" w:eastAsia="Calibri Light" w:hAnsi="Calibri Light" w:cs="Times New Roman"/>
                <w:color w:val="495965"/>
              </w:rPr>
              <w:t>women) increased their incomes in the reporting period</w:t>
            </w:r>
            <w:r w:rsidR="002612DE">
              <w:rPr>
                <w:rFonts w:ascii="Calibri Light" w:eastAsia="Calibri Light" w:hAnsi="Calibri Light" w:cs="Times New Roman"/>
                <w:color w:val="495965"/>
              </w:rPr>
              <w:t xml:space="preserve"> against the target of 33,900</w:t>
            </w:r>
            <w:r w:rsidR="002612DE" w:rsidRPr="00E3385B">
              <w:rPr>
                <w:rFonts w:ascii="Calibri Light" w:eastAsia="Calibri Light" w:hAnsi="Calibri Light" w:cs="Times New Roman"/>
                <w:color w:val="495965"/>
              </w:rPr>
              <w:t>, which is well above the target</w:t>
            </w:r>
            <w:r w:rsidR="002612DE">
              <w:rPr>
                <w:rFonts w:ascii="Calibri Light" w:eastAsia="Calibri Light" w:hAnsi="Calibri Light" w:cs="Times New Roman"/>
                <w:color w:val="495965"/>
              </w:rPr>
              <w:t>. Women’s participation is also more than the set target of 35</w:t>
            </w:r>
            <w:r w:rsidR="00732567">
              <w:rPr>
                <w:rFonts w:ascii="Calibri Light" w:eastAsia="Calibri Light" w:hAnsi="Calibri Light" w:cs="Times New Roman"/>
                <w:color w:val="495965"/>
              </w:rPr>
              <w:t xml:space="preserve"> percent</w:t>
            </w:r>
            <w:r w:rsidR="002612DE">
              <w:rPr>
                <w:rFonts w:ascii="Calibri Light" w:eastAsia="Calibri Light" w:hAnsi="Calibri Light" w:cs="Times New Roman"/>
                <w:color w:val="495965"/>
              </w:rPr>
              <w:t xml:space="preserve">. This reporting data </w:t>
            </w:r>
            <w:r w:rsidR="002612DE" w:rsidRPr="00E3385B">
              <w:rPr>
                <w:rFonts w:ascii="Calibri Light" w:eastAsia="Calibri Light" w:hAnsi="Calibri Light" w:cs="Times New Roman"/>
                <w:color w:val="495965"/>
              </w:rPr>
              <w:t>comes from SRSP (3</w:t>
            </w:r>
            <w:r w:rsidR="002612DE">
              <w:rPr>
                <w:rFonts w:ascii="Calibri Light" w:eastAsia="Calibri Light" w:hAnsi="Calibri Light" w:cs="Times New Roman"/>
                <w:color w:val="495965"/>
              </w:rPr>
              <w:t>,103 wo</w:t>
            </w:r>
            <w:r w:rsidR="002612DE" w:rsidRPr="00E3385B">
              <w:rPr>
                <w:rFonts w:ascii="Calibri Light" w:eastAsia="Calibri Light" w:hAnsi="Calibri Light" w:cs="Times New Roman"/>
                <w:color w:val="495965"/>
              </w:rPr>
              <w:t xml:space="preserve">men; </w:t>
            </w:r>
            <w:r w:rsidR="002612DE">
              <w:rPr>
                <w:rFonts w:ascii="Calibri Light" w:eastAsia="Calibri Light" w:hAnsi="Calibri Light" w:cs="Times New Roman"/>
                <w:color w:val="495965"/>
              </w:rPr>
              <w:t>122</w:t>
            </w:r>
            <w:r w:rsidR="002612DE" w:rsidRPr="00E3385B">
              <w:rPr>
                <w:rFonts w:ascii="Calibri Light" w:eastAsia="Calibri Light" w:hAnsi="Calibri Light" w:cs="Times New Roman"/>
                <w:color w:val="495965"/>
              </w:rPr>
              <w:t xml:space="preserve"> men) MDF </w:t>
            </w:r>
            <w:r w:rsidR="002612DE">
              <w:rPr>
                <w:rFonts w:ascii="Calibri Light" w:eastAsia="Calibri Light" w:hAnsi="Calibri Light" w:cs="Times New Roman"/>
                <w:color w:val="495965"/>
              </w:rPr>
              <w:t>50,735</w:t>
            </w:r>
            <w:r w:rsidR="002612DE" w:rsidRPr="00E3385B">
              <w:rPr>
                <w:rFonts w:ascii="Calibri Light" w:eastAsia="Calibri Light" w:hAnsi="Calibri Light" w:cs="Times New Roman"/>
                <w:color w:val="495965"/>
              </w:rPr>
              <w:t xml:space="preserve"> (1</w:t>
            </w:r>
            <w:r w:rsidR="002612DE">
              <w:rPr>
                <w:rFonts w:ascii="Calibri Light" w:eastAsia="Calibri Light" w:hAnsi="Calibri Light" w:cs="Times New Roman"/>
                <w:color w:val="495965"/>
              </w:rPr>
              <w:t>9,279</w:t>
            </w:r>
            <w:r w:rsidR="002612DE" w:rsidRPr="00E3385B">
              <w:rPr>
                <w:rFonts w:ascii="Calibri Light" w:eastAsia="Calibri Light" w:hAnsi="Calibri Light" w:cs="Times New Roman"/>
                <w:color w:val="495965"/>
              </w:rPr>
              <w:t xml:space="preserve"> </w:t>
            </w:r>
            <w:r w:rsidR="002612DE">
              <w:rPr>
                <w:rFonts w:ascii="Calibri Light" w:eastAsia="Calibri Light" w:hAnsi="Calibri Light" w:cs="Times New Roman"/>
                <w:color w:val="495965"/>
              </w:rPr>
              <w:t>wo</w:t>
            </w:r>
            <w:r w:rsidR="002612DE" w:rsidRPr="00E3385B">
              <w:rPr>
                <w:rFonts w:ascii="Calibri Light" w:eastAsia="Calibri Light" w:hAnsi="Calibri Light" w:cs="Times New Roman"/>
                <w:color w:val="495965"/>
              </w:rPr>
              <w:t>men</w:t>
            </w:r>
            <w:r w:rsidR="002612DE">
              <w:rPr>
                <w:rFonts w:ascii="Calibri Light" w:eastAsia="Calibri Light" w:hAnsi="Calibri Light" w:cs="Times New Roman"/>
                <w:color w:val="495965"/>
              </w:rPr>
              <w:t>;</w:t>
            </w:r>
            <w:r w:rsidR="002612DE" w:rsidRPr="00E3385B">
              <w:rPr>
                <w:rFonts w:ascii="Calibri Light" w:eastAsia="Calibri Light" w:hAnsi="Calibri Light" w:cs="Times New Roman"/>
                <w:color w:val="495965"/>
              </w:rPr>
              <w:t xml:space="preserve"> </w:t>
            </w:r>
            <w:r w:rsidR="002612DE">
              <w:rPr>
                <w:rFonts w:ascii="Calibri Light" w:eastAsia="Calibri Light" w:hAnsi="Calibri Light" w:cs="Times New Roman"/>
                <w:color w:val="495965"/>
              </w:rPr>
              <w:t xml:space="preserve">31,456 </w:t>
            </w:r>
            <w:r w:rsidR="002612DE" w:rsidRPr="00E3385B">
              <w:rPr>
                <w:rFonts w:ascii="Calibri Light" w:eastAsia="Calibri Light" w:hAnsi="Calibri Light" w:cs="Times New Roman"/>
                <w:color w:val="495965"/>
              </w:rPr>
              <w:t>men).</w:t>
            </w:r>
          </w:p>
        </w:tc>
      </w:tr>
      <w:tr w:rsidR="002612DE" w:rsidRPr="00C61187" w:rsidTr="002612DE">
        <w:tc>
          <w:tcPr>
            <w:tcW w:w="780" w:type="pct"/>
            <w:tcMar>
              <w:top w:w="57" w:type="dxa"/>
              <w:bottom w:w="57" w:type="dxa"/>
            </w:tcMar>
          </w:tcPr>
          <w:p w:rsidR="002612DE" w:rsidRPr="00880004" w:rsidRDefault="002612DE" w:rsidP="002612DE">
            <w:pPr>
              <w:keepLines/>
              <w:spacing w:before="40" w:after="40" w:line="200" w:lineRule="atLeast"/>
              <w:rPr>
                <w:rFonts w:asciiTheme="minorHAnsi" w:eastAsia="Times New Roman" w:hAnsiTheme="minorHAnsi"/>
                <w:iCs/>
                <w:szCs w:val="17"/>
                <w:lang w:eastAsia="en-US"/>
              </w:rPr>
            </w:pPr>
          </w:p>
        </w:tc>
        <w:tc>
          <w:tcPr>
            <w:tcW w:w="780" w:type="pct"/>
          </w:tcPr>
          <w:p w:rsidR="002612DE" w:rsidRPr="003341D9" w:rsidRDefault="002612DE" w:rsidP="002612DE">
            <w:pPr>
              <w:keepLines/>
              <w:spacing w:before="40" w:after="40" w:line="200" w:lineRule="atLeast"/>
              <w:rPr>
                <w:rFonts w:asciiTheme="minorHAnsi" w:eastAsia="Times New Roman" w:hAnsiTheme="minorHAnsi"/>
                <w:iCs/>
                <w:szCs w:val="17"/>
                <w:lang w:eastAsia="en-US"/>
              </w:rPr>
            </w:pPr>
            <w:r w:rsidRPr="003341D9">
              <w:rPr>
                <w:rFonts w:asciiTheme="minorHAnsi" w:hAnsiTheme="minorHAnsi"/>
              </w:rPr>
              <w:t>Evidence that Australian engagement has contributed to policy reform on agriculture, water and trade policy</w:t>
            </w:r>
          </w:p>
        </w:tc>
        <w:tc>
          <w:tcPr>
            <w:tcW w:w="470" w:type="pct"/>
            <w:shd w:val="clear" w:color="auto" w:fill="72AF2F"/>
          </w:tcPr>
          <w:p w:rsidR="002612DE" w:rsidRDefault="002612DE" w:rsidP="002612DE">
            <w:pPr>
              <w:keepLines/>
              <w:spacing w:before="40" w:after="40" w:line="200" w:lineRule="atLeast"/>
              <w:jc w:val="center"/>
              <w:rPr>
                <w:rFonts w:asciiTheme="minorHAnsi" w:eastAsia="Times New Roman" w:hAnsiTheme="minorHAnsi"/>
                <w:iCs/>
                <w:color w:val="FFFFFF" w:themeColor="background1"/>
                <w:szCs w:val="17"/>
                <w:lang w:eastAsia="en-US"/>
              </w:rPr>
            </w:pPr>
          </w:p>
          <w:p w:rsidR="002612DE" w:rsidRPr="00880004" w:rsidRDefault="002612DE" w:rsidP="002612DE">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color w:val="FFFFFF" w:themeColor="background1"/>
                <w:szCs w:val="17"/>
                <w:lang w:eastAsia="en-US"/>
              </w:rPr>
              <w:t>A</w:t>
            </w:r>
            <w:r w:rsidRPr="00880004">
              <w:rPr>
                <w:rFonts w:asciiTheme="minorHAnsi" w:eastAsia="Times New Roman" w:hAnsiTheme="minorHAnsi"/>
                <w:iCs/>
                <w:color w:val="FFFFFF" w:themeColor="background1"/>
                <w:szCs w:val="17"/>
                <w:lang w:eastAsia="en-US"/>
              </w:rPr>
              <w:t>chieved</w:t>
            </w:r>
          </w:p>
        </w:tc>
        <w:tc>
          <w:tcPr>
            <w:tcW w:w="2970" w:type="pct"/>
          </w:tcPr>
          <w:p w:rsidR="002612DE" w:rsidRPr="00ED5BC2" w:rsidRDefault="002612DE" w:rsidP="00BC0BB7">
            <w:pPr>
              <w:suppressAutoHyphens w:val="0"/>
              <w:spacing w:before="0" w:after="0" w:line="240" w:lineRule="auto"/>
              <w:rPr>
                <w:rFonts w:ascii="Calibri Light" w:eastAsia="Times New Roman" w:hAnsi="Calibri Light" w:cstheme="minorHAnsi"/>
                <w:sz w:val="16"/>
                <w:szCs w:val="16"/>
                <w:lang w:val="en-AU"/>
              </w:rPr>
            </w:pPr>
            <w:r w:rsidRPr="00EE6E41">
              <w:rPr>
                <w:rFonts w:ascii="Calibri Light" w:eastAsia="Times New Roman" w:hAnsi="Calibri Light" w:cstheme="minorHAnsi"/>
                <w:sz w:val="16"/>
                <w:szCs w:val="16"/>
                <w:lang w:val="en-AU"/>
              </w:rPr>
              <w:t xml:space="preserve">The </w:t>
            </w:r>
            <w:r w:rsidR="00ED5BC2">
              <w:rPr>
                <w:rFonts w:ascii="Calibri Light" w:eastAsia="Times New Roman" w:hAnsi="Calibri Light" w:cstheme="minorHAnsi"/>
                <w:sz w:val="16"/>
                <w:szCs w:val="16"/>
                <w:lang w:val="en-AU"/>
              </w:rPr>
              <w:t>benchmark target for this year was ‘Evidence that trade analytics have contributed to a more gender sensitive Pakistan Strategic</w:t>
            </w:r>
            <w:r w:rsidR="0025618D">
              <w:rPr>
                <w:rFonts w:ascii="Calibri Light" w:eastAsia="Times New Roman" w:hAnsi="Calibri Light" w:cstheme="minorHAnsi"/>
                <w:sz w:val="16"/>
                <w:szCs w:val="16"/>
                <w:lang w:val="en-AU"/>
              </w:rPr>
              <w:t xml:space="preserve"> Trade Policy Framework 2018-21’</w:t>
            </w:r>
            <w:r w:rsidR="00ED5BC2">
              <w:rPr>
                <w:rFonts w:ascii="Calibri Light" w:eastAsia="Times New Roman" w:hAnsi="Calibri Light" w:cstheme="minorHAnsi"/>
                <w:sz w:val="16"/>
                <w:szCs w:val="16"/>
                <w:lang w:val="en-AU"/>
              </w:rPr>
              <w:t xml:space="preserve">. </w:t>
            </w:r>
            <w:r w:rsidRPr="00EE6E41">
              <w:rPr>
                <w:rFonts w:ascii="Calibri Light" w:eastAsia="Times New Roman" w:hAnsi="Calibri Light" w:cstheme="minorHAnsi"/>
                <w:sz w:val="16"/>
                <w:szCs w:val="16"/>
                <w:lang w:val="en-AU"/>
              </w:rPr>
              <w:t xml:space="preserve">PTIPP analytics </w:t>
            </w:r>
            <w:r w:rsidR="00ED5BC2">
              <w:rPr>
                <w:rFonts w:ascii="Calibri Light" w:eastAsia="Times New Roman" w:hAnsi="Calibri Light" w:cstheme="minorHAnsi"/>
                <w:sz w:val="16"/>
                <w:szCs w:val="16"/>
                <w:lang w:val="en-AU"/>
              </w:rPr>
              <w:t>have been</w:t>
            </w:r>
            <w:r w:rsidRPr="00EE6E41">
              <w:rPr>
                <w:rFonts w:ascii="Calibri Light" w:eastAsia="Times New Roman" w:hAnsi="Calibri Light" w:cstheme="minorHAnsi"/>
                <w:sz w:val="16"/>
                <w:szCs w:val="16"/>
                <w:lang w:val="en-AU"/>
              </w:rPr>
              <w:t xml:space="preserve"> used </w:t>
            </w:r>
            <w:r w:rsidR="00ED5BC2">
              <w:rPr>
                <w:rFonts w:ascii="Calibri Light" w:eastAsia="Times New Roman" w:hAnsi="Calibri Light" w:cstheme="minorHAnsi"/>
                <w:sz w:val="16"/>
                <w:szCs w:val="16"/>
                <w:lang w:val="en-AU"/>
              </w:rPr>
              <w:t>to</w:t>
            </w:r>
            <w:r w:rsidRPr="00EE6E41">
              <w:rPr>
                <w:rFonts w:ascii="Calibri Light" w:eastAsia="Times New Roman" w:hAnsi="Calibri Light" w:cstheme="minorHAnsi"/>
                <w:sz w:val="16"/>
                <w:szCs w:val="16"/>
                <w:lang w:val="en-AU"/>
              </w:rPr>
              <w:t xml:space="preserve"> </w:t>
            </w:r>
            <w:r w:rsidR="00ED5BC2">
              <w:rPr>
                <w:rFonts w:ascii="Calibri Light" w:eastAsia="Times New Roman" w:hAnsi="Calibri Light" w:cstheme="minorHAnsi"/>
                <w:sz w:val="16"/>
                <w:szCs w:val="16"/>
                <w:lang w:val="en-AU"/>
              </w:rPr>
              <w:t xml:space="preserve">develop </w:t>
            </w:r>
            <w:r w:rsidRPr="00EE6E41">
              <w:rPr>
                <w:rFonts w:ascii="Calibri Light" w:eastAsia="Times New Roman" w:hAnsi="Calibri Light" w:cstheme="minorHAnsi"/>
                <w:sz w:val="16"/>
                <w:szCs w:val="16"/>
                <w:lang w:val="en-AU"/>
              </w:rPr>
              <w:t>the trade strategy</w:t>
            </w:r>
            <w:r>
              <w:rPr>
                <w:rFonts w:ascii="Calibri Light" w:eastAsia="Times New Roman" w:hAnsi="Calibri Light" w:cstheme="minorHAnsi"/>
                <w:sz w:val="16"/>
                <w:szCs w:val="16"/>
                <w:lang w:val="en-AU"/>
              </w:rPr>
              <w:t xml:space="preserve">. The </w:t>
            </w:r>
            <w:r w:rsidRPr="00EE6E41">
              <w:rPr>
                <w:rFonts w:ascii="Calibri Light" w:eastAsia="Times New Roman" w:hAnsi="Calibri Light" w:cstheme="minorHAnsi"/>
                <w:sz w:val="16"/>
                <w:szCs w:val="16"/>
                <w:lang w:val="en-AU"/>
              </w:rPr>
              <w:t>M</w:t>
            </w:r>
            <w:r>
              <w:rPr>
                <w:rFonts w:ascii="Calibri Light" w:eastAsia="Times New Roman" w:hAnsi="Calibri Light" w:cstheme="minorHAnsi"/>
                <w:sz w:val="16"/>
                <w:szCs w:val="16"/>
                <w:lang w:val="en-AU"/>
              </w:rPr>
              <w:t xml:space="preserve">inistry </w:t>
            </w:r>
            <w:r w:rsidRPr="00EE6E41">
              <w:rPr>
                <w:rFonts w:ascii="Calibri Light" w:eastAsia="Times New Roman" w:hAnsi="Calibri Light" w:cstheme="minorHAnsi"/>
                <w:sz w:val="16"/>
                <w:szCs w:val="16"/>
                <w:lang w:val="en-AU"/>
              </w:rPr>
              <w:t>o</w:t>
            </w:r>
            <w:r>
              <w:rPr>
                <w:rFonts w:ascii="Calibri Light" w:eastAsia="Times New Roman" w:hAnsi="Calibri Light" w:cstheme="minorHAnsi"/>
                <w:sz w:val="16"/>
                <w:szCs w:val="16"/>
                <w:lang w:val="en-AU"/>
              </w:rPr>
              <w:t xml:space="preserve">f </w:t>
            </w:r>
            <w:r w:rsidRPr="00EE6E41">
              <w:rPr>
                <w:rFonts w:ascii="Calibri Light" w:eastAsia="Times New Roman" w:hAnsi="Calibri Light" w:cstheme="minorHAnsi"/>
                <w:sz w:val="16"/>
                <w:szCs w:val="16"/>
                <w:lang w:val="en-AU"/>
              </w:rPr>
              <w:t>C</w:t>
            </w:r>
            <w:r>
              <w:rPr>
                <w:rFonts w:ascii="Calibri Light" w:eastAsia="Times New Roman" w:hAnsi="Calibri Light" w:cstheme="minorHAnsi"/>
                <w:sz w:val="16"/>
                <w:szCs w:val="16"/>
                <w:lang w:val="en-AU"/>
              </w:rPr>
              <w:t>ommerce</w:t>
            </w:r>
            <w:r w:rsidRPr="00EE6E41">
              <w:rPr>
                <w:rFonts w:ascii="Calibri Light" w:eastAsia="Times New Roman" w:hAnsi="Calibri Light" w:cstheme="minorHAnsi"/>
                <w:sz w:val="16"/>
                <w:szCs w:val="16"/>
                <w:lang w:val="en-AU"/>
              </w:rPr>
              <w:t xml:space="preserve"> has confirmed </w:t>
            </w:r>
            <w:r>
              <w:rPr>
                <w:rFonts w:ascii="Calibri Light" w:eastAsia="Times New Roman" w:hAnsi="Calibri Light" w:cstheme="minorHAnsi"/>
                <w:sz w:val="16"/>
                <w:szCs w:val="16"/>
                <w:lang w:val="en-AU"/>
              </w:rPr>
              <w:t xml:space="preserve">to the World Bank </w:t>
            </w:r>
            <w:r w:rsidRPr="00EE6E41">
              <w:rPr>
                <w:rFonts w:ascii="Calibri Light" w:eastAsia="Times New Roman" w:hAnsi="Calibri Light" w:cstheme="minorHAnsi"/>
                <w:sz w:val="16"/>
                <w:szCs w:val="16"/>
                <w:lang w:val="en-AU"/>
              </w:rPr>
              <w:t>that a chapter on gender is included in the new trade policy</w:t>
            </w:r>
            <w:r>
              <w:rPr>
                <w:rFonts w:ascii="Calibri Light" w:eastAsia="Times New Roman" w:hAnsi="Calibri Light" w:cstheme="minorHAnsi"/>
                <w:sz w:val="16"/>
                <w:szCs w:val="16"/>
                <w:lang w:val="en-AU"/>
              </w:rPr>
              <w:t xml:space="preserve"> as per the target set for FY 2017-18</w:t>
            </w:r>
            <w:r w:rsidRPr="00EE6E41">
              <w:rPr>
                <w:rFonts w:ascii="Calibri Light" w:eastAsia="Times New Roman" w:hAnsi="Calibri Light" w:cstheme="minorHAnsi"/>
                <w:sz w:val="16"/>
                <w:szCs w:val="16"/>
                <w:lang w:val="en-AU"/>
              </w:rPr>
              <w:t xml:space="preserve">.  </w:t>
            </w:r>
            <w:r>
              <w:rPr>
                <w:rFonts w:ascii="Calibri Light" w:eastAsia="Times New Roman" w:hAnsi="Calibri Light" w:cstheme="minorHAnsi"/>
                <w:sz w:val="16"/>
                <w:szCs w:val="16"/>
                <w:lang w:val="en-AU"/>
              </w:rPr>
              <w:t>T</w:t>
            </w:r>
            <w:r w:rsidRPr="00EE6E41">
              <w:rPr>
                <w:rFonts w:ascii="Calibri Light" w:eastAsia="Times New Roman" w:hAnsi="Calibri Light" w:cstheme="minorHAnsi"/>
                <w:sz w:val="16"/>
                <w:szCs w:val="16"/>
                <w:lang w:val="en-AU"/>
              </w:rPr>
              <w:t xml:space="preserve">he draft trade strategy was scheduled to be launched on the Ministry of Commerce’s website for consultations </w:t>
            </w:r>
            <w:r>
              <w:rPr>
                <w:rFonts w:ascii="Calibri Light" w:eastAsia="Times New Roman" w:hAnsi="Calibri Light" w:cstheme="minorHAnsi"/>
                <w:sz w:val="16"/>
                <w:szCs w:val="16"/>
                <w:lang w:val="en-AU"/>
              </w:rPr>
              <w:t xml:space="preserve">by the </w:t>
            </w:r>
            <w:r w:rsidRPr="00EE6E41">
              <w:rPr>
                <w:rFonts w:ascii="Calibri Light" w:eastAsia="Times New Roman" w:hAnsi="Calibri Light" w:cstheme="minorHAnsi"/>
                <w:sz w:val="16"/>
                <w:szCs w:val="16"/>
                <w:lang w:val="en-AU"/>
              </w:rPr>
              <w:t xml:space="preserve">end of July </w:t>
            </w:r>
            <w:r>
              <w:rPr>
                <w:rFonts w:ascii="Calibri Light" w:eastAsia="Times New Roman" w:hAnsi="Calibri Light" w:cstheme="minorHAnsi"/>
                <w:sz w:val="16"/>
                <w:szCs w:val="16"/>
                <w:lang w:val="en-AU"/>
              </w:rPr>
              <w:t>h</w:t>
            </w:r>
            <w:r w:rsidRPr="00EE6E41">
              <w:rPr>
                <w:rFonts w:ascii="Calibri Light" w:eastAsia="Times New Roman" w:hAnsi="Calibri Light" w:cstheme="minorHAnsi"/>
                <w:sz w:val="16"/>
                <w:szCs w:val="16"/>
                <w:lang w:val="en-AU"/>
              </w:rPr>
              <w:t xml:space="preserve">owever </w:t>
            </w:r>
            <w:r>
              <w:rPr>
                <w:rFonts w:ascii="Calibri Light" w:eastAsia="Times New Roman" w:hAnsi="Calibri Light" w:cstheme="minorHAnsi"/>
                <w:sz w:val="16"/>
                <w:szCs w:val="16"/>
                <w:lang w:val="en-AU"/>
              </w:rPr>
              <w:t xml:space="preserve">due to </w:t>
            </w:r>
            <w:r w:rsidRPr="00EE6E41">
              <w:rPr>
                <w:rFonts w:ascii="Calibri Light" w:eastAsia="Times New Roman" w:hAnsi="Calibri Light" w:cstheme="minorHAnsi"/>
                <w:sz w:val="16"/>
                <w:szCs w:val="16"/>
                <w:lang w:val="en-AU"/>
              </w:rPr>
              <w:t>general elections the launch</w:t>
            </w:r>
            <w:r>
              <w:rPr>
                <w:rFonts w:ascii="Calibri Light" w:eastAsia="Times New Roman" w:hAnsi="Calibri Light" w:cstheme="minorHAnsi"/>
                <w:sz w:val="16"/>
                <w:szCs w:val="16"/>
                <w:lang w:val="en-AU"/>
              </w:rPr>
              <w:t xml:space="preserve"> has been delayed</w:t>
            </w:r>
            <w:r w:rsidRPr="00EE6E41">
              <w:rPr>
                <w:rFonts w:ascii="Calibri Light" w:eastAsia="Times New Roman" w:hAnsi="Calibri Light" w:cstheme="minorHAnsi"/>
                <w:sz w:val="16"/>
                <w:szCs w:val="16"/>
                <w:lang w:val="en-AU"/>
              </w:rPr>
              <w:t xml:space="preserve">. </w:t>
            </w:r>
            <w:r w:rsidR="00BC0BB7">
              <w:rPr>
                <w:rFonts w:ascii="Calibri Light" w:eastAsia="Times New Roman" w:hAnsi="Calibri Light" w:cstheme="minorHAnsi"/>
                <w:sz w:val="16"/>
                <w:szCs w:val="16"/>
                <w:lang w:val="en-AU"/>
              </w:rPr>
              <w:t xml:space="preserve">Given that there was no gender reflected in the earlier trade policy, inclusion of a chapter on </w:t>
            </w:r>
            <w:r w:rsidR="00ED5BC2">
              <w:rPr>
                <w:rFonts w:ascii="Calibri Light" w:eastAsia="Times New Roman" w:hAnsi="Calibri Light" w:cstheme="minorHAnsi"/>
                <w:sz w:val="16"/>
                <w:szCs w:val="16"/>
                <w:lang w:val="en-AU"/>
              </w:rPr>
              <w:t>gender</w:t>
            </w:r>
            <w:r w:rsidR="00BC0BB7">
              <w:rPr>
                <w:rFonts w:ascii="Calibri Light" w:eastAsia="Times New Roman" w:hAnsi="Calibri Light" w:cstheme="minorHAnsi"/>
                <w:sz w:val="16"/>
                <w:szCs w:val="16"/>
                <w:lang w:val="en-AU"/>
              </w:rPr>
              <w:t xml:space="preserve"> in the new policy is</w:t>
            </w:r>
            <w:r w:rsidR="00ED5BC2">
              <w:rPr>
                <w:rFonts w:ascii="Calibri Light" w:eastAsia="Times New Roman" w:hAnsi="Calibri Light" w:cstheme="minorHAnsi"/>
                <w:sz w:val="16"/>
                <w:szCs w:val="16"/>
                <w:lang w:val="en-AU"/>
              </w:rPr>
              <w:t xml:space="preserve"> a significant achievement in itself</w:t>
            </w:r>
            <w:r w:rsidR="00BC0BB7">
              <w:rPr>
                <w:rFonts w:ascii="Calibri Light" w:eastAsia="Times New Roman" w:hAnsi="Calibri Light" w:cstheme="minorHAnsi"/>
                <w:sz w:val="16"/>
                <w:szCs w:val="16"/>
                <w:lang w:val="en-AU"/>
              </w:rPr>
              <w:t xml:space="preserve"> in this context. </w:t>
            </w:r>
            <w:r w:rsidR="00ED5BC2">
              <w:rPr>
                <w:rFonts w:ascii="Calibri Light" w:eastAsia="Times New Roman" w:hAnsi="Calibri Light" w:cstheme="minorHAnsi"/>
                <w:sz w:val="16"/>
                <w:szCs w:val="16"/>
                <w:lang w:val="en-AU"/>
              </w:rPr>
              <w:t xml:space="preserve"> This, combined with other policy reform contributi</w:t>
            </w:r>
            <w:r w:rsidR="003D4DEA">
              <w:rPr>
                <w:rFonts w:ascii="Calibri Light" w:eastAsia="Times New Roman" w:hAnsi="Calibri Light" w:cstheme="minorHAnsi"/>
                <w:sz w:val="16"/>
                <w:szCs w:val="16"/>
                <w:lang w:val="en-AU"/>
              </w:rPr>
              <w:t>ons</w:t>
            </w:r>
            <w:r w:rsidR="0057433C">
              <w:rPr>
                <w:rFonts w:ascii="Calibri Light" w:eastAsia="Times New Roman" w:hAnsi="Calibri Light" w:cstheme="minorHAnsi"/>
                <w:sz w:val="16"/>
                <w:szCs w:val="16"/>
                <w:lang w:val="en-AU"/>
              </w:rPr>
              <w:t>,</w:t>
            </w:r>
            <w:r w:rsidR="003D4DEA">
              <w:rPr>
                <w:rFonts w:ascii="Calibri Light" w:eastAsia="Times New Roman" w:hAnsi="Calibri Light" w:cstheme="minorHAnsi"/>
                <w:sz w:val="16"/>
                <w:szCs w:val="16"/>
                <w:lang w:val="en-AU"/>
              </w:rPr>
              <w:t xml:space="preserve"> has led to a green rating. </w:t>
            </w:r>
            <w:r w:rsidR="00ED5BC2">
              <w:rPr>
                <w:rFonts w:ascii="Calibri Light" w:eastAsia="Times New Roman" w:hAnsi="Calibri Light" w:cstheme="minorHAnsi"/>
                <w:sz w:val="16"/>
                <w:szCs w:val="16"/>
                <w:lang w:val="en-AU"/>
              </w:rPr>
              <w:t xml:space="preserve"> </w:t>
            </w:r>
          </w:p>
        </w:tc>
      </w:tr>
      <w:tr w:rsidR="002612DE" w:rsidRPr="00C61187" w:rsidTr="002612DE">
        <w:tc>
          <w:tcPr>
            <w:tcW w:w="780" w:type="pct"/>
            <w:tcMar>
              <w:top w:w="57" w:type="dxa"/>
              <w:bottom w:w="57" w:type="dxa"/>
            </w:tcMar>
          </w:tcPr>
          <w:p w:rsidR="002612DE" w:rsidRPr="00880004" w:rsidRDefault="002612DE" w:rsidP="002612DE">
            <w:pPr>
              <w:keepLines/>
              <w:spacing w:before="40" w:after="40" w:line="200" w:lineRule="atLeast"/>
              <w:rPr>
                <w:rFonts w:asciiTheme="minorHAnsi" w:eastAsia="Times New Roman" w:hAnsiTheme="minorHAnsi"/>
                <w:iCs/>
                <w:szCs w:val="17"/>
                <w:lang w:eastAsia="en-US"/>
              </w:rPr>
            </w:pPr>
            <w:r w:rsidRPr="00E3385B">
              <w:rPr>
                <w:rFonts w:ascii="Calibri Light" w:eastAsia="Calibri Light" w:hAnsi="Calibri Light" w:cs="Times New Roman"/>
                <w:color w:val="495965"/>
              </w:rPr>
              <w:t>Objective 2: Investing in Pakistan’s people</w:t>
            </w:r>
          </w:p>
        </w:tc>
        <w:tc>
          <w:tcPr>
            <w:tcW w:w="780" w:type="pct"/>
          </w:tcPr>
          <w:p w:rsidR="002612DE" w:rsidRPr="00880004" w:rsidRDefault="002612DE" w:rsidP="002612DE">
            <w:pPr>
              <w:keepLines/>
              <w:spacing w:before="40" w:after="40" w:line="200" w:lineRule="atLeast"/>
              <w:rPr>
                <w:rFonts w:asciiTheme="minorHAnsi" w:eastAsia="Times New Roman" w:hAnsiTheme="minorHAnsi"/>
                <w:iCs/>
                <w:szCs w:val="17"/>
                <w:lang w:eastAsia="en-US"/>
              </w:rPr>
            </w:pPr>
            <w:r w:rsidRPr="00E3385B">
              <w:rPr>
                <w:rFonts w:ascii="Calibri Light" w:eastAsia="Times New Roman" w:hAnsi="Calibri Light" w:cs="Times New Roman"/>
                <w:iCs/>
                <w:color w:val="495965"/>
                <w:szCs w:val="17"/>
              </w:rPr>
              <w:t>Eligible women and children in target districts receive nutrition related services.</w:t>
            </w:r>
          </w:p>
        </w:tc>
        <w:tc>
          <w:tcPr>
            <w:tcW w:w="470" w:type="pct"/>
            <w:shd w:val="clear" w:color="auto" w:fill="72AF2F"/>
          </w:tcPr>
          <w:p w:rsidR="002612DE" w:rsidRDefault="002612DE" w:rsidP="002612DE">
            <w:pPr>
              <w:keepLines/>
              <w:spacing w:before="40" w:after="40" w:line="200" w:lineRule="atLeast"/>
              <w:jc w:val="center"/>
              <w:rPr>
                <w:rFonts w:asciiTheme="minorHAnsi" w:eastAsia="Times New Roman" w:hAnsiTheme="minorHAnsi"/>
                <w:iCs/>
                <w:color w:val="FFFFFF" w:themeColor="background1"/>
                <w:szCs w:val="17"/>
                <w:lang w:eastAsia="en-US"/>
              </w:rPr>
            </w:pPr>
          </w:p>
          <w:p w:rsidR="002612DE" w:rsidRPr="002612DE" w:rsidRDefault="002612DE" w:rsidP="002612DE">
            <w:pPr>
              <w:keepLines/>
              <w:spacing w:before="40" w:after="40" w:line="200" w:lineRule="atLeast"/>
              <w:jc w:val="center"/>
              <w:rPr>
                <w:rFonts w:asciiTheme="minorHAnsi" w:eastAsia="Times New Roman" w:hAnsiTheme="minorHAnsi"/>
                <w:iCs/>
                <w:color w:val="FFFFFF" w:themeColor="background1"/>
                <w:szCs w:val="17"/>
                <w:lang w:eastAsia="en-US"/>
              </w:rPr>
            </w:pPr>
            <w:r w:rsidRPr="00880004">
              <w:rPr>
                <w:rFonts w:asciiTheme="minorHAnsi" w:eastAsia="Times New Roman" w:hAnsiTheme="minorHAnsi"/>
                <w:iCs/>
                <w:color w:val="FFFFFF" w:themeColor="background1"/>
                <w:szCs w:val="17"/>
                <w:lang w:eastAsia="en-US"/>
              </w:rPr>
              <w:t xml:space="preserve">Achieved </w:t>
            </w:r>
          </w:p>
        </w:tc>
        <w:tc>
          <w:tcPr>
            <w:tcW w:w="2970" w:type="pct"/>
          </w:tcPr>
          <w:p w:rsidR="002612DE" w:rsidRPr="00880004" w:rsidRDefault="002612DE" w:rsidP="002612DE">
            <w:pPr>
              <w:suppressAutoHyphens w:val="0"/>
              <w:spacing w:before="0" w:after="0" w:line="240" w:lineRule="auto"/>
              <w:rPr>
                <w:rFonts w:asciiTheme="minorHAnsi" w:eastAsia="Times New Roman" w:hAnsiTheme="minorHAnsi"/>
                <w:iCs/>
                <w:szCs w:val="17"/>
                <w:lang w:eastAsia="en-US"/>
              </w:rPr>
            </w:pPr>
            <w:r w:rsidRPr="002612DE">
              <w:rPr>
                <w:rFonts w:ascii="Calibri Light" w:eastAsia="Times New Roman" w:hAnsi="Calibri Light" w:cstheme="minorHAnsi"/>
                <w:sz w:val="16"/>
                <w:szCs w:val="16"/>
                <w:lang w:val="en-AU"/>
              </w:rPr>
              <w:t>286,782 eligible women and children received nutrition related services in the target districts surpassing the target of 80,000.   The figure includes (83,837 women, 14,002 adolescent girls and 188,943 children under five (93,127 girls &amp; 95,816 boys).</w:t>
            </w:r>
          </w:p>
        </w:tc>
      </w:tr>
      <w:tr w:rsidR="002612DE" w:rsidRPr="00C61187" w:rsidTr="002612DE">
        <w:tc>
          <w:tcPr>
            <w:tcW w:w="780" w:type="pct"/>
            <w:tcMar>
              <w:top w:w="57" w:type="dxa"/>
              <w:bottom w:w="57" w:type="dxa"/>
            </w:tcMar>
          </w:tcPr>
          <w:p w:rsidR="002612DE" w:rsidRPr="00880004" w:rsidRDefault="002612DE" w:rsidP="002612DE">
            <w:pPr>
              <w:keepLines/>
              <w:spacing w:before="40" w:after="40" w:line="200" w:lineRule="atLeast"/>
              <w:rPr>
                <w:rFonts w:eastAsia="Times New Roman"/>
                <w:iCs/>
                <w:szCs w:val="17"/>
              </w:rPr>
            </w:pPr>
          </w:p>
        </w:tc>
        <w:tc>
          <w:tcPr>
            <w:tcW w:w="780" w:type="pct"/>
          </w:tcPr>
          <w:p w:rsidR="002612DE" w:rsidRPr="00E3385B" w:rsidRDefault="002612DE" w:rsidP="002612DE">
            <w:pPr>
              <w:keepLines/>
              <w:spacing w:before="40" w:after="40" w:line="200" w:lineRule="atLeast"/>
              <w:rPr>
                <w:rFonts w:asciiTheme="majorHAnsi" w:hAnsiTheme="majorHAnsi"/>
              </w:rPr>
            </w:pPr>
            <w:r w:rsidRPr="00E3385B">
              <w:rPr>
                <w:rFonts w:ascii="Calibri Light" w:eastAsia="Times New Roman" w:hAnsi="Calibri Light" w:cs="Times New Roman"/>
                <w:iCs/>
                <w:color w:val="495965"/>
                <w:szCs w:val="17"/>
              </w:rPr>
              <w:t>Number of boys and girls directly supported by the program, enrolled in basic education</w:t>
            </w:r>
            <w:r w:rsidRPr="00E3385B">
              <w:rPr>
                <w:rFonts w:eastAsia="Calibri Light" w:cs="Times New Roman"/>
                <w:iCs/>
                <w:color w:val="495965"/>
                <w:sz w:val="16"/>
                <w:szCs w:val="16"/>
              </w:rPr>
              <w:t>.</w:t>
            </w:r>
          </w:p>
        </w:tc>
        <w:tc>
          <w:tcPr>
            <w:tcW w:w="470" w:type="pct"/>
            <w:shd w:val="clear" w:color="auto" w:fill="72AF2F"/>
          </w:tcPr>
          <w:p w:rsidR="002612DE" w:rsidRDefault="002612DE" w:rsidP="002612DE">
            <w:pPr>
              <w:keepLines/>
              <w:spacing w:before="40" w:after="40" w:line="200" w:lineRule="atLeast"/>
              <w:jc w:val="center"/>
              <w:rPr>
                <w:rFonts w:asciiTheme="minorHAnsi" w:eastAsia="Times New Roman" w:hAnsiTheme="minorHAnsi"/>
                <w:iCs/>
                <w:color w:val="FFFFFF" w:themeColor="background1"/>
                <w:szCs w:val="17"/>
                <w:lang w:eastAsia="en-US"/>
              </w:rPr>
            </w:pPr>
          </w:p>
          <w:p w:rsidR="002612DE" w:rsidRPr="00880004" w:rsidRDefault="002612DE" w:rsidP="002612DE">
            <w:pPr>
              <w:keepLines/>
              <w:spacing w:before="40" w:after="40" w:line="200" w:lineRule="atLeast"/>
              <w:jc w:val="center"/>
              <w:rPr>
                <w:rFonts w:eastAsia="Times New Roman"/>
                <w:iCs/>
                <w:color w:val="FFFFFF" w:themeColor="background1"/>
                <w:szCs w:val="17"/>
              </w:rPr>
            </w:pPr>
            <w:r w:rsidRPr="002612DE">
              <w:rPr>
                <w:rFonts w:asciiTheme="minorHAnsi" w:eastAsia="Times New Roman" w:hAnsiTheme="minorHAnsi"/>
                <w:iCs/>
                <w:color w:val="FFFFFF" w:themeColor="background1"/>
                <w:szCs w:val="17"/>
                <w:lang w:eastAsia="en-US"/>
              </w:rPr>
              <w:t>Achieved</w:t>
            </w:r>
          </w:p>
        </w:tc>
        <w:tc>
          <w:tcPr>
            <w:tcW w:w="2970" w:type="pct"/>
          </w:tcPr>
          <w:p w:rsidR="002612DE" w:rsidRPr="00E3385B" w:rsidRDefault="002612DE" w:rsidP="002612DE">
            <w:pPr>
              <w:keepLines/>
              <w:spacing w:before="40" w:after="40" w:line="200" w:lineRule="atLeast"/>
              <w:rPr>
                <w:rFonts w:ascii="Calibri Light" w:eastAsia="Times New Roman" w:hAnsi="Calibri Light" w:cs="Times New Roman"/>
                <w:iCs/>
                <w:color w:val="495965"/>
                <w:szCs w:val="17"/>
              </w:rPr>
            </w:pPr>
            <w:r>
              <w:rPr>
                <w:rFonts w:ascii="Calibri Light" w:eastAsia="Times New Roman" w:hAnsi="Calibri Light" w:cs="Times New Roman"/>
                <w:iCs/>
                <w:color w:val="495965"/>
                <w:szCs w:val="17"/>
              </w:rPr>
              <w:t>4.63 million ch</w:t>
            </w:r>
            <w:r w:rsidR="0057433C">
              <w:rPr>
                <w:rFonts w:ascii="Calibri Light" w:eastAsia="Times New Roman" w:hAnsi="Calibri Light" w:cs="Times New Roman"/>
                <w:iCs/>
                <w:color w:val="495965"/>
                <w:szCs w:val="17"/>
              </w:rPr>
              <w:t>ildren</w:t>
            </w:r>
            <w:r>
              <w:rPr>
                <w:rFonts w:ascii="Calibri Light" w:eastAsia="Times New Roman" w:hAnsi="Calibri Light" w:cs="Times New Roman"/>
                <w:iCs/>
                <w:color w:val="495965"/>
                <w:szCs w:val="17"/>
              </w:rPr>
              <w:t xml:space="preserve"> enrolled in basic education were directly supported by the Khyber Pakhtunkhwa Education Sector Program. Of these 2.03 million were girls (against the target of 2 million girls).</w:t>
            </w:r>
          </w:p>
          <w:p w:rsidR="002612DE" w:rsidRPr="00880004" w:rsidRDefault="002612DE" w:rsidP="002612DE">
            <w:pPr>
              <w:pStyle w:val="TableTextEntries"/>
              <w:keepNext/>
              <w:rPr>
                <w:rFonts w:asciiTheme="minorHAnsi" w:hAnsiTheme="minorHAnsi" w:cstheme="minorBidi"/>
                <w:color w:val="495965" w:themeColor="text2"/>
                <w:lang w:val="en-GB"/>
              </w:rPr>
            </w:pPr>
          </w:p>
        </w:tc>
      </w:tr>
      <w:tr w:rsidR="002612DE" w:rsidRPr="00C61187" w:rsidTr="002612DE">
        <w:tc>
          <w:tcPr>
            <w:tcW w:w="780" w:type="pct"/>
            <w:tcMar>
              <w:top w:w="57" w:type="dxa"/>
              <w:bottom w:w="57" w:type="dxa"/>
            </w:tcMar>
          </w:tcPr>
          <w:p w:rsidR="002612DE" w:rsidRPr="00880004" w:rsidRDefault="002612DE" w:rsidP="002612DE">
            <w:pPr>
              <w:keepLines/>
              <w:spacing w:before="40" w:after="40" w:line="200" w:lineRule="atLeast"/>
              <w:rPr>
                <w:rFonts w:eastAsia="Times New Roman"/>
                <w:iCs/>
                <w:szCs w:val="17"/>
              </w:rPr>
            </w:pPr>
          </w:p>
        </w:tc>
        <w:tc>
          <w:tcPr>
            <w:tcW w:w="780" w:type="pct"/>
          </w:tcPr>
          <w:p w:rsidR="002612DE" w:rsidRPr="00E3385B" w:rsidRDefault="002612DE" w:rsidP="002612DE">
            <w:pPr>
              <w:keepLines/>
              <w:spacing w:before="40" w:after="40" w:line="200" w:lineRule="atLeast"/>
              <w:rPr>
                <w:rFonts w:asciiTheme="majorHAnsi" w:hAnsiTheme="majorHAnsi"/>
              </w:rPr>
            </w:pPr>
            <w:r w:rsidRPr="00E3385B">
              <w:rPr>
                <w:rFonts w:ascii="Calibri Light" w:eastAsia="Times New Roman" w:hAnsi="Calibri Light" w:cs="Times New Roman"/>
                <w:iCs/>
                <w:color w:val="495965"/>
                <w:szCs w:val="17"/>
              </w:rPr>
              <w:t>Number of women survivors of violence accessing quality support services in target districts.</w:t>
            </w:r>
          </w:p>
        </w:tc>
        <w:tc>
          <w:tcPr>
            <w:tcW w:w="470" w:type="pct"/>
            <w:shd w:val="clear" w:color="auto" w:fill="72AF2F"/>
          </w:tcPr>
          <w:p w:rsidR="002612DE" w:rsidRDefault="002612DE" w:rsidP="002612DE">
            <w:pPr>
              <w:keepLines/>
              <w:spacing w:before="40" w:after="40" w:line="200" w:lineRule="atLeast"/>
              <w:jc w:val="center"/>
              <w:rPr>
                <w:rFonts w:asciiTheme="minorHAnsi" w:eastAsia="Times New Roman" w:hAnsiTheme="minorHAnsi"/>
                <w:iCs/>
                <w:color w:val="FFFFFF" w:themeColor="background1"/>
                <w:szCs w:val="17"/>
                <w:lang w:eastAsia="en-US"/>
              </w:rPr>
            </w:pPr>
          </w:p>
          <w:p w:rsidR="002612DE" w:rsidRPr="00880004" w:rsidRDefault="002612DE" w:rsidP="002612DE">
            <w:pPr>
              <w:keepLines/>
              <w:spacing w:before="40" w:after="40" w:line="200" w:lineRule="atLeast"/>
              <w:jc w:val="center"/>
              <w:rPr>
                <w:rFonts w:eastAsia="Times New Roman"/>
                <w:iCs/>
                <w:color w:val="FFFFFF" w:themeColor="background1"/>
                <w:szCs w:val="17"/>
              </w:rPr>
            </w:pPr>
            <w:r w:rsidRPr="002612DE">
              <w:rPr>
                <w:rFonts w:asciiTheme="minorHAnsi" w:eastAsia="Times New Roman" w:hAnsiTheme="minorHAnsi"/>
                <w:iCs/>
                <w:color w:val="FFFFFF" w:themeColor="background1"/>
                <w:szCs w:val="17"/>
                <w:lang w:eastAsia="en-US"/>
              </w:rPr>
              <w:t>Achieved</w:t>
            </w:r>
          </w:p>
        </w:tc>
        <w:tc>
          <w:tcPr>
            <w:tcW w:w="2970" w:type="pct"/>
          </w:tcPr>
          <w:p w:rsidR="002612DE" w:rsidRPr="00880004" w:rsidRDefault="002612DE" w:rsidP="002612DE">
            <w:pPr>
              <w:pStyle w:val="TableTextEntries"/>
              <w:keepNext/>
              <w:rPr>
                <w:rFonts w:asciiTheme="minorHAnsi" w:hAnsiTheme="minorHAnsi" w:cstheme="minorBidi"/>
                <w:color w:val="495965" w:themeColor="text2"/>
                <w:lang w:val="en-GB"/>
              </w:rPr>
            </w:pPr>
            <w:r>
              <w:rPr>
                <w:rFonts w:ascii="Calibri Light" w:hAnsi="Calibri Light"/>
                <w:color w:val="495965"/>
              </w:rPr>
              <w:t xml:space="preserve">2,544 women survivors of violence accessed the </w:t>
            </w:r>
            <w:r w:rsidRPr="00E3385B">
              <w:rPr>
                <w:rFonts w:ascii="Calibri Light" w:hAnsi="Calibri Light"/>
                <w:color w:val="495965"/>
              </w:rPr>
              <w:t>program services in 201</w:t>
            </w:r>
            <w:r>
              <w:rPr>
                <w:rFonts w:ascii="Calibri Light" w:hAnsi="Calibri Light"/>
                <w:color w:val="495965"/>
              </w:rPr>
              <w:t>7</w:t>
            </w:r>
            <w:r w:rsidRPr="00E3385B">
              <w:rPr>
                <w:rFonts w:ascii="Calibri Light" w:hAnsi="Calibri Light"/>
                <w:color w:val="495965"/>
              </w:rPr>
              <w:t>-1</w:t>
            </w:r>
            <w:r>
              <w:rPr>
                <w:rFonts w:ascii="Calibri Light" w:hAnsi="Calibri Light"/>
                <w:color w:val="495965"/>
              </w:rPr>
              <w:t>8</w:t>
            </w:r>
            <w:r w:rsidRPr="00E3385B">
              <w:rPr>
                <w:rFonts w:ascii="Calibri Light" w:hAnsi="Calibri Light"/>
                <w:color w:val="495965"/>
              </w:rPr>
              <w:t xml:space="preserve">, </w:t>
            </w:r>
            <w:r>
              <w:rPr>
                <w:rFonts w:ascii="Calibri Light" w:hAnsi="Calibri Light"/>
                <w:color w:val="495965"/>
              </w:rPr>
              <w:t xml:space="preserve">exceeding </w:t>
            </w:r>
            <w:r w:rsidRPr="00E3385B">
              <w:rPr>
                <w:rFonts w:ascii="Calibri Light" w:hAnsi="Calibri Light"/>
                <w:color w:val="495965"/>
              </w:rPr>
              <w:t xml:space="preserve">the target of </w:t>
            </w:r>
            <w:r>
              <w:rPr>
                <w:rFonts w:ascii="Calibri Light" w:hAnsi="Calibri Light"/>
                <w:color w:val="495965"/>
              </w:rPr>
              <w:t>2000</w:t>
            </w:r>
            <w:r w:rsidRPr="00E3385B">
              <w:rPr>
                <w:rFonts w:ascii="Calibri Light" w:hAnsi="Calibri Light"/>
                <w:color w:val="495965"/>
              </w:rPr>
              <w:t>.</w:t>
            </w:r>
          </w:p>
        </w:tc>
      </w:tr>
      <w:tr w:rsidR="002612DE" w:rsidRPr="00C61187" w:rsidTr="002612DE">
        <w:tc>
          <w:tcPr>
            <w:tcW w:w="780" w:type="pct"/>
            <w:tcMar>
              <w:top w:w="57" w:type="dxa"/>
              <w:bottom w:w="57" w:type="dxa"/>
            </w:tcMar>
          </w:tcPr>
          <w:p w:rsidR="002612DE" w:rsidRPr="002612DE" w:rsidRDefault="002612DE" w:rsidP="002612DE">
            <w:pPr>
              <w:keepLines/>
              <w:spacing w:before="40" w:after="40" w:line="200" w:lineRule="atLeast"/>
              <w:rPr>
                <w:rFonts w:ascii="Calibri Light" w:eastAsia="Times New Roman" w:hAnsi="Calibri Light" w:cs="Times New Roman"/>
                <w:iCs/>
                <w:color w:val="495965"/>
                <w:szCs w:val="17"/>
              </w:rPr>
            </w:pPr>
            <w:r w:rsidRPr="002612DE">
              <w:rPr>
                <w:rFonts w:ascii="Calibri Light" w:eastAsia="Times New Roman" w:hAnsi="Calibri Light" w:cs="Times New Roman"/>
                <w:iCs/>
                <w:color w:val="495965"/>
                <w:szCs w:val="17"/>
              </w:rPr>
              <w:t>Objective 3: Supporting stabilisation and resilience</w:t>
            </w:r>
          </w:p>
        </w:tc>
        <w:tc>
          <w:tcPr>
            <w:tcW w:w="780" w:type="pct"/>
          </w:tcPr>
          <w:p w:rsidR="002612DE" w:rsidRPr="00E3385B" w:rsidRDefault="002612DE" w:rsidP="002612DE">
            <w:pPr>
              <w:pStyle w:val="NormalIndented"/>
              <w:ind w:left="0"/>
              <w:rPr>
                <w:rFonts w:ascii="Calibri Light" w:eastAsia="Times New Roman" w:hAnsi="Calibri Light" w:cs="Times New Roman"/>
                <w:iCs/>
                <w:color w:val="495965"/>
                <w:szCs w:val="17"/>
              </w:rPr>
            </w:pPr>
            <w:r w:rsidRPr="002612DE">
              <w:rPr>
                <w:rFonts w:ascii="Calibri Light" w:eastAsia="Times New Roman" w:hAnsi="Calibri Light" w:cs="Times New Roman"/>
                <w:iCs/>
                <w:color w:val="495965"/>
                <w:szCs w:val="17"/>
              </w:rPr>
              <w:t># of additional women and men benefitting from improved services, local infrastructure and livelihoods opportunities in areas affected by conflict and natural disaster.</w:t>
            </w:r>
          </w:p>
        </w:tc>
        <w:tc>
          <w:tcPr>
            <w:tcW w:w="470" w:type="pct"/>
            <w:shd w:val="clear" w:color="auto" w:fill="E36C0A"/>
          </w:tcPr>
          <w:p w:rsidR="002612DE" w:rsidRDefault="002612DE" w:rsidP="002612DE">
            <w:pPr>
              <w:keepLines/>
              <w:spacing w:before="40" w:after="40" w:line="200" w:lineRule="atLeast"/>
              <w:jc w:val="center"/>
              <w:rPr>
                <w:rFonts w:asciiTheme="minorHAnsi" w:eastAsia="Times New Roman" w:hAnsiTheme="minorHAnsi"/>
                <w:iCs/>
                <w:color w:val="FFFFFF" w:themeColor="background1"/>
                <w:szCs w:val="17"/>
                <w:lang w:eastAsia="en-US"/>
              </w:rPr>
            </w:pPr>
          </w:p>
          <w:p w:rsidR="002612DE" w:rsidRDefault="002612DE" w:rsidP="002612DE">
            <w:pPr>
              <w:keepLines/>
              <w:spacing w:before="40" w:after="40" w:line="200" w:lineRule="atLeast"/>
              <w:jc w:val="center"/>
              <w:rPr>
                <w:rFonts w:asciiTheme="minorHAnsi" w:eastAsia="Times New Roman" w:hAnsiTheme="minorHAnsi"/>
                <w:iCs/>
                <w:color w:val="FFFFFF" w:themeColor="background1"/>
                <w:szCs w:val="17"/>
                <w:lang w:eastAsia="en-US"/>
              </w:rPr>
            </w:pPr>
            <w:r w:rsidRPr="002612DE">
              <w:rPr>
                <w:rFonts w:asciiTheme="minorHAnsi" w:eastAsia="Times New Roman" w:hAnsiTheme="minorHAnsi"/>
                <w:iCs/>
                <w:color w:val="FFFFFF" w:themeColor="background1"/>
                <w:szCs w:val="17"/>
                <w:lang w:eastAsia="en-US"/>
              </w:rPr>
              <w:t>Partly</w:t>
            </w:r>
          </w:p>
          <w:p w:rsidR="002612DE" w:rsidRPr="002612DE" w:rsidRDefault="002612DE" w:rsidP="002612DE">
            <w:pPr>
              <w:keepLines/>
              <w:spacing w:before="40" w:after="40" w:line="200" w:lineRule="atLeast"/>
              <w:jc w:val="center"/>
              <w:rPr>
                <w:rFonts w:asciiTheme="minorHAnsi" w:eastAsia="Times New Roman" w:hAnsiTheme="minorHAnsi"/>
                <w:iCs/>
                <w:color w:val="FFFFFF" w:themeColor="background1"/>
                <w:szCs w:val="17"/>
                <w:lang w:eastAsia="en-US"/>
              </w:rPr>
            </w:pPr>
            <w:r w:rsidRPr="002612DE">
              <w:rPr>
                <w:rFonts w:asciiTheme="minorHAnsi" w:eastAsia="Times New Roman" w:hAnsiTheme="minorHAnsi"/>
                <w:iCs/>
                <w:color w:val="FFFFFF" w:themeColor="background1"/>
                <w:szCs w:val="17"/>
                <w:lang w:eastAsia="en-US"/>
              </w:rPr>
              <w:t xml:space="preserve"> Achieved</w:t>
            </w:r>
          </w:p>
        </w:tc>
        <w:tc>
          <w:tcPr>
            <w:tcW w:w="2970" w:type="pct"/>
          </w:tcPr>
          <w:p w:rsidR="002612DE" w:rsidRDefault="002612DE">
            <w:pPr>
              <w:pStyle w:val="TableTextEntries"/>
              <w:keepNext/>
              <w:rPr>
                <w:rFonts w:ascii="Calibri Light" w:hAnsi="Calibri Light"/>
                <w:color w:val="495965"/>
              </w:rPr>
            </w:pPr>
            <w:r>
              <w:rPr>
                <w:rFonts w:ascii="Calibri Light" w:hAnsi="Calibri Light"/>
                <w:color w:val="495965"/>
              </w:rPr>
              <w:t xml:space="preserve">150,000 people benefitted from improved services, local infrastructure and livelihoods opportunities in areas affected by conflict and disasters. The target of 175,000 could not be achieved due to </w:t>
            </w:r>
            <w:r w:rsidR="001A1F3D">
              <w:rPr>
                <w:rFonts w:ascii="Calibri Light" w:hAnsi="Calibri Light"/>
                <w:color w:val="495965"/>
              </w:rPr>
              <w:t xml:space="preserve">a </w:t>
            </w:r>
            <w:r>
              <w:rPr>
                <w:rFonts w:ascii="Calibri Light" w:hAnsi="Calibri Light"/>
                <w:color w:val="495965"/>
              </w:rPr>
              <w:t xml:space="preserve">stalled FATA portfolio. </w:t>
            </w:r>
            <w:r w:rsidR="005F4E47">
              <w:rPr>
                <w:rFonts w:ascii="Calibri Light" w:hAnsi="Calibri Light"/>
                <w:color w:val="495965"/>
              </w:rPr>
              <w:t xml:space="preserve">Gender </w:t>
            </w:r>
            <w:r>
              <w:rPr>
                <w:rFonts w:ascii="Calibri Light" w:hAnsi="Calibri Light"/>
                <w:color w:val="495965"/>
              </w:rPr>
              <w:t>disaggregated data was also not available for this benchmark.</w:t>
            </w:r>
          </w:p>
        </w:tc>
      </w:tr>
      <w:tr w:rsidR="002612DE" w:rsidRPr="00C61187" w:rsidTr="002612DE">
        <w:tc>
          <w:tcPr>
            <w:tcW w:w="780" w:type="pct"/>
            <w:tcMar>
              <w:top w:w="57" w:type="dxa"/>
              <w:bottom w:w="57" w:type="dxa"/>
            </w:tcMar>
          </w:tcPr>
          <w:p w:rsidR="002612DE" w:rsidRPr="002612DE" w:rsidRDefault="002612DE" w:rsidP="002612DE">
            <w:pPr>
              <w:keepLines/>
              <w:spacing w:before="40" w:after="40" w:line="200" w:lineRule="atLeast"/>
              <w:rPr>
                <w:rFonts w:ascii="Calibri Light" w:eastAsia="Times New Roman" w:hAnsi="Calibri Light" w:cs="Times New Roman"/>
                <w:iCs/>
                <w:color w:val="495965"/>
                <w:szCs w:val="17"/>
              </w:rPr>
            </w:pPr>
          </w:p>
        </w:tc>
        <w:tc>
          <w:tcPr>
            <w:tcW w:w="780" w:type="pct"/>
          </w:tcPr>
          <w:p w:rsidR="002612DE" w:rsidRPr="002612DE" w:rsidRDefault="002612DE" w:rsidP="002612DE">
            <w:pPr>
              <w:rPr>
                <w:rFonts w:ascii="Calibri Light" w:eastAsia="Times New Roman" w:hAnsi="Calibri Light" w:cs="Times New Roman"/>
                <w:iCs/>
                <w:color w:val="495965"/>
                <w:szCs w:val="17"/>
              </w:rPr>
            </w:pPr>
            <w:r w:rsidRPr="002612DE">
              <w:rPr>
                <w:rFonts w:ascii="Calibri Light" w:eastAsia="Times New Roman" w:hAnsi="Calibri Light" w:cs="Times New Roman"/>
                <w:iCs/>
                <w:color w:val="495965"/>
                <w:szCs w:val="17"/>
              </w:rPr>
              <w:t xml:space="preserve"># of community organisations, including </w:t>
            </w:r>
            <w:r w:rsidR="00732567">
              <w:rPr>
                <w:rFonts w:ascii="Calibri Light" w:eastAsia="Times New Roman" w:hAnsi="Calibri Light" w:cs="Times New Roman"/>
                <w:iCs/>
                <w:color w:val="495965"/>
                <w:szCs w:val="17"/>
              </w:rPr>
              <w:t xml:space="preserve"> percent</w:t>
            </w:r>
            <w:r w:rsidRPr="002612DE">
              <w:rPr>
                <w:rFonts w:ascii="Calibri Light" w:eastAsia="Times New Roman" w:hAnsi="Calibri Light" w:cs="Times New Roman"/>
                <w:iCs/>
                <w:color w:val="495965"/>
                <w:szCs w:val="17"/>
              </w:rPr>
              <w:t xml:space="preserve"> women’s organisations (WOs), which are effectively supported to build community cohesion and advocate for their own needs.</w:t>
            </w:r>
          </w:p>
        </w:tc>
        <w:tc>
          <w:tcPr>
            <w:tcW w:w="470" w:type="pct"/>
            <w:shd w:val="clear" w:color="auto" w:fill="E36C0A"/>
          </w:tcPr>
          <w:p w:rsidR="002612DE" w:rsidRDefault="002612DE" w:rsidP="002612DE">
            <w:pPr>
              <w:keepLines/>
              <w:spacing w:before="40" w:after="40" w:line="200" w:lineRule="atLeast"/>
              <w:jc w:val="center"/>
              <w:rPr>
                <w:rFonts w:asciiTheme="minorHAnsi" w:eastAsia="Times New Roman" w:hAnsiTheme="minorHAnsi"/>
                <w:iCs/>
                <w:color w:val="FFFFFF" w:themeColor="background1"/>
                <w:szCs w:val="17"/>
                <w:lang w:eastAsia="en-US"/>
              </w:rPr>
            </w:pPr>
          </w:p>
          <w:p w:rsidR="002612DE" w:rsidRDefault="002612DE" w:rsidP="002612DE">
            <w:pPr>
              <w:keepLines/>
              <w:spacing w:before="40" w:after="40" w:line="200" w:lineRule="atLeast"/>
              <w:jc w:val="center"/>
              <w:rPr>
                <w:rFonts w:asciiTheme="minorHAnsi" w:eastAsia="Times New Roman" w:hAnsiTheme="minorHAnsi"/>
                <w:iCs/>
                <w:color w:val="FFFFFF" w:themeColor="background1"/>
                <w:szCs w:val="17"/>
                <w:lang w:eastAsia="en-US"/>
              </w:rPr>
            </w:pPr>
            <w:r w:rsidRPr="002612DE">
              <w:rPr>
                <w:rFonts w:asciiTheme="minorHAnsi" w:eastAsia="Times New Roman" w:hAnsiTheme="minorHAnsi"/>
                <w:iCs/>
                <w:color w:val="FFFFFF" w:themeColor="background1"/>
                <w:szCs w:val="17"/>
                <w:lang w:eastAsia="en-US"/>
              </w:rPr>
              <w:t xml:space="preserve">Partly </w:t>
            </w:r>
          </w:p>
          <w:p w:rsidR="002612DE" w:rsidRPr="002612DE" w:rsidRDefault="002612DE" w:rsidP="002612DE">
            <w:pPr>
              <w:keepLines/>
              <w:spacing w:before="40" w:after="40" w:line="200" w:lineRule="atLeast"/>
              <w:jc w:val="center"/>
              <w:rPr>
                <w:rFonts w:asciiTheme="minorHAnsi" w:eastAsia="Times New Roman" w:hAnsiTheme="minorHAnsi"/>
                <w:iCs/>
                <w:color w:val="FFFFFF" w:themeColor="background1"/>
                <w:szCs w:val="17"/>
                <w:lang w:eastAsia="en-US"/>
              </w:rPr>
            </w:pPr>
            <w:r w:rsidRPr="002612DE">
              <w:rPr>
                <w:rFonts w:asciiTheme="minorHAnsi" w:eastAsia="Times New Roman" w:hAnsiTheme="minorHAnsi"/>
                <w:iCs/>
                <w:color w:val="FFFFFF" w:themeColor="background1"/>
                <w:szCs w:val="17"/>
                <w:lang w:eastAsia="en-US"/>
              </w:rPr>
              <w:t>Achieved</w:t>
            </w:r>
          </w:p>
        </w:tc>
        <w:tc>
          <w:tcPr>
            <w:tcW w:w="2970" w:type="pct"/>
          </w:tcPr>
          <w:p w:rsidR="002612DE" w:rsidRDefault="002612DE" w:rsidP="002612DE">
            <w:pPr>
              <w:pStyle w:val="TableTextEntries"/>
              <w:keepNext/>
              <w:rPr>
                <w:rFonts w:ascii="Calibri Light" w:hAnsi="Calibri Light"/>
                <w:color w:val="495965"/>
              </w:rPr>
            </w:pPr>
            <w:r>
              <w:rPr>
                <w:rFonts w:ascii="Calibri Light" w:hAnsi="Calibri Light"/>
                <w:color w:val="495965"/>
              </w:rPr>
              <w:t>1,477 Community Organizations (COs) including 45</w:t>
            </w:r>
            <w:r w:rsidR="00732567">
              <w:rPr>
                <w:rFonts w:ascii="Calibri Light" w:hAnsi="Calibri Light"/>
                <w:color w:val="495965"/>
              </w:rPr>
              <w:t xml:space="preserve"> percent</w:t>
            </w:r>
            <w:r>
              <w:rPr>
                <w:rFonts w:ascii="Calibri Light" w:hAnsi="Calibri Light"/>
                <w:color w:val="495965"/>
              </w:rPr>
              <w:t xml:space="preserve"> Women Organizations (WOs) were supported to build community cohesion and advocate for their own needs against the target of 1,565 COs including 34</w:t>
            </w:r>
            <w:r w:rsidR="00732567">
              <w:rPr>
                <w:rFonts w:ascii="Calibri Light" w:hAnsi="Calibri Light"/>
                <w:color w:val="495965"/>
              </w:rPr>
              <w:t xml:space="preserve"> percent</w:t>
            </w:r>
            <w:r>
              <w:rPr>
                <w:rFonts w:ascii="Calibri Light" w:hAnsi="Calibri Light"/>
                <w:color w:val="495965"/>
              </w:rPr>
              <w:t xml:space="preserve"> WOs. Though the overall target was partly achieved, there was a 5 percent increase in the number of WOs, which were supported. The data comes from SRSP (1,050 COs including 50</w:t>
            </w:r>
            <w:r w:rsidR="00732567">
              <w:rPr>
                <w:rFonts w:ascii="Calibri Light" w:hAnsi="Calibri Light"/>
                <w:color w:val="495965"/>
              </w:rPr>
              <w:t xml:space="preserve"> percent</w:t>
            </w:r>
            <w:r>
              <w:rPr>
                <w:rFonts w:ascii="Calibri Light" w:hAnsi="Calibri Light"/>
                <w:color w:val="495965"/>
              </w:rPr>
              <w:t xml:space="preserve"> WOs) and MDTF-BA [427 COs including 30</w:t>
            </w:r>
            <w:r w:rsidR="00732567">
              <w:rPr>
                <w:rFonts w:ascii="Calibri Light" w:hAnsi="Calibri Light"/>
                <w:color w:val="495965"/>
              </w:rPr>
              <w:t xml:space="preserve"> percent</w:t>
            </w:r>
            <w:r>
              <w:rPr>
                <w:rFonts w:ascii="Calibri Light" w:hAnsi="Calibri Light"/>
                <w:color w:val="495965"/>
              </w:rPr>
              <w:t xml:space="preserve"> WOs against the target of 560 COs (8</w:t>
            </w:r>
            <w:r w:rsidR="00732567">
              <w:rPr>
                <w:rFonts w:ascii="Calibri Light" w:hAnsi="Calibri Light"/>
                <w:color w:val="495965"/>
              </w:rPr>
              <w:t xml:space="preserve"> percent</w:t>
            </w:r>
            <w:r>
              <w:rPr>
                <w:rFonts w:ascii="Calibri Light" w:hAnsi="Calibri Light"/>
                <w:color w:val="495965"/>
              </w:rPr>
              <w:t xml:space="preserve"> WOs)].</w:t>
            </w:r>
          </w:p>
        </w:tc>
      </w:tr>
    </w:tbl>
    <w:p w:rsidR="00400B0F" w:rsidRPr="00880004" w:rsidRDefault="00400B0F" w:rsidP="00400B0F">
      <w:pPr>
        <w:spacing w:before="20" w:after="20" w:line="180" w:lineRule="atLeast"/>
        <w:jc w:val="both"/>
        <w:rPr>
          <w:rFonts w:eastAsia="Times New Roman"/>
          <w:b/>
          <w:sz w:val="16"/>
          <w:szCs w:val="14"/>
        </w:rPr>
      </w:pPr>
      <w:r w:rsidRPr="00880004">
        <w:rPr>
          <w:rFonts w:eastAsia="Times New Roman"/>
          <w:b/>
          <w:sz w:val="16"/>
          <w:szCs w:val="14"/>
        </w:rPr>
        <w:t xml:space="preserve">Note: </w:t>
      </w:r>
    </w:p>
    <w:p w:rsidR="00400B0F" w:rsidRPr="00880004" w:rsidRDefault="00400B0F" w:rsidP="00400B0F">
      <w:pPr>
        <w:spacing w:before="20" w:after="20" w:line="180" w:lineRule="atLeast"/>
        <w:jc w:val="both"/>
        <w:rPr>
          <w:rFonts w:eastAsia="Times New Roman"/>
          <w:b/>
          <w:sz w:val="16"/>
          <w:szCs w:val="14"/>
        </w:rPr>
      </w:pPr>
      <w:r w:rsidRPr="00880004">
        <w:rPr>
          <w:rFonts w:eastAsia="Times New Roman"/>
          <w:b/>
          <w:color w:val="72AF2F"/>
          <w:sz w:val="16"/>
          <w:szCs w:val="14"/>
        </w:rPr>
        <w:sym w:font="Webdings" w:char="F067"/>
      </w:r>
      <w:r w:rsidRPr="00880004">
        <w:rPr>
          <w:rFonts w:eastAsia="Times New Roman"/>
          <w:b/>
          <w:sz w:val="16"/>
          <w:szCs w:val="14"/>
        </w:rPr>
        <w:t> </w:t>
      </w:r>
      <w:r w:rsidRPr="00880004">
        <w:rPr>
          <w:rFonts w:eastAsia="Times New Roman"/>
          <w:b/>
          <w:sz w:val="16"/>
          <w:szCs w:val="14"/>
        </w:rPr>
        <w:t xml:space="preserve"> Achieved.  Significant progress has been made and the performance benchmark was achieved </w:t>
      </w:r>
    </w:p>
    <w:p w:rsidR="00400B0F" w:rsidRPr="00880004" w:rsidRDefault="00400B0F" w:rsidP="00400B0F">
      <w:pPr>
        <w:spacing w:before="20" w:after="20" w:line="180" w:lineRule="atLeast"/>
        <w:jc w:val="both"/>
        <w:rPr>
          <w:rFonts w:eastAsia="Times New Roman"/>
          <w:b/>
          <w:sz w:val="16"/>
          <w:szCs w:val="14"/>
        </w:rPr>
      </w:pPr>
      <w:r w:rsidRPr="00880004">
        <w:rPr>
          <w:rFonts w:eastAsia="Times New Roman"/>
          <w:b/>
          <w:color w:val="E36C0A"/>
          <w:sz w:val="16"/>
          <w:szCs w:val="14"/>
        </w:rPr>
        <w:sym w:font="Webdings" w:char="F067"/>
      </w:r>
      <w:r w:rsidRPr="00880004">
        <w:rPr>
          <w:rFonts w:eastAsia="Times New Roman"/>
          <w:b/>
          <w:sz w:val="16"/>
          <w:szCs w:val="14"/>
        </w:rPr>
        <w:t> </w:t>
      </w:r>
      <w:r w:rsidRPr="00880004">
        <w:rPr>
          <w:rFonts w:eastAsia="Times New Roman"/>
          <w:b/>
          <w:sz w:val="16"/>
          <w:szCs w:val="14"/>
        </w:rPr>
        <w:t xml:space="preserve"> Partly achieved.  Some progress has been made towards achieving the performance benchmark, but progress was less than anticipated. </w:t>
      </w:r>
    </w:p>
    <w:p w:rsidR="00400B0F" w:rsidRPr="00880004" w:rsidRDefault="00400B0F" w:rsidP="00400B0F">
      <w:pPr>
        <w:spacing w:before="20" w:after="20" w:line="180" w:lineRule="atLeast"/>
        <w:jc w:val="both"/>
        <w:rPr>
          <w:rFonts w:eastAsia="Times New Roman"/>
          <w:b/>
          <w:sz w:val="16"/>
          <w:szCs w:val="14"/>
        </w:rPr>
      </w:pPr>
      <w:r w:rsidRPr="00880004">
        <w:rPr>
          <w:rFonts w:eastAsia="Times New Roman"/>
          <w:b/>
          <w:color w:val="FF0000"/>
          <w:sz w:val="16"/>
          <w:szCs w:val="14"/>
        </w:rPr>
        <w:sym w:font="Webdings" w:char="F067"/>
      </w:r>
      <w:r w:rsidRPr="00880004">
        <w:rPr>
          <w:rFonts w:eastAsia="Times New Roman"/>
          <w:b/>
          <w:sz w:val="16"/>
          <w:szCs w:val="14"/>
        </w:rPr>
        <w:t> </w:t>
      </w:r>
      <w:r w:rsidRPr="00880004">
        <w:rPr>
          <w:rFonts w:eastAsia="Times New Roman"/>
          <w:b/>
          <w:sz w:val="16"/>
          <w:szCs w:val="14"/>
        </w:rPr>
        <w:t xml:space="preserve"> Not achieved. Progress towards the performance benchmark has been significantly below expectations</w:t>
      </w:r>
    </w:p>
    <w:p w:rsidR="007B4865" w:rsidRDefault="007B4865" w:rsidP="007B4865">
      <w:pPr>
        <w:rPr>
          <w:rFonts w:ascii="Franklin Gothic Book" w:eastAsia="Times New Roman" w:hAnsi="Franklin Gothic Book"/>
          <w:b/>
          <w:sz w:val="24"/>
          <w:szCs w:val="24"/>
        </w:rPr>
      </w:pPr>
    </w:p>
    <w:p w:rsidR="00CE5DF0" w:rsidRDefault="00CE5DF0" w:rsidP="007B4865">
      <w:pPr>
        <w:rPr>
          <w:rFonts w:ascii="Franklin Gothic Book" w:eastAsia="Times New Roman" w:hAnsi="Franklin Gothic Book"/>
          <w:b/>
          <w:sz w:val="24"/>
          <w:szCs w:val="24"/>
        </w:rPr>
      </w:pPr>
      <w:r w:rsidRPr="007B4865">
        <w:rPr>
          <w:rFonts w:ascii="Franklin Gothic Book" w:eastAsia="Times New Roman" w:hAnsi="Franklin Gothic Book"/>
          <w:b/>
          <w:sz w:val="24"/>
          <w:szCs w:val="24"/>
        </w:rPr>
        <w:t xml:space="preserve">Performance Benchmarks </w:t>
      </w:r>
      <w:r w:rsidR="00320251" w:rsidRPr="007B4865">
        <w:rPr>
          <w:rFonts w:ascii="Franklin Gothic Book" w:eastAsia="Times New Roman" w:hAnsi="Franklin Gothic Book"/>
          <w:b/>
          <w:sz w:val="24"/>
          <w:szCs w:val="24"/>
        </w:rPr>
        <w:t>for remainder of A</w:t>
      </w:r>
      <w:r w:rsidR="007B4865">
        <w:rPr>
          <w:rFonts w:ascii="Franklin Gothic Book" w:eastAsia="Times New Roman" w:hAnsi="Franklin Gothic Book"/>
          <w:b/>
          <w:sz w:val="24"/>
          <w:szCs w:val="24"/>
        </w:rPr>
        <w:t xml:space="preserve">id </w:t>
      </w:r>
      <w:r w:rsidR="00320251" w:rsidRPr="007B4865">
        <w:rPr>
          <w:rFonts w:ascii="Franklin Gothic Book" w:eastAsia="Times New Roman" w:hAnsi="Franklin Gothic Book"/>
          <w:b/>
          <w:sz w:val="24"/>
          <w:szCs w:val="24"/>
        </w:rPr>
        <w:t>I</w:t>
      </w:r>
      <w:r w:rsidR="007B4865">
        <w:rPr>
          <w:rFonts w:ascii="Franklin Gothic Book" w:eastAsia="Times New Roman" w:hAnsi="Franklin Gothic Book"/>
          <w:b/>
          <w:sz w:val="24"/>
          <w:szCs w:val="24"/>
        </w:rPr>
        <w:t xml:space="preserve">nvestment </w:t>
      </w:r>
      <w:r w:rsidR="00320251" w:rsidRPr="007B4865">
        <w:rPr>
          <w:rFonts w:ascii="Franklin Gothic Book" w:eastAsia="Times New Roman" w:hAnsi="Franklin Gothic Book"/>
          <w:b/>
          <w:sz w:val="24"/>
          <w:szCs w:val="24"/>
        </w:rPr>
        <w:t>P</w:t>
      </w:r>
      <w:r w:rsidR="00C7297E">
        <w:rPr>
          <w:rFonts w:ascii="Franklin Gothic Book" w:eastAsia="Times New Roman" w:hAnsi="Franklin Gothic Book"/>
          <w:b/>
          <w:sz w:val="24"/>
          <w:szCs w:val="24"/>
        </w:rPr>
        <w:t>lan</w:t>
      </w:r>
    </w:p>
    <w:p w:rsidR="00400B0F" w:rsidRPr="00A46AAE" w:rsidRDefault="00A46AAE" w:rsidP="00A46AAE">
      <w:pPr>
        <w:rPr>
          <w:sz w:val="24"/>
          <w:szCs w:val="24"/>
        </w:rPr>
      </w:pPr>
      <w:r w:rsidRPr="008B39AD">
        <w:rPr>
          <w:rFonts w:ascii="Franklin Gothic Book" w:eastAsia="Times New Roman" w:hAnsi="Franklin Gothic Book"/>
          <w:sz w:val="20"/>
          <w:szCs w:val="20"/>
        </w:rPr>
        <w:t>Benchmarks for out years are currently being developed and will be published in the new AIP and Performance Assessment Framework (PAF) to be released by early 2019.</w:t>
      </w:r>
      <w:r w:rsidR="00400B0F" w:rsidRPr="00A46AAE">
        <w:rPr>
          <w:rFonts w:eastAsia="Times New Roman"/>
          <w:sz w:val="24"/>
          <w:szCs w:val="24"/>
        </w:rPr>
        <w:br w:type="page"/>
      </w:r>
      <w:r w:rsidR="00400B0F" w:rsidRPr="00A46AAE">
        <w:rPr>
          <w:rFonts w:asciiTheme="majorHAnsi" w:eastAsiaTheme="majorEastAsia" w:hAnsiTheme="majorHAnsi" w:cstheme="majorBidi"/>
          <w:b/>
          <w:bCs/>
          <w:iCs/>
          <w:caps/>
          <w:spacing w:val="-10"/>
          <w:kern w:val="28"/>
          <w:sz w:val="38"/>
          <w:szCs w:val="38"/>
        </w:rPr>
        <w:t xml:space="preserve">Annex C </w:t>
      </w:r>
      <w:r w:rsidR="007B4725" w:rsidRPr="00A46AAE">
        <w:rPr>
          <w:rFonts w:asciiTheme="majorHAnsi" w:eastAsiaTheme="majorEastAsia" w:hAnsiTheme="majorHAnsi" w:cstheme="majorBidi"/>
          <w:b/>
          <w:bCs/>
          <w:iCs/>
          <w:caps/>
          <w:spacing w:val="-10"/>
          <w:kern w:val="28"/>
          <w:sz w:val="38"/>
          <w:szCs w:val="38"/>
        </w:rPr>
        <w:t>–</w:t>
      </w:r>
      <w:r w:rsidR="00400B0F" w:rsidRPr="00A46AAE">
        <w:rPr>
          <w:rFonts w:asciiTheme="majorHAnsi" w:eastAsiaTheme="majorEastAsia" w:hAnsiTheme="majorHAnsi" w:cstheme="majorBidi"/>
          <w:b/>
          <w:bCs/>
          <w:iCs/>
          <w:caps/>
          <w:spacing w:val="-10"/>
          <w:kern w:val="28"/>
          <w:sz w:val="38"/>
          <w:szCs w:val="38"/>
        </w:rPr>
        <w:t xml:space="preserve"> Evaluation Planning</w:t>
      </w:r>
    </w:p>
    <w:p w:rsidR="00400B0F" w:rsidRPr="008C2F58" w:rsidRDefault="00400B0F" w:rsidP="008C2F58">
      <w:pPr>
        <w:rPr>
          <w:b/>
          <w:sz w:val="24"/>
        </w:rPr>
      </w:pPr>
      <w:r w:rsidRPr="008C2F58">
        <w:rPr>
          <w:b/>
          <w:sz w:val="24"/>
        </w:rPr>
        <w:t xml:space="preserve">List of evaluations completed in the reporting period </w:t>
      </w:r>
    </w:p>
    <w:tbl>
      <w:tblPr>
        <w:tblStyle w:val="APPR"/>
        <w:tblW w:w="14453" w:type="dxa"/>
        <w:tblLayout w:type="fixed"/>
        <w:tblLook w:val="04A0" w:firstRow="1" w:lastRow="0" w:firstColumn="1" w:lastColumn="0" w:noHBand="0" w:noVBand="1"/>
      </w:tblPr>
      <w:tblGrid>
        <w:gridCol w:w="3106"/>
        <w:gridCol w:w="4265"/>
        <w:gridCol w:w="1845"/>
        <w:gridCol w:w="1981"/>
        <w:gridCol w:w="1699"/>
        <w:gridCol w:w="1557"/>
      </w:tblGrid>
      <w:tr w:rsidR="00400B0F" w:rsidRPr="00C61187" w:rsidTr="00A92BF6">
        <w:trPr>
          <w:cnfStyle w:val="100000000000" w:firstRow="1" w:lastRow="0" w:firstColumn="0" w:lastColumn="0" w:oddVBand="0" w:evenVBand="0" w:oddHBand="0" w:evenHBand="0" w:firstRowFirstColumn="0" w:firstRowLastColumn="0" w:lastRowFirstColumn="0" w:lastRowLastColumn="0"/>
        </w:trPr>
        <w:tc>
          <w:tcPr>
            <w:tcW w:w="3064" w:type="dxa"/>
          </w:tcPr>
          <w:p w:rsidR="00400B0F" w:rsidRPr="00880004" w:rsidRDefault="00400B0F" w:rsidP="006F27B1">
            <w:pPr>
              <w:keepLines/>
              <w:spacing w:line="200" w:lineRule="atLeast"/>
              <w:rPr>
                <w:rFonts w:asciiTheme="minorHAnsi" w:eastAsia="Times New Roman" w:hAnsiTheme="minorHAnsi"/>
                <w:iCs/>
                <w:szCs w:val="17"/>
                <w:lang w:eastAsia="en-US"/>
              </w:rPr>
            </w:pPr>
            <w:r w:rsidRPr="00880004">
              <w:rPr>
                <w:rFonts w:asciiTheme="minorHAnsi" w:eastAsia="Times New Roman" w:hAnsiTheme="minorHAnsi"/>
                <w:iCs/>
                <w:szCs w:val="17"/>
                <w:lang w:eastAsia="en-US"/>
              </w:rPr>
              <w:t xml:space="preserve">Investment number and name </w:t>
            </w:r>
          </w:p>
          <w:p w:rsidR="00400B0F" w:rsidRPr="00880004" w:rsidRDefault="00400B0F" w:rsidP="009D28B5">
            <w:pPr>
              <w:keepLines/>
              <w:spacing w:line="200" w:lineRule="atLeast"/>
              <w:rPr>
                <w:rFonts w:asciiTheme="minorHAnsi" w:eastAsia="Times New Roman" w:hAnsiTheme="minorHAnsi"/>
                <w:b w:val="0"/>
                <w:iCs/>
                <w:szCs w:val="17"/>
                <w:lang w:eastAsia="en-US"/>
              </w:rPr>
            </w:pPr>
            <w:r w:rsidRPr="00880004">
              <w:rPr>
                <w:rFonts w:asciiTheme="minorHAnsi" w:eastAsia="Times New Roman" w:hAnsiTheme="minorHAnsi"/>
                <w:iCs/>
                <w:szCs w:val="17"/>
                <w:lang w:eastAsia="en-US"/>
              </w:rPr>
              <w:t xml:space="preserve"> </w:t>
            </w:r>
          </w:p>
        </w:tc>
        <w:tc>
          <w:tcPr>
            <w:tcW w:w="4237" w:type="dxa"/>
          </w:tcPr>
          <w:p w:rsidR="00400B0F" w:rsidRPr="00880004" w:rsidRDefault="00400B0F" w:rsidP="006F27B1">
            <w:pPr>
              <w:keepLines/>
              <w:spacing w:line="200" w:lineRule="atLeast"/>
              <w:rPr>
                <w:rFonts w:asciiTheme="minorHAnsi" w:eastAsia="Times New Roman" w:hAnsiTheme="minorHAnsi"/>
                <w:iCs/>
                <w:szCs w:val="17"/>
                <w:lang w:eastAsia="en-US"/>
              </w:rPr>
            </w:pPr>
            <w:r w:rsidRPr="00880004">
              <w:rPr>
                <w:rFonts w:asciiTheme="minorHAnsi" w:eastAsia="Times New Roman" w:hAnsiTheme="minorHAnsi"/>
                <w:iCs/>
                <w:szCs w:val="17"/>
                <w:lang w:eastAsia="en-US"/>
              </w:rPr>
              <w:t>Name of evaluation</w:t>
            </w:r>
          </w:p>
        </w:tc>
        <w:tc>
          <w:tcPr>
            <w:tcW w:w="1817" w:type="dxa"/>
          </w:tcPr>
          <w:p w:rsidR="00400B0F" w:rsidRPr="00880004" w:rsidRDefault="00400B0F" w:rsidP="006F27B1">
            <w:pPr>
              <w:keepLines/>
              <w:spacing w:line="200" w:lineRule="atLeast"/>
              <w:rPr>
                <w:rFonts w:asciiTheme="minorHAnsi" w:eastAsia="Times New Roman" w:hAnsiTheme="minorHAnsi"/>
                <w:iCs/>
                <w:szCs w:val="17"/>
                <w:lang w:eastAsia="en-US"/>
              </w:rPr>
            </w:pPr>
            <w:r w:rsidRPr="00880004">
              <w:rPr>
                <w:rFonts w:asciiTheme="minorHAnsi" w:eastAsia="Times New Roman" w:hAnsiTheme="minorHAnsi"/>
                <w:iCs/>
                <w:szCs w:val="17"/>
                <w:lang w:eastAsia="en-US"/>
              </w:rPr>
              <w:t>Date completed</w:t>
            </w:r>
          </w:p>
        </w:tc>
        <w:tc>
          <w:tcPr>
            <w:tcW w:w="1953" w:type="dxa"/>
          </w:tcPr>
          <w:p w:rsidR="00400B0F" w:rsidRPr="00880004" w:rsidRDefault="00400B0F" w:rsidP="006F27B1">
            <w:pPr>
              <w:keepLines/>
              <w:spacing w:line="200" w:lineRule="atLeast"/>
              <w:rPr>
                <w:rFonts w:asciiTheme="minorHAnsi" w:eastAsia="Times New Roman" w:hAnsiTheme="minorHAnsi"/>
                <w:iCs/>
                <w:szCs w:val="17"/>
                <w:lang w:eastAsia="en-US"/>
              </w:rPr>
            </w:pPr>
            <w:r w:rsidRPr="00880004">
              <w:rPr>
                <w:rFonts w:asciiTheme="minorHAnsi" w:eastAsia="Times New Roman" w:hAnsiTheme="minorHAnsi"/>
                <w:iCs/>
                <w:szCs w:val="17"/>
                <w:lang w:eastAsia="en-US"/>
              </w:rPr>
              <w:t xml:space="preserve">Date Evaluation report Uploaded into </w:t>
            </w:r>
            <w:proofErr w:type="spellStart"/>
            <w:r w:rsidRPr="00880004">
              <w:rPr>
                <w:rFonts w:asciiTheme="minorHAnsi" w:eastAsia="Times New Roman" w:hAnsiTheme="minorHAnsi"/>
                <w:iCs/>
                <w:szCs w:val="17"/>
                <w:lang w:eastAsia="en-US"/>
              </w:rPr>
              <w:t>AidWorks</w:t>
            </w:r>
            <w:proofErr w:type="spellEnd"/>
          </w:p>
        </w:tc>
        <w:tc>
          <w:tcPr>
            <w:tcW w:w="1671" w:type="dxa"/>
          </w:tcPr>
          <w:p w:rsidR="00400B0F" w:rsidRPr="00880004" w:rsidRDefault="00400B0F" w:rsidP="006F27B1">
            <w:pPr>
              <w:keepLines/>
              <w:spacing w:line="200" w:lineRule="atLeast"/>
              <w:rPr>
                <w:rFonts w:asciiTheme="minorHAnsi" w:eastAsia="Times New Roman" w:hAnsiTheme="minorHAnsi"/>
                <w:iCs/>
                <w:szCs w:val="17"/>
                <w:lang w:eastAsia="en-US"/>
              </w:rPr>
            </w:pPr>
            <w:r w:rsidRPr="00880004">
              <w:rPr>
                <w:rFonts w:asciiTheme="minorHAnsi" w:eastAsia="Times New Roman" w:hAnsiTheme="minorHAnsi"/>
                <w:iCs/>
                <w:szCs w:val="17"/>
                <w:lang w:eastAsia="en-US"/>
              </w:rPr>
              <w:t xml:space="preserve">Date Management response uploaded into </w:t>
            </w:r>
            <w:proofErr w:type="spellStart"/>
            <w:r w:rsidRPr="00880004">
              <w:rPr>
                <w:rFonts w:asciiTheme="minorHAnsi" w:eastAsia="Times New Roman" w:hAnsiTheme="minorHAnsi"/>
                <w:iCs/>
                <w:szCs w:val="17"/>
                <w:lang w:eastAsia="en-US"/>
              </w:rPr>
              <w:t>AidWorks</w:t>
            </w:r>
            <w:proofErr w:type="spellEnd"/>
          </w:p>
        </w:tc>
        <w:tc>
          <w:tcPr>
            <w:tcW w:w="1515" w:type="dxa"/>
          </w:tcPr>
          <w:p w:rsidR="00400B0F" w:rsidRPr="00880004" w:rsidRDefault="00400B0F" w:rsidP="006F27B1">
            <w:pPr>
              <w:keepLines/>
              <w:spacing w:line="200" w:lineRule="atLeast"/>
              <w:rPr>
                <w:rFonts w:asciiTheme="minorHAnsi" w:eastAsia="Times New Roman" w:hAnsiTheme="minorHAnsi"/>
                <w:iCs/>
                <w:szCs w:val="17"/>
                <w:lang w:eastAsia="en-US"/>
              </w:rPr>
            </w:pPr>
            <w:r w:rsidRPr="00880004">
              <w:rPr>
                <w:rFonts w:asciiTheme="minorHAnsi" w:eastAsia="Times New Roman" w:hAnsiTheme="minorHAnsi"/>
                <w:iCs/>
                <w:szCs w:val="17"/>
                <w:lang w:eastAsia="en-US"/>
              </w:rPr>
              <w:t>Published on website</w:t>
            </w:r>
          </w:p>
        </w:tc>
      </w:tr>
      <w:tr w:rsidR="00F531F6" w:rsidRPr="003B5EE5" w:rsidTr="00A92BF6">
        <w:trPr>
          <w:cnfStyle w:val="100000000000" w:firstRow="1" w:lastRow="0" w:firstColumn="0" w:lastColumn="0" w:oddVBand="0" w:evenVBand="0" w:oddHBand="0" w:evenHBand="0" w:firstRowFirstColumn="0" w:firstRowLastColumn="0" w:lastRowFirstColumn="0" w:lastRowLastColumn="0"/>
        </w:trPr>
        <w:tc>
          <w:tcPr>
            <w:tcW w:w="3064" w:type="dxa"/>
          </w:tcPr>
          <w:p w:rsidR="00F531F6" w:rsidRPr="00753530" w:rsidRDefault="00753530" w:rsidP="00F531F6">
            <w:pPr>
              <w:keepLines/>
              <w:spacing w:before="40" w:after="40" w:line="200" w:lineRule="atLeast"/>
              <w:rPr>
                <w:rFonts w:asciiTheme="minorHAnsi" w:eastAsia="Times New Roman" w:hAnsiTheme="minorHAnsi"/>
                <w:b w:val="0"/>
                <w:iCs/>
                <w:szCs w:val="17"/>
                <w:lang w:eastAsia="en-US"/>
              </w:rPr>
            </w:pPr>
            <w:r w:rsidRPr="00753530">
              <w:rPr>
                <w:rFonts w:asciiTheme="minorHAnsi" w:eastAsia="Times New Roman" w:hAnsiTheme="minorHAnsi"/>
                <w:b w:val="0"/>
                <w:iCs/>
                <w:szCs w:val="17"/>
                <w:lang w:eastAsia="en-US"/>
              </w:rPr>
              <w:t>Investments under Objective 1</w:t>
            </w:r>
          </w:p>
        </w:tc>
        <w:tc>
          <w:tcPr>
            <w:tcW w:w="4237" w:type="dxa"/>
          </w:tcPr>
          <w:p w:rsidR="00F531F6" w:rsidRDefault="00753530" w:rsidP="00753530">
            <w:pPr>
              <w:keepLines/>
              <w:spacing w:before="40" w:after="40" w:line="200" w:lineRule="atLeast"/>
              <w:rPr>
                <w:rFonts w:eastAsia="Times New Roman"/>
                <w:iCs/>
                <w:szCs w:val="17"/>
              </w:rPr>
            </w:pPr>
            <w:r>
              <w:rPr>
                <w:rFonts w:asciiTheme="minorHAnsi" w:eastAsia="Times New Roman" w:hAnsiTheme="minorHAnsi"/>
                <w:b w:val="0"/>
                <w:iCs/>
                <w:szCs w:val="17"/>
                <w:lang w:eastAsia="en-US"/>
              </w:rPr>
              <w:t>Economic Growth Portfolio</w:t>
            </w:r>
            <w:r w:rsidR="003D4DEA">
              <w:rPr>
                <w:rFonts w:asciiTheme="minorHAnsi" w:eastAsia="Times New Roman" w:hAnsiTheme="minorHAnsi"/>
                <w:b w:val="0"/>
                <w:iCs/>
                <w:szCs w:val="17"/>
                <w:lang w:eastAsia="en-US"/>
              </w:rPr>
              <w:t xml:space="preserve"> Evaluation </w:t>
            </w:r>
          </w:p>
        </w:tc>
        <w:tc>
          <w:tcPr>
            <w:tcW w:w="1817" w:type="dxa"/>
          </w:tcPr>
          <w:p w:rsidR="00F531F6" w:rsidRPr="005F2563" w:rsidRDefault="008B39AD" w:rsidP="00F531F6">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September 2018</w:t>
            </w:r>
          </w:p>
        </w:tc>
        <w:tc>
          <w:tcPr>
            <w:tcW w:w="1953" w:type="dxa"/>
          </w:tcPr>
          <w:p w:rsidR="00F531F6" w:rsidRPr="005F2563" w:rsidRDefault="006130DF" w:rsidP="006130DF">
            <w:pPr>
              <w:keepLines/>
              <w:spacing w:before="40" w:after="40" w:line="200" w:lineRule="atLeast"/>
              <w:rPr>
                <w:rFonts w:asciiTheme="minorHAnsi" w:eastAsia="Times New Roman" w:hAnsiTheme="minorHAnsi"/>
                <w:b w:val="0"/>
                <w:iCs/>
                <w:szCs w:val="17"/>
                <w:lang w:eastAsia="en-US"/>
              </w:rPr>
            </w:pPr>
            <w:r w:rsidRPr="009D28B5">
              <w:rPr>
                <w:rFonts w:asciiTheme="minorHAnsi" w:eastAsia="Times New Roman" w:hAnsiTheme="minorHAnsi"/>
                <w:b w:val="0"/>
                <w:iCs/>
                <w:szCs w:val="17"/>
                <w:lang w:eastAsia="en-US"/>
              </w:rPr>
              <w:t>October 2018</w:t>
            </w:r>
          </w:p>
        </w:tc>
        <w:tc>
          <w:tcPr>
            <w:tcW w:w="1671" w:type="dxa"/>
          </w:tcPr>
          <w:p w:rsidR="00F531F6" w:rsidRPr="005F2563" w:rsidRDefault="008B39AD" w:rsidP="006130DF">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By end 2018</w:t>
            </w:r>
          </w:p>
        </w:tc>
        <w:tc>
          <w:tcPr>
            <w:tcW w:w="1515" w:type="dxa"/>
          </w:tcPr>
          <w:p w:rsidR="00F531F6" w:rsidRPr="005F2563" w:rsidRDefault="008B39AD" w:rsidP="00F531F6">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By end 2018</w:t>
            </w:r>
          </w:p>
        </w:tc>
      </w:tr>
      <w:tr w:rsidR="00F531F6" w:rsidRPr="003B5EE5" w:rsidTr="00A92BF6">
        <w:trPr>
          <w:cnfStyle w:val="100000000000" w:firstRow="1" w:lastRow="0" w:firstColumn="0" w:lastColumn="0" w:oddVBand="0" w:evenVBand="0" w:oddHBand="0" w:evenHBand="0" w:firstRowFirstColumn="0" w:firstRowLastColumn="0" w:lastRowFirstColumn="0" w:lastRowLastColumn="0"/>
        </w:trPr>
        <w:tc>
          <w:tcPr>
            <w:tcW w:w="3064" w:type="dxa"/>
          </w:tcPr>
          <w:p w:rsidR="00F531F6" w:rsidRPr="00880004" w:rsidRDefault="00F531F6" w:rsidP="00F531F6">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INK420 – Khyber Pakhtunkhwa Education Sector Program (KESP)</w:t>
            </w:r>
          </w:p>
        </w:tc>
        <w:tc>
          <w:tcPr>
            <w:tcW w:w="4237" w:type="dxa"/>
          </w:tcPr>
          <w:p w:rsidR="00F531F6" w:rsidRPr="00880004" w:rsidRDefault="00F531F6" w:rsidP="00F531F6">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KESP Annual Review</w:t>
            </w:r>
            <w:r w:rsidR="009D28B5">
              <w:rPr>
                <w:rFonts w:asciiTheme="minorHAnsi" w:eastAsia="Times New Roman" w:hAnsiTheme="minorHAnsi"/>
                <w:b w:val="0"/>
                <w:iCs/>
                <w:szCs w:val="17"/>
                <w:lang w:eastAsia="en-US"/>
              </w:rPr>
              <w:t xml:space="preserve"> (DFID-led)</w:t>
            </w:r>
          </w:p>
        </w:tc>
        <w:tc>
          <w:tcPr>
            <w:tcW w:w="1817" w:type="dxa"/>
          </w:tcPr>
          <w:p w:rsidR="00F531F6" w:rsidRPr="00880004" w:rsidRDefault="00F531F6" w:rsidP="00F531F6">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20 September 2017</w:t>
            </w:r>
          </w:p>
        </w:tc>
        <w:tc>
          <w:tcPr>
            <w:tcW w:w="1953" w:type="dxa"/>
          </w:tcPr>
          <w:p w:rsidR="00F531F6" w:rsidRPr="00880004" w:rsidRDefault="00F531F6" w:rsidP="00F531F6">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2 March 2018</w:t>
            </w:r>
          </w:p>
        </w:tc>
        <w:tc>
          <w:tcPr>
            <w:tcW w:w="1671" w:type="dxa"/>
          </w:tcPr>
          <w:p w:rsidR="00F531F6" w:rsidRPr="00880004" w:rsidRDefault="00F531F6" w:rsidP="00F531F6">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N/A</w:t>
            </w:r>
          </w:p>
        </w:tc>
        <w:tc>
          <w:tcPr>
            <w:tcW w:w="1515" w:type="dxa"/>
          </w:tcPr>
          <w:p w:rsidR="00F531F6" w:rsidRPr="00880004" w:rsidRDefault="00F531F6" w:rsidP="00F531F6">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N/A</w:t>
            </w:r>
          </w:p>
        </w:tc>
      </w:tr>
      <w:tr w:rsidR="00F531F6" w:rsidRPr="003B5EE5" w:rsidTr="00A92BF6">
        <w:trPr>
          <w:cnfStyle w:val="100000000000" w:firstRow="1" w:lastRow="0" w:firstColumn="0" w:lastColumn="0" w:oddVBand="0" w:evenVBand="0" w:oddHBand="0" w:evenHBand="0" w:firstRowFirstColumn="0" w:firstRowLastColumn="0" w:lastRowFirstColumn="0" w:lastRowLastColumn="0"/>
        </w:trPr>
        <w:tc>
          <w:tcPr>
            <w:tcW w:w="3064" w:type="dxa"/>
          </w:tcPr>
          <w:p w:rsidR="00F531F6" w:rsidRDefault="00F531F6" w:rsidP="00F531F6">
            <w:pPr>
              <w:keepLines/>
              <w:spacing w:before="40" w:after="40" w:line="200" w:lineRule="atLeast"/>
              <w:rPr>
                <w:rFonts w:eastAsia="Times New Roman"/>
                <w:iCs/>
                <w:szCs w:val="17"/>
              </w:rPr>
            </w:pPr>
            <w:r>
              <w:rPr>
                <w:rFonts w:asciiTheme="minorHAnsi" w:eastAsia="Times New Roman" w:hAnsiTheme="minorHAnsi"/>
                <w:b w:val="0"/>
                <w:iCs/>
                <w:szCs w:val="17"/>
                <w:lang w:eastAsia="en-US"/>
              </w:rPr>
              <w:t>INK576 Multi-Donor Trust Fund KP/FATA/</w:t>
            </w:r>
            <w:proofErr w:type="spellStart"/>
            <w:r>
              <w:rPr>
                <w:rFonts w:asciiTheme="minorHAnsi" w:eastAsia="Times New Roman" w:hAnsiTheme="minorHAnsi"/>
                <w:b w:val="0"/>
                <w:iCs/>
                <w:szCs w:val="17"/>
                <w:lang w:eastAsia="en-US"/>
              </w:rPr>
              <w:t>Balochistan</w:t>
            </w:r>
            <w:proofErr w:type="spellEnd"/>
            <w:r>
              <w:rPr>
                <w:rFonts w:asciiTheme="minorHAnsi" w:eastAsia="Times New Roman" w:hAnsiTheme="minorHAnsi"/>
                <w:b w:val="0"/>
                <w:iCs/>
                <w:szCs w:val="17"/>
                <w:lang w:eastAsia="en-US"/>
              </w:rPr>
              <w:t xml:space="preserve"> (MDTF-BA) </w:t>
            </w:r>
          </w:p>
        </w:tc>
        <w:tc>
          <w:tcPr>
            <w:tcW w:w="4237" w:type="dxa"/>
          </w:tcPr>
          <w:p w:rsidR="00F531F6" w:rsidRDefault="00F531F6" w:rsidP="00F531F6">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 xml:space="preserve">MDTF </w:t>
            </w:r>
            <w:r w:rsidR="009D28B5">
              <w:rPr>
                <w:rFonts w:asciiTheme="minorHAnsi" w:eastAsia="Times New Roman" w:hAnsiTheme="minorHAnsi"/>
                <w:b w:val="0"/>
                <w:iCs/>
                <w:szCs w:val="17"/>
                <w:lang w:eastAsia="en-US"/>
              </w:rPr>
              <w:t xml:space="preserve">BA </w:t>
            </w:r>
            <w:r>
              <w:rPr>
                <w:rFonts w:asciiTheme="minorHAnsi" w:eastAsia="Times New Roman" w:hAnsiTheme="minorHAnsi"/>
                <w:b w:val="0"/>
                <w:iCs/>
                <w:szCs w:val="17"/>
                <w:lang w:eastAsia="en-US"/>
              </w:rPr>
              <w:t>Annual Review</w:t>
            </w:r>
            <w:r w:rsidR="009D28B5">
              <w:rPr>
                <w:rFonts w:asciiTheme="minorHAnsi" w:eastAsia="Times New Roman" w:hAnsiTheme="minorHAnsi"/>
                <w:b w:val="0"/>
                <w:iCs/>
                <w:szCs w:val="17"/>
                <w:lang w:eastAsia="en-US"/>
              </w:rPr>
              <w:t xml:space="preserve"> (WB-led)</w:t>
            </w:r>
          </w:p>
          <w:p w:rsidR="00F531F6" w:rsidRDefault="00F531F6" w:rsidP="00F531F6">
            <w:pPr>
              <w:keepLines/>
              <w:spacing w:before="40" w:after="40" w:line="200" w:lineRule="atLeast"/>
              <w:rPr>
                <w:rFonts w:eastAsia="Times New Roman"/>
                <w:iCs/>
                <w:szCs w:val="17"/>
              </w:rPr>
            </w:pPr>
          </w:p>
        </w:tc>
        <w:tc>
          <w:tcPr>
            <w:tcW w:w="1817" w:type="dxa"/>
          </w:tcPr>
          <w:p w:rsidR="00F531F6" w:rsidRDefault="00F531F6" w:rsidP="00F531F6">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15 March 2018</w:t>
            </w:r>
          </w:p>
          <w:p w:rsidR="00F531F6" w:rsidRDefault="00F531F6" w:rsidP="00F531F6">
            <w:pPr>
              <w:keepLines/>
              <w:spacing w:before="40" w:after="40" w:line="200" w:lineRule="atLeast"/>
              <w:rPr>
                <w:rFonts w:eastAsia="Times New Roman"/>
                <w:iCs/>
                <w:szCs w:val="17"/>
              </w:rPr>
            </w:pPr>
          </w:p>
        </w:tc>
        <w:tc>
          <w:tcPr>
            <w:tcW w:w="1953" w:type="dxa"/>
          </w:tcPr>
          <w:p w:rsidR="00F531F6" w:rsidRDefault="00F531F6" w:rsidP="00F531F6">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16 March 2018</w:t>
            </w:r>
          </w:p>
          <w:p w:rsidR="00F531F6" w:rsidRDefault="00F531F6" w:rsidP="00F531F6">
            <w:pPr>
              <w:keepLines/>
              <w:spacing w:before="40" w:after="40" w:line="200" w:lineRule="atLeast"/>
              <w:rPr>
                <w:rFonts w:eastAsia="Times New Roman"/>
                <w:iCs/>
                <w:szCs w:val="17"/>
              </w:rPr>
            </w:pPr>
          </w:p>
        </w:tc>
        <w:tc>
          <w:tcPr>
            <w:tcW w:w="1671" w:type="dxa"/>
          </w:tcPr>
          <w:p w:rsidR="00F531F6" w:rsidRDefault="00F531F6" w:rsidP="00F531F6">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N/A</w:t>
            </w:r>
          </w:p>
          <w:p w:rsidR="00F531F6" w:rsidRDefault="00F531F6" w:rsidP="00F531F6">
            <w:pPr>
              <w:keepLines/>
              <w:spacing w:before="40" w:after="40" w:line="200" w:lineRule="atLeast"/>
              <w:rPr>
                <w:rFonts w:eastAsia="Times New Roman"/>
                <w:iCs/>
                <w:szCs w:val="17"/>
              </w:rPr>
            </w:pPr>
          </w:p>
        </w:tc>
        <w:tc>
          <w:tcPr>
            <w:tcW w:w="1515" w:type="dxa"/>
          </w:tcPr>
          <w:p w:rsidR="00F531F6" w:rsidRDefault="00F531F6" w:rsidP="00F531F6">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N/A</w:t>
            </w:r>
          </w:p>
          <w:p w:rsidR="00F531F6" w:rsidRDefault="00F531F6" w:rsidP="00F531F6">
            <w:pPr>
              <w:keepLines/>
              <w:spacing w:before="40" w:after="40" w:line="200" w:lineRule="atLeast"/>
              <w:rPr>
                <w:rFonts w:eastAsia="Times New Roman"/>
                <w:iCs/>
                <w:szCs w:val="17"/>
              </w:rPr>
            </w:pPr>
          </w:p>
        </w:tc>
      </w:tr>
    </w:tbl>
    <w:p w:rsidR="008C2F58" w:rsidRPr="00A92BF6" w:rsidRDefault="008C2F58" w:rsidP="00A92BF6">
      <w:pPr>
        <w:spacing w:before="0" w:after="0"/>
        <w:rPr>
          <w:b/>
          <w:sz w:val="16"/>
          <w:szCs w:val="16"/>
        </w:rPr>
      </w:pPr>
    </w:p>
    <w:p w:rsidR="00400B0F" w:rsidRPr="008C2F58" w:rsidRDefault="00400B0F" w:rsidP="00A92BF6">
      <w:pPr>
        <w:keepNext/>
        <w:rPr>
          <w:b/>
          <w:sz w:val="24"/>
        </w:rPr>
      </w:pPr>
      <w:r w:rsidRPr="008C2F58">
        <w:rPr>
          <w:b/>
          <w:sz w:val="24"/>
        </w:rPr>
        <w:t xml:space="preserve">List of program prioritised evaluations planned for the next 12 months </w:t>
      </w:r>
    </w:p>
    <w:tbl>
      <w:tblPr>
        <w:tblStyle w:val="APPR"/>
        <w:tblW w:w="0" w:type="auto"/>
        <w:tblLook w:val="0600" w:firstRow="0" w:lastRow="0" w:firstColumn="0" w:lastColumn="0" w:noHBand="1" w:noVBand="1"/>
      </w:tblPr>
      <w:tblGrid>
        <w:gridCol w:w="2514"/>
        <w:gridCol w:w="2409"/>
        <w:gridCol w:w="2487"/>
        <w:gridCol w:w="2255"/>
        <w:gridCol w:w="2376"/>
        <w:gridCol w:w="2404"/>
      </w:tblGrid>
      <w:tr w:rsidR="00400B0F" w:rsidRPr="00C61187" w:rsidTr="00F531F6">
        <w:tc>
          <w:tcPr>
            <w:tcW w:w="2419" w:type="dxa"/>
          </w:tcPr>
          <w:p w:rsidR="00400B0F" w:rsidRPr="00880004" w:rsidRDefault="00400B0F" w:rsidP="006F27B1">
            <w:pPr>
              <w:keepLines/>
              <w:spacing w:before="80" w:after="80" w:line="200" w:lineRule="atLeast"/>
              <w:rPr>
                <w:rFonts w:asciiTheme="minorHAnsi" w:eastAsia="Times New Roman" w:hAnsiTheme="minorHAnsi"/>
                <w:b/>
                <w:iCs/>
                <w:szCs w:val="17"/>
                <w:lang w:eastAsia="en-US"/>
              </w:rPr>
            </w:pPr>
            <w:r w:rsidRPr="00880004">
              <w:rPr>
                <w:rFonts w:asciiTheme="minorHAnsi" w:eastAsia="Times New Roman" w:hAnsiTheme="minorHAnsi"/>
                <w:b/>
                <w:iCs/>
                <w:szCs w:val="17"/>
                <w:lang w:eastAsia="en-US"/>
              </w:rPr>
              <w:t>Evaluation title</w:t>
            </w:r>
          </w:p>
        </w:tc>
        <w:tc>
          <w:tcPr>
            <w:tcW w:w="2350" w:type="dxa"/>
          </w:tcPr>
          <w:p w:rsidR="00400B0F" w:rsidRPr="00880004" w:rsidRDefault="00400B0F" w:rsidP="006F27B1">
            <w:pPr>
              <w:keepLines/>
              <w:spacing w:before="80" w:after="80" w:line="200" w:lineRule="atLeast"/>
              <w:rPr>
                <w:rFonts w:asciiTheme="minorHAnsi" w:eastAsia="Times New Roman" w:hAnsiTheme="minorHAnsi"/>
                <w:b/>
                <w:iCs/>
                <w:szCs w:val="17"/>
                <w:lang w:eastAsia="en-US"/>
              </w:rPr>
            </w:pPr>
            <w:r w:rsidRPr="00880004">
              <w:rPr>
                <w:rFonts w:asciiTheme="minorHAnsi" w:eastAsia="Times New Roman" w:hAnsiTheme="minorHAnsi"/>
                <w:b/>
                <w:iCs/>
                <w:szCs w:val="17"/>
                <w:lang w:eastAsia="en-US"/>
              </w:rPr>
              <w:t xml:space="preserve">Investment number and name (if applicable) </w:t>
            </w:r>
          </w:p>
        </w:tc>
        <w:tc>
          <w:tcPr>
            <w:tcW w:w="2412" w:type="dxa"/>
          </w:tcPr>
          <w:p w:rsidR="00400B0F" w:rsidRPr="00880004" w:rsidRDefault="00400B0F" w:rsidP="006F27B1">
            <w:pPr>
              <w:keepLines/>
              <w:spacing w:before="80" w:after="80" w:line="200" w:lineRule="atLeast"/>
              <w:rPr>
                <w:rFonts w:asciiTheme="minorHAnsi" w:eastAsia="Times New Roman" w:hAnsiTheme="minorHAnsi"/>
                <w:b/>
                <w:iCs/>
                <w:szCs w:val="17"/>
                <w:lang w:eastAsia="en-US"/>
              </w:rPr>
            </w:pPr>
            <w:r w:rsidRPr="00880004">
              <w:rPr>
                <w:rFonts w:asciiTheme="minorHAnsi" w:eastAsia="Times New Roman" w:hAnsiTheme="minorHAnsi"/>
                <w:b/>
                <w:iCs/>
                <w:szCs w:val="17"/>
                <w:lang w:eastAsia="en-US"/>
              </w:rPr>
              <w:t>Date – planned commencement (month/year)</w:t>
            </w:r>
          </w:p>
        </w:tc>
        <w:tc>
          <w:tcPr>
            <w:tcW w:w="2181" w:type="dxa"/>
          </w:tcPr>
          <w:p w:rsidR="00400B0F" w:rsidRPr="00880004" w:rsidRDefault="00400B0F" w:rsidP="006F27B1">
            <w:pPr>
              <w:keepLines/>
              <w:spacing w:before="80" w:after="80" w:line="200" w:lineRule="atLeast"/>
              <w:rPr>
                <w:rFonts w:asciiTheme="minorHAnsi" w:eastAsia="Times New Roman" w:hAnsiTheme="minorHAnsi"/>
                <w:b/>
                <w:iCs/>
                <w:szCs w:val="17"/>
                <w:lang w:eastAsia="en-US"/>
              </w:rPr>
            </w:pPr>
            <w:r w:rsidRPr="00880004">
              <w:rPr>
                <w:rFonts w:asciiTheme="minorHAnsi" w:eastAsia="Times New Roman" w:hAnsiTheme="minorHAnsi"/>
                <w:b/>
                <w:iCs/>
                <w:szCs w:val="17"/>
                <w:lang w:eastAsia="en-US"/>
              </w:rPr>
              <w:t>Date – planned completion (month/year)</w:t>
            </w:r>
          </w:p>
        </w:tc>
        <w:tc>
          <w:tcPr>
            <w:tcW w:w="2306" w:type="dxa"/>
          </w:tcPr>
          <w:p w:rsidR="00400B0F" w:rsidRPr="00880004" w:rsidRDefault="00400B0F" w:rsidP="006F27B1">
            <w:pPr>
              <w:keepLines/>
              <w:spacing w:before="80" w:after="80" w:line="200" w:lineRule="atLeast"/>
              <w:rPr>
                <w:rFonts w:asciiTheme="minorHAnsi" w:eastAsia="Times New Roman" w:hAnsiTheme="minorHAnsi"/>
                <w:b/>
                <w:iCs/>
                <w:szCs w:val="17"/>
                <w:lang w:eastAsia="en-US"/>
              </w:rPr>
            </w:pPr>
            <w:r w:rsidRPr="00880004">
              <w:rPr>
                <w:rFonts w:asciiTheme="minorHAnsi" w:eastAsia="Times New Roman" w:hAnsiTheme="minorHAnsi"/>
                <w:b/>
                <w:iCs/>
                <w:szCs w:val="17"/>
                <w:lang w:eastAsia="en-US"/>
              </w:rPr>
              <w:t>Purpose of evaluation</w:t>
            </w:r>
          </w:p>
        </w:tc>
        <w:tc>
          <w:tcPr>
            <w:tcW w:w="2309" w:type="dxa"/>
          </w:tcPr>
          <w:p w:rsidR="00400B0F" w:rsidRPr="00880004" w:rsidRDefault="00400B0F" w:rsidP="006F27B1">
            <w:pPr>
              <w:keepLines/>
              <w:spacing w:before="80" w:after="80" w:line="200" w:lineRule="atLeast"/>
              <w:rPr>
                <w:rFonts w:asciiTheme="minorHAnsi" w:eastAsia="Times New Roman" w:hAnsiTheme="minorHAnsi"/>
                <w:b/>
                <w:iCs/>
                <w:szCs w:val="17"/>
                <w:lang w:eastAsia="en-US"/>
              </w:rPr>
            </w:pPr>
            <w:r w:rsidRPr="00880004">
              <w:rPr>
                <w:rFonts w:asciiTheme="minorHAnsi" w:eastAsia="Times New Roman" w:hAnsiTheme="minorHAnsi"/>
                <w:b/>
                <w:iCs/>
                <w:szCs w:val="17"/>
                <w:lang w:eastAsia="en-US"/>
              </w:rPr>
              <w:t>Evaluation type</w:t>
            </w:r>
          </w:p>
        </w:tc>
      </w:tr>
      <w:tr w:rsidR="00F531F6" w:rsidRPr="00C61187" w:rsidTr="006F27B1">
        <w:tc>
          <w:tcPr>
            <w:tcW w:w="2472" w:type="dxa"/>
          </w:tcPr>
          <w:p w:rsidR="00F531F6" w:rsidRPr="00880004" w:rsidRDefault="00F531F6" w:rsidP="00983394">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 xml:space="preserve">Evaluation of </w:t>
            </w:r>
            <w:r w:rsidR="00983394" w:rsidRPr="0057433C">
              <w:rPr>
                <w:rFonts w:asciiTheme="minorHAnsi" w:eastAsia="Times New Roman" w:hAnsiTheme="minorHAnsi"/>
                <w:iCs/>
                <w:szCs w:val="17"/>
                <w:lang w:eastAsia="en-US"/>
              </w:rPr>
              <w:t xml:space="preserve">Women’s Economic Empowerment and Market Development (SRSP) </w:t>
            </w:r>
            <w:r w:rsidR="00983394">
              <w:rPr>
                <w:rFonts w:asciiTheme="minorHAnsi" w:eastAsia="Times New Roman" w:hAnsiTheme="minorHAnsi"/>
                <w:iCs/>
                <w:szCs w:val="17"/>
                <w:lang w:eastAsia="en-US"/>
              </w:rPr>
              <w:t xml:space="preserve">project, or Evaluation of </w:t>
            </w:r>
            <w:r>
              <w:rPr>
                <w:rFonts w:asciiTheme="minorHAnsi" w:eastAsia="Times New Roman" w:hAnsiTheme="minorHAnsi"/>
                <w:iCs/>
                <w:szCs w:val="17"/>
                <w:lang w:eastAsia="en-US"/>
              </w:rPr>
              <w:t>Women’s Economic Em</w:t>
            </w:r>
            <w:r w:rsidR="00753530">
              <w:rPr>
                <w:rFonts w:asciiTheme="minorHAnsi" w:eastAsia="Times New Roman" w:hAnsiTheme="minorHAnsi"/>
                <w:iCs/>
                <w:szCs w:val="17"/>
                <w:lang w:eastAsia="en-US"/>
              </w:rPr>
              <w:t>powerment</w:t>
            </w:r>
            <w:r w:rsidR="002A12E8">
              <w:rPr>
                <w:rFonts w:asciiTheme="minorHAnsi" w:eastAsia="Times New Roman" w:hAnsiTheme="minorHAnsi"/>
                <w:iCs/>
                <w:szCs w:val="17"/>
                <w:lang w:eastAsia="en-US"/>
              </w:rPr>
              <w:t xml:space="preserve"> </w:t>
            </w:r>
            <w:r w:rsidR="00983394">
              <w:rPr>
                <w:rFonts w:asciiTheme="minorHAnsi" w:eastAsia="Times New Roman" w:hAnsiTheme="minorHAnsi"/>
                <w:iCs/>
                <w:szCs w:val="17"/>
                <w:lang w:eastAsia="en-US"/>
              </w:rPr>
              <w:t xml:space="preserve">activities </w:t>
            </w:r>
            <w:r w:rsidR="0057433C" w:rsidRPr="009D28B5">
              <w:rPr>
                <w:rFonts w:asciiTheme="minorHAnsi" w:eastAsia="Times New Roman" w:hAnsiTheme="minorHAnsi"/>
                <w:iCs/>
                <w:szCs w:val="17"/>
                <w:lang w:eastAsia="en-US"/>
              </w:rPr>
              <w:t>(TBC)</w:t>
            </w:r>
          </w:p>
        </w:tc>
        <w:tc>
          <w:tcPr>
            <w:tcW w:w="2381" w:type="dxa"/>
          </w:tcPr>
          <w:p w:rsidR="00F531F6" w:rsidRPr="00880004" w:rsidRDefault="002A12E8" w:rsidP="00F531F6">
            <w:pPr>
              <w:keepLines/>
              <w:spacing w:before="40" w:after="40" w:line="200" w:lineRule="atLeast"/>
              <w:rPr>
                <w:rFonts w:asciiTheme="minorHAnsi" w:eastAsia="Times New Roman" w:hAnsiTheme="minorHAnsi"/>
                <w:iCs/>
                <w:szCs w:val="17"/>
                <w:lang w:eastAsia="en-US"/>
              </w:rPr>
            </w:pPr>
            <w:r w:rsidRPr="0057433C">
              <w:rPr>
                <w:rFonts w:asciiTheme="minorHAnsi" w:eastAsia="Times New Roman" w:hAnsiTheme="minorHAnsi"/>
                <w:iCs/>
                <w:szCs w:val="17"/>
                <w:lang w:eastAsia="en-US"/>
              </w:rPr>
              <w:t xml:space="preserve">INL272 Women’s Economic Empowerment and Market Development (SRSP) </w:t>
            </w:r>
            <w:r>
              <w:rPr>
                <w:rFonts w:asciiTheme="minorHAnsi" w:eastAsia="Times New Roman" w:hAnsiTheme="minorHAnsi"/>
                <w:iCs/>
                <w:szCs w:val="17"/>
                <w:lang w:eastAsia="en-US"/>
              </w:rPr>
              <w:t xml:space="preserve">or all </w:t>
            </w:r>
            <w:r w:rsidR="009D28B5">
              <w:rPr>
                <w:rFonts w:asciiTheme="minorHAnsi" w:eastAsia="Times New Roman" w:hAnsiTheme="minorHAnsi"/>
                <w:iCs/>
                <w:szCs w:val="17"/>
                <w:lang w:eastAsia="en-US"/>
              </w:rPr>
              <w:t>I</w:t>
            </w:r>
            <w:r w:rsidR="00F531F6">
              <w:rPr>
                <w:rFonts w:asciiTheme="minorHAnsi" w:eastAsia="Times New Roman" w:hAnsiTheme="minorHAnsi"/>
                <w:iCs/>
                <w:szCs w:val="17"/>
                <w:lang w:eastAsia="en-US"/>
              </w:rPr>
              <w:t xml:space="preserve">nvestments with a component on </w:t>
            </w:r>
            <w:r w:rsidR="00F531F6" w:rsidRPr="009E39B3">
              <w:rPr>
                <w:rFonts w:asciiTheme="minorHAnsi" w:eastAsia="Times New Roman" w:hAnsiTheme="minorHAnsi"/>
                <w:iCs/>
                <w:szCs w:val="17"/>
                <w:lang w:eastAsia="en-US"/>
              </w:rPr>
              <w:t>Women’s Economic Empowerment</w:t>
            </w:r>
          </w:p>
        </w:tc>
        <w:tc>
          <w:tcPr>
            <w:tcW w:w="2459" w:type="dxa"/>
          </w:tcPr>
          <w:p w:rsidR="00F531F6" w:rsidRPr="00880004" w:rsidRDefault="009D28B5" w:rsidP="00F531F6">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Early-mid 2019</w:t>
            </w:r>
          </w:p>
        </w:tc>
        <w:tc>
          <w:tcPr>
            <w:tcW w:w="2227" w:type="dxa"/>
          </w:tcPr>
          <w:p w:rsidR="00F531F6" w:rsidRPr="00880004" w:rsidRDefault="009D28B5" w:rsidP="00F531F6">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By end 2019</w:t>
            </w:r>
          </w:p>
        </w:tc>
        <w:tc>
          <w:tcPr>
            <w:tcW w:w="2348" w:type="dxa"/>
          </w:tcPr>
          <w:p w:rsidR="00F531F6" w:rsidRPr="0057433C" w:rsidRDefault="00F531F6" w:rsidP="002A12E8">
            <w:pPr>
              <w:keepLines/>
              <w:spacing w:before="40" w:after="40" w:line="200" w:lineRule="atLeast"/>
              <w:rPr>
                <w:rFonts w:asciiTheme="minorHAnsi" w:eastAsia="Times New Roman" w:hAnsiTheme="minorHAnsi"/>
                <w:iCs/>
                <w:color w:val="000000" w:themeColor="text1" w:themeShade="BF"/>
                <w:szCs w:val="17"/>
                <w:lang w:eastAsia="en-US"/>
              </w:rPr>
            </w:pPr>
            <w:r w:rsidRPr="0057433C">
              <w:rPr>
                <w:rFonts w:asciiTheme="minorHAnsi" w:eastAsia="Times New Roman" w:hAnsiTheme="minorHAnsi"/>
                <w:iCs/>
                <w:szCs w:val="17"/>
                <w:lang w:eastAsia="en-US"/>
              </w:rPr>
              <w:t>Assess investment results, identify lessons learnt and best practices regarding Women’s Economic Empowerment</w:t>
            </w:r>
          </w:p>
        </w:tc>
        <w:tc>
          <w:tcPr>
            <w:tcW w:w="2362" w:type="dxa"/>
          </w:tcPr>
          <w:p w:rsidR="005F2563" w:rsidRDefault="00F531F6" w:rsidP="00F531F6">
            <w:pPr>
              <w:keepLines/>
              <w:spacing w:before="40" w:after="40" w:line="200" w:lineRule="atLeast"/>
              <w:rPr>
                <w:rFonts w:asciiTheme="minorHAnsi" w:eastAsia="Times New Roman" w:hAnsiTheme="minorHAnsi"/>
                <w:iCs/>
                <w:szCs w:val="17"/>
                <w:lang w:eastAsia="en-US"/>
              </w:rPr>
            </w:pPr>
            <w:r w:rsidRPr="0057433C">
              <w:rPr>
                <w:rFonts w:asciiTheme="minorHAnsi" w:eastAsia="Times New Roman" w:hAnsiTheme="minorHAnsi"/>
                <w:iCs/>
                <w:szCs w:val="17"/>
                <w:lang w:eastAsia="en-US"/>
              </w:rPr>
              <w:t>Independent Evaluation</w:t>
            </w:r>
            <w:r w:rsidR="00753530" w:rsidRPr="0057433C">
              <w:rPr>
                <w:rFonts w:asciiTheme="minorHAnsi" w:eastAsia="Times New Roman" w:hAnsiTheme="minorHAnsi"/>
                <w:iCs/>
                <w:szCs w:val="17"/>
                <w:lang w:eastAsia="en-US"/>
              </w:rPr>
              <w:t xml:space="preserve"> </w:t>
            </w:r>
          </w:p>
          <w:p w:rsidR="00F531F6" w:rsidRPr="0057433C" w:rsidRDefault="00F531F6" w:rsidP="002A12E8">
            <w:pPr>
              <w:keepLines/>
              <w:spacing w:before="40" w:after="40" w:line="200" w:lineRule="atLeast"/>
              <w:rPr>
                <w:rFonts w:asciiTheme="minorHAnsi" w:eastAsia="Times New Roman" w:hAnsiTheme="minorHAnsi"/>
                <w:iCs/>
                <w:szCs w:val="17"/>
                <w:lang w:eastAsia="en-US"/>
              </w:rPr>
            </w:pPr>
          </w:p>
        </w:tc>
      </w:tr>
      <w:tr w:rsidR="00F531F6" w:rsidRPr="00C61187" w:rsidTr="00F531F6">
        <w:tc>
          <w:tcPr>
            <w:tcW w:w="2420" w:type="dxa"/>
          </w:tcPr>
          <w:p w:rsidR="00F531F6" w:rsidRDefault="00F531F6" w:rsidP="00F531F6">
            <w:pPr>
              <w:keepLines/>
              <w:spacing w:before="40" w:after="40" w:line="200" w:lineRule="atLeast"/>
              <w:rPr>
                <w:rFonts w:eastAsia="Times New Roman"/>
                <w:iCs/>
                <w:szCs w:val="17"/>
              </w:rPr>
            </w:pPr>
            <w:r w:rsidRPr="000C599F">
              <w:rPr>
                <w:rFonts w:asciiTheme="minorHAnsi" w:eastAsia="Times New Roman" w:hAnsiTheme="minorHAnsi"/>
                <w:iCs/>
                <w:szCs w:val="17"/>
                <w:lang w:eastAsia="en-US"/>
              </w:rPr>
              <w:t>Khyber Pakhtunkhwa Education Sector Program - Annual Review</w:t>
            </w:r>
          </w:p>
        </w:tc>
        <w:tc>
          <w:tcPr>
            <w:tcW w:w="2332" w:type="dxa"/>
          </w:tcPr>
          <w:p w:rsidR="00F531F6" w:rsidRPr="00EA1069" w:rsidRDefault="00F531F6" w:rsidP="00F531F6">
            <w:pPr>
              <w:keepLines/>
              <w:spacing w:before="40" w:after="40" w:line="200" w:lineRule="atLeast"/>
              <w:rPr>
                <w:rFonts w:eastAsia="Times New Roman"/>
                <w:bCs/>
                <w:iCs/>
                <w:szCs w:val="17"/>
              </w:rPr>
            </w:pPr>
            <w:r w:rsidRPr="000C599F">
              <w:rPr>
                <w:rFonts w:asciiTheme="minorHAnsi" w:eastAsia="Times New Roman" w:hAnsiTheme="minorHAnsi"/>
                <w:iCs/>
                <w:szCs w:val="17"/>
                <w:lang w:eastAsia="en-US"/>
              </w:rPr>
              <w:t>INK420 – Khyber Pakhtunkhwa Education Sector Program</w:t>
            </w:r>
          </w:p>
        </w:tc>
        <w:tc>
          <w:tcPr>
            <w:tcW w:w="2419" w:type="dxa"/>
          </w:tcPr>
          <w:p w:rsidR="00F531F6" w:rsidRDefault="00F531F6" w:rsidP="009D28B5">
            <w:pPr>
              <w:keepLines/>
              <w:spacing w:before="40" w:after="40" w:line="200" w:lineRule="atLeast"/>
              <w:rPr>
                <w:rFonts w:eastAsia="Times New Roman"/>
                <w:iCs/>
                <w:szCs w:val="17"/>
              </w:rPr>
            </w:pPr>
            <w:r>
              <w:rPr>
                <w:rFonts w:asciiTheme="minorHAnsi" w:eastAsia="Times New Roman" w:hAnsiTheme="minorHAnsi"/>
                <w:iCs/>
                <w:szCs w:val="17"/>
                <w:lang w:eastAsia="en-US"/>
              </w:rPr>
              <w:t>July</w:t>
            </w:r>
            <w:r w:rsidR="009D28B5">
              <w:rPr>
                <w:rFonts w:asciiTheme="minorHAnsi" w:eastAsia="Times New Roman" w:hAnsiTheme="minorHAnsi"/>
                <w:iCs/>
                <w:szCs w:val="17"/>
                <w:lang w:eastAsia="en-US"/>
              </w:rPr>
              <w:t xml:space="preserve"> 2018</w:t>
            </w:r>
          </w:p>
        </w:tc>
        <w:tc>
          <w:tcPr>
            <w:tcW w:w="2188" w:type="dxa"/>
          </w:tcPr>
          <w:p w:rsidR="00F531F6" w:rsidRDefault="009D28B5" w:rsidP="009D28B5">
            <w:pPr>
              <w:keepLines/>
              <w:spacing w:before="40" w:after="40" w:line="200" w:lineRule="atLeast"/>
              <w:rPr>
                <w:rFonts w:eastAsia="Times New Roman"/>
                <w:iCs/>
                <w:szCs w:val="17"/>
              </w:rPr>
            </w:pPr>
            <w:r>
              <w:rPr>
                <w:rFonts w:asciiTheme="minorHAnsi" w:eastAsia="Times New Roman" w:hAnsiTheme="minorHAnsi"/>
                <w:iCs/>
                <w:szCs w:val="17"/>
                <w:lang w:eastAsia="en-US"/>
              </w:rPr>
              <w:t>September 2018</w:t>
            </w:r>
            <w:r w:rsidR="00F531F6">
              <w:rPr>
                <w:rFonts w:asciiTheme="minorHAnsi" w:eastAsia="Times New Roman" w:hAnsiTheme="minorHAnsi"/>
                <w:iCs/>
                <w:szCs w:val="17"/>
                <w:lang w:eastAsia="en-US"/>
              </w:rPr>
              <w:t xml:space="preserve"> </w:t>
            </w:r>
          </w:p>
        </w:tc>
        <w:tc>
          <w:tcPr>
            <w:tcW w:w="2304" w:type="dxa"/>
          </w:tcPr>
          <w:p w:rsidR="00F531F6" w:rsidRPr="00F531F6" w:rsidRDefault="00F531F6" w:rsidP="00F531F6">
            <w:pPr>
              <w:keepLines/>
              <w:spacing w:before="40" w:after="40" w:line="200" w:lineRule="atLeast"/>
              <w:rPr>
                <w:rFonts w:asciiTheme="minorHAnsi" w:eastAsia="Times New Roman" w:hAnsiTheme="minorHAnsi"/>
                <w:iCs/>
                <w:szCs w:val="17"/>
                <w:lang w:eastAsia="en-US"/>
              </w:rPr>
            </w:pPr>
            <w:r w:rsidRPr="00F531F6">
              <w:rPr>
                <w:rFonts w:asciiTheme="minorHAnsi" w:eastAsia="Times New Roman" w:hAnsiTheme="minorHAnsi"/>
                <w:iCs/>
                <w:szCs w:val="17"/>
                <w:lang w:eastAsia="en-US"/>
              </w:rPr>
              <w:t xml:space="preserve">The KESP Annual Review is a DFID led review, which takes a strategic look at the achievements of the program against the targets and looks at challenges, and risks. </w:t>
            </w:r>
          </w:p>
        </w:tc>
        <w:tc>
          <w:tcPr>
            <w:tcW w:w="2314" w:type="dxa"/>
          </w:tcPr>
          <w:p w:rsidR="00F531F6" w:rsidRDefault="00F531F6" w:rsidP="00F531F6">
            <w:pPr>
              <w:keepLines/>
              <w:spacing w:before="40" w:after="40" w:line="200" w:lineRule="atLeast"/>
              <w:rPr>
                <w:rFonts w:eastAsia="Times New Roman"/>
                <w:iCs/>
                <w:szCs w:val="17"/>
              </w:rPr>
            </w:pPr>
            <w:r>
              <w:rPr>
                <w:rFonts w:asciiTheme="minorHAnsi" w:eastAsia="Times New Roman" w:hAnsiTheme="minorHAnsi"/>
                <w:iCs/>
                <w:szCs w:val="17"/>
                <w:lang w:eastAsia="en-US"/>
              </w:rPr>
              <w:t xml:space="preserve">Annual Review </w:t>
            </w:r>
          </w:p>
        </w:tc>
      </w:tr>
      <w:tr w:rsidR="00F531F6" w:rsidRPr="00C61187" w:rsidTr="00F531F6">
        <w:tc>
          <w:tcPr>
            <w:tcW w:w="2419" w:type="dxa"/>
          </w:tcPr>
          <w:p w:rsidR="00F531F6" w:rsidRPr="00C61187" w:rsidRDefault="00F531F6" w:rsidP="00F531F6">
            <w:pPr>
              <w:keepLines/>
              <w:spacing w:before="40" w:after="40" w:line="200" w:lineRule="atLeast"/>
              <w:rPr>
                <w:rFonts w:eastAsia="Times New Roman"/>
                <w:iCs/>
                <w:szCs w:val="17"/>
                <w:lang w:eastAsia="en-US"/>
              </w:rPr>
            </w:pPr>
            <w:r>
              <w:rPr>
                <w:rFonts w:asciiTheme="minorHAnsi" w:eastAsia="Times New Roman" w:hAnsiTheme="minorHAnsi"/>
                <w:iCs/>
                <w:szCs w:val="17"/>
                <w:lang w:eastAsia="en-US"/>
              </w:rPr>
              <w:t>Mid-Term Review</w:t>
            </w:r>
            <w:r w:rsidR="005F4E47">
              <w:rPr>
                <w:rFonts w:asciiTheme="minorHAnsi" w:eastAsia="Times New Roman" w:hAnsiTheme="minorHAnsi"/>
                <w:iCs/>
                <w:szCs w:val="17"/>
                <w:lang w:eastAsia="en-US"/>
              </w:rPr>
              <w:t xml:space="preserve"> of the MDTF-BA</w:t>
            </w:r>
            <w:r>
              <w:rPr>
                <w:rFonts w:asciiTheme="minorHAnsi" w:eastAsia="Times New Roman" w:hAnsiTheme="minorHAnsi"/>
                <w:iCs/>
                <w:szCs w:val="17"/>
                <w:lang w:eastAsia="en-US"/>
              </w:rPr>
              <w:t xml:space="preserve"> (WB)</w:t>
            </w:r>
          </w:p>
        </w:tc>
        <w:tc>
          <w:tcPr>
            <w:tcW w:w="2350" w:type="dxa"/>
          </w:tcPr>
          <w:p w:rsidR="00F531F6" w:rsidRPr="00C61187" w:rsidRDefault="00F531F6" w:rsidP="00F531F6">
            <w:pPr>
              <w:keepLines/>
              <w:spacing w:before="40" w:after="40" w:line="200" w:lineRule="atLeast"/>
              <w:rPr>
                <w:rFonts w:eastAsia="Times New Roman"/>
                <w:iCs/>
                <w:szCs w:val="17"/>
                <w:lang w:eastAsia="en-US"/>
              </w:rPr>
            </w:pPr>
            <w:r w:rsidRPr="00EA1069">
              <w:rPr>
                <w:rFonts w:asciiTheme="minorHAnsi" w:eastAsia="Times New Roman" w:hAnsiTheme="minorHAnsi"/>
                <w:bCs/>
                <w:iCs/>
                <w:szCs w:val="17"/>
                <w:lang w:eastAsia="en-US"/>
              </w:rPr>
              <w:t>INK576 Multi-Donor Trust Fund KP/FATA/</w:t>
            </w:r>
            <w:proofErr w:type="spellStart"/>
            <w:r w:rsidRPr="00EA1069">
              <w:rPr>
                <w:rFonts w:asciiTheme="minorHAnsi" w:eastAsia="Times New Roman" w:hAnsiTheme="minorHAnsi"/>
                <w:bCs/>
                <w:iCs/>
                <w:szCs w:val="17"/>
                <w:lang w:eastAsia="en-US"/>
              </w:rPr>
              <w:t>Balochistan</w:t>
            </w:r>
            <w:proofErr w:type="spellEnd"/>
            <w:r w:rsidRPr="00EA1069">
              <w:rPr>
                <w:rFonts w:asciiTheme="minorHAnsi" w:eastAsia="Times New Roman" w:hAnsiTheme="minorHAnsi"/>
                <w:bCs/>
                <w:iCs/>
                <w:szCs w:val="17"/>
                <w:lang w:eastAsia="en-US"/>
              </w:rPr>
              <w:t xml:space="preserve"> (MDTF-BA)</w:t>
            </w:r>
          </w:p>
        </w:tc>
        <w:tc>
          <w:tcPr>
            <w:tcW w:w="2412" w:type="dxa"/>
          </w:tcPr>
          <w:p w:rsidR="00F531F6" w:rsidRPr="00C61187" w:rsidRDefault="00F531F6" w:rsidP="00F531F6">
            <w:pPr>
              <w:keepLines/>
              <w:spacing w:before="40" w:after="40" w:line="200" w:lineRule="atLeast"/>
              <w:rPr>
                <w:rFonts w:eastAsia="Times New Roman"/>
                <w:iCs/>
                <w:szCs w:val="17"/>
                <w:lang w:eastAsia="en-US"/>
              </w:rPr>
            </w:pPr>
            <w:r>
              <w:rPr>
                <w:rFonts w:asciiTheme="minorHAnsi" w:eastAsia="Times New Roman" w:hAnsiTheme="minorHAnsi"/>
                <w:iCs/>
                <w:szCs w:val="17"/>
                <w:lang w:eastAsia="en-US"/>
              </w:rPr>
              <w:t>2019 (month TBC)</w:t>
            </w:r>
          </w:p>
        </w:tc>
        <w:tc>
          <w:tcPr>
            <w:tcW w:w="2181" w:type="dxa"/>
          </w:tcPr>
          <w:p w:rsidR="00F531F6" w:rsidRPr="00C61187" w:rsidRDefault="00F531F6" w:rsidP="00F531F6">
            <w:pPr>
              <w:keepLines/>
              <w:spacing w:before="40" w:after="40" w:line="200" w:lineRule="atLeast"/>
              <w:rPr>
                <w:rFonts w:eastAsia="Times New Roman"/>
                <w:iCs/>
                <w:szCs w:val="17"/>
                <w:lang w:eastAsia="en-US"/>
              </w:rPr>
            </w:pPr>
            <w:r>
              <w:rPr>
                <w:rFonts w:asciiTheme="minorHAnsi" w:eastAsia="Times New Roman" w:hAnsiTheme="minorHAnsi"/>
                <w:iCs/>
                <w:szCs w:val="17"/>
                <w:lang w:eastAsia="en-US"/>
              </w:rPr>
              <w:t>2019 (month TBC)</w:t>
            </w:r>
          </w:p>
        </w:tc>
        <w:tc>
          <w:tcPr>
            <w:tcW w:w="2306" w:type="dxa"/>
          </w:tcPr>
          <w:p w:rsidR="00F531F6" w:rsidRPr="00C61187" w:rsidRDefault="00F531F6" w:rsidP="00F531F6">
            <w:pPr>
              <w:keepLines/>
              <w:spacing w:before="40" w:after="40" w:line="200" w:lineRule="atLeast"/>
              <w:rPr>
                <w:rFonts w:eastAsia="Times New Roman"/>
                <w:iCs/>
                <w:szCs w:val="17"/>
                <w:lang w:eastAsia="en-US"/>
              </w:rPr>
            </w:pPr>
            <w:r>
              <w:rPr>
                <w:rFonts w:asciiTheme="minorHAnsi" w:eastAsia="Times New Roman" w:hAnsiTheme="minorHAnsi"/>
                <w:iCs/>
                <w:szCs w:val="17"/>
                <w:lang w:eastAsia="en-US"/>
              </w:rPr>
              <w:t>Review investment performance and implementation, and put in place a remediation plan</w:t>
            </w:r>
          </w:p>
        </w:tc>
        <w:tc>
          <w:tcPr>
            <w:tcW w:w="2309" w:type="dxa"/>
          </w:tcPr>
          <w:p w:rsidR="00F531F6" w:rsidRPr="00C61187" w:rsidRDefault="00F531F6" w:rsidP="00F531F6">
            <w:pPr>
              <w:keepLines/>
              <w:spacing w:before="40" w:after="40" w:line="200" w:lineRule="atLeast"/>
              <w:rPr>
                <w:rFonts w:eastAsia="Times New Roman"/>
                <w:iCs/>
                <w:szCs w:val="17"/>
                <w:lang w:eastAsia="en-US"/>
              </w:rPr>
            </w:pPr>
            <w:r>
              <w:rPr>
                <w:rFonts w:asciiTheme="minorHAnsi" w:eastAsia="Times New Roman" w:hAnsiTheme="minorHAnsi"/>
                <w:iCs/>
                <w:szCs w:val="17"/>
                <w:lang w:eastAsia="en-US"/>
              </w:rPr>
              <w:t xml:space="preserve">Partner (World Bank) led; once during program cycle </w:t>
            </w:r>
          </w:p>
        </w:tc>
      </w:tr>
    </w:tbl>
    <w:p w:rsidR="001A1F3D" w:rsidRDefault="001A1F3D" w:rsidP="00A92BF6">
      <w:pPr>
        <w:spacing w:before="0" w:after="0"/>
        <w:rPr>
          <w:b/>
        </w:rPr>
      </w:pPr>
      <w:r>
        <w:rPr>
          <w:b/>
        </w:rPr>
        <w:br w:type="page"/>
      </w:r>
    </w:p>
    <w:p w:rsidR="00400B0F" w:rsidRPr="007B4725" w:rsidRDefault="00400B0F" w:rsidP="007B4725">
      <w:pPr>
        <w:pStyle w:val="Subtitle"/>
        <w:numPr>
          <w:ilvl w:val="0"/>
          <w:numId w:val="0"/>
        </w:numPr>
        <w:spacing w:before="0" w:after="0"/>
        <w:rPr>
          <w:rFonts w:asciiTheme="majorHAnsi" w:eastAsia="Times New Roman" w:hAnsiTheme="majorHAnsi"/>
          <w:b/>
          <w:bCs w:val="0"/>
          <w:iCs w:val="0"/>
          <w:caps w:val="0"/>
          <w:szCs w:val="38"/>
        </w:rPr>
      </w:pPr>
      <w:r w:rsidRPr="007B4725">
        <w:rPr>
          <w:rFonts w:asciiTheme="majorHAnsi" w:eastAsia="Times New Roman" w:hAnsiTheme="majorHAnsi"/>
          <w:b/>
          <w:szCs w:val="38"/>
        </w:rPr>
        <w:t xml:space="preserve">Annex D </w:t>
      </w:r>
      <w:r w:rsidR="007B4725">
        <w:rPr>
          <w:rFonts w:asciiTheme="majorHAnsi" w:eastAsia="Times New Roman" w:hAnsiTheme="majorHAnsi"/>
          <w:b/>
          <w:szCs w:val="38"/>
        </w:rPr>
        <w:t>–</w:t>
      </w:r>
      <w:r w:rsidRPr="007B4725">
        <w:rPr>
          <w:rFonts w:asciiTheme="majorHAnsi" w:eastAsia="Times New Roman" w:hAnsiTheme="majorHAnsi"/>
          <w:b/>
          <w:szCs w:val="38"/>
        </w:rPr>
        <w:t xml:space="preserve"> Aid Quality Check ratings</w:t>
      </w:r>
    </w:p>
    <w:p w:rsidR="00400B0F" w:rsidRPr="00A46AAE" w:rsidRDefault="00400B0F" w:rsidP="00A46AAE">
      <w:pPr>
        <w:keepNext/>
        <w:numPr>
          <w:ilvl w:val="2"/>
          <w:numId w:val="0"/>
        </w:numPr>
        <w:outlineLvl w:val="2"/>
        <w:rPr>
          <w:rFonts w:eastAsiaTheme="majorEastAsia" w:cstheme="majorBidi"/>
          <w:b/>
          <w:caps/>
          <w:sz w:val="24"/>
          <w:szCs w:val="24"/>
        </w:rPr>
      </w:pPr>
      <w:r w:rsidRPr="00A46AAE">
        <w:rPr>
          <w:rFonts w:eastAsiaTheme="majorEastAsia" w:cstheme="majorBidi"/>
          <w:b/>
          <w:caps/>
          <w:sz w:val="24"/>
          <w:szCs w:val="24"/>
        </w:rPr>
        <w:t>AQC ratings</w:t>
      </w:r>
    </w:p>
    <w:tbl>
      <w:tblPr>
        <w:tblW w:w="14391" w:type="dxa"/>
        <w:tblLook w:val="04A0" w:firstRow="1" w:lastRow="0" w:firstColumn="1" w:lastColumn="0" w:noHBand="0" w:noVBand="1"/>
      </w:tblPr>
      <w:tblGrid>
        <w:gridCol w:w="4103"/>
        <w:gridCol w:w="1448"/>
        <w:gridCol w:w="1448"/>
        <w:gridCol w:w="1056"/>
        <w:gridCol w:w="1056"/>
        <w:gridCol w:w="1056"/>
        <w:gridCol w:w="1056"/>
        <w:gridCol w:w="1056"/>
        <w:gridCol w:w="1056"/>
        <w:gridCol w:w="1056"/>
      </w:tblGrid>
      <w:tr w:rsidR="00726EB9" w:rsidRPr="008B2F77" w:rsidTr="00EF5BE5">
        <w:trPr>
          <w:trHeight w:val="1308"/>
        </w:trPr>
        <w:tc>
          <w:tcPr>
            <w:tcW w:w="4103" w:type="dxa"/>
            <w:tcBorders>
              <w:top w:val="single" w:sz="12" w:space="0" w:color="000000"/>
              <w:left w:val="nil"/>
              <w:bottom w:val="nil"/>
              <w:right w:val="nil"/>
            </w:tcBorders>
            <w:shd w:val="clear" w:color="auto" w:fill="auto"/>
            <w:vAlign w:val="center"/>
            <w:hideMark/>
          </w:tcPr>
          <w:p w:rsidR="00726EB9" w:rsidRPr="008B2F77" w:rsidRDefault="00726EB9" w:rsidP="00F6471F">
            <w:pPr>
              <w:suppressAutoHyphens w:val="0"/>
              <w:spacing w:before="0" w:after="0" w:line="240" w:lineRule="auto"/>
              <w:rPr>
                <w:rFonts w:ascii="Calibri Light" w:eastAsia="Times New Roman" w:hAnsi="Calibri Light" w:cs="Times New Roman"/>
                <w:b/>
                <w:bCs/>
                <w:color w:val="495965"/>
                <w:sz w:val="17"/>
                <w:szCs w:val="17"/>
                <w:lang w:val="en-AU" w:eastAsia="en-AU"/>
              </w:rPr>
            </w:pPr>
            <w:r w:rsidRPr="008B2F77">
              <w:rPr>
                <w:rFonts w:ascii="Calibri Light" w:eastAsia="Times New Roman" w:hAnsi="Calibri Light" w:cs="Times New Roman"/>
                <w:b/>
                <w:bCs/>
                <w:iCs/>
                <w:noProof/>
                <w:color w:val="495965"/>
                <w:sz w:val="17"/>
                <w:szCs w:val="17"/>
                <w:lang w:val="en-AU" w:eastAsia="en-AU"/>
              </w:rPr>
              <w:drawing>
                <wp:anchor distT="0" distB="0" distL="114300" distR="114300" simplePos="0" relativeHeight="251687936" behindDoc="0" locked="0" layoutInCell="1" allowOverlap="1" wp14:anchorId="70CF8D8A" wp14:editId="6575DF3E">
                  <wp:simplePos x="0" y="0"/>
                  <wp:positionH relativeFrom="column">
                    <wp:posOffset>0</wp:posOffset>
                  </wp:positionH>
                  <wp:positionV relativeFrom="paragraph">
                    <wp:posOffset>0</wp:posOffset>
                  </wp:positionV>
                  <wp:extent cx="2971800" cy="228600"/>
                  <wp:effectExtent l="0" t="0" r="0" b="0"/>
                  <wp:wrapNone/>
                  <wp:docPr id="8" name="Picture 8" hidden="1"/>
                  <wp:cNvGraphicFramePr/>
                  <a:graphic xmlns:a="http://schemas.openxmlformats.org/drawingml/2006/main">
                    <a:graphicData uri="http://schemas.openxmlformats.org/drawingml/2006/picture">
                      <pic:pic xmlns:pic="http://schemas.openxmlformats.org/drawingml/2006/picture">
                        <pic:nvPicPr>
                          <pic:cNvPr id="2" name="Picture 26" hidden="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8B2F77">
              <w:rPr>
                <w:rFonts w:ascii="Calibri Light" w:eastAsia="Times New Roman" w:hAnsi="Calibri Light" w:cs="Times New Roman"/>
                <w:b/>
                <w:bCs/>
                <w:iCs/>
                <w:color w:val="495965"/>
                <w:sz w:val="17"/>
                <w:szCs w:val="17"/>
                <w:lang w:eastAsia="en-AU"/>
              </w:rPr>
              <w:t>Investment name</w:t>
            </w:r>
          </w:p>
        </w:tc>
        <w:tc>
          <w:tcPr>
            <w:tcW w:w="1448" w:type="dxa"/>
            <w:tcBorders>
              <w:top w:val="single" w:sz="12" w:space="0" w:color="000000"/>
              <w:left w:val="nil"/>
              <w:bottom w:val="nil"/>
              <w:right w:val="nil"/>
            </w:tcBorders>
            <w:shd w:val="clear" w:color="auto" w:fill="auto"/>
            <w:vAlign w:val="center"/>
            <w:hideMark/>
          </w:tcPr>
          <w:p w:rsidR="00726EB9" w:rsidRPr="008B2F77" w:rsidRDefault="00726EB9" w:rsidP="00F6471F">
            <w:pPr>
              <w:suppressAutoHyphens w:val="0"/>
              <w:spacing w:before="0" w:after="0" w:line="240" w:lineRule="auto"/>
              <w:jc w:val="center"/>
              <w:rPr>
                <w:rFonts w:ascii="Calibri Light" w:eastAsia="Times New Roman" w:hAnsi="Calibri Light" w:cs="Times New Roman"/>
                <w:b/>
                <w:bCs/>
                <w:color w:val="495965"/>
                <w:sz w:val="17"/>
                <w:szCs w:val="17"/>
                <w:lang w:val="en-AU" w:eastAsia="en-AU"/>
              </w:rPr>
            </w:pPr>
            <w:r w:rsidRPr="008B2F77">
              <w:rPr>
                <w:rFonts w:ascii="Calibri Light" w:eastAsia="Times New Roman" w:hAnsi="Calibri Light" w:cs="Times New Roman"/>
                <w:b/>
                <w:bCs/>
                <w:iCs/>
                <w:color w:val="495965"/>
                <w:sz w:val="17"/>
                <w:szCs w:val="17"/>
                <w:lang w:eastAsia="en-AU"/>
              </w:rPr>
              <w:t>Approved budget and duration</w:t>
            </w:r>
          </w:p>
        </w:tc>
        <w:tc>
          <w:tcPr>
            <w:tcW w:w="1448" w:type="dxa"/>
            <w:tcBorders>
              <w:top w:val="single" w:sz="12" w:space="0" w:color="000000"/>
              <w:left w:val="nil"/>
              <w:bottom w:val="nil"/>
              <w:right w:val="nil"/>
            </w:tcBorders>
            <w:shd w:val="clear" w:color="auto" w:fill="auto"/>
            <w:vAlign w:val="center"/>
            <w:hideMark/>
          </w:tcPr>
          <w:p w:rsidR="00726EB9" w:rsidRPr="008B2F77" w:rsidRDefault="00726EB9" w:rsidP="00F6471F">
            <w:pPr>
              <w:suppressAutoHyphens w:val="0"/>
              <w:spacing w:before="0" w:after="0" w:line="240" w:lineRule="auto"/>
              <w:jc w:val="center"/>
              <w:rPr>
                <w:rFonts w:ascii="Calibri Light" w:eastAsia="Times New Roman" w:hAnsi="Calibri Light" w:cs="Times New Roman"/>
                <w:b/>
                <w:bCs/>
                <w:color w:val="495965"/>
                <w:sz w:val="17"/>
                <w:szCs w:val="17"/>
                <w:lang w:val="en-AU" w:eastAsia="en-AU"/>
              </w:rPr>
            </w:pPr>
            <w:r w:rsidRPr="008B2F77">
              <w:rPr>
                <w:rFonts w:ascii="Calibri Light" w:eastAsia="Times New Roman" w:hAnsi="Calibri Light" w:cs="Times New Roman"/>
                <w:b/>
                <w:bCs/>
                <w:iCs/>
                <w:color w:val="495965"/>
                <w:sz w:val="17"/>
                <w:szCs w:val="17"/>
                <w:lang w:eastAsia="en-AU"/>
              </w:rPr>
              <w:t>year on year</w:t>
            </w:r>
          </w:p>
        </w:tc>
        <w:tc>
          <w:tcPr>
            <w:tcW w:w="1056" w:type="dxa"/>
            <w:tcBorders>
              <w:top w:val="single" w:sz="12" w:space="0" w:color="000000"/>
              <w:left w:val="nil"/>
              <w:right w:val="nil"/>
            </w:tcBorders>
            <w:shd w:val="clear" w:color="auto" w:fill="auto"/>
            <w:textDirection w:val="btLr"/>
            <w:vAlign w:val="bottom"/>
            <w:hideMark/>
          </w:tcPr>
          <w:p w:rsidR="00726EB9" w:rsidRPr="008B2F77" w:rsidRDefault="00726EB9" w:rsidP="00EF5BE5">
            <w:pPr>
              <w:suppressAutoHyphens w:val="0"/>
              <w:spacing w:before="0" w:after="0" w:line="240" w:lineRule="auto"/>
              <w:jc w:val="center"/>
              <w:rPr>
                <w:rFonts w:ascii="Calibri Light" w:eastAsia="Times New Roman" w:hAnsi="Calibri Light" w:cs="Times New Roman"/>
                <w:b/>
                <w:bCs/>
                <w:color w:val="495965"/>
                <w:sz w:val="17"/>
                <w:szCs w:val="17"/>
                <w:lang w:val="en-AU" w:eastAsia="en-AU"/>
              </w:rPr>
            </w:pPr>
            <w:r w:rsidRPr="008B2F77">
              <w:rPr>
                <w:rFonts w:ascii="Calibri Light" w:eastAsia="Times New Roman" w:hAnsi="Calibri Light" w:cs="Times New Roman"/>
                <w:b/>
                <w:bCs/>
                <w:iCs/>
                <w:color w:val="495965"/>
                <w:sz w:val="17"/>
                <w:szCs w:val="17"/>
                <w:lang w:eastAsia="en-AU"/>
              </w:rPr>
              <w:t>Relevance</w:t>
            </w:r>
          </w:p>
        </w:tc>
        <w:tc>
          <w:tcPr>
            <w:tcW w:w="1056" w:type="dxa"/>
            <w:tcBorders>
              <w:top w:val="single" w:sz="12" w:space="0" w:color="000000"/>
              <w:left w:val="nil"/>
              <w:right w:val="nil"/>
            </w:tcBorders>
            <w:shd w:val="clear" w:color="auto" w:fill="auto"/>
            <w:textDirection w:val="btLr"/>
            <w:vAlign w:val="bottom"/>
            <w:hideMark/>
          </w:tcPr>
          <w:p w:rsidR="00726EB9" w:rsidRPr="008B2F77" w:rsidRDefault="00726EB9" w:rsidP="00EF5BE5">
            <w:pPr>
              <w:suppressAutoHyphens w:val="0"/>
              <w:spacing w:before="0" w:after="0" w:line="240" w:lineRule="auto"/>
              <w:jc w:val="center"/>
              <w:rPr>
                <w:rFonts w:ascii="Calibri Light" w:eastAsia="Times New Roman" w:hAnsi="Calibri Light" w:cs="Times New Roman"/>
                <w:b/>
                <w:bCs/>
                <w:color w:val="495965"/>
                <w:sz w:val="17"/>
                <w:szCs w:val="17"/>
                <w:lang w:val="en-AU" w:eastAsia="en-AU"/>
              </w:rPr>
            </w:pPr>
            <w:r w:rsidRPr="008B2F77">
              <w:rPr>
                <w:rFonts w:ascii="Calibri Light" w:eastAsia="Times New Roman" w:hAnsi="Calibri Light" w:cs="Times New Roman"/>
                <w:b/>
                <w:bCs/>
                <w:iCs/>
                <w:color w:val="495965"/>
                <w:sz w:val="17"/>
                <w:szCs w:val="17"/>
                <w:lang w:eastAsia="en-AU"/>
              </w:rPr>
              <w:t>Effectiveness</w:t>
            </w:r>
          </w:p>
        </w:tc>
        <w:tc>
          <w:tcPr>
            <w:tcW w:w="1056" w:type="dxa"/>
            <w:tcBorders>
              <w:top w:val="single" w:sz="12" w:space="0" w:color="000000"/>
              <w:left w:val="nil"/>
              <w:right w:val="nil"/>
            </w:tcBorders>
            <w:shd w:val="clear" w:color="auto" w:fill="auto"/>
            <w:textDirection w:val="btLr"/>
            <w:vAlign w:val="bottom"/>
            <w:hideMark/>
          </w:tcPr>
          <w:p w:rsidR="00726EB9" w:rsidRPr="008B2F77" w:rsidRDefault="00726EB9" w:rsidP="00EF5BE5">
            <w:pPr>
              <w:suppressAutoHyphens w:val="0"/>
              <w:spacing w:before="0" w:after="0" w:line="240" w:lineRule="auto"/>
              <w:jc w:val="center"/>
              <w:rPr>
                <w:rFonts w:ascii="Calibri Light" w:eastAsia="Times New Roman" w:hAnsi="Calibri Light" w:cs="Times New Roman"/>
                <w:b/>
                <w:bCs/>
                <w:color w:val="495965"/>
                <w:sz w:val="17"/>
                <w:szCs w:val="17"/>
                <w:lang w:val="en-AU" w:eastAsia="en-AU"/>
              </w:rPr>
            </w:pPr>
            <w:r w:rsidRPr="008B2F77">
              <w:rPr>
                <w:rFonts w:ascii="Calibri Light" w:eastAsia="Times New Roman" w:hAnsi="Calibri Light" w:cs="Times New Roman"/>
                <w:b/>
                <w:bCs/>
                <w:iCs/>
                <w:color w:val="495965"/>
                <w:sz w:val="17"/>
                <w:szCs w:val="17"/>
                <w:lang w:eastAsia="en-AU"/>
              </w:rPr>
              <w:t>Efficiency</w:t>
            </w:r>
          </w:p>
        </w:tc>
        <w:tc>
          <w:tcPr>
            <w:tcW w:w="1056" w:type="dxa"/>
            <w:tcBorders>
              <w:top w:val="single" w:sz="12" w:space="0" w:color="000000"/>
              <w:left w:val="nil"/>
              <w:right w:val="nil"/>
            </w:tcBorders>
            <w:shd w:val="clear" w:color="auto" w:fill="auto"/>
            <w:textDirection w:val="btLr"/>
            <w:vAlign w:val="bottom"/>
            <w:hideMark/>
          </w:tcPr>
          <w:p w:rsidR="00726EB9" w:rsidRPr="00EF5BE5" w:rsidRDefault="00726EB9" w:rsidP="00EF5BE5">
            <w:pPr>
              <w:suppressAutoHyphens w:val="0"/>
              <w:spacing w:before="0" w:after="0" w:line="240" w:lineRule="auto"/>
              <w:jc w:val="center"/>
              <w:rPr>
                <w:rFonts w:ascii="Calibri Light" w:eastAsia="Times New Roman" w:hAnsi="Calibri Light" w:cs="Times New Roman"/>
                <w:b/>
                <w:bCs/>
                <w:iCs/>
                <w:color w:val="495965"/>
                <w:sz w:val="17"/>
                <w:szCs w:val="17"/>
                <w:lang w:eastAsia="en-AU"/>
              </w:rPr>
            </w:pPr>
            <w:r w:rsidRPr="008B2F77">
              <w:rPr>
                <w:rFonts w:ascii="Calibri Light" w:eastAsia="Times New Roman" w:hAnsi="Calibri Light" w:cs="Times New Roman"/>
                <w:b/>
                <w:bCs/>
                <w:iCs/>
                <w:color w:val="495965"/>
                <w:sz w:val="17"/>
                <w:szCs w:val="17"/>
                <w:lang w:eastAsia="en-AU"/>
              </w:rPr>
              <w:t>Monitoring and Evaluation</w:t>
            </w:r>
          </w:p>
        </w:tc>
        <w:tc>
          <w:tcPr>
            <w:tcW w:w="1056" w:type="dxa"/>
            <w:tcBorders>
              <w:top w:val="single" w:sz="12" w:space="0" w:color="000000"/>
              <w:left w:val="nil"/>
              <w:right w:val="nil"/>
            </w:tcBorders>
            <w:shd w:val="clear" w:color="auto" w:fill="auto"/>
            <w:textDirection w:val="btLr"/>
            <w:vAlign w:val="bottom"/>
            <w:hideMark/>
          </w:tcPr>
          <w:p w:rsidR="00726EB9" w:rsidRPr="008B2F77" w:rsidRDefault="00726EB9" w:rsidP="00EF5BE5">
            <w:pPr>
              <w:suppressAutoHyphens w:val="0"/>
              <w:spacing w:before="0" w:after="0" w:line="240" w:lineRule="auto"/>
              <w:jc w:val="center"/>
              <w:rPr>
                <w:rFonts w:ascii="Calibri Light" w:eastAsia="Times New Roman" w:hAnsi="Calibri Light" w:cs="Times New Roman"/>
                <w:b/>
                <w:bCs/>
                <w:color w:val="495965"/>
                <w:sz w:val="17"/>
                <w:szCs w:val="17"/>
                <w:lang w:val="en-AU" w:eastAsia="en-AU"/>
              </w:rPr>
            </w:pPr>
            <w:r w:rsidRPr="008B2F77">
              <w:rPr>
                <w:rFonts w:ascii="Calibri Light" w:eastAsia="Times New Roman" w:hAnsi="Calibri Light" w:cs="Times New Roman"/>
                <w:b/>
                <w:bCs/>
                <w:iCs/>
                <w:color w:val="495965"/>
                <w:sz w:val="17"/>
                <w:szCs w:val="17"/>
                <w:lang w:eastAsia="en-AU"/>
              </w:rPr>
              <w:t>Sustainability</w:t>
            </w:r>
          </w:p>
        </w:tc>
        <w:tc>
          <w:tcPr>
            <w:tcW w:w="1056" w:type="dxa"/>
            <w:tcBorders>
              <w:top w:val="single" w:sz="12" w:space="0" w:color="000000"/>
              <w:left w:val="nil"/>
              <w:right w:val="nil"/>
            </w:tcBorders>
            <w:shd w:val="clear" w:color="auto" w:fill="auto"/>
            <w:textDirection w:val="btLr"/>
            <w:vAlign w:val="bottom"/>
            <w:hideMark/>
          </w:tcPr>
          <w:p w:rsidR="00726EB9" w:rsidRPr="008B2F77" w:rsidRDefault="00726EB9" w:rsidP="00EF5BE5">
            <w:pPr>
              <w:suppressAutoHyphens w:val="0"/>
              <w:spacing w:before="0" w:after="0" w:line="240" w:lineRule="auto"/>
              <w:jc w:val="center"/>
              <w:rPr>
                <w:rFonts w:ascii="Calibri Light" w:eastAsia="Times New Roman" w:hAnsi="Calibri Light" w:cs="Times New Roman"/>
                <w:b/>
                <w:bCs/>
                <w:color w:val="495965"/>
                <w:sz w:val="17"/>
                <w:szCs w:val="17"/>
                <w:lang w:val="en-AU" w:eastAsia="en-AU"/>
              </w:rPr>
            </w:pPr>
            <w:r w:rsidRPr="008B2F77">
              <w:rPr>
                <w:rFonts w:ascii="Calibri Light" w:eastAsia="Times New Roman" w:hAnsi="Calibri Light" w:cs="Times New Roman"/>
                <w:b/>
                <w:bCs/>
                <w:iCs/>
                <w:color w:val="495965"/>
                <w:sz w:val="17"/>
                <w:szCs w:val="17"/>
                <w:lang w:eastAsia="en-AU"/>
              </w:rPr>
              <w:t>Gender equality</w:t>
            </w:r>
          </w:p>
        </w:tc>
        <w:tc>
          <w:tcPr>
            <w:tcW w:w="1056" w:type="dxa"/>
            <w:tcBorders>
              <w:top w:val="single" w:sz="12" w:space="0" w:color="000000"/>
              <w:left w:val="nil"/>
              <w:right w:val="nil"/>
            </w:tcBorders>
            <w:shd w:val="clear" w:color="auto" w:fill="auto"/>
            <w:textDirection w:val="btLr"/>
            <w:vAlign w:val="bottom"/>
            <w:hideMark/>
          </w:tcPr>
          <w:p w:rsidR="00726EB9" w:rsidRPr="008B2F77" w:rsidRDefault="00726EB9" w:rsidP="00EF5BE5">
            <w:pPr>
              <w:suppressAutoHyphens w:val="0"/>
              <w:spacing w:before="0" w:after="0" w:line="240" w:lineRule="auto"/>
              <w:jc w:val="center"/>
              <w:rPr>
                <w:rFonts w:ascii="Calibri Light" w:eastAsia="Times New Roman" w:hAnsi="Calibri Light" w:cs="Times New Roman"/>
                <w:b/>
                <w:bCs/>
                <w:color w:val="495965"/>
                <w:sz w:val="17"/>
                <w:szCs w:val="17"/>
                <w:lang w:val="en-AU" w:eastAsia="en-AU"/>
              </w:rPr>
            </w:pPr>
            <w:r w:rsidRPr="008B2F77">
              <w:rPr>
                <w:rFonts w:ascii="Calibri Light" w:eastAsia="Times New Roman" w:hAnsi="Calibri Light" w:cs="Times New Roman"/>
                <w:b/>
                <w:bCs/>
                <w:iCs/>
                <w:color w:val="495965"/>
                <w:sz w:val="17"/>
                <w:szCs w:val="17"/>
                <w:lang w:eastAsia="en-AU"/>
              </w:rPr>
              <w:t>Risks  and Safeguards</w:t>
            </w:r>
          </w:p>
        </w:tc>
      </w:tr>
      <w:tr w:rsidR="00726EB9" w:rsidRPr="008B2F77" w:rsidTr="00EF5BE5">
        <w:trPr>
          <w:trHeight w:val="451"/>
        </w:trPr>
        <w:tc>
          <w:tcPr>
            <w:tcW w:w="4103" w:type="dxa"/>
            <w:tcBorders>
              <w:top w:val="nil"/>
              <w:left w:val="nil"/>
              <w:bottom w:val="nil"/>
              <w:right w:val="nil"/>
            </w:tcBorders>
            <w:shd w:val="clear" w:color="auto" w:fill="auto"/>
            <w:vAlign w:val="center"/>
            <w:hideMark/>
          </w:tcPr>
          <w:p w:rsidR="00726EB9" w:rsidRPr="008B2F77" w:rsidRDefault="00726EB9" w:rsidP="00F6471F">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IN</w:t>
            </w:r>
            <w:r>
              <w:rPr>
                <w:rFonts w:ascii="Calibri Light" w:eastAsia="Times New Roman" w:hAnsi="Calibri Light" w:cs="Times New Roman"/>
                <w:iCs/>
                <w:color w:val="495965"/>
                <w:sz w:val="17"/>
                <w:szCs w:val="17"/>
                <w:lang w:eastAsia="en-AU"/>
              </w:rPr>
              <w:t>M356</w:t>
            </w:r>
            <w:r w:rsidRPr="008B2F77">
              <w:rPr>
                <w:rFonts w:ascii="Calibri Light" w:eastAsia="Times New Roman" w:hAnsi="Calibri Light" w:cs="Times New Roman"/>
                <w:iCs/>
                <w:color w:val="495965"/>
                <w:sz w:val="17"/>
                <w:szCs w:val="17"/>
                <w:lang w:eastAsia="en-AU"/>
              </w:rPr>
              <w:t xml:space="preserve"> Pakistan Market Development Facility </w:t>
            </w:r>
            <w:r>
              <w:rPr>
                <w:rFonts w:ascii="Calibri Light" w:eastAsia="Times New Roman" w:hAnsi="Calibri Light" w:cs="Times New Roman"/>
                <w:iCs/>
                <w:color w:val="495965"/>
                <w:sz w:val="17"/>
                <w:szCs w:val="17"/>
                <w:lang w:eastAsia="en-AU"/>
              </w:rPr>
              <w:t>Phase II</w:t>
            </w:r>
          </w:p>
        </w:tc>
        <w:tc>
          <w:tcPr>
            <w:tcW w:w="1448" w:type="dxa"/>
            <w:tcBorders>
              <w:top w:val="nil"/>
              <w:left w:val="nil"/>
              <w:bottom w:val="nil"/>
              <w:right w:val="nil"/>
            </w:tcBorders>
            <w:shd w:val="clear" w:color="auto" w:fill="auto"/>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000000"/>
                <w:sz w:val="17"/>
                <w:szCs w:val="17"/>
                <w:lang w:val="en-AU" w:eastAsia="en-AU"/>
              </w:rPr>
            </w:pPr>
            <w:r w:rsidRPr="008B2F77">
              <w:rPr>
                <w:rFonts w:ascii="Calibri Light" w:eastAsia="Times New Roman" w:hAnsi="Calibri Light" w:cs="Times New Roman"/>
                <w:color w:val="000000"/>
                <w:sz w:val="17"/>
                <w:szCs w:val="17"/>
                <w:lang w:eastAsia="en-AU"/>
              </w:rPr>
              <w:t>$1</w:t>
            </w:r>
            <w:r>
              <w:rPr>
                <w:rFonts w:ascii="Calibri Light" w:eastAsia="Times New Roman" w:hAnsi="Calibri Light" w:cs="Times New Roman"/>
                <w:color w:val="000000"/>
                <w:sz w:val="17"/>
                <w:szCs w:val="17"/>
                <w:lang w:eastAsia="en-AU"/>
              </w:rPr>
              <w:t>5.28</w:t>
            </w:r>
            <w:r w:rsidRPr="008B2F77">
              <w:rPr>
                <w:rFonts w:ascii="Calibri Light" w:eastAsia="Times New Roman" w:hAnsi="Calibri Light" w:cs="Times New Roman"/>
                <w:color w:val="000000"/>
                <w:sz w:val="17"/>
                <w:szCs w:val="17"/>
                <w:lang w:eastAsia="en-AU"/>
              </w:rPr>
              <w:t xml:space="preserve">m </w:t>
            </w:r>
          </w:p>
        </w:tc>
        <w:tc>
          <w:tcPr>
            <w:tcW w:w="1448" w:type="dxa"/>
            <w:tcBorders>
              <w:top w:val="nil"/>
              <w:left w:val="nil"/>
              <w:bottom w:val="nil"/>
              <w:right w:val="nil"/>
            </w:tcBorders>
            <w:shd w:val="clear" w:color="auto" w:fill="auto"/>
            <w:vAlign w:val="center"/>
            <w:hideMark/>
          </w:tcPr>
          <w:p w:rsidR="00726EB9" w:rsidRPr="008B2F77" w:rsidRDefault="00726EB9" w:rsidP="00F6471F">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w:t>
            </w:r>
            <w:r>
              <w:rPr>
                <w:rFonts w:ascii="Calibri Light" w:eastAsia="Times New Roman" w:hAnsi="Calibri Light" w:cs="Times New Roman"/>
                <w:iCs/>
                <w:color w:val="495965"/>
                <w:sz w:val="17"/>
                <w:szCs w:val="17"/>
                <w:lang w:eastAsia="en-AU"/>
              </w:rPr>
              <w:t>8</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nil"/>
              <w:left w:val="nil"/>
              <w:bottom w:val="single" w:sz="4" w:space="0" w:color="FFFFFF" w:themeColor="background1"/>
              <w:right w:val="nil"/>
            </w:tcBorders>
            <w:shd w:val="clear" w:color="000000"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6</w:t>
            </w:r>
          </w:p>
        </w:tc>
        <w:tc>
          <w:tcPr>
            <w:tcW w:w="1056" w:type="dxa"/>
            <w:tcBorders>
              <w:top w:val="nil"/>
              <w:left w:val="nil"/>
              <w:bottom w:val="single" w:sz="4" w:space="0" w:color="FFFFFF" w:themeColor="background1"/>
              <w:right w:val="nil"/>
            </w:tcBorders>
            <w:shd w:val="clear" w:color="000000"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nil"/>
              <w:left w:val="nil"/>
              <w:bottom w:val="single" w:sz="4" w:space="0" w:color="FFFFFF" w:themeColor="background1"/>
              <w:right w:val="nil"/>
            </w:tcBorders>
            <w:shd w:val="clear" w:color="000000"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nil"/>
              <w:left w:val="nil"/>
              <w:bottom w:val="single" w:sz="4" w:space="0" w:color="FFFFFF" w:themeColor="background1"/>
              <w:right w:val="nil"/>
            </w:tcBorders>
            <w:shd w:val="clear" w:color="000000"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nil"/>
              <w:left w:val="nil"/>
              <w:bottom w:val="single" w:sz="4" w:space="0" w:color="FFFFFF" w:themeColor="background1"/>
              <w:right w:val="nil"/>
            </w:tcBorders>
            <w:shd w:val="clear" w:color="000000"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nil"/>
              <w:left w:val="nil"/>
              <w:bottom w:val="single" w:sz="4" w:space="0" w:color="FFFFFF" w:themeColor="background1"/>
              <w:right w:val="nil"/>
            </w:tcBorders>
            <w:shd w:val="clear" w:color="000000"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nil"/>
              <w:left w:val="nil"/>
              <w:bottom w:val="single" w:sz="4" w:space="0" w:color="FFFFFF" w:themeColor="background1"/>
              <w:right w:val="nil"/>
            </w:tcBorders>
            <w:shd w:val="clear" w:color="000000" w:fill="FFFF00"/>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iCs/>
                <w:color w:val="495965"/>
                <w:sz w:val="17"/>
                <w:szCs w:val="17"/>
                <w:lang w:eastAsia="en-AU"/>
              </w:rPr>
              <w:t>n/a</w:t>
            </w:r>
          </w:p>
        </w:tc>
      </w:tr>
      <w:tr w:rsidR="00726EB9" w:rsidRPr="008B2F77" w:rsidTr="00EF5BE5">
        <w:trPr>
          <w:trHeight w:val="315"/>
        </w:trPr>
        <w:tc>
          <w:tcPr>
            <w:tcW w:w="4103" w:type="dxa"/>
            <w:tcBorders>
              <w:top w:val="nil"/>
              <w:left w:val="nil"/>
              <w:bottom w:val="single" w:sz="8" w:space="0" w:color="auto"/>
              <w:right w:val="nil"/>
            </w:tcBorders>
            <w:shd w:val="clear" w:color="auto" w:fill="auto"/>
            <w:vAlign w:val="center"/>
            <w:hideMark/>
          </w:tcPr>
          <w:p w:rsidR="00726EB9" w:rsidRPr="008B2F77" w:rsidRDefault="00726EB9" w:rsidP="00F6471F">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color w:val="495965"/>
                <w:sz w:val="17"/>
                <w:szCs w:val="17"/>
                <w:lang w:val="en-AU" w:eastAsia="en-AU"/>
              </w:rPr>
              <w:t> </w:t>
            </w:r>
          </w:p>
        </w:tc>
        <w:tc>
          <w:tcPr>
            <w:tcW w:w="1448" w:type="dxa"/>
            <w:tcBorders>
              <w:top w:val="nil"/>
              <w:left w:val="nil"/>
              <w:bottom w:val="single" w:sz="8" w:space="0" w:color="auto"/>
              <w:right w:val="nil"/>
            </w:tcBorders>
            <w:shd w:val="clear" w:color="auto" w:fill="auto"/>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A53827">
              <w:rPr>
                <w:rFonts w:ascii="Calibri Light" w:eastAsia="Times New Roman" w:hAnsi="Calibri Light" w:cs="Times New Roman"/>
                <w:iCs/>
                <w:color w:val="495965"/>
                <w:sz w:val="17"/>
                <w:szCs w:val="17"/>
                <w:lang w:eastAsia="en-AU"/>
              </w:rPr>
              <w:t>2017</w:t>
            </w:r>
            <w:r>
              <w:rPr>
                <w:rFonts w:ascii="Calibri Light" w:eastAsia="Times New Roman" w:hAnsi="Calibri Light" w:cs="Times New Roman"/>
                <w:iCs/>
                <w:color w:val="495965"/>
                <w:sz w:val="17"/>
                <w:szCs w:val="17"/>
                <w:lang w:eastAsia="en-AU"/>
              </w:rPr>
              <w:t>-22</w:t>
            </w:r>
            <w:r w:rsidRPr="008B2F77">
              <w:rPr>
                <w:rFonts w:ascii="Calibri Light" w:eastAsia="Times New Roman" w:hAnsi="Calibri Light" w:cs="Times New Roman"/>
                <w:iCs/>
                <w:color w:val="495965"/>
                <w:sz w:val="17"/>
                <w:szCs w:val="17"/>
                <w:lang w:eastAsia="en-AU"/>
              </w:rPr>
              <w:t xml:space="preserve"> </w:t>
            </w:r>
          </w:p>
        </w:tc>
        <w:tc>
          <w:tcPr>
            <w:tcW w:w="1448" w:type="dxa"/>
            <w:tcBorders>
              <w:top w:val="nil"/>
              <w:left w:val="nil"/>
              <w:bottom w:val="single" w:sz="8" w:space="0" w:color="auto"/>
              <w:right w:val="nil"/>
            </w:tcBorders>
            <w:shd w:val="clear" w:color="auto" w:fill="auto"/>
            <w:vAlign w:val="center"/>
            <w:hideMark/>
          </w:tcPr>
          <w:p w:rsidR="00726EB9" w:rsidRPr="008B2F77" w:rsidRDefault="00726EB9" w:rsidP="00F6471F">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w:t>
            </w:r>
            <w:r>
              <w:rPr>
                <w:rFonts w:ascii="Calibri Light" w:eastAsia="Times New Roman" w:hAnsi="Calibri Light" w:cs="Times New Roman"/>
                <w:iCs/>
                <w:color w:val="495965"/>
                <w:sz w:val="17"/>
                <w:szCs w:val="17"/>
                <w:lang w:eastAsia="en-AU"/>
              </w:rPr>
              <w:t>7</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4" w:space="0" w:color="FFFFFF" w:themeColor="background1"/>
              <w:left w:val="nil"/>
              <w:bottom w:val="single" w:sz="8" w:space="0" w:color="auto"/>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c>
          <w:tcPr>
            <w:tcW w:w="1056" w:type="dxa"/>
            <w:tcBorders>
              <w:top w:val="single" w:sz="4" w:space="0" w:color="FFFFFF" w:themeColor="background1"/>
              <w:left w:val="nil"/>
              <w:bottom w:val="single" w:sz="8" w:space="0" w:color="auto"/>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c>
          <w:tcPr>
            <w:tcW w:w="1056" w:type="dxa"/>
            <w:tcBorders>
              <w:top w:val="single" w:sz="4" w:space="0" w:color="FFFFFF" w:themeColor="background1"/>
              <w:left w:val="nil"/>
              <w:bottom w:val="single" w:sz="8" w:space="0" w:color="auto"/>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c>
          <w:tcPr>
            <w:tcW w:w="1056" w:type="dxa"/>
            <w:tcBorders>
              <w:top w:val="single" w:sz="4" w:space="0" w:color="FFFFFF" w:themeColor="background1"/>
              <w:left w:val="nil"/>
              <w:bottom w:val="single" w:sz="8" w:space="0" w:color="auto"/>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c>
          <w:tcPr>
            <w:tcW w:w="1056" w:type="dxa"/>
            <w:tcBorders>
              <w:top w:val="single" w:sz="4" w:space="0" w:color="FFFFFF" w:themeColor="background1"/>
              <w:left w:val="nil"/>
              <w:bottom w:val="single" w:sz="8" w:space="0" w:color="auto"/>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c>
          <w:tcPr>
            <w:tcW w:w="1056" w:type="dxa"/>
            <w:tcBorders>
              <w:top w:val="single" w:sz="4" w:space="0" w:color="FFFFFF" w:themeColor="background1"/>
              <w:left w:val="nil"/>
              <w:bottom w:val="single" w:sz="8" w:space="0" w:color="auto"/>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c>
          <w:tcPr>
            <w:tcW w:w="1056" w:type="dxa"/>
            <w:tcBorders>
              <w:top w:val="single" w:sz="4" w:space="0" w:color="FFFFFF" w:themeColor="background1"/>
              <w:left w:val="nil"/>
              <w:bottom w:val="single" w:sz="8" w:space="0" w:color="auto"/>
              <w:right w:val="nil"/>
            </w:tcBorders>
            <w:shd w:val="clear" w:color="auto" w:fill="FFFF00"/>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r>
      <w:tr w:rsidR="005F2563" w:rsidRPr="008B2F77" w:rsidTr="003D6779">
        <w:trPr>
          <w:trHeight w:val="451"/>
        </w:trPr>
        <w:tc>
          <w:tcPr>
            <w:tcW w:w="4103" w:type="dxa"/>
            <w:tcBorders>
              <w:top w:val="nil"/>
              <w:left w:val="nil"/>
              <w:bottom w:val="nil"/>
              <w:right w:val="nil"/>
            </w:tcBorders>
            <w:shd w:val="clear" w:color="auto" w:fill="auto"/>
            <w:vAlign w:val="center"/>
            <w:hideMark/>
          </w:tcPr>
          <w:p w:rsidR="005F2563" w:rsidRPr="008B2F77" w:rsidRDefault="005F2563" w:rsidP="003D6779">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INL301 Pakistan Trade and Investment Policy Program</w:t>
            </w:r>
          </w:p>
        </w:tc>
        <w:tc>
          <w:tcPr>
            <w:tcW w:w="1448" w:type="dxa"/>
            <w:tcBorders>
              <w:top w:val="nil"/>
              <w:left w:val="nil"/>
              <w:bottom w:val="nil"/>
              <w:right w:val="nil"/>
            </w:tcBorders>
            <w:shd w:val="clear" w:color="auto" w:fill="auto"/>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000000"/>
                <w:sz w:val="17"/>
                <w:szCs w:val="17"/>
                <w:lang w:val="en-AU" w:eastAsia="en-AU"/>
              </w:rPr>
            </w:pPr>
            <w:r w:rsidRPr="008B2F77">
              <w:rPr>
                <w:rFonts w:ascii="Calibri Light" w:eastAsia="Times New Roman" w:hAnsi="Calibri Light" w:cs="Times New Roman"/>
                <w:color w:val="000000"/>
                <w:sz w:val="17"/>
                <w:szCs w:val="17"/>
                <w:lang w:eastAsia="en-AU"/>
              </w:rPr>
              <w:t xml:space="preserve">$9.9m </w:t>
            </w:r>
          </w:p>
        </w:tc>
        <w:tc>
          <w:tcPr>
            <w:tcW w:w="1448" w:type="dxa"/>
            <w:tcBorders>
              <w:top w:val="nil"/>
              <w:left w:val="nil"/>
              <w:bottom w:val="nil"/>
              <w:right w:val="nil"/>
            </w:tcBorders>
            <w:shd w:val="clear" w:color="auto" w:fill="auto"/>
            <w:vAlign w:val="center"/>
            <w:hideMark/>
          </w:tcPr>
          <w:p w:rsidR="005F2563" w:rsidRPr="008B2F77" w:rsidRDefault="005F2563" w:rsidP="003D6779">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w:t>
            </w:r>
            <w:r>
              <w:rPr>
                <w:rFonts w:ascii="Calibri Light" w:eastAsia="Times New Roman" w:hAnsi="Calibri Light" w:cs="Times New Roman"/>
                <w:iCs/>
                <w:color w:val="495965"/>
                <w:sz w:val="17"/>
                <w:szCs w:val="17"/>
                <w:lang w:eastAsia="en-AU"/>
              </w:rPr>
              <w:t>8</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8" w:space="0" w:color="auto"/>
              <w:left w:val="nil"/>
              <w:bottom w:val="single" w:sz="4" w:space="0" w:color="FFFFFF" w:themeColor="background1"/>
              <w:right w:val="nil"/>
            </w:tcBorders>
            <w:shd w:val="clear" w:color="auto" w:fill="FFFF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4</w:t>
            </w:r>
          </w:p>
        </w:tc>
        <w:tc>
          <w:tcPr>
            <w:tcW w:w="1056" w:type="dxa"/>
            <w:tcBorders>
              <w:top w:val="single" w:sz="8" w:space="0" w:color="auto"/>
              <w:left w:val="nil"/>
              <w:bottom w:val="single" w:sz="4" w:space="0" w:color="FFFFFF" w:themeColor="background1"/>
              <w:right w:val="nil"/>
            </w:tcBorders>
            <w:shd w:val="clear" w:color="auto" w:fill="FFFF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4</w:t>
            </w:r>
          </w:p>
        </w:tc>
        <w:tc>
          <w:tcPr>
            <w:tcW w:w="1056" w:type="dxa"/>
            <w:tcBorders>
              <w:top w:val="single" w:sz="8" w:space="0" w:color="auto"/>
              <w:left w:val="nil"/>
              <w:bottom w:val="single" w:sz="4" w:space="0" w:color="FFFFFF" w:themeColor="background1"/>
              <w:right w:val="nil"/>
            </w:tcBorders>
            <w:shd w:val="clear" w:color="000000" w:fill="FFC0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3</w:t>
            </w:r>
          </w:p>
        </w:tc>
        <w:tc>
          <w:tcPr>
            <w:tcW w:w="1056" w:type="dxa"/>
            <w:tcBorders>
              <w:top w:val="single" w:sz="8" w:space="0" w:color="auto"/>
              <w:left w:val="nil"/>
              <w:bottom w:val="single" w:sz="4" w:space="0" w:color="FFFFFF" w:themeColor="background1"/>
              <w:right w:val="nil"/>
            </w:tcBorders>
            <w:shd w:val="clear" w:color="auto" w:fill="FFC0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3</w:t>
            </w:r>
          </w:p>
        </w:tc>
        <w:tc>
          <w:tcPr>
            <w:tcW w:w="1056" w:type="dxa"/>
            <w:tcBorders>
              <w:top w:val="single" w:sz="8" w:space="0" w:color="auto"/>
              <w:left w:val="nil"/>
              <w:bottom w:val="single" w:sz="4" w:space="0" w:color="FFFFFF" w:themeColor="background1"/>
              <w:right w:val="nil"/>
            </w:tcBorders>
            <w:shd w:val="clear" w:color="auto" w:fill="FFFF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4</w:t>
            </w:r>
          </w:p>
        </w:tc>
        <w:tc>
          <w:tcPr>
            <w:tcW w:w="1056" w:type="dxa"/>
            <w:tcBorders>
              <w:top w:val="single" w:sz="8" w:space="0" w:color="auto"/>
              <w:left w:val="nil"/>
              <w:bottom w:val="single" w:sz="4" w:space="0" w:color="FFFFFF" w:themeColor="background1"/>
              <w:right w:val="nil"/>
            </w:tcBorders>
            <w:shd w:val="clear" w:color="000000" w:fill="FFFF00"/>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iCs/>
                <w:color w:val="495965"/>
                <w:sz w:val="17"/>
                <w:szCs w:val="17"/>
                <w:lang w:eastAsia="en-AU"/>
              </w:rPr>
              <w:t>n/a</w:t>
            </w:r>
          </w:p>
        </w:tc>
      </w:tr>
      <w:tr w:rsidR="005F2563" w:rsidRPr="008B2F77" w:rsidTr="003D6779">
        <w:trPr>
          <w:trHeight w:val="315"/>
        </w:trPr>
        <w:tc>
          <w:tcPr>
            <w:tcW w:w="4103" w:type="dxa"/>
            <w:tcBorders>
              <w:top w:val="nil"/>
              <w:left w:val="nil"/>
              <w:bottom w:val="single" w:sz="8" w:space="0" w:color="auto"/>
              <w:right w:val="nil"/>
            </w:tcBorders>
            <w:shd w:val="clear" w:color="auto" w:fill="auto"/>
            <w:vAlign w:val="center"/>
            <w:hideMark/>
          </w:tcPr>
          <w:p w:rsidR="005F2563" w:rsidRPr="008B2F77" w:rsidRDefault="005F2563" w:rsidP="003D6779">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color w:val="495965"/>
                <w:sz w:val="17"/>
                <w:szCs w:val="17"/>
                <w:lang w:val="en-AU" w:eastAsia="en-AU"/>
              </w:rPr>
              <w:t> </w:t>
            </w:r>
          </w:p>
        </w:tc>
        <w:tc>
          <w:tcPr>
            <w:tcW w:w="1448" w:type="dxa"/>
            <w:tcBorders>
              <w:top w:val="nil"/>
              <w:left w:val="nil"/>
              <w:bottom w:val="single" w:sz="8" w:space="0" w:color="auto"/>
              <w:right w:val="nil"/>
            </w:tcBorders>
            <w:shd w:val="clear" w:color="auto" w:fill="auto"/>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 xml:space="preserve">2014-18 </w:t>
            </w:r>
          </w:p>
        </w:tc>
        <w:tc>
          <w:tcPr>
            <w:tcW w:w="1448" w:type="dxa"/>
            <w:tcBorders>
              <w:top w:val="nil"/>
              <w:left w:val="nil"/>
              <w:bottom w:val="single" w:sz="8" w:space="0" w:color="auto"/>
              <w:right w:val="nil"/>
            </w:tcBorders>
            <w:shd w:val="clear" w:color="auto" w:fill="auto"/>
            <w:vAlign w:val="center"/>
            <w:hideMark/>
          </w:tcPr>
          <w:p w:rsidR="005F2563" w:rsidRPr="008B2F77" w:rsidRDefault="005F2563" w:rsidP="003D6779">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w:t>
            </w:r>
            <w:r>
              <w:rPr>
                <w:rFonts w:ascii="Calibri Light" w:eastAsia="Times New Roman" w:hAnsi="Calibri Light" w:cs="Times New Roman"/>
                <w:iCs/>
                <w:color w:val="495965"/>
                <w:sz w:val="17"/>
                <w:szCs w:val="17"/>
                <w:lang w:eastAsia="en-AU"/>
              </w:rPr>
              <w:t>7</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4" w:space="0" w:color="FFFFFF" w:themeColor="background1"/>
              <w:left w:val="nil"/>
              <w:bottom w:val="single" w:sz="8" w:space="0" w:color="auto"/>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4" w:space="0" w:color="FFFFFF" w:themeColor="background1"/>
              <w:left w:val="nil"/>
              <w:bottom w:val="single" w:sz="8" w:space="0" w:color="auto"/>
              <w:right w:val="nil"/>
            </w:tcBorders>
            <w:shd w:val="clear" w:color="000000" w:fill="FFC0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3</w:t>
            </w:r>
          </w:p>
        </w:tc>
        <w:tc>
          <w:tcPr>
            <w:tcW w:w="1056" w:type="dxa"/>
            <w:tcBorders>
              <w:top w:val="single" w:sz="4" w:space="0" w:color="FFFFFF" w:themeColor="background1"/>
              <w:left w:val="nil"/>
              <w:bottom w:val="single" w:sz="8" w:space="0" w:color="auto"/>
              <w:right w:val="nil"/>
            </w:tcBorders>
            <w:shd w:val="clear" w:color="auto" w:fill="FFC0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3</w:t>
            </w:r>
          </w:p>
        </w:tc>
        <w:tc>
          <w:tcPr>
            <w:tcW w:w="1056" w:type="dxa"/>
            <w:tcBorders>
              <w:top w:val="single" w:sz="4" w:space="0" w:color="FFFFFF" w:themeColor="background1"/>
              <w:left w:val="nil"/>
              <w:bottom w:val="single" w:sz="8" w:space="0" w:color="auto"/>
              <w:right w:val="nil"/>
            </w:tcBorders>
            <w:shd w:val="clear" w:color="auto" w:fill="FFC0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3</w:t>
            </w:r>
          </w:p>
        </w:tc>
        <w:tc>
          <w:tcPr>
            <w:tcW w:w="1056" w:type="dxa"/>
            <w:tcBorders>
              <w:top w:val="single" w:sz="4" w:space="0" w:color="FFFFFF" w:themeColor="background1"/>
              <w:left w:val="nil"/>
              <w:bottom w:val="single" w:sz="8" w:space="0" w:color="auto"/>
              <w:right w:val="nil"/>
            </w:tcBorders>
            <w:shd w:val="clear" w:color="000000" w:fill="FFFF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4</w:t>
            </w:r>
          </w:p>
        </w:tc>
        <w:tc>
          <w:tcPr>
            <w:tcW w:w="1056" w:type="dxa"/>
            <w:tcBorders>
              <w:top w:val="single" w:sz="4" w:space="0" w:color="FFFFFF" w:themeColor="background1"/>
              <w:left w:val="nil"/>
              <w:bottom w:val="single" w:sz="8" w:space="0" w:color="auto"/>
              <w:right w:val="nil"/>
            </w:tcBorders>
            <w:shd w:val="clear" w:color="000000" w:fill="FFC0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3</w:t>
            </w:r>
          </w:p>
        </w:tc>
        <w:tc>
          <w:tcPr>
            <w:tcW w:w="1056" w:type="dxa"/>
            <w:tcBorders>
              <w:top w:val="single" w:sz="4" w:space="0" w:color="FFFFFF" w:themeColor="background1"/>
              <w:left w:val="nil"/>
              <w:bottom w:val="single" w:sz="8" w:space="0" w:color="auto"/>
              <w:right w:val="nil"/>
            </w:tcBorders>
            <w:shd w:val="clear" w:color="000000" w:fill="FFFF00"/>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r>
      <w:tr w:rsidR="005F2563" w:rsidRPr="008B2F77" w:rsidTr="003D6779">
        <w:trPr>
          <w:trHeight w:val="451"/>
        </w:trPr>
        <w:tc>
          <w:tcPr>
            <w:tcW w:w="4103" w:type="dxa"/>
            <w:tcBorders>
              <w:top w:val="nil"/>
              <w:left w:val="nil"/>
              <w:bottom w:val="nil"/>
              <w:right w:val="nil"/>
            </w:tcBorders>
            <w:shd w:val="clear" w:color="auto" w:fill="auto"/>
            <w:vAlign w:val="center"/>
            <w:hideMark/>
          </w:tcPr>
          <w:p w:rsidR="005F2563" w:rsidRPr="008B2F77" w:rsidRDefault="005F2563" w:rsidP="003D6779">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INL272 SRSP Project for Women’s Empowerment</w:t>
            </w:r>
          </w:p>
        </w:tc>
        <w:tc>
          <w:tcPr>
            <w:tcW w:w="1448" w:type="dxa"/>
            <w:tcBorders>
              <w:top w:val="nil"/>
              <w:left w:val="nil"/>
              <w:bottom w:val="nil"/>
              <w:right w:val="nil"/>
            </w:tcBorders>
            <w:shd w:val="clear" w:color="auto" w:fill="auto"/>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000000"/>
                <w:sz w:val="17"/>
                <w:szCs w:val="17"/>
                <w:lang w:val="en-AU" w:eastAsia="en-AU"/>
              </w:rPr>
            </w:pPr>
            <w:r w:rsidRPr="008B2F77">
              <w:rPr>
                <w:rFonts w:ascii="Calibri Light" w:eastAsia="Times New Roman" w:hAnsi="Calibri Light" w:cs="Times New Roman"/>
                <w:color w:val="000000"/>
                <w:sz w:val="17"/>
                <w:szCs w:val="17"/>
                <w:lang w:eastAsia="en-AU"/>
              </w:rPr>
              <w:t xml:space="preserve">$5.7m </w:t>
            </w:r>
          </w:p>
        </w:tc>
        <w:tc>
          <w:tcPr>
            <w:tcW w:w="1448" w:type="dxa"/>
            <w:tcBorders>
              <w:top w:val="nil"/>
              <w:left w:val="nil"/>
              <w:bottom w:val="nil"/>
              <w:right w:val="nil"/>
            </w:tcBorders>
            <w:shd w:val="clear" w:color="auto" w:fill="auto"/>
            <w:vAlign w:val="center"/>
            <w:hideMark/>
          </w:tcPr>
          <w:p w:rsidR="005F2563" w:rsidRPr="008B2F77" w:rsidRDefault="005F2563" w:rsidP="003D6779">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iCs/>
                <w:color w:val="495965"/>
                <w:sz w:val="17"/>
                <w:szCs w:val="17"/>
                <w:lang w:eastAsia="en-AU"/>
              </w:rPr>
              <w:t>2018</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8" w:space="0" w:color="auto"/>
              <w:left w:val="nil"/>
              <w:bottom w:val="single" w:sz="4" w:space="0" w:color="FFFFFF" w:themeColor="background1"/>
              <w:right w:val="nil"/>
            </w:tcBorders>
            <w:shd w:val="clear" w:color="000000" w:fill="FFFF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4</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8" w:space="0" w:color="auto"/>
              <w:left w:val="nil"/>
              <w:bottom w:val="single" w:sz="4" w:space="0" w:color="FFFFFF" w:themeColor="background1"/>
              <w:right w:val="nil"/>
            </w:tcBorders>
            <w:shd w:val="clear" w:color="000000" w:fill="FFFF00"/>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iCs/>
                <w:color w:val="495965"/>
                <w:sz w:val="17"/>
                <w:szCs w:val="17"/>
                <w:lang w:eastAsia="en-AU"/>
              </w:rPr>
              <w:t>n/a</w:t>
            </w:r>
          </w:p>
        </w:tc>
      </w:tr>
      <w:tr w:rsidR="005F2563" w:rsidRPr="008B2F77" w:rsidTr="003D6779">
        <w:trPr>
          <w:trHeight w:val="315"/>
        </w:trPr>
        <w:tc>
          <w:tcPr>
            <w:tcW w:w="4103" w:type="dxa"/>
            <w:tcBorders>
              <w:top w:val="nil"/>
              <w:left w:val="nil"/>
              <w:bottom w:val="single" w:sz="8" w:space="0" w:color="auto"/>
              <w:right w:val="nil"/>
            </w:tcBorders>
            <w:shd w:val="clear" w:color="auto" w:fill="auto"/>
            <w:vAlign w:val="center"/>
            <w:hideMark/>
          </w:tcPr>
          <w:p w:rsidR="005F2563" w:rsidRPr="008B2F77" w:rsidRDefault="005F2563" w:rsidP="003D6779">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color w:val="495965"/>
                <w:sz w:val="17"/>
                <w:szCs w:val="17"/>
                <w:lang w:val="en-AU" w:eastAsia="en-AU"/>
              </w:rPr>
              <w:t> </w:t>
            </w:r>
          </w:p>
        </w:tc>
        <w:tc>
          <w:tcPr>
            <w:tcW w:w="1448" w:type="dxa"/>
            <w:tcBorders>
              <w:top w:val="nil"/>
              <w:left w:val="nil"/>
              <w:bottom w:val="single" w:sz="8" w:space="0" w:color="auto"/>
              <w:right w:val="nil"/>
            </w:tcBorders>
            <w:shd w:val="clear" w:color="auto" w:fill="auto"/>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2015-1</w:t>
            </w:r>
            <w:r>
              <w:rPr>
                <w:rFonts w:ascii="Calibri Light" w:eastAsia="Times New Roman" w:hAnsi="Calibri Light" w:cs="Times New Roman"/>
                <w:iCs/>
                <w:color w:val="495965"/>
                <w:sz w:val="17"/>
                <w:szCs w:val="17"/>
                <w:lang w:eastAsia="en-AU"/>
              </w:rPr>
              <w:t>9</w:t>
            </w:r>
            <w:r w:rsidRPr="008B2F77">
              <w:rPr>
                <w:rFonts w:ascii="Calibri Light" w:eastAsia="Times New Roman" w:hAnsi="Calibri Light" w:cs="Times New Roman"/>
                <w:iCs/>
                <w:color w:val="495965"/>
                <w:sz w:val="17"/>
                <w:szCs w:val="17"/>
                <w:lang w:eastAsia="en-AU"/>
              </w:rPr>
              <w:t xml:space="preserve"> </w:t>
            </w:r>
          </w:p>
        </w:tc>
        <w:tc>
          <w:tcPr>
            <w:tcW w:w="1448" w:type="dxa"/>
            <w:tcBorders>
              <w:top w:val="nil"/>
              <w:left w:val="nil"/>
              <w:bottom w:val="single" w:sz="8" w:space="0" w:color="auto"/>
              <w:right w:val="nil"/>
            </w:tcBorders>
            <w:shd w:val="clear" w:color="auto" w:fill="auto"/>
            <w:vAlign w:val="center"/>
            <w:hideMark/>
          </w:tcPr>
          <w:p w:rsidR="005F2563" w:rsidRPr="008B2F77" w:rsidRDefault="005F2563" w:rsidP="003D6779">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w:t>
            </w:r>
            <w:r>
              <w:rPr>
                <w:rFonts w:ascii="Calibri Light" w:eastAsia="Times New Roman" w:hAnsi="Calibri Light" w:cs="Times New Roman"/>
                <w:iCs/>
                <w:color w:val="495965"/>
                <w:sz w:val="17"/>
                <w:szCs w:val="17"/>
                <w:lang w:eastAsia="en-AU"/>
              </w:rPr>
              <w:t>7</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4" w:space="0" w:color="FFFFFF" w:themeColor="background1"/>
              <w:left w:val="nil"/>
              <w:bottom w:val="single" w:sz="8" w:space="0" w:color="auto"/>
              <w:right w:val="nil"/>
            </w:tcBorders>
            <w:shd w:val="clear" w:color="auto" w:fill="92D050"/>
            <w:noWrap/>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5</w:t>
            </w:r>
          </w:p>
        </w:tc>
        <w:tc>
          <w:tcPr>
            <w:tcW w:w="1056" w:type="dxa"/>
            <w:tcBorders>
              <w:top w:val="single" w:sz="4" w:space="0" w:color="FFFFFF" w:themeColor="background1"/>
              <w:left w:val="nil"/>
              <w:bottom w:val="single" w:sz="8" w:space="0" w:color="auto"/>
              <w:right w:val="nil"/>
            </w:tcBorders>
            <w:shd w:val="clear" w:color="auto" w:fill="92D050"/>
            <w:noWrap/>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5</w:t>
            </w:r>
          </w:p>
        </w:tc>
        <w:tc>
          <w:tcPr>
            <w:tcW w:w="1056" w:type="dxa"/>
            <w:tcBorders>
              <w:top w:val="single" w:sz="4" w:space="0" w:color="FFFFFF" w:themeColor="background1"/>
              <w:left w:val="nil"/>
              <w:bottom w:val="single" w:sz="8" w:space="0" w:color="auto"/>
              <w:right w:val="nil"/>
            </w:tcBorders>
            <w:shd w:val="clear" w:color="auto" w:fill="92D050"/>
            <w:noWrap/>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5</w:t>
            </w:r>
          </w:p>
        </w:tc>
        <w:tc>
          <w:tcPr>
            <w:tcW w:w="1056" w:type="dxa"/>
            <w:tcBorders>
              <w:top w:val="single" w:sz="4" w:space="0" w:color="FFFFFF" w:themeColor="background1"/>
              <w:left w:val="nil"/>
              <w:bottom w:val="single" w:sz="8" w:space="0" w:color="auto"/>
              <w:right w:val="nil"/>
            </w:tcBorders>
            <w:shd w:val="clear" w:color="auto" w:fill="92D050"/>
            <w:noWrap/>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5</w:t>
            </w:r>
          </w:p>
        </w:tc>
        <w:tc>
          <w:tcPr>
            <w:tcW w:w="1056" w:type="dxa"/>
            <w:tcBorders>
              <w:top w:val="single" w:sz="4" w:space="0" w:color="FFFFFF" w:themeColor="background1"/>
              <w:left w:val="nil"/>
              <w:bottom w:val="single" w:sz="8" w:space="0" w:color="auto"/>
              <w:right w:val="nil"/>
            </w:tcBorders>
            <w:shd w:val="clear" w:color="auto" w:fill="FFFF00"/>
            <w:noWrap/>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4</w:t>
            </w:r>
          </w:p>
        </w:tc>
        <w:tc>
          <w:tcPr>
            <w:tcW w:w="1056" w:type="dxa"/>
            <w:tcBorders>
              <w:top w:val="single" w:sz="4" w:space="0" w:color="FFFFFF" w:themeColor="background1"/>
              <w:left w:val="nil"/>
              <w:bottom w:val="single" w:sz="8" w:space="0" w:color="auto"/>
              <w:right w:val="nil"/>
            </w:tcBorders>
            <w:shd w:val="clear" w:color="auto" w:fill="92D050"/>
            <w:noWrap/>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5</w:t>
            </w:r>
          </w:p>
        </w:tc>
        <w:tc>
          <w:tcPr>
            <w:tcW w:w="1056" w:type="dxa"/>
            <w:tcBorders>
              <w:top w:val="single" w:sz="4" w:space="0" w:color="FFFFFF" w:themeColor="background1"/>
              <w:left w:val="nil"/>
              <w:bottom w:val="single" w:sz="8" w:space="0" w:color="auto"/>
              <w:right w:val="nil"/>
            </w:tcBorders>
            <w:shd w:val="clear" w:color="000000" w:fill="FFFF00"/>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iCs/>
                <w:color w:val="495965"/>
                <w:sz w:val="17"/>
                <w:szCs w:val="17"/>
                <w:lang w:eastAsia="en-AU"/>
              </w:rPr>
              <w:t>n/a</w:t>
            </w:r>
          </w:p>
        </w:tc>
      </w:tr>
      <w:tr w:rsidR="005F2563" w:rsidRPr="008B2F77" w:rsidTr="003D6779">
        <w:trPr>
          <w:trHeight w:val="451"/>
        </w:trPr>
        <w:tc>
          <w:tcPr>
            <w:tcW w:w="4103" w:type="dxa"/>
            <w:tcBorders>
              <w:top w:val="nil"/>
              <w:left w:val="nil"/>
              <w:bottom w:val="nil"/>
              <w:right w:val="nil"/>
            </w:tcBorders>
            <w:shd w:val="clear" w:color="auto" w:fill="auto"/>
            <w:vAlign w:val="center"/>
            <w:hideMark/>
          </w:tcPr>
          <w:p w:rsidR="005F2563" w:rsidRPr="008B2F77" w:rsidRDefault="005F2563" w:rsidP="003D6779">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INL271 Agricultural Value Chain Collaborative Research</w:t>
            </w:r>
          </w:p>
        </w:tc>
        <w:tc>
          <w:tcPr>
            <w:tcW w:w="1448" w:type="dxa"/>
            <w:tcBorders>
              <w:top w:val="nil"/>
              <w:left w:val="nil"/>
              <w:bottom w:val="nil"/>
              <w:right w:val="nil"/>
            </w:tcBorders>
            <w:shd w:val="clear" w:color="auto" w:fill="auto"/>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000000"/>
                <w:sz w:val="17"/>
                <w:szCs w:val="17"/>
                <w:lang w:val="en-AU" w:eastAsia="en-AU"/>
              </w:rPr>
            </w:pPr>
            <w:r w:rsidRPr="008B2F77">
              <w:rPr>
                <w:rFonts w:ascii="Calibri Light" w:eastAsia="Times New Roman" w:hAnsi="Calibri Light" w:cs="Times New Roman"/>
                <w:color w:val="000000"/>
                <w:sz w:val="17"/>
                <w:szCs w:val="17"/>
                <w:lang w:eastAsia="en-AU"/>
              </w:rPr>
              <w:t xml:space="preserve">$9.4m </w:t>
            </w:r>
          </w:p>
        </w:tc>
        <w:tc>
          <w:tcPr>
            <w:tcW w:w="1448" w:type="dxa"/>
            <w:tcBorders>
              <w:top w:val="nil"/>
              <w:left w:val="nil"/>
              <w:bottom w:val="nil"/>
              <w:right w:val="nil"/>
            </w:tcBorders>
            <w:shd w:val="clear" w:color="auto" w:fill="auto"/>
            <w:vAlign w:val="center"/>
            <w:hideMark/>
          </w:tcPr>
          <w:p w:rsidR="005F2563" w:rsidRPr="008B2F77" w:rsidRDefault="005F2563" w:rsidP="003D6779">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w:t>
            </w:r>
            <w:r>
              <w:rPr>
                <w:rFonts w:ascii="Calibri Light" w:eastAsia="Times New Roman" w:hAnsi="Calibri Light" w:cs="Times New Roman"/>
                <w:iCs/>
                <w:color w:val="495965"/>
                <w:sz w:val="17"/>
                <w:szCs w:val="17"/>
                <w:lang w:eastAsia="en-AU"/>
              </w:rPr>
              <w:t>8</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8" w:space="0" w:color="auto"/>
              <w:left w:val="nil"/>
              <w:bottom w:val="single" w:sz="4" w:space="0" w:color="FFFFFF" w:themeColor="background1"/>
              <w:right w:val="nil"/>
            </w:tcBorders>
            <w:shd w:val="clear" w:color="auto" w:fill="FFFF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4</w:t>
            </w:r>
          </w:p>
        </w:tc>
        <w:tc>
          <w:tcPr>
            <w:tcW w:w="1056" w:type="dxa"/>
            <w:tcBorders>
              <w:top w:val="single" w:sz="8" w:space="0" w:color="auto"/>
              <w:left w:val="nil"/>
              <w:bottom w:val="single" w:sz="4" w:space="0" w:color="FFFFFF" w:themeColor="background1"/>
              <w:right w:val="nil"/>
            </w:tcBorders>
            <w:shd w:val="clear" w:color="000000" w:fill="FFC0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3</w:t>
            </w:r>
          </w:p>
        </w:tc>
        <w:tc>
          <w:tcPr>
            <w:tcW w:w="1056" w:type="dxa"/>
            <w:tcBorders>
              <w:top w:val="single" w:sz="8" w:space="0" w:color="auto"/>
              <w:left w:val="nil"/>
              <w:bottom w:val="single" w:sz="4" w:space="0" w:color="FFFFFF" w:themeColor="background1"/>
              <w:right w:val="nil"/>
            </w:tcBorders>
            <w:shd w:val="clear" w:color="000000" w:fill="FFC0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3</w:t>
            </w:r>
          </w:p>
        </w:tc>
        <w:tc>
          <w:tcPr>
            <w:tcW w:w="1056" w:type="dxa"/>
            <w:tcBorders>
              <w:top w:val="single" w:sz="8" w:space="0" w:color="auto"/>
              <w:left w:val="nil"/>
              <w:bottom w:val="single" w:sz="4" w:space="0" w:color="FFFFFF" w:themeColor="background1"/>
              <w:right w:val="nil"/>
            </w:tcBorders>
            <w:shd w:val="clear" w:color="000000" w:fill="FFC0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3</w:t>
            </w:r>
          </w:p>
        </w:tc>
        <w:tc>
          <w:tcPr>
            <w:tcW w:w="1056" w:type="dxa"/>
            <w:tcBorders>
              <w:top w:val="single" w:sz="8" w:space="0" w:color="auto"/>
              <w:left w:val="nil"/>
              <w:bottom w:val="single" w:sz="4" w:space="0" w:color="FFFFFF" w:themeColor="background1"/>
              <w:right w:val="nil"/>
            </w:tcBorders>
            <w:shd w:val="clear" w:color="000000" w:fill="FFC0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3</w:t>
            </w:r>
          </w:p>
        </w:tc>
        <w:tc>
          <w:tcPr>
            <w:tcW w:w="1056" w:type="dxa"/>
            <w:tcBorders>
              <w:top w:val="single" w:sz="8" w:space="0" w:color="auto"/>
              <w:left w:val="nil"/>
              <w:bottom w:val="single" w:sz="4" w:space="0" w:color="FFFFFF" w:themeColor="background1"/>
              <w:right w:val="nil"/>
            </w:tcBorders>
            <w:shd w:val="clear" w:color="000000" w:fill="FFC0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3</w:t>
            </w:r>
          </w:p>
        </w:tc>
        <w:tc>
          <w:tcPr>
            <w:tcW w:w="1056" w:type="dxa"/>
            <w:tcBorders>
              <w:top w:val="single" w:sz="8" w:space="0" w:color="auto"/>
              <w:left w:val="nil"/>
              <w:bottom w:val="single" w:sz="4" w:space="0" w:color="FFFFFF" w:themeColor="background1"/>
              <w:right w:val="nil"/>
            </w:tcBorders>
            <w:shd w:val="clear" w:color="000000" w:fill="FFFF00"/>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iCs/>
                <w:color w:val="495965"/>
                <w:sz w:val="17"/>
                <w:szCs w:val="17"/>
                <w:lang w:eastAsia="en-AU"/>
              </w:rPr>
              <w:t>n/a</w:t>
            </w:r>
          </w:p>
        </w:tc>
      </w:tr>
      <w:tr w:rsidR="005F2563" w:rsidRPr="008B2F77" w:rsidTr="003D6779">
        <w:trPr>
          <w:trHeight w:val="315"/>
        </w:trPr>
        <w:tc>
          <w:tcPr>
            <w:tcW w:w="4103" w:type="dxa"/>
            <w:tcBorders>
              <w:top w:val="nil"/>
              <w:left w:val="nil"/>
              <w:bottom w:val="single" w:sz="8" w:space="0" w:color="auto"/>
              <w:right w:val="nil"/>
            </w:tcBorders>
            <w:shd w:val="clear" w:color="auto" w:fill="auto"/>
            <w:vAlign w:val="center"/>
            <w:hideMark/>
          </w:tcPr>
          <w:p w:rsidR="005F2563" w:rsidRPr="008B2F77" w:rsidRDefault="005F2563" w:rsidP="003D6779">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color w:val="495965"/>
                <w:sz w:val="17"/>
                <w:szCs w:val="17"/>
                <w:lang w:val="en-AU" w:eastAsia="en-AU"/>
              </w:rPr>
              <w:t> </w:t>
            </w:r>
          </w:p>
        </w:tc>
        <w:tc>
          <w:tcPr>
            <w:tcW w:w="1448" w:type="dxa"/>
            <w:tcBorders>
              <w:top w:val="nil"/>
              <w:left w:val="nil"/>
              <w:bottom w:val="single" w:sz="8" w:space="0" w:color="auto"/>
              <w:right w:val="nil"/>
            </w:tcBorders>
            <w:shd w:val="clear" w:color="auto" w:fill="auto"/>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 xml:space="preserve">2016-20 </w:t>
            </w:r>
          </w:p>
        </w:tc>
        <w:tc>
          <w:tcPr>
            <w:tcW w:w="1448" w:type="dxa"/>
            <w:tcBorders>
              <w:top w:val="nil"/>
              <w:left w:val="nil"/>
              <w:bottom w:val="single" w:sz="8" w:space="0" w:color="auto"/>
              <w:right w:val="nil"/>
            </w:tcBorders>
            <w:shd w:val="clear" w:color="auto" w:fill="auto"/>
            <w:vAlign w:val="center"/>
            <w:hideMark/>
          </w:tcPr>
          <w:p w:rsidR="005F2563" w:rsidRPr="008B2F77" w:rsidRDefault="005F2563" w:rsidP="003D6779">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w:t>
            </w:r>
            <w:r>
              <w:rPr>
                <w:rFonts w:ascii="Calibri Light" w:eastAsia="Times New Roman" w:hAnsi="Calibri Light" w:cs="Times New Roman"/>
                <w:iCs/>
                <w:color w:val="495965"/>
                <w:sz w:val="17"/>
                <w:szCs w:val="17"/>
                <w:lang w:eastAsia="en-AU"/>
              </w:rPr>
              <w:t>7</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4" w:space="0" w:color="FFFFFF" w:themeColor="background1"/>
              <w:left w:val="nil"/>
              <w:bottom w:val="single" w:sz="8" w:space="0" w:color="auto"/>
              <w:right w:val="nil"/>
            </w:tcBorders>
            <w:shd w:val="clear" w:color="auto" w:fill="92D050"/>
            <w:noWrap/>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5</w:t>
            </w:r>
          </w:p>
        </w:tc>
        <w:tc>
          <w:tcPr>
            <w:tcW w:w="1056" w:type="dxa"/>
            <w:tcBorders>
              <w:top w:val="single" w:sz="4" w:space="0" w:color="FFFFFF" w:themeColor="background1"/>
              <w:left w:val="nil"/>
              <w:bottom w:val="single" w:sz="8" w:space="0" w:color="auto"/>
              <w:right w:val="nil"/>
            </w:tcBorders>
            <w:shd w:val="clear" w:color="auto" w:fill="FFC000"/>
            <w:noWrap/>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3</w:t>
            </w:r>
          </w:p>
        </w:tc>
        <w:tc>
          <w:tcPr>
            <w:tcW w:w="1056" w:type="dxa"/>
            <w:tcBorders>
              <w:top w:val="single" w:sz="4" w:space="0" w:color="FFFFFF" w:themeColor="background1"/>
              <w:left w:val="nil"/>
              <w:bottom w:val="single" w:sz="8" w:space="0" w:color="auto"/>
              <w:right w:val="nil"/>
            </w:tcBorders>
            <w:shd w:val="clear" w:color="auto" w:fill="FFC000"/>
            <w:noWrap/>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3</w:t>
            </w:r>
          </w:p>
        </w:tc>
        <w:tc>
          <w:tcPr>
            <w:tcW w:w="1056" w:type="dxa"/>
            <w:tcBorders>
              <w:top w:val="single" w:sz="4" w:space="0" w:color="FFFFFF" w:themeColor="background1"/>
              <w:left w:val="nil"/>
              <w:bottom w:val="single" w:sz="8" w:space="0" w:color="auto"/>
              <w:right w:val="nil"/>
            </w:tcBorders>
            <w:shd w:val="clear" w:color="auto" w:fill="FFC000"/>
            <w:noWrap/>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3</w:t>
            </w:r>
          </w:p>
        </w:tc>
        <w:tc>
          <w:tcPr>
            <w:tcW w:w="1056" w:type="dxa"/>
            <w:tcBorders>
              <w:top w:val="single" w:sz="4" w:space="0" w:color="FFFFFF" w:themeColor="background1"/>
              <w:left w:val="nil"/>
              <w:bottom w:val="single" w:sz="8" w:space="0" w:color="auto"/>
              <w:right w:val="nil"/>
            </w:tcBorders>
            <w:shd w:val="clear" w:color="auto" w:fill="FFC000"/>
            <w:noWrap/>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3</w:t>
            </w:r>
          </w:p>
        </w:tc>
        <w:tc>
          <w:tcPr>
            <w:tcW w:w="1056" w:type="dxa"/>
            <w:tcBorders>
              <w:top w:val="single" w:sz="4" w:space="0" w:color="FFFFFF" w:themeColor="background1"/>
              <w:left w:val="nil"/>
              <w:bottom w:val="single" w:sz="8" w:space="0" w:color="auto"/>
              <w:right w:val="nil"/>
            </w:tcBorders>
            <w:shd w:val="clear" w:color="auto" w:fill="FFC000"/>
            <w:noWrap/>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3</w:t>
            </w:r>
          </w:p>
        </w:tc>
        <w:tc>
          <w:tcPr>
            <w:tcW w:w="1056" w:type="dxa"/>
            <w:tcBorders>
              <w:top w:val="single" w:sz="4" w:space="0" w:color="FFFFFF" w:themeColor="background1"/>
              <w:left w:val="nil"/>
              <w:bottom w:val="single" w:sz="8" w:space="0" w:color="auto"/>
              <w:right w:val="nil"/>
            </w:tcBorders>
            <w:shd w:val="clear" w:color="000000" w:fill="FFFF00"/>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iCs/>
                <w:color w:val="495965"/>
                <w:sz w:val="17"/>
                <w:szCs w:val="17"/>
                <w:lang w:eastAsia="en-AU"/>
              </w:rPr>
              <w:t>n/a</w:t>
            </w:r>
          </w:p>
        </w:tc>
      </w:tr>
      <w:tr w:rsidR="00726EB9" w:rsidRPr="008B2F77" w:rsidTr="00EF5BE5">
        <w:trPr>
          <w:trHeight w:val="451"/>
        </w:trPr>
        <w:tc>
          <w:tcPr>
            <w:tcW w:w="4103" w:type="dxa"/>
            <w:tcBorders>
              <w:top w:val="nil"/>
              <w:left w:val="nil"/>
              <w:bottom w:val="nil"/>
              <w:right w:val="nil"/>
            </w:tcBorders>
            <w:shd w:val="clear" w:color="auto" w:fill="auto"/>
            <w:vAlign w:val="center"/>
            <w:hideMark/>
          </w:tcPr>
          <w:p w:rsidR="00726EB9" w:rsidRPr="008B2F77" w:rsidRDefault="00726EB9" w:rsidP="00F6471F">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INK420 Khyber Pakhtunkhwa Education Sector Program</w:t>
            </w:r>
          </w:p>
        </w:tc>
        <w:tc>
          <w:tcPr>
            <w:tcW w:w="1448" w:type="dxa"/>
            <w:tcBorders>
              <w:top w:val="nil"/>
              <w:left w:val="nil"/>
              <w:bottom w:val="nil"/>
              <w:right w:val="nil"/>
            </w:tcBorders>
            <w:shd w:val="clear" w:color="auto" w:fill="auto"/>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000000"/>
                <w:sz w:val="17"/>
                <w:szCs w:val="17"/>
                <w:lang w:val="en-AU" w:eastAsia="en-AU"/>
              </w:rPr>
            </w:pPr>
            <w:r w:rsidRPr="008B2F77">
              <w:rPr>
                <w:rFonts w:ascii="Calibri Light" w:eastAsia="Times New Roman" w:hAnsi="Calibri Light" w:cs="Times New Roman"/>
                <w:color w:val="000000"/>
                <w:sz w:val="17"/>
                <w:szCs w:val="17"/>
                <w:lang w:eastAsia="en-AU"/>
              </w:rPr>
              <w:t xml:space="preserve">$63.8m </w:t>
            </w:r>
          </w:p>
        </w:tc>
        <w:tc>
          <w:tcPr>
            <w:tcW w:w="1448" w:type="dxa"/>
            <w:tcBorders>
              <w:top w:val="nil"/>
              <w:left w:val="nil"/>
              <w:bottom w:val="nil"/>
              <w:right w:val="nil"/>
            </w:tcBorders>
            <w:shd w:val="clear" w:color="auto" w:fill="auto"/>
            <w:vAlign w:val="center"/>
            <w:hideMark/>
          </w:tcPr>
          <w:p w:rsidR="00726EB9" w:rsidRPr="008B2F77" w:rsidRDefault="00726EB9" w:rsidP="00F6471F">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w:t>
            </w:r>
            <w:r>
              <w:rPr>
                <w:rFonts w:ascii="Calibri Light" w:eastAsia="Times New Roman" w:hAnsi="Calibri Light" w:cs="Times New Roman"/>
                <w:iCs/>
                <w:color w:val="495965"/>
                <w:sz w:val="17"/>
                <w:szCs w:val="17"/>
                <w:lang w:eastAsia="en-AU"/>
              </w:rPr>
              <w:t>8</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8" w:space="0" w:color="auto"/>
              <w:left w:val="nil"/>
              <w:bottom w:val="single" w:sz="4" w:space="0" w:color="FFFFFF" w:themeColor="background1"/>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4</w:t>
            </w:r>
          </w:p>
        </w:tc>
        <w:tc>
          <w:tcPr>
            <w:tcW w:w="1056" w:type="dxa"/>
            <w:tcBorders>
              <w:top w:val="single" w:sz="8" w:space="0" w:color="auto"/>
              <w:left w:val="nil"/>
              <w:bottom w:val="single" w:sz="4" w:space="0" w:color="FFFFFF" w:themeColor="background1"/>
              <w:right w:val="nil"/>
            </w:tcBorders>
            <w:shd w:val="clear" w:color="auto"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5</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8" w:space="0" w:color="auto"/>
              <w:left w:val="nil"/>
              <w:bottom w:val="single" w:sz="4" w:space="0" w:color="FFFFFF" w:themeColor="background1"/>
              <w:right w:val="nil"/>
            </w:tcBorders>
            <w:shd w:val="clear" w:color="auto"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5</w:t>
            </w:r>
          </w:p>
        </w:tc>
        <w:tc>
          <w:tcPr>
            <w:tcW w:w="1056" w:type="dxa"/>
            <w:tcBorders>
              <w:top w:val="single" w:sz="8" w:space="0" w:color="auto"/>
              <w:left w:val="nil"/>
              <w:bottom w:val="single" w:sz="4" w:space="0" w:color="FFFFFF" w:themeColor="background1"/>
              <w:right w:val="nil"/>
            </w:tcBorders>
            <w:shd w:val="clear" w:color="000000" w:fill="FFFF00"/>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iCs/>
                <w:color w:val="495965"/>
                <w:sz w:val="17"/>
                <w:szCs w:val="17"/>
                <w:lang w:eastAsia="en-AU"/>
              </w:rPr>
              <w:t>n/a</w:t>
            </w:r>
          </w:p>
        </w:tc>
      </w:tr>
      <w:tr w:rsidR="00726EB9" w:rsidRPr="008B2F77" w:rsidTr="00EF5BE5">
        <w:trPr>
          <w:trHeight w:val="315"/>
        </w:trPr>
        <w:tc>
          <w:tcPr>
            <w:tcW w:w="4103" w:type="dxa"/>
            <w:tcBorders>
              <w:top w:val="nil"/>
              <w:left w:val="nil"/>
              <w:bottom w:val="single" w:sz="8" w:space="0" w:color="auto"/>
              <w:right w:val="nil"/>
            </w:tcBorders>
            <w:shd w:val="clear" w:color="auto" w:fill="auto"/>
            <w:vAlign w:val="center"/>
            <w:hideMark/>
          </w:tcPr>
          <w:p w:rsidR="00726EB9" w:rsidRPr="008B2F77" w:rsidRDefault="00726EB9" w:rsidP="00F6471F">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color w:val="495965"/>
                <w:sz w:val="17"/>
                <w:szCs w:val="17"/>
                <w:lang w:val="en-AU" w:eastAsia="en-AU"/>
              </w:rPr>
              <w:t> </w:t>
            </w:r>
          </w:p>
        </w:tc>
        <w:tc>
          <w:tcPr>
            <w:tcW w:w="1448" w:type="dxa"/>
            <w:tcBorders>
              <w:top w:val="nil"/>
              <w:left w:val="nil"/>
              <w:bottom w:val="single" w:sz="8" w:space="0" w:color="auto"/>
              <w:right w:val="nil"/>
            </w:tcBorders>
            <w:shd w:val="clear" w:color="auto" w:fill="auto"/>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 xml:space="preserve">2012-20 </w:t>
            </w:r>
          </w:p>
        </w:tc>
        <w:tc>
          <w:tcPr>
            <w:tcW w:w="1448" w:type="dxa"/>
            <w:tcBorders>
              <w:top w:val="nil"/>
              <w:left w:val="nil"/>
              <w:bottom w:val="single" w:sz="8" w:space="0" w:color="auto"/>
              <w:right w:val="nil"/>
            </w:tcBorders>
            <w:shd w:val="clear" w:color="auto" w:fill="auto"/>
            <w:vAlign w:val="center"/>
            <w:hideMark/>
          </w:tcPr>
          <w:p w:rsidR="00726EB9" w:rsidRPr="008B2F77" w:rsidRDefault="00726EB9" w:rsidP="00F6471F">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iCs/>
                <w:color w:val="495965"/>
                <w:sz w:val="17"/>
                <w:szCs w:val="17"/>
                <w:lang w:eastAsia="en-AU"/>
              </w:rPr>
              <w:t>2017</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4" w:space="0" w:color="FFFFFF" w:themeColor="background1"/>
              <w:left w:val="nil"/>
              <w:bottom w:val="single" w:sz="8" w:space="0" w:color="auto"/>
              <w:right w:val="nil"/>
            </w:tcBorders>
            <w:shd w:val="clear" w:color="000000"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4" w:space="0" w:color="FFFFFF" w:themeColor="background1"/>
              <w:left w:val="nil"/>
              <w:bottom w:val="single" w:sz="8" w:space="0" w:color="auto"/>
              <w:right w:val="nil"/>
            </w:tcBorders>
            <w:shd w:val="clear" w:color="000000"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4" w:space="0" w:color="FFFFFF" w:themeColor="background1"/>
              <w:left w:val="nil"/>
              <w:bottom w:val="single" w:sz="8" w:space="0" w:color="auto"/>
              <w:right w:val="nil"/>
            </w:tcBorders>
            <w:shd w:val="clear" w:color="000000"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4</w:t>
            </w:r>
          </w:p>
        </w:tc>
        <w:tc>
          <w:tcPr>
            <w:tcW w:w="1056" w:type="dxa"/>
            <w:tcBorders>
              <w:top w:val="single" w:sz="4" w:space="0" w:color="FFFFFF" w:themeColor="background1"/>
              <w:left w:val="nil"/>
              <w:bottom w:val="single" w:sz="8" w:space="0" w:color="auto"/>
              <w:right w:val="nil"/>
            </w:tcBorders>
            <w:shd w:val="clear" w:color="000000"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4" w:space="0" w:color="FFFFFF" w:themeColor="background1"/>
              <w:left w:val="nil"/>
              <w:bottom w:val="single" w:sz="8" w:space="0" w:color="auto"/>
              <w:right w:val="nil"/>
            </w:tcBorders>
            <w:shd w:val="clear" w:color="auto"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5</w:t>
            </w:r>
          </w:p>
        </w:tc>
        <w:tc>
          <w:tcPr>
            <w:tcW w:w="1056" w:type="dxa"/>
            <w:tcBorders>
              <w:top w:val="single" w:sz="4" w:space="0" w:color="FFFFFF" w:themeColor="background1"/>
              <w:left w:val="nil"/>
              <w:bottom w:val="single" w:sz="8" w:space="0" w:color="auto"/>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4</w:t>
            </w:r>
          </w:p>
        </w:tc>
        <w:tc>
          <w:tcPr>
            <w:tcW w:w="1056" w:type="dxa"/>
            <w:tcBorders>
              <w:top w:val="single" w:sz="4" w:space="0" w:color="FFFFFF" w:themeColor="background1"/>
              <w:left w:val="nil"/>
              <w:bottom w:val="single" w:sz="8" w:space="0" w:color="auto"/>
              <w:right w:val="nil"/>
            </w:tcBorders>
            <w:shd w:val="clear" w:color="000000" w:fill="FFFF00"/>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r>
      <w:tr w:rsidR="005F2563" w:rsidRPr="008B2F77" w:rsidTr="003D6779">
        <w:trPr>
          <w:trHeight w:val="451"/>
        </w:trPr>
        <w:tc>
          <w:tcPr>
            <w:tcW w:w="4103" w:type="dxa"/>
            <w:tcBorders>
              <w:top w:val="nil"/>
              <w:left w:val="nil"/>
              <w:bottom w:val="nil"/>
              <w:right w:val="nil"/>
            </w:tcBorders>
            <w:shd w:val="clear" w:color="auto" w:fill="auto"/>
            <w:vAlign w:val="center"/>
            <w:hideMark/>
          </w:tcPr>
          <w:p w:rsidR="005F2563" w:rsidRPr="008B2F77" w:rsidRDefault="005F2563" w:rsidP="003D6779">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INL236 Pakistan Ending Violence Against Women Program</w:t>
            </w:r>
          </w:p>
        </w:tc>
        <w:tc>
          <w:tcPr>
            <w:tcW w:w="1448" w:type="dxa"/>
            <w:tcBorders>
              <w:top w:val="nil"/>
              <w:left w:val="nil"/>
              <w:bottom w:val="nil"/>
              <w:right w:val="nil"/>
            </w:tcBorders>
            <w:shd w:val="clear" w:color="auto" w:fill="auto"/>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000000"/>
                <w:sz w:val="17"/>
                <w:szCs w:val="17"/>
                <w:lang w:val="en-AU" w:eastAsia="en-AU"/>
              </w:rPr>
            </w:pPr>
            <w:r w:rsidRPr="008B2F77">
              <w:rPr>
                <w:rFonts w:ascii="Calibri Light" w:eastAsia="Times New Roman" w:hAnsi="Calibri Light" w:cs="Times New Roman"/>
                <w:color w:val="000000"/>
                <w:sz w:val="17"/>
                <w:szCs w:val="17"/>
                <w:lang w:eastAsia="en-AU"/>
              </w:rPr>
              <w:t xml:space="preserve">$8.6m </w:t>
            </w:r>
          </w:p>
        </w:tc>
        <w:tc>
          <w:tcPr>
            <w:tcW w:w="1448" w:type="dxa"/>
            <w:tcBorders>
              <w:top w:val="nil"/>
              <w:left w:val="nil"/>
              <w:bottom w:val="nil"/>
              <w:right w:val="nil"/>
            </w:tcBorders>
            <w:shd w:val="clear" w:color="auto" w:fill="auto"/>
            <w:vAlign w:val="center"/>
            <w:hideMark/>
          </w:tcPr>
          <w:p w:rsidR="005F2563" w:rsidRPr="008B2F77" w:rsidRDefault="005F2563" w:rsidP="003D6779">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iCs/>
                <w:color w:val="495965"/>
                <w:sz w:val="17"/>
                <w:szCs w:val="17"/>
                <w:lang w:eastAsia="en-AU"/>
              </w:rPr>
              <w:t>2018</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6</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8" w:space="0" w:color="auto"/>
              <w:left w:val="nil"/>
              <w:bottom w:val="single" w:sz="4" w:space="0" w:color="FFFFFF" w:themeColor="background1"/>
              <w:right w:val="nil"/>
            </w:tcBorders>
            <w:shd w:val="clear" w:color="auto" w:fill="FFFF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4</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6</w:t>
            </w:r>
          </w:p>
        </w:tc>
        <w:tc>
          <w:tcPr>
            <w:tcW w:w="1056" w:type="dxa"/>
            <w:tcBorders>
              <w:top w:val="single" w:sz="8" w:space="0" w:color="auto"/>
              <w:left w:val="nil"/>
              <w:bottom w:val="single" w:sz="4" w:space="0" w:color="FFFFFF" w:themeColor="background1"/>
              <w:right w:val="nil"/>
            </w:tcBorders>
            <w:shd w:val="clear" w:color="000000" w:fill="FFFF00"/>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iCs/>
                <w:color w:val="495965"/>
                <w:sz w:val="17"/>
                <w:szCs w:val="17"/>
                <w:lang w:eastAsia="en-AU"/>
              </w:rPr>
              <w:t>n/a</w:t>
            </w:r>
          </w:p>
        </w:tc>
      </w:tr>
      <w:tr w:rsidR="005F2563" w:rsidRPr="008B2F77" w:rsidTr="003D6779">
        <w:trPr>
          <w:trHeight w:val="315"/>
        </w:trPr>
        <w:tc>
          <w:tcPr>
            <w:tcW w:w="4103" w:type="dxa"/>
            <w:tcBorders>
              <w:top w:val="nil"/>
              <w:left w:val="nil"/>
              <w:bottom w:val="single" w:sz="12" w:space="0" w:color="000000"/>
              <w:right w:val="nil"/>
            </w:tcBorders>
            <w:shd w:val="clear" w:color="auto" w:fill="auto"/>
            <w:vAlign w:val="center"/>
            <w:hideMark/>
          </w:tcPr>
          <w:p w:rsidR="005F2563" w:rsidRPr="008B2F77" w:rsidRDefault="005F2563" w:rsidP="003D6779">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color w:val="495965"/>
                <w:sz w:val="17"/>
                <w:szCs w:val="17"/>
                <w:lang w:val="en-AU" w:eastAsia="en-AU"/>
              </w:rPr>
              <w:t> </w:t>
            </w:r>
          </w:p>
        </w:tc>
        <w:tc>
          <w:tcPr>
            <w:tcW w:w="1448" w:type="dxa"/>
            <w:tcBorders>
              <w:top w:val="nil"/>
              <w:left w:val="nil"/>
              <w:bottom w:val="single" w:sz="12" w:space="0" w:color="000000"/>
              <w:right w:val="nil"/>
            </w:tcBorders>
            <w:shd w:val="clear" w:color="auto" w:fill="auto"/>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 xml:space="preserve">2014-18 </w:t>
            </w:r>
          </w:p>
        </w:tc>
        <w:tc>
          <w:tcPr>
            <w:tcW w:w="1448" w:type="dxa"/>
            <w:tcBorders>
              <w:top w:val="nil"/>
              <w:left w:val="nil"/>
              <w:bottom w:val="single" w:sz="12" w:space="0" w:color="000000"/>
              <w:right w:val="nil"/>
            </w:tcBorders>
            <w:shd w:val="clear" w:color="auto" w:fill="auto"/>
            <w:vAlign w:val="center"/>
            <w:hideMark/>
          </w:tcPr>
          <w:p w:rsidR="005F2563" w:rsidRPr="008B2F77" w:rsidRDefault="005F2563" w:rsidP="003D6779">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iCs/>
                <w:color w:val="495965"/>
                <w:sz w:val="17"/>
                <w:szCs w:val="17"/>
                <w:lang w:eastAsia="en-AU"/>
              </w:rPr>
              <w:t>2017</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4" w:space="0" w:color="FFFFFF" w:themeColor="background1"/>
              <w:left w:val="nil"/>
              <w:bottom w:val="single" w:sz="12" w:space="0" w:color="000000"/>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6</w:t>
            </w:r>
          </w:p>
        </w:tc>
        <w:tc>
          <w:tcPr>
            <w:tcW w:w="1056" w:type="dxa"/>
            <w:tcBorders>
              <w:top w:val="single" w:sz="4" w:space="0" w:color="FFFFFF" w:themeColor="background1"/>
              <w:left w:val="nil"/>
              <w:bottom w:val="single" w:sz="12" w:space="0" w:color="000000"/>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4" w:space="0" w:color="FFFFFF" w:themeColor="background1"/>
              <w:left w:val="nil"/>
              <w:bottom w:val="single" w:sz="12" w:space="0" w:color="000000"/>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4" w:space="0" w:color="FFFFFF" w:themeColor="background1"/>
              <w:left w:val="nil"/>
              <w:bottom w:val="single" w:sz="12" w:space="0" w:color="000000"/>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4" w:space="0" w:color="FFFFFF" w:themeColor="background1"/>
              <w:left w:val="nil"/>
              <w:bottom w:val="single" w:sz="12" w:space="0" w:color="000000"/>
              <w:right w:val="nil"/>
            </w:tcBorders>
            <w:shd w:val="clear" w:color="auto"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5</w:t>
            </w:r>
          </w:p>
        </w:tc>
        <w:tc>
          <w:tcPr>
            <w:tcW w:w="1056" w:type="dxa"/>
            <w:tcBorders>
              <w:top w:val="single" w:sz="4" w:space="0" w:color="FFFFFF" w:themeColor="background1"/>
              <w:left w:val="nil"/>
              <w:bottom w:val="single" w:sz="12" w:space="0" w:color="000000"/>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6</w:t>
            </w:r>
          </w:p>
        </w:tc>
        <w:tc>
          <w:tcPr>
            <w:tcW w:w="1056" w:type="dxa"/>
            <w:tcBorders>
              <w:top w:val="single" w:sz="4" w:space="0" w:color="FFFFFF" w:themeColor="background1"/>
              <w:left w:val="nil"/>
              <w:bottom w:val="single" w:sz="12" w:space="0" w:color="000000"/>
              <w:right w:val="nil"/>
            </w:tcBorders>
            <w:shd w:val="clear" w:color="auto" w:fill="FFFF00"/>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r>
      <w:tr w:rsidR="005F2563" w:rsidRPr="008B2F77" w:rsidTr="003D6779">
        <w:trPr>
          <w:trHeight w:val="451"/>
        </w:trPr>
        <w:tc>
          <w:tcPr>
            <w:tcW w:w="4103" w:type="dxa"/>
            <w:tcBorders>
              <w:top w:val="nil"/>
              <w:left w:val="nil"/>
              <w:bottom w:val="nil"/>
              <w:right w:val="nil"/>
            </w:tcBorders>
            <w:shd w:val="clear" w:color="auto" w:fill="auto"/>
            <w:vAlign w:val="center"/>
            <w:hideMark/>
          </w:tcPr>
          <w:p w:rsidR="005F2563" w:rsidRPr="008B2F77" w:rsidRDefault="005F2563" w:rsidP="003D6779">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INL074 World Bank MDTF Partnership for Nutrition</w:t>
            </w:r>
          </w:p>
        </w:tc>
        <w:tc>
          <w:tcPr>
            <w:tcW w:w="1448" w:type="dxa"/>
            <w:tcBorders>
              <w:top w:val="nil"/>
              <w:left w:val="nil"/>
              <w:bottom w:val="nil"/>
              <w:right w:val="nil"/>
            </w:tcBorders>
            <w:shd w:val="clear" w:color="auto" w:fill="auto"/>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000000"/>
                <w:sz w:val="17"/>
                <w:szCs w:val="17"/>
                <w:lang w:val="en-AU" w:eastAsia="en-AU"/>
              </w:rPr>
            </w:pPr>
            <w:r w:rsidRPr="008B2F77">
              <w:rPr>
                <w:rFonts w:ascii="Calibri Light" w:eastAsia="Times New Roman" w:hAnsi="Calibri Light" w:cs="Times New Roman"/>
                <w:color w:val="000000"/>
                <w:sz w:val="17"/>
                <w:szCs w:val="17"/>
                <w:lang w:eastAsia="en-AU"/>
              </w:rPr>
              <w:t xml:space="preserve">$41m </w:t>
            </w:r>
          </w:p>
        </w:tc>
        <w:tc>
          <w:tcPr>
            <w:tcW w:w="1448" w:type="dxa"/>
            <w:tcBorders>
              <w:top w:val="nil"/>
              <w:left w:val="nil"/>
              <w:bottom w:val="nil"/>
              <w:right w:val="nil"/>
            </w:tcBorders>
            <w:shd w:val="clear" w:color="auto" w:fill="auto"/>
            <w:vAlign w:val="center"/>
            <w:hideMark/>
          </w:tcPr>
          <w:p w:rsidR="005F2563" w:rsidRPr="008B2F77" w:rsidRDefault="005F2563" w:rsidP="003D6779">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w:t>
            </w:r>
            <w:r>
              <w:rPr>
                <w:rFonts w:ascii="Calibri Light" w:eastAsia="Times New Roman" w:hAnsi="Calibri Light" w:cs="Times New Roman"/>
                <w:iCs/>
                <w:color w:val="495965"/>
                <w:sz w:val="17"/>
                <w:szCs w:val="17"/>
                <w:lang w:eastAsia="en-AU"/>
              </w:rPr>
              <w:t>8</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8" w:space="0" w:color="auto"/>
              <w:left w:val="nil"/>
              <w:bottom w:val="single" w:sz="4" w:space="0" w:color="FFFFFF" w:themeColor="background1"/>
              <w:right w:val="nil"/>
            </w:tcBorders>
            <w:shd w:val="clear" w:color="auto" w:fill="FFC0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3</w:t>
            </w:r>
          </w:p>
        </w:tc>
        <w:tc>
          <w:tcPr>
            <w:tcW w:w="1056" w:type="dxa"/>
            <w:tcBorders>
              <w:top w:val="single" w:sz="8" w:space="0" w:color="auto"/>
              <w:left w:val="nil"/>
              <w:bottom w:val="single" w:sz="4" w:space="0" w:color="FFFFFF" w:themeColor="background1"/>
              <w:right w:val="nil"/>
            </w:tcBorders>
            <w:shd w:val="clear" w:color="auto" w:fill="FFFF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4</w:t>
            </w:r>
          </w:p>
        </w:tc>
        <w:tc>
          <w:tcPr>
            <w:tcW w:w="1056" w:type="dxa"/>
            <w:tcBorders>
              <w:top w:val="single" w:sz="8" w:space="0" w:color="auto"/>
              <w:left w:val="nil"/>
              <w:bottom w:val="single" w:sz="4" w:space="0" w:color="FFFFFF" w:themeColor="background1"/>
              <w:right w:val="nil"/>
            </w:tcBorders>
            <w:shd w:val="clear" w:color="000000" w:fill="FFFF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4</w:t>
            </w:r>
          </w:p>
        </w:tc>
        <w:tc>
          <w:tcPr>
            <w:tcW w:w="1056" w:type="dxa"/>
            <w:tcBorders>
              <w:top w:val="single" w:sz="8" w:space="0" w:color="auto"/>
              <w:left w:val="nil"/>
              <w:bottom w:val="single" w:sz="4" w:space="0" w:color="FFFFFF" w:themeColor="background1"/>
              <w:right w:val="nil"/>
            </w:tcBorders>
            <w:shd w:val="clear" w:color="000000" w:fill="FFFF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4</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8" w:space="0" w:color="auto"/>
              <w:left w:val="nil"/>
              <w:bottom w:val="single" w:sz="4" w:space="0" w:color="FFFFFF" w:themeColor="background1"/>
              <w:right w:val="nil"/>
            </w:tcBorders>
            <w:shd w:val="clear" w:color="000000" w:fill="FFFF00"/>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iCs/>
                <w:color w:val="495965"/>
                <w:sz w:val="17"/>
                <w:szCs w:val="17"/>
                <w:lang w:eastAsia="en-AU"/>
              </w:rPr>
              <w:t>n/a</w:t>
            </w:r>
          </w:p>
        </w:tc>
      </w:tr>
      <w:tr w:rsidR="005F2563" w:rsidRPr="008B2F77" w:rsidTr="003D6779">
        <w:trPr>
          <w:trHeight w:val="315"/>
        </w:trPr>
        <w:tc>
          <w:tcPr>
            <w:tcW w:w="4103" w:type="dxa"/>
            <w:tcBorders>
              <w:top w:val="nil"/>
              <w:left w:val="nil"/>
              <w:bottom w:val="single" w:sz="8" w:space="0" w:color="auto"/>
              <w:right w:val="nil"/>
            </w:tcBorders>
            <w:shd w:val="clear" w:color="auto" w:fill="auto"/>
            <w:vAlign w:val="center"/>
            <w:hideMark/>
          </w:tcPr>
          <w:p w:rsidR="005F2563" w:rsidRPr="008B2F77" w:rsidRDefault="005F2563" w:rsidP="003D6779">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color w:val="495965"/>
                <w:sz w:val="17"/>
                <w:szCs w:val="17"/>
                <w:lang w:val="en-AU" w:eastAsia="en-AU"/>
              </w:rPr>
              <w:t> </w:t>
            </w:r>
          </w:p>
        </w:tc>
        <w:tc>
          <w:tcPr>
            <w:tcW w:w="1448" w:type="dxa"/>
            <w:tcBorders>
              <w:top w:val="nil"/>
              <w:left w:val="nil"/>
              <w:bottom w:val="single" w:sz="8" w:space="0" w:color="auto"/>
              <w:right w:val="nil"/>
            </w:tcBorders>
            <w:shd w:val="clear" w:color="auto" w:fill="auto"/>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2013-</w:t>
            </w:r>
            <w:r>
              <w:rPr>
                <w:rFonts w:ascii="Calibri Light" w:eastAsia="Times New Roman" w:hAnsi="Calibri Light" w:cs="Times New Roman"/>
                <w:iCs/>
                <w:color w:val="495965"/>
                <w:sz w:val="17"/>
                <w:szCs w:val="17"/>
                <w:lang w:eastAsia="en-AU"/>
              </w:rPr>
              <w:t>20</w:t>
            </w:r>
            <w:r w:rsidRPr="008B2F77">
              <w:rPr>
                <w:rFonts w:ascii="Calibri Light" w:eastAsia="Times New Roman" w:hAnsi="Calibri Light" w:cs="Times New Roman"/>
                <w:iCs/>
                <w:color w:val="495965"/>
                <w:sz w:val="17"/>
                <w:szCs w:val="17"/>
                <w:lang w:eastAsia="en-AU"/>
              </w:rPr>
              <w:t xml:space="preserve"> </w:t>
            </w:r>
          </w:p>
        </w:tc>
        <w:tc>
          <w:tcPr>
            <w:tcW w:w="1448" w:type="dxa"/>
            <w:tcBorders>
              <w:top w:val="nil"/>
              <w:left w:val="nil"/>
              <w:bottom w:val="single" w:sz="8" w:space="0" w:color="auto"/>
              <w:right w:val="nil"/>
            </w:tcBorders>
            <w:shd w:val="clear" w:color="auto" w:fill="auto"/>
            <w:vAlign w:val="center"/>
            <w:hideMark/>
          </w:tcPr>
          <w:p w:rsidR="005F2563" w:rsidRPr="008B2F77" w:rsidRDefault="005F2563" w:rsidP="003D6779">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w:t>
            </w:r>
            <w:r>
              <w:rPr>
                <w:rFonts w:ascii="Calibri Light" w:eastAsia="Times New Roman" w:hAnsi="Calibri Light" w:cs="Times New Roman"/>
                <w:iCs/>
                <w:color w:val="495965"/>
                <w:sz w:val="17"/>
                <w:szCs w:val="17"/>
                <w:lang w:eastAsia="en-AU"/>
              </w:rPr>
              <w:t>7</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4" w:space="0" w:color="FFFFFF" w:themeColor="background1"/>
              <w:left w:val="nil"/>
              <w:bottom w:val="single" w:sz="8" w:space="0" w:color="auto"/>
              <w:right w:val="nil"/>
            </w:tcBorders>
            <w:shd w:val="clear" w:color="000000"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4" w:space="0" w:color="FFFFFF" w:themeColor="background1"/>
              <w:left w:val="nil"/>
              <w:bottom w:val="single" w:sz="8" w:space="0" w:color="auto"/>
              <w:right w:val="nil"/>
            </w:tcBorders>
            <w:shd w:val="clear" w:color="000000" w:fill="FFFF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4</w:t>
            </w:r>
          </w:p>
        </w:tc>
        <w:tc>
          <w:tcPr>
            <w:tcW w:w="1056" w:type="dxa"/>
            <w:tcBorders>
              <w:top w:val="single" w:sz="4" w:space="0" w:color="FFFFFF" w:themeColor="background1"/>
              <w:left w:val="nil"/>
              <w:bottom w:val="single" w:sz="8" w:space="0" w:color="auto"/>
              <w:right w:val="nil"/>
            </w:tcBorders>
            <w:shd w:val="clear" w:color="000000" w:fill="FFC0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3</w:t>
            </w:r>
          </w:p>
        </w:tc>
        <w:tc>
          <w:tcPr>
            <w:tcW w:w="1056" w:type="dxa"/>
            <w:tcBorders>
              <w:top w:val="single" w:sz="4" w:space="0" w:color="FFFFFF" w:themeColor="background1"/>
              <w:left w:val="nil"/>
              <w:bottom w:val="single" w:sz="8" w:space="0" w:color="auto"/>
              <w:right w:val="nil"/>
            </w:tcBorders>
            <w:shd w:val="clear" w:color="auto" w:fill="FFFF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4</w:t>
            </w:r>
          </w:p>
        </w:tc>
        <w:tc>
          <w:tcPr>
            <w:tcW w:w="1056" w:type="dxa"/>
            <w:tcBorders>
              <w:top w:val="single" w:sz="4" w:space="0" w:color="FFFFFF" w:themeColor="background1"/>
              <w:left w:val="nil"/>
              <w:bottom w:val="single" w:sz="8" w:space="0" w:color="auto"/>
              <w:right w:val="nil"/>
            </w:tcBorders>
            <w:shd w:val="clear" w:color="000000" w:fill="FFFF0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4</w:t>
            </w:r>
          </w:p>
        </w:tc>
        <w:tc>
          <w:tcPr>
            <w:tcW w:w="1056" w:type="dxa"/>
            <w:tcBorders>
              <w:top w:val="single" w:sz="4" w:space="0" w:color="FFFFFF" w:themeColor="background1"/>
              <w:left w:val="nil"/>
              <w:bottom w:val="single" w:sz="8" w:space="0" w:color="auto"/>
              <w:right w:val="nil"/>
            </w:tcBorders>
            <w:shd w:val="clear" w:color="auto" w:fill="92D050"/>
            <w:noWrap/>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5</w:t>
            </w:r>
          </w:p>
        </w:tc>
        <w:tc>
          <w:tcPr>
            <w:tcW w:w="1056" w:type="dxa"/>
            <w:tcBorders>
              <w:top w:val="single" w:sz="4" w:space="0" w:color="FFFFFF" w:themeColor="background1"/>
              <w:left w:val="nil"/>
              <w:bottom w:val="single" w:sz="8" w:space="0" w:color="auto"/>
              <w:right w:val="nil"/>
            </w:tcBorders>
            <w:shd w:val="clear" w:color="auto" w:fill="FFFF00"/>
            <w:vAlign w:val="center"/>
            <w:hideMark/>
          </w:tcPr>
          <w:p w:rsidR="005F2563" w:rsidRPr="008B2F77" w:rsidRDefault="005F2563" w:rsidP="003D6779">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r>
      <w:tr w:rsidR="00726EB9" w:rsidRPr="008B2F77" w:rsidTr="00EF5BE5">
        <w:trPr>
          <w:trHeight w:val="451"/>
        </w:trPr>
        <w:tc>
          <w:tcPr>
            <w:tcW w:w="4103" w:type="dxa"/>
            <w:tcBorders>
              <w:top w:val="nil"/>
              <w:left w:val="nil"/>
              <w:bottom w:val="nil"/>
              <w:right w:val="nil"/>
            </w:tcBorders>
            <w:shd w:val="clear" w:color="auto" w:fill="auto"/>
            <w:vAlign w:val="center"/>
            <w:hideMark/>
          </w:tcPr>
          <w:p w:rsidR="00726EB9" w:rsidRPr="008B2F77" w:rsidRDefault="00726EB9" w:rsidP="00F6471F">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 xml:space="preserve">INK576 WB Multi-Donor Trust Fund </w:t>
            </w:r>
            <w:proofErr w:type="spellStart"/>
            <w:r w:rsidRPr="008B2F77">
              <w:rPr>
                <w:rFonts w:ascii="Calibri Light" w:eastAsia="Times New Roman" w:hAnsi="Calibri Light" w:cs="Times New Roman"/>
                <w:iCs/>
                <w:color w:val="495965"/>
                <w:sz w:val="17"/>
                <w:szCs w:val="17"/>
                <w:lang w:eastAsia="en-AU"/>
              </w:rPr>
              <w:t>Balochistan</w:t>
            </w:r>
            <w:proofErr w:type="spellEnd"/>
            <w:r w:rsidRPr="008B2F77">
              <w:rPr>
                <w:rFonts w:ascii="Calibri Light" w:eastAsia="Times New Roman" w:hAnsi="Calibri Light" w:cs="Times New Roman"/>
                <w:iCs/>
                <w:color w:val="495965"/>
                <w:sz w:val="17"/>
                <w:szCs w:val="17"/>
                <w:lang w:eastAsia="en-AU"/>
              </w:rPr>
              <w:t>, FATA and KPK</w:t>
            </w:r>
          </w:p>
        </w:tc>
        <w:tc>
          <w:tcPr>
            <w:tcW w:w="1448" w:type="dxa"/>
            <w:tcBorders>
              <w:top w:val="nil"/>
              <w:left w:val="nil"/>
              <w:bottom w:val="nil"/>
              <w:right w:val="nil"/>
            </w:tcBorders>
            <w:shd w:val="clear" w:color="auto" w:fill="auto"/>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000000"/>
                <w:sz w:val="17"/>
                <w:szCs w:val="17"/>
                <w:lang w:val="en-AU" w:eastAsia="en-AU"/>
              </w:rPr>
            </w:pPr>
            <w:r w:rsidRPr="008B2F77">
              <w:rPr>
                <w:rFonts w:ascii="Calibri Light" w:eastAsia="Times New Roman" w:hAnsi="Calibri Light" w:cs="Times New Roman"/>
                <w:color w:val="000000"/>
                <w:sz w:val="17"/>
                <w:szCs w:val="17"/>
                <w:lang w:eastAsia="en-AU"/>
              </w:rPr>
              <w:t xml:space="preserve">$46.8m </w:t>
            </w:r>
          </w:p>
        </w:tc>
        <w:tc>
          <w:tcPr>
            <w:tcW w:w="1448" w:type="dxa"/>
            <w:tcBorders>
              <w:top w:val="nil"/>
              <w:left w:val="nil"/>
              <w:bottom w:val="nil"/>
              <w:right w:val="nil"/>
            </w:tcBorders>
            <w:shd w:val="clear" w:color="auto" w:fill="auto"/>
            <w:vAlign w:val="center"/>
            <w:hideMark/>
          </w:tcPr>
          <w:p w:rsidR="00726EB9" w:rsidRPr="008B2F77" w:rsidRDefault="00726EB9" w:rsidP="00F6471F">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w:t>
            </w:r>
            <w:r>
              <w:rPr>
                <w:rFonts w:ascii="Calibri Light" w:eastAsia="Times New Roman" w:hAnsi="Calibri Light" w:cs="Times New Roman"/>
                <w:iCs/>
                <w:color w:val="495965"/>
                <w:sz w:val="17"/>
                <w:szCs w:val="17"/>
                <w:lang w:eastAsia="en-AU"/>
              </w:rPr>
              <w:t>8</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8" w:space="0" w:color="auto"/>
              <w:left w:val="nil"/>
              <w:bottom w:val="single" w:sz="4" w:space="0" w:color="FFFFFF" w:themeColor="background1"/>
              <w:right w:val="nil"/>
            </w:tcBorders>
            <w:shd w:val="clear" w:color="000000"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8" w:space="0" w:color="auto"/>
              <w:left w:val="nil"/>
              <w:bottom w:val="single" w:sz="4" w:space="0" w:color="FFFFFF" w:themeColor="background1"/>
              <w:right w:val="nil"/>
            </w:tcBorders>
            <w:shd w:val="clear" w:color="auto" w:fill="FFC0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3</w:t>
            </w:r>
          </w:p>
        </w:tc>
        <w:tc>
          <w:tcPr>
            <w:tcW w:w="1056" w:type="dxa"/>
            <w:tcBorders>
              <w:top w:val="single" w:sz="8" w:space="0" w:color="auto"/>
              <w:left w:val="nil"/>
              <w:bottom w:val="single" w:sz="4" w:space="0" w:color="FFFFFF" w:themeColor="background1"/>
              <w:right w:val="nil"/>
            </w:tcBorders>
            <w:shd w:val="clear" w:color="000000"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4</w:t>
            </w:r>
          </w:p>
        </w:tc>
        <w:tc>
          <w:tcPr>
            <w:tcW w:w="1056" w:type="dxa"/>
            <w:tcBorders>
              <w:top w:val="single" w:sz="8" w:space="0" w:color="auto"/>
              <w:left w:val="nil"/>
              <w:bottom w:val="single" w:sz="4" w:space="0" w:color="FFFFFF" w:themeColor="background1"/>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4</w:t>
            </w:r>
          </w:p>
        </w:tc>
        <w:tc>
          <w:tcPr>
            <w:tcW w:w="1056" w:type="dxa"/>
            <w:tcBorders>
              <w:top w:val="single" w:sz="8" w:space="0" w:color="auto"/>
              <w:left w:val="nil"/>
              <w:bottom w:val="single" w:sz="4" w:space="0" w:color="FFFFFF" w:themeColor="background1"/>
              <w:right w:val="nil"/>
            </w:tcBorders>
            <w:shd w:val="clear" w:color="000000"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4</w:t>
            </w:r>
          </w:p>
        </w:tc>
        <w:tc>
          <w:tcPr>
            <w:tcW w:w="1056" w:type="dxa"/>
            <w:tcBorders>
              <w:top w:val="single" w:sz="8" w:space="0" w:color="auto"/>
              <w:left w:val="nil"/>
              <w:bottom w:val="single" w:sz="4" w:space="0" w:color="FFFFFF" w:themeColor="background1"/>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4</w:t>
            </w:r>
          </w:p>
        </w:tc>
        <w:tc>
          <w:tcPr>
            <w:tcW w:w="1056" w:type="dxa"/>
            <w:tcBorders>
              <w:top w:val="single" w:sz="8" w:space="0" w:color="auto"/>
              <w:left w:val="nil"/>
              <w:bottom w:val="single" w:sz="4" w:space="0" w:color="FFFFFF" w:themeColor="background1"/>
              <w:right w:val="nil"/>
            </w:tcBorders>
            <w:shd w:val="clear" w:color="000000" w:fill="FFFF00"/>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iCs/>
                <w:color w:val="495965"/>
                <w:sz w:val="17"/>
                <w:szCs w:val="17"/>
                <w:lang w:eastAsia="en-AU"/>
              </w:rPr>
              <w:t>n/a</w:t>
            </w:r>
          </w:p>
        </w:tc>
      </w:tr>
      <w:tr w:rsidR="00726EB9" w:rsidRPr="008B2F77" w:rsidTr="00EF5BE5">
        <w:trPr>
          <w:trHeight w:val="315"/>
        </w:trPr>
        <w:tc>
          <w:tcPr>
            <w:tcW w:w="4103" w:type="dxa"/>
            <w:tcBorders>
              <w:top w:val="nil"/>
              <w:left w:val="nil"/>
              <w:bottom w:val="single" w:sz="8" w:space="0" w:color="auto"/>
              <w:right w:val="nil"/>
            </w:tcBorders>
            <w:shd w:val="clear" w:color="auto" w:fill="auto"/>
            <w:vAlign w:val="center"/>
            <w:hideMark/>
          </w:tcPr>
          <w:p w:rsidR="00726EB9" w:rsidRPr="008B2F77" w:rsidRDefault="00726EB9" w:rsidP="00F6471F">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color w:val="495965"/>
                <w:sz w:val="17"/>
                <w:szCs w:val="17"/>
                <w:lang w:val="en-AU" w:eastAsia="en-AU"/>
              </w:rPr>
              <w:t> </w:t>
            </w:r>
          </w:p>
        </w:tc>
        <w:tc>
          <w:tcPr>
            <w:tcW w:w="1448" w:type="dxa"/>
            <w:tcBorders>
              <w:top w:val="nil"/>
              <w:left w:val="nil"/>
              <w:bottom w:val="single" w:sz="8" w:space="0" w:color="auto"/>
              <w:right w:val="nil"/>
            </w:tcBorders>
            <w:shd w:val="clear" w:color="auto" w:fill="auto"/>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 xml:space="preserve">2012-20 </w:t>
            </w:r>
          </w:p>
        </w:tc>
        <w:tc>
          <w:tcPr>
            <w:tcW w:w="1448" w:type="dxa"/>
            <w:tcBorders>
              <w:top w:val="nil"/>
              <w:left w:val="nil"/>
              <w:bottom w:val="single" w:sz="8" w:space="0" w:color="auto"/>
              <w:right w:val="nil"/>
            </w:tcBorders>
            <w:shd w:val="clear" w:color="auto" w:fill="auto"/>
            <w:vAlign w:val="center"/>
            <w:hideMark/>
          </w:tcPr>
          <w:p w:rsidR="00726EB9" w:rsidRPr="008B2F77" w:rsidRDefault="00726EB9" w:rsidP="00F6471F">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w:t>
            </w:r>
            <w:r>
              <w:rPr>
                <w:rFonts w:ascii="Calibri Light" w:eastAsia="Times New Roman" w:hAnsi="Calibri Light" w:cs="Times New Roman"/>
                <w:iCs/>
                <w:color w:val="495965"/>
                <w:sz w:val="17"/>
                <w:szCs w:val="17"/>
                <w:lang w:eastAsia="en-AU"/>
              </w:rPr>
              <w:t>7</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4" w:space="0" w:color="FFFFFF" w:themeColor="background1"/>
              <w:left w:val="nil"/>
              <w:bottom w:val="single" w:sz="8" w:space="0" w:color="auto"/>
              <w:right w:val="nil"/>
            </w:tcBorders>
            <w:shd w:val="clear" w:color="000000"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5</w:t>
            </w:r>
          </w:p>
        </w:tc>
        <w:tc>
          <w:tcPr>
            <w:tcW w:w="1056" w:type="dxa"/>
            <w:tcBorders>
              <w:top w:val="single" w:sz="4" w:space="0" w:color="FFFFFF" w:themeColor="background1"/>
              <w:left w:val="nil"/>
              <w:bottom w:val="single" w:sz="8" w:space="0" w:color="auto"/>
              <w:right w:val="nil"/>
            </w:tcBorders>
            <w:shd w:val="clear" w:color="000000"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4</w:t>
            </w:r>
          </w:p>
        </w:tc>
        <w:tc>
          <w:tcPr>
            <w:tcW w:w="1056" w:type="dxa"/>
            <w:tcBorders>
              <w:top w:val="single" w:sz="4" w:space="0" w:color="FFFFFF" w:themeColor="background1"/>
              <w:left w:val="nil"/>
              <w:bottom w:val="single" w:sz="8" w:space="0" w:color="auto"/>
              <w:right w:val="nil"/>
            </w:tcBorders>
            <w:shd w:val="clear" w:color="000000"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4</w:t>
            </w:r>
          </w:p>
        </w:tc>
        <w:tc>
          <w:tcPr>
            <w:tcW w:w="1056" w:type="dxa"/>
            <w:tcBorders>
              <w:top w:val="single" w:sz="4" w:space="0" w:color="FFFFFF" w:themeColor="background1"/>
              <w:left w:val="nil"/>
              <w:bottom w:val="single" w:sz="8" w:space="0" w:color="auto"/>
              <w:right w:val="nil"/>
            </w:tcBorders>
            <w:shd w:val="clear" w:color="auto" w:fill="FFC0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3</w:t>
            </w:r>
          </w:p>
        </w:tc>
        <w:tc>
          <w:tcPr>
            <w:tcW w:w="1056" w:type="dxa"/>
            <w:tcBorders>
              <w:top w:val="single" w:sz="4" w:space="0" w:color="FFFFFF" w:themeColor="background1"/>
              <w:left w:val="nil"/>
              <w:bottom w:val="single" w:sz="8" w:space="0" w:color="auto"/>
              <w:right w:val="nil"/>
            </w:tcBorders>
            <w:shd w:val="clear" w:color="000000"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4</w:t>
            </w:r>
          </w:p>
        </w:tc>
        <w:tc>
          <w:tcPr>
            <w:tcW w:w="1056" w:type="dxa"/>
            <w:tcBorders>
              <w:top w:val="single" w:sz="4" w:space="0" w:color="FFFFFF" w:themeColor="background1"/>
              <w:left w:val="nil"/>
              <w:bottom w:val="single" w:sz="8" w:space="0" w:color="auto"/>
              <w:right w:val="nil"/>
            </w:tcBorders>
            <w:shd w:val="clear" w:color="000000" w:fill="FFC0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3</w:t>
            </w:r>
          </w:p>
        </w:tc>
        <w:tc>
          <w:tcPr>
            <w:tcW w:w="1056" w:type="dxa"/>
            <w:tcBorders>
              <w:top w:val="single" w:sz="4" w:space="0" w:color="FFFFFF" w:themeColor="background1"/>
              <w:left w:val="nil"/>
              <w:bottom w:val="single" w:sz="8" w:space="0" w:color="auto"/>
              <w:right w:val="nil"/>
            </w:tcBorders>
            <w:shd w:val="clear" w:color="000000" w:fill="FFFF00"/>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r>
      <w:tr w:rsidR="00726EB9" w:rsidRPr="008B2F77" w:rsidTr="00EF5BE5">
        <w:trPr>
          <w:trHeight w:val="451"/>
        </w:trPr>
        <w:tc>
          <w:tcPr>
            <w:tcW w:w="4103" w:type="dxa"/>
            <w:tcBorders>
              <w:top w:val="nil"/>
              <w:left w:val="nil"/>
              <w:bottom w:val="nil"/>
              <w:right w:val="nil"/>
            </w:tcBorders>
            <w:shd w:val="clear" w:color="auto" w:fill="auto"/>
            <w:vAlign w:val="center"/>
            <w:hideMark/>
          </w:tcPr>
          <w:p w:rsidR="00726EB9" w:rsidRPr="008B2F77" w:rsidRDefault="00726EB9" w:rsidP="00F6471F">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IN</w:t>
            </w:r>
            <w:r>
              <w:rPr>
                <w:rFonts w:ascii="Calibri Light" w:eastAsia="Times New Roman" w:hAnsi="Calibri Light" w:cs="Times New Roman"/>
                <w:iCs/>
                <w:color w:val="495965"/>
                <w:sz w:val="17"/>
                <w:szCs w:val="17"/>
                <w:lang w:eastAsia="en-AU"/>
              </w:rPr>
              <w:t>L</w:t>
            </w:r>
            <w:r w:rsidRPr="008B2F77">
              <w:rPr>
                <w:rFonts w:ascii="Calibri Light" w:eastAsia="Times New Roman" w:hAnsi="Calibri Light" w:cs="Times New Roman"/>
                <w:iCs/>
                <w:color w:val="495965"/>
                <w:sz w:val="17"/>
                <w:szCs w:val="17"/>
                <w:lang w:eastAsia="en-AU"/>
              </w:rPr>
              <w:t>3</w:t>
            </w:r>
            <w:r>
              <w:rPr>
                <w:rFonts w:ascii="Calibri Light" w:eastAsia="Times New Roman" w:hAnsi="Calibri Light" w:cs="Times New Roman"/>
                <w:iCs/>
                <w:color w:val="495965"/>
                <w:sz w:val="17"/>
                <w:szCs w:val="17"/>
                <w:lang w:eastAsia="en-AU"/>
              </w:rPr>
              <w:t>02</w:t>
            </w:r>
            <w:r w:rsidRPr="008B2F77">
              <w:rPr>
                <w:rFonts w:ascii="Calibri Light" w:eastAsia="Times New Roman" w:hAnsi="Calibri Light" w:cs="Times New Roman"/>
                <w:iCs/>
                <w:color w:val="495965"/>
                <w:sz w:val="17"/>
                <w:szCs w:val="17"/>
                <w:lang w:eastAsia="en-AU"/>
              </w:rPr>
              <w:t xml:space="preserve"> </w:t>
            </w:r>
            <w:r>
              <w:rPr>
                <w:rFonts w:ascii="Calibri Light" w:eastAsia="Times New Roman" w:hAnsi="Calibri Light" w:cs="Times New Roman"/>
                <w:iCs/>
                <w:color w:val="495965"/>
                <w:sz w:val="17"/>
                <w:szCs w:val="17"/>
                <w:lang w:eastAsia="en-AU"/>
              </w:rPr>
              <w:t>Humanitarian Assistance and Disaster Risk Reduction</w:t>
            </w:r>
          </w:p>
        </w:tc>
        <w:tc>
          <w:tcPr>
            <w:tcW w:w="1448" w:type="dxa"/>
            <w:tcBorders>
              <w:top w:val="nil"/>
              <w:left w:val="nil"/>
              <w:bottom w:val="nil"/>
              <w:right w:val="nil"/>
            </w:tcBorders>
            <w:shd w:val="clear" w:color="auto" w:fill="auto"/>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w:t>
            </w:r>
            <w:r>
              <w:rPr>
                <w:rFonts w:ascii="Calibri Light" w:eastAsia="Times New Roman" w:hAnsi="Calibri Light" w:cs="Times New Roman"/>
                <w:iCs/>
                <w:color w:val="495965"/>
                <w:sz w:val="17"/>
                <w:szCs w:val="17"/>
                <w:lang w:eastAsia="en-AU"/>
              </w:rPr>
              <w:t>10.5</w:t>
            </w:r>
            <w:r w:rsidRPr="008B2F77">
              <w:rPr>
                <w:rFonts w:ascii="Calibri Light" w:eastAsia="Times New Roman" w:hAnsi="Calibri Light" w:cs="Times New Roman"/>
                <w:iCs/>
                <w:color w:val="495965"/>
                <w:sz w:val="17"/>
                <w:szCs w:val="17"/>
                <w:lang w:eastAsia="en-AU"/>
              </w:rPr>
              <w:t>m</w:t>
            </w:r>
          </w:p>
        </w:tc>
        <w:tc>
          <w:tcPr>
            <w:tcW w:w="1448" w:type="dxa"/>
            <w:tcBorders>
              <w:top w:val="nil"/>
              <w:left w:val="nil"/>
              <w:bottom w:val="nil"/>
              <w:right w:val="nil"/>
            </w:tcBorders>
            <w:shd w:val="clear" w:color="auto" w:fill="auto"/>
            <w:vAlign w:val="center"/>
            <w:hideMark/>
          </w:tcPr>
          <w:p w:rsidR="00726EB9" w:rsidRPr="008B2F77" w:rsidRDefault="00726EB9" w:rsidP="00F6471F">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w:t>
            </w:r>
            <w:r>
              <w:rPr>
                <w:rFonts w:ascii="Calibri Light" w:eastAsia="Times New Roman" w:hAnsi="Calibri Light" w:cs="Times New Roman"/>
                <w:iCs/>
                <w:color w:val="495965"/>
                <w:sz w:val="17"/>
                <w:szCs w:val="17"/>
                <w:lang w:eastAsia="en-AU"/>
              </w:rPr>
              <w:t>8</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8" w:space="0" w:color="auto"/>
              <w:left w:val="nil"/>
              <w:bottom w:val="single" w:sz="4" w:space="0" w:color="FFFFFF" w:themeColor="background1"/>
              <w:right w:val="nil"/>
            </w:tcBorders>
            <w:shd w:val="clear" w:color="auto" w:fill="92D05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5</w:t>
            </w:r>
          </w:p>
        </w:tc>
        <w:tc>
          <w:tcPr>
            <w:tcW w:w="1056" w:type="dxa"/>
            <w:tcBorders>
              <w:top w:val="single" w:sz="8" w:space="0" w:color="auto"/>
              <w:left w:val="nil"/>
              <w:bottom w:val="single" w:sz="4" w:space="0" w:color="FFFFFF" w:themeColor="background1"/>
              <w:right w:val="nil"/>
            </w:tcBorders>
            <w:shd w:val="clear" w:color="auto" w:fill="FFC0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3</w:t>
            </w:r>
          </w:p>
        </w:tc>
        <w:tc>
          <w:tcPr>
            <w:tcW w:w="1056" w:type="dxa"/>
            <w:tcBorders>
              <w:top w:val="single" w:sz="8" w:space="0" w:color="auto"/>
              <w:left w:val="nil"/>
              <w:bottom w:val="single" w:sz="4" w:space="0" w:color="FFFFFF" w:themeColor="background1"/>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4</w:t>
            </w:r>
          </w:p>
        </w:tc>
        <w:tc>
          <w:tcPr>
            <w:tcW w:w="1056" w:type="dxa"/>
            <w:tcBorders>
              <w:top w:val="single" w:sz="8" w:space="0" w:color="auto"/>
              <w:left w:val="nil"/>
              <w:bottom w:val="single" w:sz="4" w:space="0" w:color="FFFFFF" w:themeColor="background1"/>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4</w:t>
            </w:r>
          </w:p>
        </w:tc>
        <w:tc>
          <w:tcPr>
            <w:tcW w:w="1056" w:type="dxa"/>
            <w:tcBorders>
              <w:top w:val="single" w:sz="8" w:space="0" w:color="auto"/>
              <w:left w:val="nil"/>
              <w:bottom w:val="single" w:sz="4" w:space="0" w:color="FFFFFF" w:themeColor="background1"/>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4</w:t>
            </w:r>
          </w:p>
        </w:tc>
        <w:tc>
          <w:tcPr>
            <w:tcW w:w="1056" w:type="dxa"/>
            <w:tcBorders>
              <w:top w:val="single" w:sz="8" w:space="0" w:color="auto"/>
              <w:left w:val="nil"/>
              <w:bottom w:val="single" w:sz="4" w:space="0" w:color="FFFFFF" w:themeColor="background1"/>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4</w:t>
            </w:r>
          </w:p>
        </w:tc>
        <w:tc>
          <w:tcPr>
            <w:tcW w:w="1056" w:type="dxa"/>
            <w:tcBorders>
              <w:top w:val="single" w:sz="8" w:space="0" w:color="auto"/>
              <w:left w:val="nil"/>
              <w:bottom w:val="single" w:sz="4" w:space="0" w:color="FFFFFF" w:themeColor="background1"/>
              <w:right w:val="nil"/>
            </w:tcBorders>
            <w:shd w:val="clear" w:color="000000" w:fill="FFFF00"/>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iCs/>
                <w:color w:val="495965"/>
                <w:sz w:val="17"/>
                <w:szCs w:val="17"/>
                <w:lang w:eastAsia="en-AU"/>
              </w:rPr>
              <w:t>n/a</w:t>
            </w:r>
          </w:p>
        </w:tc>
      </w:tr>
      <w:tr w:rsidR="00726EB9" w:rsidRPr="008B2F77" w:rsidTr="00EF5BE5">
        <w:trPr>
          <w:trHeight w:val="315"/>
        </w:trPr>
        <w:tc>
          <w:tcPr>
            <w:tcW w:w="4103" w:type="dxa"/>
            <w:tcBorders>
              <w:top w:val="nil"/>
              <w:left w:val="nil"/>
              <w:bottom w:val="single" w:sz="8" w:space="0" w:color="auto"/>
              <w:right w:val="nil"/>
            </w:tcBorders>
            <w:shd w:val="clear" w:color="auto" w:fill="auto"/>
            <w:vAlign w:val="center"/>
            <w:hideMark/>
          </w:tcPr>
          <w:p w:rsidR="00726EB9" w:rsidRPr="008B2F77" w:rsidRDefault="00726EB9" w:rsidP="00F6471F">
            <w:pPr>
              <w:suppressAutoHyphens w:val="0"/>
              <w:spacing w:before="0" w:after="0" w:line="240" w:lineRule="auto"/>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color w:val="495965"/>
                <w:sz w:val="17"/>
                <w:szCs w:val="17"/>
                <w:lang w:val="en-AU" w:eastAsia="en-AU"/>
              </w:rPr>
              <w:t> </w:t>
            </w:r>
          </w:p>
        </w:tc>
        <w:tc>
          <w:tcPr>
            <w:tcW w:w="1448" w:type="dxa"/>
            <w:tcBorders>
              <w:top w:val="nil"/>
              <w:left w:val="nil"/>
              <w:bottom w:val="single" w:sz="8" w:space="0" w:color="auto"/>
              <w:right w:val="nil"/>
            </w:tcBorders>
            <w:shd w:val="clear" w:color="auto" w:fill="auto"/>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w:t>
            </w:r>
            <w:r>
              <w:rPr>
                <w:rFonts w:ascii="Calibri Light" w:eastAsia="Times New Roman" w:hAnsi="Calibri Light" w:cs="Times New Roman"/>
                <w:iCs/>
                <w:color w:val="495965"/>
                <w:sz w:val="17"/>
                <w:szCs w:val="17"/>
                <w:lang w:eastAsia="en-AU"/>
              </w:rPr>
              <w:t>4</w:t>
            </w:r>
            <w:r w:rsidRPr="008B2F77">
              <w:rPr>
                <w:rFonts w:ascii="Calibri Light" w:eastAsia="Times New Roman" w:hAnsi="Calibri Light" w:cs="Times New Roman"/>
                <w:iCs/>
                <w:color w:val="495965"/>
                <w:sz w:val="17"/>
                <w:szCs w:val="17"/>
                <w:lang w:eastAsia="en-AU"/>
              </w:rPr>
              <w:t xml:space="preserve"> -1</w:t>
            </w:r>
            <w:r>
              <w:rPr>
                <w:rFonts w:ascii="Calibri Light" w:eastAsia="Times New Roman" w:hAnsi="Calibri Light" w:cs="Times New Roman"/>
                <w:iCs/>
                <w:color w:val="495965"/>
                <w:sz w:val="17"/>
                <w:szCs w:val="17"/>
                <w:lang w:eastAsia="en-AU"/>
              </w:rPr>
              <w:t>9</w:t>
            </w:r>
          </w:p>
        </w:tc>
        <w:tc>
          <w:tcPr>
            <w:tcW w:w="1448" w:type="dxa"/>
            <w:tcBorders>
              <w:top w:val="nil"/>
              <w:left w:val="nil"/>
              <w:bottom w:val="single" w:sz="8" w:space="0" w:color="auto"/>
              <w:right w:val="nil"/>
            </w:tcBorders>
            <w:shd w:val="clear" w:color="auto" w:fill="auto"/>
            <w:vAlign w:val="center"/>
            <w:hideMark/>
          </w:tcPr>
          <w:p w:rsidR="00726EB9" w:rsidRPr="008B2F77" w:rsidRDefault="00726EB9" w:rsidP="00F6471F">
            <w:pPr>
              <w:suppressAutoHyphens w:val="0"/>
              <w:spacing w:before="0" w:after="0" w:line="240" w:lineRule="auto"/>
              <w:jc w:val="center"/>
              <w:rPr>
                <w:rFonts w:ascii="Calibri Light" w:eastAsia="Times New Roman" w:hAnsi="Calibri Light" w:cs="Times New Roman"/>
                <w:color w:val="495965"/>
                <w:sz w:val="17"/>
                <w:szCs w:val="17"/>
                <w:lang w:val="en-AU" w:eastAsia="en-AU"/>
              </w:rPr>
            </w:pPr>
            <w:r w:rsidRPr="008B2F77">
              <w:rPr>
                <w:rFonts w:ascii="Calibri Light" w:eastAsia="Times New Roman" w:hAnsi="Calibri Light" w:cs="Times New Roman"/>
                <w:iCs/>
                <w:color w:val="495965"/>
                <w:sz w:val="17"/>
                <w:szCs w:val="17"/>
                <w:lang w:eastAsia="en-AU"/>
              </w:rPr>
              <w:t>201</w:t>
            </w:r>
            <w:r>
              <w:rPr>
                <w:rFonts w:ascii="Calibri Light" w:eastAsia="Times New Roman" w:hAnsi="Calibri Light" w:cs="Times New Roman"/>
                <w:iCs/>
                <w:color w:val="495965"/>
                <w:sz w:val="17"/>
                <w:szCs w:val="17"/>
                <w:lang w:eastAsia="en-AU"/>
              </w:rPr>
              <w:t>7</w:t>
            </w:r>
            <w:r w:rsidRPr="008B2F77">
              <w:rPr>
                <w:rFonts w:ascii="Calibri Light" w:eastAsia="Times New Roman" w:hAnsi="Calibri Light" w:cs="Times New Roman"/>
                <w:iCs/>
                <w:color w:val="495965"/>
                <w:sz w:val="17"/>
                <w:szCs w:val="17"/>
                <w:lang w:eastAsia="en-AU"/>
              </w:rPr>
              <w:t xml:space="preserve"> AQC</w:t>
            </w:r>
          </w:p>
        </w:tc>
        <w:tc>
          <w:tcPr>
            <w:tcW w:w="1056" w:type="dxa"/>
            <w:tcBorders>
              <w:top w:val="single" w:sz="4" w:space="0" w:color="FFFFFF" w:themeColor="background1"/>
              <w:left w:val="nil"/>
              <w:bottom w:val="single" w:sz="8" w:space="0" w:color="auto"/>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c>
          <w:tcPr>
            <w:tcW w:w="1056" w:type="dxa"/>
            <w:tcBorders>
              <w:top w:val="single" w:sz="4" w:space="0" w:color="FFFFFF" w:themeColor="background1"/>
              <w:left w:val="nil"/>
              <w:bottom w:val="single" w:sz="8" w:space="0" w:color="auto"/>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c>
          <w:tcPr>
            <w:tcW w:w="1056" w:type="dxa"/>
            <w:tcBorders>
              <w:top w:val="single" w:sz="4" w:space="0" w:color="FFFFFF" w:themeColor="background1"/>
              <w:left w:val="nil"/>
              <w:bottom w:val="single" w:sz="8" w:space="0" w:color="auto"/>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c>
          <w:tcPr>
            <w:tcW w:w="1056" w:type="dxa"/>
            <w:tcBorders>
              <w:top w:val="single" w:sz="4" w:space="0" w:color="FFFFFF" w:themeColor="background1"/>
              <w:left w:val="nil"/>
              <w:bottom w:val="single" w:sz="8" w:space="0" w:color="auto"/>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c>
          <w:tcPr>
            <w:tcW w:w="1056" w:type="dxa"/>
            <w:tcBorders>
              <w:top w:val="single" w:sz="4" w:space="0" w:color="FFFFFF" w:themeColor="background1"/>
              <w:left w:val="nil"/>
              <w:bottom w:val="single" w:sz="8" w:space="0" w:color="auto"/>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c>
          <w:tcPr>
            <w:tcW w:w="1056" w:type="dxa"/>
            <w:tcBorders>
              <w:top w:val="single" w:sz="4" w:space="0" w:color="FFFFFF" w:themeColor="background1"/>
              <w:left w:val="nil"/>
              <w:bottom w:val="single" w:sz="8" w:space="0" w:color="auto"/>
              <w:right w:val="nil"/>
            </w:tcBorders>
            <w:shd w:val="clear" w:color="auto" w:fill="FFFF00"/>
            <w:noWrap/>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c>
          <w:tcPr>
            <w:tcW w:w="1056" w:type="dxa"/>
            <w:tcBorders>
              <w:top w:val="single" w:sz="4" w:space="0" w:color="FFFFFF" w:themeColor="background1"/>
              <w:left w:val="nil"/>
              <w:bottom w:val="single" w:sz="8" w:space="0" w:color="auto"/>
              <w:right w:val="nil"/>
            </w:tcBorders>
            <w:shd w:val="clear" w:color="auto" w:fill="FFFF00"/>
            <w:vAlign w:val="center"/>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 w:val="17"/>
                <w:szCs w:val="17"/>
                <w:lang w:val="en-AU" w:eastAsia="en-AU"/>
              </w:rPr>
            </w:pPr>
            <w:r>
              <w:rPr>
                <w:rFonts w:ascii="Calibri Light" w:eastAsia="Times New Roman" w:hAnsi="Calibri Light" w:cs="Times New Roman"/>
                <w:color w:val="495965"/>
                <w:sz w:val="17"/>
                <w:szCs w:val="17"/>
                <w:lang w:val="en-AU" w:eastAsia="en-AU"/>
              </w:rPr>
              <w:t>n/a</w:t>
            </w:r>
          </w:p>
        </w:tc>
      </w:tr>
    </w:tbl>
    <w:p w:rsidR="00726EB9" w:rsidRPr="00A46AAE" w:rsidRDefault="00726EB9" w:rsidP="00A46AAE">
      <w:pPr>
        <w:pStyle w:val="ListBullet"/>
        <w:tabs>
          <w:tab w:val="clear" w:pos="284"/>
        </w:tabs>
        <w:spacing w:before="120" w:after="60"/>
        <w:rPr>
          <w:rFonts w:asciiTheme="majorHAnsi" w:eastAsiaTheme="majorEastAsia" w:hAnsiTheme="majorHAnsi" w:cstheme="majorBidi"/>
          <w:b/>
          <w:caps/>
          <w:color w:val="495965" w:themeColor="text2"/>
          <w:sz w:val="24"/>
          <w:lang w:val="en-GB" w:eastAsia="en-US"/>
        </w:rPr>
      </w:pPr>
      <w:r w:rsidRPr="00A46AAE">
        <w:rPr>
          <w:rFonts w:asciiTheme="majorHAnsi" w:eastAsiaTheme="majorEastAsia" w:hAnsiTheme="majorHAnsi" w:cstheme="majorBidi"/>
          <w:b/>
          <w:caps/>
          <w:color w:val="495965" w:themeColor="text2"/>
          <w:sz w:val="24"/>
          <w:lang w:val="en-GB" w:eastAsia="en-US"/>
        </w:rPr>
        <w:t>HAQC ratings</w:t>
      </w:r>
    </w:p>
    <w:tbl>
      <w:tblPr>
        <w:tblStyle w:val="APPR"/>
        <w:tblW w:w="5000" w:type="pct"/>
        <w:tblLook w:val="0000" w:firstRow="0" w:lastRow="0" w:firstColumn="0" w:lastColumn="0" w:noHBand="0" w:noVBand="0"/>
      </w:tblPr>
      <w:tblGrid>
        <w:gridCol w:w="2598"/>
        <w:gridCol w:w="1886"/>
        <w:gridCol w:w="1197"/>
        <w:gridCol w:w="1197"/>
        <w:gridCol w:w="136"/>
        <w:gridCol w:w="1197"/>
        <w:gridCol w:w="1197"/>
        <w:gridCol w:w="136"/>
        <w:gridCol w:w="1194"/>
        <w:gridCol w:w="1196"/>
        <w:gridCol w:w="135"/>
        <w:gridCol w:w="1193"/>
        <w:gridCol w:w="1198"/>
      </w:tblGrid>
      <w:tr w:rsidR="00726EB9" w:rsidRPr="00C61187" w:rsidTr="00F6471F">
        <w:trPr>
          <w:cnfStyle w:val="000000010000" w:firstRow="0" w:lastRow="0" w:firstColumn="0" w:lastColumn="0" w:oddVBand="0" w:evenVBand="0" w:oddHBand="0" w:evenHBand="1" w:firstRowFirstColumn="0" w:firstRowLastColumn="0" w:lastRowFirstColumn="0" w:lastRowLastColumn="0"/>
          <w:trHeight w:val="1413"/>
        </w:trPr>
        <w:tc>
          <w:tcPr>
            <w:tcW w:w="879" w:type="pct"/>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eastAsia="Times New Roman"/>
                <w:b/>
                <w:iCs/>
                <w:noProof/>
                <w:szCs w:val="17"/>
                <w:lang w:val="en-AU"/>
              </w:rPr>
              <w:drawing>
                <wp:anchor distT="0" distB="0" distL="114300" distR="114300" simplePos="0" relativeHeight="251688960" behindDoc="0" locked="0" layoutInCell="1" allowOverlap="1" wp14:anchorId="76022DF4" wp14:editId="4CA9E113">
                  <wp:simplePos x="0" y="0"/>
                  <wp:positionH relativeFrom="column">
                    <wp:posOffset>0</wp:posOffset>
                  </wp:positionH>
                  <wp:positionV relativeFrom="paragraph">
                    <wp:posOffset>0</wp:posOffset>
                  </wp:positionV>
                  <wp:extent cx="1857375" cy="228600"/>
                  <wp:effectExtent l="0" t="0" r="9525" b="0"/>
                  <wp:wrapNone/>
                  <wp:docPr id="35" name="Picture 3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hidden="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2509">
              <w:rPr>
                <w:rFonts w:asciiTheme="minorHAnsi" w:eastAsia="Times New Roman" w:hAnsiTheme="minorHAnsi"/>
                <w:b/>
                <w:iCs/>
                <w:szCs w:val="17"/>
                <w:lang w:eastAsia="en-US"/>
              </w:rPr>
              <w:t>Investment name</w:t>
            </w:r>
          </w:p>
        </w:tc>
        <w:tc>
          <w:tcPr>
            <w:tcW w:w="639" w:type="pct"/>
          </w:tcPr>
          <w:p w:rsidR="00726EB9" w:rsidRPr="00812509" w:rsidRDefault="00726EB9" w:rsidP="00F6471F">
            <w:pPr>
              <w:keepLines/>
              <w:spacing w:before="80" w:after="80" w:line="200" w:lineRule="atLeast"/>
              <w:jc w:val="center"/>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Approved budget and duration</w:t>
            </w:r>
          </w:p>
        </w:tc>
        <w:tc>
          <w:tcPr>
            <w:tcW w:w="402" w:type="pct"/>
            <w:textDirection w:val="btLr"/>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Relevance</w:t>
            </w:r>
          </w:p>
        </w:tc>
        <w:tc>
          <w:tcPr>
            <w:tcW w:w="402" w:type="pct"/>
            <w:textDirection w:val="btLr"/>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Effectiveness</w:t>
            </w:r>
          </w:p>
        </w:tc>
        <w:tc>
          <w:tcPr>
            <w:tcW w:w="439" w:type="pct"/>
            <w:gridSpan w:val="2"/>
            <w:textDirection w:val="btLr"/>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Efficiency</w:t>
            </w:r>
          </w:p>
        </w:tc>
        <w:tc>
          <w:tcPr>
            <w:tcW w:w="402" w:type="pct"/>
            <w:textDirection w:val="btLr"/>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Monitoring and Evaluation</w:t>
            </w:r>
          </w:p>
        </w:tc>
        <w:tc>
          <w:tcPr>
            <w:tcW w:w="438" w:type="pct"/>
            <w:gridSpan w:val="2"/>
            <w:textDirection w:val="btLr"/>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Connectedness</w:t>
            </w:r>
          </w:p>
        </w:tc>
        <w:tc>
          <w:tcPr>
            <w:tcW w:w="402" w:type="pct"/>
            <w:textDirection w:val="btLr"/>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Protection</w:t>
            </w:r>
          </w:p>
        </w:tc>
        <w:tc>
          <w:tcPr>
            <w:tcW w:w="438" w:type="pct"/>
            <w:gridSpan w:val="2"/>
            <w:textDirection w:val="btLr"/>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Gender equality</w:t>
            </w:r>
          </w:p>
        </w:tc>
        <w:tc>
          <w:tcPr>
            <w:tcW w:w="398" w:type="pct"/>
            <w:textDirection w:val="btLr"/>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Risks  and Safeguards</w:t>
            </w:r>
          </w:p>
        </w:tc>
      </w:tr>
      <w:tr w:rsidR="00726EB9" w:rsidRPr="00C61187" w:rsidTr="00F6471F">
        <w:trPr>
          <w:cnfStyle w:val="000000010000" w:firstRow="0" w:lastRow="0" w:firstColumn="0" w:lastColumn="0" w:oddVBand="0" w:evenVBand="0" w:oddHBand="0" w:evenHBand="1" w:firstRowFirstColumn="0" w:firstRowLastColumn="0" w:lastRowFirstColumn="0" w:lastRowLastColumn="0"/>
          <w:trHeight w:val="284"/>
        </w:trPr>
        <w:tc>
          <w:tcPr>
            <w:tcW w:w="879" w:type="pct"/>
          </w:tcPr>
          <w:p w:rsidR="00726EB9" w:rsidRPr="00812509" w:rsidRDefault="00726EB9" w:rsidP="00F6471F">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INM095 Pakistan Humanitarian Support WFP &amp; IOM</w:t>
            </w:r>
          </w:p>
        </w:tc>
        <w:tc>
          <w:tcPr>
            <w:tcW w:w="639" w:type="pct"/>
          </w:tcPr>
          <w:p w:rsidR="00726EB9" w:rsidRPr="00812509" w:rsidRDefault="00726EB9" w:rsidP="00F6471F">
            <w:pPr>
              <w:autoSpaceDE w:val="0"/>
              <w:autoSpaceDN w:val="0"/>
              <w:adjustRightInd w:val="0"/>
              <w:jc w:val="center"/>
              <w:rPr>
                <w:rFonts w:asciiTheme="minorHAnsi" w:hAnsiTheme="minorHAnsi" w:cs="Franklin Gothic Book"/>
                <w:color w:val="000000"/>
                <w:szCs w:val="17"/>
              </w:rPr>
            </w:pPr>
            <w:r>
              <w:rPr>
                <w:rFonts w:asciiTheme="minorHAnsi" w:hAnsiTheme="minorHAnsi" w:cs="Franklin Gothic Book"/>
                <w:color w:val="000000"/>
                <w:szCs w:val="17"/>
              </w:rPr>
              <w:t>$</w:t>
            </w:r>
            <w:r w:rsidRPr="00773B65">
              <w:rPr>
                <w:rFonts w:asciiTheme="minorHAnsi" w:hAnsiTheme="minorHAnsi" w:cs="Franklin Gothic Book"/>
                <w:color w:val="000000"/>
                <w:szCs w:val="17"/>
              </w:rPr>
              <w:t>10m</w:t>
            </w:r>
          </w:p>
          <w:p w:rsidR="00726EB9" w:rsidRPr="00812509" w:rsidRDefault="00726EB9" w:rsidP="00F6471F">
            <w:pPr>
              <w:keepLines/>
              <w:spacing w:before="40" w:after="40" w:line="200" w:lineRule="atLeast"/>
              <w:jc w:val="center"/>
              <w:rPr>
                <w:rFonts w:asciiTheme="minorHAnsi" w:eastAsia="Times New Roman" w:hAnsiTheme="minorHAnsi"/>
                <w:iCs/>
                <w:szCs w:val="17"/>
                <w:lang w:eastAsia="en-US"/>
              </w:rPr>
            </w:pPr>
            <w:r w:rsidRPr="00812509">
              <w:rPr>
                <w:rFonts w:asciiTheme="minorHAnsi" w:eastAsia="Times New Roman" w:hAnsiTheme="minorHAnsi"/>
                <w:iCs/>
                <w:szCs w:val="17"/>
                <w:lang w:eastAsia="en-US"/>
              </w:rPr>
              <w:t>201</w:t>
            </w:r>
            <w:r>
              <w:rPr>
                <w:rFonts w:asciiTheme="minorHAnsi" w:eastAsia="Times New Roman" w:hAnsiTheme="minorHAnsi"/>
                <w:iCs/>
                <w:szCs w:val="17"/>
                <w:lang w:eastAsia="en-US"/>
              </w:rPr>
              <w:t>6</w:t>
            </w:r>
            <w:r w:rsidRPr="00812509">
              <w:rPr>
                <w:rFonts w:asciiTheme="minorHAnsi" w:eastAsia="Times New Roman" w:hAnsiTheme="minorHAnsi"/>
                <w:iCs/>
                <w:szCs w:val="17"/>
                <w:lang w:eastAsia="en-US"/>
              </w:rPr>
              <w:t>-1</w:t>
            </w:r>
            <w:r>
              <w:rPr>
                <w:rFonts w:asciiTheme="minorHAnsi" w:eastAsia="Times New Roman" w:hAnsiTheme="minorHAnsi"/>
                <w:iCs/>
                <w:szCs w:val="17"/>
                <w:lang w:eastAsia="en-US"/>
              </w:rPr>
              <w:t>9</w:t>
            </w:r>
          </w:p>
        </w:tc>
        <w:tc>
          <w:tcPr>
            <w:tcW w:w="402" w:type="pct"/>
            <w:shd w:val="clear" w:color="auto" w:fill="92D050"/>
          </w:tcPr>
          <w:p w:rsidR="00726EB9" w:rsidRPr="00812509" w:rsidRDefault="00726EB9" w:rsidP="00F6471F">
            <w:pPr>
              <w:keepLines/>
              <w:spacing w:before="40" w:after="40" w:line="200" w:lineRule="atLeast"/>
              <w:jc w:val="center"/>
              <w:rPr>
                <w:rFonts w:asciiTheme="minorHAnsi" w:eastAsia="Times New Roman" w:hAnsiTheme="minorHAnsi"/>
                <w:iCs/>
                <w:szCs w:val="17"/>
                <w:lang w:eastAsia="en-US"/>
              </w:rPr>
            </w:pPr>
            <w:r w:rsidRPr="00812509">
              <w:rPr>
                <w:rFonts w:asciiTheme="minorHAnsi" w:eastAsia="Times New Roman" w:hAnsiTheme="minorHAnsi"/>
                <w:iCs/>
                <w:szCs w:val="17"/>
                <w:lang w:eastAsia="en-US"/>
              </w:rPr>
              <w:t>5</w:t>
            </w:r>
          </w:p>
        </w:tc>
        <w:tc>
          <w:tcPr>
            <w:tcW w:w="439" w:type="pct"/>
            <w:gridSpan w:val="2"/>
            <w:shd w:val="clear" w:color="auto" w:fill="FFFF00"/>
            <w:noWrap/>
          </w:tcPr>
          <w:p w:rsidR="00726EB9" w:rsidRPr="00812509" w:rsidRDefault="00726EB9" w:rsidP="00F6471F">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02" w:type="pct"/>
            <w:shd w:val="clear" w:color="auto" w:fill="FFFF00"/>
            <w:noWrap/>
          </w:tcPr>
          <w:p w:rsidR="00726EB9" w:rsidRPr="00812509" w:rsidRDefault="00726EB9" w:rsidP="00F6471F">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39" w:type="pct"/>
            <w:gridSpan w:val="2"/>
            <w:shd w:val="clear" w:color="auto" w:fill="92D050"/>
            <w:noWrap/>
          </w:tcPr>
          <w:p w:rsidR="00726EB9" w:rsidRPr="00812509" w:rsidRDefault="00726EB9" w:rsidP="00F6471F">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1" w:type="pct"/>
            <w:shd w:val="clear" w:color="auto" w:fill="92D050"/>
            <w:noWrap/>
          </w:tcPr>
          <w:p w:rsidR="00726EB9" w:rsidRPr="00812509" w:rsidRDefault="00726EB9" w:rsidP="00F6471F">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39" w:type="pct"/>
            <w:gridSpan w:val="2"/>
            <w:shd w:val="clear" w:color="auto" w:fill="92D050"/>
            <w:noWrap/>
          </w:tcPr>
          <w:p w:rsidR="00726EB9" w:rsidRPr="00812509" w:rsidRDefault="00726EB9" w:rsidP="00F6471F">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1" w:type="pct"/>
            <w:shd w:val="clear" w:color="auto" w:fill="FFFF00"/>
            <w:noWrap/>
          </w:tcPr>
          <w:p w:rsidR="00726EB9" w:rsidRPr="00812509" w:rsidRDefault="00726EB9" w:rsidP="00F6471F">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398" w:type="pct"/>
            <w:shd w:val="clear" w:color="auto" w:fill="FFFF00"/>
          </w:tcPr>
          <w:p w:rsidR="00726EB9" w:rsidRPr="00812509" w:rsidRDefault="00726EB9" w:rsidP="00F6471F">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n/a</w:t>
            </w:r>
          </w:p>
        </w:tc>
      </w:tr>
    </w:tbl>
    <w:p w:rsidR="00726EB9" w:rsidRPr="00A46AAE" w:rsidRDefault="00726EB9" w:rsidP="00A46AAE">
      <w:pPr>
        <w:pStyle w:val="ListBullet"/>
        <w:shd w:val="clear" w:color="auto" w:fill="FFFFFF" w:themeFill="background1"/>
        <w:tabs>
          <w:tab w:val="clear" w:pos="284"/>
        </w:tabs>
        <w:spacing w:before="120" w:after="60"/>
        <w:rPr>
          <w:rFonts w:asciiTheme="majorHAnsi" w:eastAsiaTheme="majorEastAsia" w:hAnsiTheme="majorHAnsi" w:cstheme="majorBidi"/>
          <w:b/>
          <w:caps/>
          <w:color w:val="495965" w:themeColor="text2"/>
          <w:sz w:val="24"/>
          <w:lang w:val="en-GB" w:eastAsia="en-US"/>
        </w:rPr>
      </w:pPr>
      <w:r w:rsidRPr="00A46AAE">
        <w:rPr>
          <w:rFonts w:asciiTheme="majorHAnsi" w:eastAsiaTheme="majorEastAsia" w:hAnsiTheme="majorHAnsi" w:cstheme="majorBidi"/>
          <w:b/>
          <w:caps/>
          <w:color w:val="495965" w:themeColor="text2"/>
          <w:sz w:val="24"/>
          <w:lang w:val="en-GB" w:eastAsia="en-US"/>
        </w:rPr>
        <w:t xml:space="preserve">FAQC ratings </w:t>
      </w:r>
    </w:p>
    <w:tbl>
      <w:tblPr>
        <w:tblStyle w:val="APPR"/>
        <w:tblW w:w="5000" w:type="pct"/>
        <w:tblLook w:val="0000" w:firstRow="0" w:lastRow="0" w:firstColumn="0" w:lastColumn="0" w:noHBand="0" w:noVBand="0"/>
      </w:tblPr>
      <w:tblGrid>
        <w:gridCol w:w="2662"/>
        <w:gridCol w:w="1929"/>
        <w:gridCol w:w="1236"/>
        <w:gridCol w:w="1230"/>
        <w:gridCol w:w="1233"/>
        <w:gridCol w:w="1230"/>
        <w:gridCol w:w="1236"/>
        <w:gridCol w:w="1230"/>
        <w:gridCol w:w="1238"/>
        <w:gridCol w:w="1236"/>
      </w:tblGrid>
      <w:tr w:rsidR="00726EB9" w:rsidRPr="00812509" w:rsidTr="00F6471F">
        <w:trPr>
          <w:cnfStyle w:val="000000010000" w:firstRow="0" w:lastRow="0" w:firstColumn="0" w:lastColumn="0" w:oddVBand="0" w:evenVBand="0" w:oddHBand="0" w:evenHBand="1" w:firstRowFirstColumn="0" w:firstRowLastColumn="0" w:lastRowFirstColumn="0" w:lastRowLastColumn="0"/>
          <w:trHeight w:val="1314"/>
        </w:trPr>
        <w:tc>
          <w:tcPr>
            <w:tcW w:w="894" w:type="pct"/>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eastAsia="Times New Roman"/>
                <w:b/>
                <w:iCs/>
                <w:noProof/>
                <w:szCs w:val="17"/>
                <w:lang w:val="en-AU"/>
              </w:rPr>
              <w:drawing>
                <wp:anchor distT="0" distB="0" distL="114300" distR="114300" simplePos="0" relativeHeight="251689984" behindDoc="0" locked="0" layoutInCell="1" allowOverlap="1" wp14:anchorId="2C2C846C" wp14:editId="42E0FA00">
                  <wp:simplePos x="0" y="0"/>
                  <wp:positionH relativeFrom="column">
                    <wp:posOffset>0</wp:posOffset>
                  </wp:positionH>
                  <wp:positionV relativeFrom="paragraph">
                    <wp:posOffset>0</wp:posOffset>
                  </wp:positionV>
                  <wp:extent cx="1857375" cy="228600"/>
                  <wp:effectExtent l="0" t="0" r="9525" b="0"/>
                  <wp:wrapNone/>
                  <wp:docPr id="36" name="Picture 36"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hidden="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2509">
              <w:rPr>
                <w:rFonts w:asciiTheme="minorHAnsi" w:eastAsia="Times New Roman" w:hAnsiTheme="minorHAnsi"/>
                <w:b/>
                <w:iCs/>
                <w:szCs w:val="17"/>
                <w:lang w:eastAsia="en-US"/>
              </w:rPr>
              <w:t>Investment name</w:t>
            </w:r>
          </w:p>
        </w:tc>
        <w:tc>
          <w:tcPr>
            <w:tcW w:w="649" w:type="pct"/>
          </w:tcPr>
          <w:p w:rsidR="00726EB9" w:rsidRPr="00812509" w:rsidRDefault="00726EB9" w:rsidP="00F6471F">
            <w:pPr>
              <w:keepLines/>
              <w:spacing w:before="80" w:after="80" w:line="200" w:lineRule="atLeast"/>
              <w:jc w:val="center"/>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Approved budget and duration</w:t>
            </w:r>
          </w:p>
        </w:tc>
        <w:tc>
          <w:tcPr>
            <w:tcW w:w="412" w:type="pct"/>
            <w:noWrap/>
            <w:textDirection w:val="btLr"/>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Overall rating</w:t>
            </w:r>
          </w:p>
        </w:tc>
        <w:tc>
          <w:tcPr>
            <w:tcW w:w="410" w:type="pct"/>
            <w:noWrap/>
            <w:textDirection w:val="btLr"/>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Relevance</w:t>
            </w:r>
          </w:p>
        </w:tc>
        <w:tc>
          <w:tcPr>
            <w:tcW w:w="411" w:type="pct"/>
            <w:noWrap/>
            <w:textDirection w:val="btLr"/>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Effectiveness</w:t>
            </w:r>
          </w:p>
        </w:tc>
        <w:tc>
          <w:tcPr>
            <w:tcW w:w="410" w:type="pct"/>
            <w:noWrap/>
            <w:textDirection w:val="btLr"/>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Efficiency</w:t>
            </w:r>
          </w:p>
        </w:tc>
        <w:tc>
          <w:tcPr>
            <w:tcW w:w="412" w:type="pct"/>
            <w:noWrap/>
            <w:textDirection w:val="btLr"/>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Monitoring and Evaluation</w:t>
            </w:r>
          </w:p>
        </w:tc>
        <w:tc>
          <w:tcPr>
            <w:tcW w:w="410" w:type="pct"/>
            <w:noWrap/>
            <w:textDirection w:val="btLr"/>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Sustainability</w:t>
            </w:r>
          </w:p>
        </w:tc>
        <w:tc>
          <w:tcPr>
            <w:tcW w:w="413" w:type="pct"/>
            <w:textDirection w:val="btLr"/>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Gender equality</w:t>
            </w:r>
          </w:p>
        </w:tc>
        <w:tc>
          <w:tcPr>
            <w:tcW w:w="408" w:type="pct"/>
            <w:textDirection w:val="btLr"/>
          </w:tcPr>
          <w:p w:rsidR="00726EB9" w:rsidRPr="00812509" w:rsidRDefault="00726EB9" w:rsidP="00F6471F">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Risks  and Safeguards</w:t>
            </w:r>
          </w:p>
        </w:tc>
      </w:tr>
      <w:tr w:rsidR="00726EB9" w:rsidRPr="008B2F77" w:rsidTr="00F6471F">
        <w:tblPrEx>
          <w:tblLook w:val="04A0" w:firstRow="1" w:lastRow="0" w:firstColumn="1" w:lastColumn="0" w:noHBand="0" w:noVBand="1"/>
        </w:tblPrEx>
        <w:trPr>
          <w:cnfStyle w:val="100000000000" w:firstRow="1" w:lastRow="0" w:firstColumn="0" w:lastColumn="0" w:oddVBand="0" w:evenVBand="0" w:oddHBand="0" w:evenHBand="0" w:firstRowFirstColumn="0" w:firstRowLastColumn="0" w:lastRowFirstColumn="0" w:lastRowLastColumn="0"/>
          <w:trHeight w:val="450"/>
        </w:trPr>
        <w:tc>
          <w:tcPr>
            <w:tcW w:w="894" w:type="pct"/>
            <w:hideMark/>
          </w:tcPr>
          <w:p w:rsidR="00726EB9" w:rsidRPr="008B2F77" w:rsidRDefault="00726EB9" w:rsidP="00F6471F">
            <w:pPr>
              <w:suppressAutoHyphens w:val="0"/>
              <w:spacing w:before="0" w:after="0" w:line="240" w:lineRule="auto"/>
              <w:rPr>
                <w:rFonts w:ascii="Calibri Light" w:eastAsia="Times New Roman" w:hAnsi="Calibri Light" w:cs="Times New Roman"/>
                <w:color w:val="495965"/>
                <w:szCs w:val="17"/>
                <w:lang w:val="en-AU"/>
              </w:rPr>
            </w:pPr>
            <w:r w:rsidRPr="008B2F77">
              <w:rPr>
                <w:rFonts w:ascii="Calibri Light" w:eastAsia="Times New Roman" w:hAnsi="Calibri Light" w:cs="Times New Roman"/>
                <w:iCs/>
                <w:color w:val="495965"/>
                <w:szCs w:val="17"/>
              </w:rPr>
              <w:t xml:space="preserve">INK363 Integrated Maternal </w:t>
            </w:r>
            <w:proofErr w:type="spellStart"/>
            <w:r w:rsidRPr="008B2F77">
              <w:rPr>
                <w:rFonts w:ascii="Calibri Light" w:eastAsia="Times New Roman" w:hAnsi="Calibri Light" w:cs="Times New Roman"/>
                <w:iCs/>
                <w:color w:val="495965"/>
                <w:szCs w:val="17"/>
              </w:rPr>
              <w:t>Newborn</w:t>
            </w:r>
            <w:proofErr w:type="spellEnd"/>
            <w:r w:rsidRPr="008B2F77">
              <w:rPr>
                <w:rFonts w:ascii="Calibri Light" w:eastAsia="Times New Roman" w:hAnsi="Calibri Light" w:cs="Times New Roman"/>
                <w:iCs/>
                <w:color w:val="495965"/>
                <w:szCs w:val="17"/>
              </w:rPr>
              <w:t xml:space="preserve"> Health Program</w:t>
            </w:r>
          </w:p>
        </w:tc>
        <w:tc>
          <w:tcPr>
            <w:tcW w:w="649" w:type="pct"/>
            <w:hideMark/>
          </w:tcPr>
          <w:p w:rsidR="00726EB9" w:rsidRDefault="00726EB9" w:rsidP="00F6471F">
            <w:pPr>
              <w:suppressAutoHyphens w:val="0"/>
              <w:spacing w:before="0" w:after="0" w:line="240" w:lineRule="auto"/>
              <w:jc w:val="right"/>
              <w:rPr>
                <w:rFonts w:ascii="Calibri Light" w:eastAsia="Times New Roman" w:hAnsi="Calibri Light" w:cs="Times New Roman"/>
                <w:iCs/>
                <w:color w:val="495965"/>
                <w:szCs w:val="17"/>
              </w:rPr>
            </w:pPr>
            <w:r w:rsidRPr="008B2F77">
              <w:rPr>
                <w:rFonts w:ascii="Calibri Light" w:eastAsia="Times New Roman" w:hAnsi="Calibri Light" w:cs="Times New Roman"/>
                <w:iCs/>
                <w:color w:val="495965"/>
                <w:szCs w:val="17"/>
              </w:rPr>
              <w:t>$13.7m</w:t>
            </w:r>
          </w:p>
          <w:p w:rsidR="00726EB9" w:rsidRDefault="00726EB9" w:rsidP="00F6471F">
            <w:pPr>
              <w:suppressAutoHyphens w:val="0"/>
              <w:spacing w:before="0" w:after="0" w:line="240" w:lineRule="auto"/>
              <w:jc w:val="right"/>
              <w:rPr>
                <w:rFonts w:ascii="Calibri Light" w:eastAsia="Times New Roman" w:hAnsi="Calibri Light" w:cs="Times New Roman"/>
                <w:iCs/>
                <w:color w:val="495965"/>
                <w:szCs w:val="17"/>
              </w:rPr>
            </w:pPr>
            <w:r>
              <w:rPr>
                <w:rFonts w:ascii="Calibri Light" w:eastAsia="Times New Roman" w:hAnsi="Calibri Light" w:cs="Times New Roman"/>
                <w:iCs/>
                <w:color w:val="495965"/>
                <w:szCs w:val="17"/>
              </w:rPr>
              <w:t>2012-2017</w:t>
            </w:r>
          </w:p>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Cs w:val="17"/>
                <w:lang w:val="en-AU"/>
              </w:rPr>
            </w:pPr>
          </w:p>
        </w:tc>
        <w:tc>
          <w:tcPr>
            <w:tcW w:w="412" w:type="pct"/>
            <w:shd w:val="clear" w:color="auto" w:fill="FFFF00"/>
            <w:hideMark/>
          </w:tcPr>
          <w:p w:rsidR="00726EB9" w:rsidRPr="008B2F77" w:rsidRDefault="00726EB9" w:rsidP="00F6471F">
            <w:pPr>
              <w:suppressAutoHyphens w:val="0"/>
              <w:spacing w:before="0" w:after="0" w:line="240" w:lineRule="auto"/>
              <w:jc w:val="center"/>
              <w:rPr>
                <w:rFonts w:ascii="Calibri Light" w:eastAsia="Times New Roman" w:hAnsi="Calibri Light" w:cs="Times New Roman"/>
                <w:color w:val="495965"/>
                <w:szCs w:val="17"/>
                <w:lang w:val="en-AU"/>
              </w:rPr>
            </w:pPr>
            <w:r>
              <w:rPr>
                <w:rFonts w:ascii="Calibri Light" w:eastAsia="Times New Roman" w:hAnsi="Calibri Light" w:cs="Times New Roman"/>
                <w:color w:val="495965"/>
                <w:szCs w:val="17"/>
                <w:lang w:val="en-AU"/>
              </w:rPr>
              <w:t>4</w:t>
            </w:r>
          </w:p>
        </w:tc>
        <w:tc>
          <w:tcPr>
            <w:tcW w:w="410" w:type="pct"/>
            <w:shd w:val="clear" w:color="auto" w:fill="FFFF00"/>
            <w:noWrap/>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Cs w:val="17"/>
                <w:lang w:val="en-AU"/>
              </w:rPr>
            </w:pPr>
            <w:r w:rsidRPr="008B2F77">
              <w:rPr>
                <w:rFonts w:ascii="Calibri Light" w:eastAsia="Times New Roman" w:hAnsi="Calibri Light" w:cs="Times New Roman"/>
                <w:iCs/>
                <w:color w:val="495965"/>
                <w:szCs w:val="17"/>
              </w:rPr>
              <w:t>4</w:t>
            </w:r>
          </w:p>
        </w:tc>
        <w:tc>
          <w:tcPr>
            <w:tcW w:w="411" w:type="pct"/>
            <w:shd w:val="clear" w:color="auto" w:fill="92D050"/>
            <w:noWrap/>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Cs w:val="17"/>
                <w:lang w:val="en-AU"/>
              </w:rPr>
            </w:pPr>
            <w:r w:rsidRPr="008B2F77">
              <w:rPr>
                <w:rFonts w:ascii="Calibri Light" w:eastAsia="Times New Roman" w:hAnsi="Calibri Light" w:cs="Times New Roman"/>
                <w:iCs/>
                <w:color w:val="495965"/>
                <w:szCs w:val="17"/>
              </w:rPr>
              <w:t>5</w:t>
            </w:r>
          </w:p>
        </w:tc>
        <w:tc>
          <w:tcPr>
            <w:tcW w:w="410" w:type="pct"/>
            <w:shd w:val="clear" w:color="auto" w:fill="FFFF00"/>
            <w:noWrap/>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Cs w:val="17"/>
                <w:lang w:val="en-AU"/>
              </w:rPr>
            </w:pPr>
            <w:r>
              <w:rPr>
                <w:rFonts w:ascii="Calibri Light" w:eastAsia="Times New Roman" w:hAnsi="Calibri Light" w:cs="Times New Roman"/>
                <w:color w:val="495965"/>
                <w:szCs w:val="17"/>
                <w:lang w:val="en-AU"/>
              </w:rPr>
              <w:t>4</w:t>
            </w:r>
          </w:p>
        </w:tc>
        <w:tc>
          <w:tcPr>
            <w:tcW w:w="412" w:type="pct"/>
            <w:shd w:val="clear" w:color="auto" w:fill="92D050"/>
            <w:noWrap/>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Cs w:val="17"/>
                <w:lang w:val="en-AU"/>
              </w:rPr>
            </w:pPr>
            <w:r w:rsidRPr="008B2F77">
              <w:rPr>
                <w:rFonts w:ascii="Calibri Light" w:eastAsia="Times New Roman" w:hAnsi="Calibri Light" w:cs="Times New Roman"/>
                <w:iCs/>
                <w:color w:val="495965"/>
                <w:szCs w:val="17"/>
              </w:rPr>
              <w:t>5</w:t>
            </w:r>
          </w:p>
        </w:tc>
        <w:tc>
          <w:tcPr>
            <w:tcW w:w="410" w:type="pct"/>
            <w:shd w:val="clear" w:color="auto" w:fill="FFFF00"/>
            <w:noWrap/>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Cs w:val="17"/>
                <w:lang w:val="en-AU"/>
              </w:rPr>
            </w:pPr>
            <w:r>
              <w:rPr>
                <w:rFonts w:ascii="Calibri Light" w:eastAsia="Times New Roman" w:hAnsi="Calibri Light" w:cs="Times New Roman"/>
                <w:color w:val="495965"/>
                <w:szCs w:val="17"/>
                <w:lang w:val="en-AU"/>
              </w:rPr>
              <w:t>4</w:t>
            </w:r>
          </w:p>
        </w:tc>
        <w:tc>
          <w:tcPr>
            <w:tcW w:w="413" w:type="pct"/>
            <w:shd w:val="clear" w:color="auto" w:fill="92D050"/>
            <w:noWrap/>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Cs w:val="17"/>
                <w:lang w:val="en-AU"/>
              </w:rPr>
            </w:pPr>
            <w:r w:rsidRPr="008B2F77">
              <w:rPr>
                <w:rFonts w:ascii="Calibri Light" w:eastAsia="Times New Roman" w:hAnsi="Calibri Light" w:cs="Times New Roman"/>
                <w:iCs/>
                <w:color w:val="495965"/>
                <w:szCs w:val="17"/>
              </w:rPr>
              <w:t>5</w:t>
            </w:r>
          </w:p>
        </w:tc>
        <w:tc>
          <w:tcPr>
            <w:tcW w:w="408" w:type="pct"/>
            <w:shd w:val="clear" w:color="auto" w:fill="FFFF00"/>
            <w:hideMark/>
          </w:tcPr>
          <w:p w:rsidR="00726EB9" w:rsidRPr="008B2F77" w:rsidRDefault="00726EB9" w:rsidP="00F6471F">
            <w:pPr>
              <w:suppressAutoHyphens w:val="0"/>
              <w:spacing w:before="0" w:after="0" w:line="240" w:lineRule="auto"/>
              <w:jc w:val="right"/>
              <w:rPr>
                <w:rFonts w:ascii="Calibri Light" w:eastAsia="Times New Roman" w:hAnsi="Calibri Light" w:cs="Times New Roman"/>
                <w:color w:val="495965"/>
                <w:szCs w:val="17"/>
                <w:lang w:val="en-AU"/>
              </w:rPr>
            </w:pPr>
            <w:r>
              <w:rPr>
                <w:rFonts w:ascii="Calibri Light" w:eastAsia="Times New Roman" w:hAnsi="Calibri Light" w:cs="Times New Roman"/>
                <w:iCs/>
                <w:color w:val="495965"/>
                <w:szCs w:val="17"/>
              </w:rPr>
              <w:t>n/a</w:t>
            </w:r>
          </w:p>
        </w:tc>
      </w:tr>
    </w:tbl>
    <w:p w:rsidR="00726EB9" w:rsidRPr="00812509" w:rsidRDefault="00726EB9" w:rsidP="00726EB9">
      <w:pPr>
        <w:spacing w:before="20" w:after="20" w:line="180" w:lineRule="atLeast"/>
        <w:jc w:val="both"/>
        <w:rPr>
          <w:rFonts w:eastAsia="Times New Roman"/>
          <w:b/>
          <w:sz w:val="14"/>
          <w:szCs w:val="14"/>
        </w:rPr>
      </w:pPr>
    </w:p>
    <w:p w:rsidR="00A46AAE" w:rsidRDefault="0057433C" w:rsidP="00726EB9">
      <w:pPr>
        <w:spacing w:before="20" w:after="20" w:line="180" w:lineRule="atLeast"/>
        <w:jc w:val="both"/>
        <w:rPr>
          <w:rFonts w:eastAsia="Times New Roman"/>
          <w:b/>
          <w:sz w:val="16"/>
          <w:szCs w:val="14"/>
        </w:rPr>
      </w:pPr>
      <w:r>
        <w:rPr>
          <w:rFonts w:eastAsia="Times New Roman"/>
          <w:b/>
          <w:sz w:val="16"/>
          <w:szCs w:val="14"/>
        </w:rPr>
        <w:t xml:space="preserve">Definitions of rating scale: </w:t>
      </w:r>
    </w:p>
    <w:p w:rsidR="00A46AAE" w:rsidRDefault="00A46AAE" w:rsidP="00726EB9">
      <w:pPr>
        <w:spacing w:before="20" w:after="20" w:line="180" w:lineRule="atLeast"/>
        <w:jc w:val="both"/>
        <w:rPr>
          <w:rFonts w:eastAsia="Times New Roman"/>
          <w:b/>
          <w:sz w:val="16"/>
          <w:szCs w:val="14"/>
        </w:rPr>
      </w:pPr>
    </w:p>
    <w:p w:rsidR="00726EB9" w:rsidRPr="00812509" w:rsidRDefault="00726EB9" w:rsidP="00726EB9">
      <w:pPr>
        <w:spacing w:before="20" w:after="20" w:line="180" w:lineRule="atLeast"/>
        <w:jc w:val="both"/>
        <w:rPr>
          <w:rFonts w:eastAsia="Times New Roman"/>
          <w:b/>
          <w:sz w:val="16"/>
          <w:szCs w:val="14"/>
        </w:rPr>
      </w:pPr>
      <w:r w:rsidRPr="00812509">
        <w:rPr>
          <w:rFonts w:eastAsia="Times New Roman"/>
          <w:b/>
          <w:sz w:val="16"/>
          <w:szCs w:val="14"/>
        </w:rPr>
        <w:t>Satisfactory (4, 5 and 6)</w:t>
      </w:r>
    </w:p>
    <w:p w:rsidR="00726EB9" w:rsidRPr="00A46AAE" w:rsidRDefault="00726EB9" w:rsidP="00726EB9">
      <w:pPr>
        <w:spacing w:before="20" w:after="20" w:line="180" w:lineRule="atLeast"/>
        <w:rPr>
          <w:rFonts w:eastAsia="Times New Roman"/>
          <w:b/>
          <w:sz w:val="16"/>
          <w:szCs w:val="14"/>
        </w:rPr>
      </w:pPr>
      <w:r w:rsidRPr="00812509">
        <w:rPr>
          <w:rFonts w:eastAsia="Times New Roman"/>
          <w:b/>
          <w:color w:val="72AF2F"/>
          <w:sz w:val="16"/>
          <w:szCs w:val="14"/>
        </w:rPr>
        <w:sym w:font="Webdings" w:char="F067"/>
      </w:r>
      <w:r w:rsidRPr="00812509">
        <w:rPr>
          <w:rFonts w:eastAsia="Times New Roman"/>
          <w:b/>
          <w:sz w:val="16"/>
          <w:szCs w:val="14"/>
        </w:rPr>
        <w:t xml:space="preserve"> </w:t>
      </w:r>
      <w:r w:rsidRPr="00A46AAE">
        <w:rPr>
          <w:rFonts w:eastAsia="Times New Roman"/>
          <w:b/>
          <w:sz w:val="16"/>
          <w:szCs w:val="14"/>
        </w:rPr>
        <w:t xml:space="preserve">6 = Very good; satisfies criteria in all areas.  </w:t>
      </w:r>
      <w:r w:rsidRPr="00A46AAE">
        <w:rPr>
          <w:rFonts w:eastAsia="Times New Roman"/>
          <w:b/>
          <w:sz w:val="16"/>
          <w:szCs w:val="14"/>
        </w:rPr>
        <w:br/>
      </w:r>
      <w:r w:rsidRPr="00A46AAE">
        <w:rPr>
          <w:rFonts w:eastAsia="Times New Roman"/>
          <w:b/>
          <w:color w:val="72AF2F"/>
          <w:sz w:val="16"/>
          <w:szCs w:val="14"/>
        </w:rPr>
        <w:sym w:font="Webdings" w:char="F067"/>
      </w:r>
      <w:r w:rsidRPr="00A46AAE">
        <w:rPr>
          <w:rFonts w:eastAsia="Times New Roman"/>
          <w:b/>
          <w:sz w:val="16"/>
          <w:szCs w:val="14"/>
        </w:rPr>
        <w:t xml:space="preserve"> 5 = Good; satisfies criteria in almost all areas.</w:t>
      </w:r>
    </w:p>
    <w:p w:rsidR="00726EB9" w:rsidRPr="00A46AAE" w:rsidRDefault="00726EB9" w:rsidP="00726EB9">
      <w:pPr>
        <w:spacing w:before="20" w:after="20" w:line="180" w:lineRule="atLeast"/>
        <w:rPr>
          <w:rFonts w:eastAsia="Times New Roman"/>
          <w:b/>
          <w:sz w:val="16"/>
          <w:szCs w:val="14"/>
        </w:rPr>
      </w:pPr>
      <w:r w:rsidRPr="00A46AAE">
        <w:rPr>
          <w:rFonts w:eastAsia="Times New Roman"/>
          <w:b/>
          <w:color w:val="FFFF00"/>
          <w:sz w:val="16"/>
          <w:szCs w:val="14"/>
        </w:rPr>
        <w:sym w:font="Webdings" w:char="F067"/>
      </w:r>
      <w:r w:rsidRPr="00A46AAE">
        <w:rPr>
          <w:rFonts w:eastAsia="Times New Roman"/>
          <w:b/>
          <w:sz w:val="16"/>
          <w:szCs w:val="14"/>
        </w:rPr>
        <w:t xml:space="preserve"> 4 = Adequate; on balance, satisfies criteria; does not fail in any major area.</w:t>
      </w:r>
    </w:p>
    <w:p w:rsidR="00A46AAE" w:rsidRDefault="00A46AAE" w:rsidP="00726EB9">
      <w:pPr>
        <w:spacing w:before="20" w:after="20" w:line="180" w:lineRule="atLeast"/>
        <w:rPr>
          <w:rFonts w:eastAsia="Times New Roman"/>
          <w:b/>
          <w:sz w:val="16"/>
          <w:szCs w:val="14"/>
        </w:rPr>
      </w:pPr>
    </w:p>
    <w:p w:rsidR="00726EB9" w:rsidRPr="00A46AAE" w:rsidRDefault="00726EB9" w:rsidP="00726EB9">
      <w:pPr>
        <w:spacing w:before="20" w:after="20" w:line="180" w:lineRule="atLeast"/>
        <w:rPr>
          <w:rFonts w:eastAsia="Times New Roman"/>
          <w:b/>
          <w:sz w:val="16"/>
          <w:szCs w:val="14"/>
        </w:rPr>
      </w:pPr>
      <w:r w:rsidRPr="00A46AAE">
        <w:rPr>
          <w:rFonts w:eastAsia="Times New Roman"/>
          <w:b/>
          <w:sz w:val="16"/>
          <w:szCs w:val="14"/>
        </w:rPr>
        <w:t>Less than satisfactory (1, 2 and 3)</w:t>
      </w:r>
    </w:p>
    <w:p w:rsidR="00726EB9" w:rsidRPr="00A46AAE" w:rsidRDefault="00726EB9" w:rsidP="00726EB9">
      <w:pPr>
        <w:spacing w:before="20" w:after="20" w:line="180" w:lineRule="atLeast"/>
        <w:rPr>
          <w:rFonts w:eastAsia="Times New Roman"/>
          <w:b/>
          <w:sz w:val="16"/>
          <w:szCs w:val="14"/>
        </w:rPr>
      </w:pPr>
      <w:r w:rsidRPr="00A46AAE">
        <w:rPr>
          <w:rFonts w:eastAsia="Times New Roman"/>
          <w:b/>
          <w:color w:val="E36C0A"/>
          <w:sz w:val="16"/>
          <w:szCs w:val="14"/>
        </w:rPr>
        <w:sym w:font="Webdings" w:char="F067"/>
      </w:r>
      <w:r w:rsidRPr="00A46AAE">
        <w:rPr>
          <w:rFonts w:eastAsia="Times New Roman"/>
          <w:b/>
          <w:color w:val="E36C0A"/>
          <w:sz w:val="16"/>
          <w:szCs w:val="14"/>
        </w:rPr>
        <w:t xml:space="preserve"> </w:t>
      </w:r>
      <w:r w:rsidRPr="00A46AAE">
        <w:rPr>
          <w:rFonts w:eastAsia="Times New Roman"/>
          <w:b/>
          <w:sz w:val="16"/>
          <w:szCs w:val="14"/>
        </w:rPr>
        <w:t>3 = Less than adequate; on balance does not satisfy criteria and/or fails in at least one major area.</w:t>
      </w:r>
    </w:p>
    <w:p w:rsidR="00753530" w:rsidRDefault="00726EB9" w:rsidP="0057433C">
      <w:pPr>
        <w:spacing w:before="20" w:after="20" w:line="180" w:lineRule="atLeast"/>
      </w:pPr>
      <w:r w:rsidRPr="00A46AAE">
        <w:rPr>
          <w:rFonts w:eastAsia="Times New Roman"/>
          <w:b/>
          <w:color w:val="FF0000"/>
          <w:sz w:val="16"/>
          <w:szCs w:val="14"/>
        </w:rPr>
        <w:sym w:font="Webdings" w:char="F067"/>
      </w:r>
      <w:r w:rsidRPr="00A46AAE">
        <w:rPr>
          <w:rFonts w:eastAsia="Times New Roman"/>
          <w:b/>
          <w:sz w:val="16"/>
          <w:szCs w:val="14"/>
        </w:rPr>
        <w:t xml:space="preserve"> 2 = Poor; does not satisfy criteria in major areas.  </w:t>
      </w:r>
      <w:r w:rsidRPr="00A46AAE">
        <w:rPr>
          <w:rFonts w:eastAsia="Times New Roman"/>
          <w:b/>
          <w:sz w:val="16"/>
          <w:szCs w:val="14"/>
        </w:rPr>
        <w:br/>
      </w:r>
      <w:r w:rsidRPr="00A46AAE">
        <w:rPr>
          <w:rFonts w:eastAsia="Times New Roman"/>
          <w:b/>
          <w:color w:val="FF0000"/>
          <w:sz w:val="16"/>
          <w:szCs w:val="14"/>
        </w:rPr>
        <w:sym w:font="Webdings" w:char="F067"/>
      </w:r>
      <w:r w:rsidRPr="00A46AAE">
        <w:rPr>
          <w:rFonts w:eastAsia="Times New Roman"/>
          <w:b/>
          <w:sz w:val="16"/>
          <w:szCs w:val="14"/>
        </w:rPr>
        <w:t xml:space="preserve"> 1 = Very poor; does not satisfy criteria in many major area.</w:t>
      </w:r>
      <w:r w:rsidR="00753530">
        <w:br w:type="page"/>
      </w:r>
    </w:p>
    <w:p w:rsidR="00400B0F" w:rsidRPr="007B4725" w:rsidRDefault="00400B0F" w:rsidP="007B4725">
      <w:pPr>
        <w:spacing w:before="0" w:after="0" w:line="180" w:lineRule="atLeast"/>
        <w:rPr>
          <w:rFonts w:asciiTheme="majorHAnsi" w:eastAsiaTheme="majorEastAsia" w:hAnsiTheme="majorHAnsi" w:cstheme="majorBidi"/>
          <w:b/>
          <w:bCs/>
          <w:iCs/>
          <w:caps/>
          <w:spacing w:val="-10"/>
          <w:kern w:val="28"/>
          <w:sz w:val="38"/>
          <w:szCs w:val="38"/>
        </w:rPr>
      </w:pPr>
      <w:r w:rsidRPr="007B4725">
        <w:rPr>
          <w:rFonts w:asciiTheme="majorHAnsi" w:eastAsiaTheme="majorEastAsia" w:hAnsiTheme="majorHAnsi" w:cstheme="majorBidi"/>
          <w:b/>
          <w:bCs/>
          <w:iCs/>
          <w:caps/>
          <w:spacing w:val="-10"/>
          <w:kern w:val="28"/>
          <w:sz w:val="38"/>
          <w:szCs w:val="38"/>
        </w:rPr>
        <w:t>Annex E – Performance Assessment Framework</w:t>
      </w:r>
      <w:r w:rsidR="001B1B71" w:rsidRPr="007B4725">
        <w:rPr>
          <w:rFonts w:asciiTheme="majorHAnsi" w:eastAsiaTheme="majorEastAsia" w:hAnsiTheme="majorHAnsi" w:cstheme="majorBidi"/>
          <w:b/>
          <w:bCs/>
          <w:iCs/>
          <w:caps/>
          <w:spacing w:val="-10"/>
          <w:kern w:val="28"/>
          <w:sz w:val="38"/>
          <w:szCs w:val="38"/>
        </w:rPr>
        <w:t xml:space="preserve"> 2016-17 TO 2017-18</w:t>
      </w:r>
    </w:p>
    <w:p w:rsidR="009D28B5" w:rsidRPr="00784031" w:rsidRDefault="009D28B5" w:rsidP="00400B0F">
      <w:pPr>
        <w:spacing w:before="20" w:after="20" w:line="180" w:lineRule="atLeast"/>
        <w:rPr>
          <w:rFonts w:eastAsiaTheme="majorEastAsia" w:cstheme="majorBidi"/>
          <w:bCs/>
          <w:iCs/>
          <w:caps/>
          <w:spacing w:val="-10"/>
          <w:kern w:val="28"/>
          <w:sz w:val="38"/>
          <w:szCs w:val="24"/>
        </w:rPr>
      </w:pPr>
    </w:p>
    <w:tbl>
      <w:tblPr>
        <w:tblW w:w="11980" w:type="dxa"/>
        <w:tblLook w:val="04A0" w:firstRow="1" w:lastRow="0" w:firstColumn="1" w:lastColumn="0" w:noHBand="0" w:noVBand="1"/>
      </w:tblPr>
      <w:tblGrid>
        <w:gridCol w:w="3460"/>
        <w:gridCol w:w="2560"/>
        <w:gridCol w:w="3160"/>
        <w:gridCol w:w="1400"/>
        <w:gridCol w:w="1400"/>
      </w:tblGrid>
      <w:tr w:rsidR="001B1B71" w:rsidTr="001B1B71">
        <w:trPr>
          <w:trHeight w:val="765"/>
        </w:trPr>
        <w:tc>
          <w:tcPr>
            <w:tcW w:w="3460" w:type="dxa"/>
            <w:tcBorders>
              <w:top w:val="single" w:sz="4" w:space="0" w:color="auto"/>
              <w:left w:val="single" w:sz="4" w:space="0" w:color="auto"/>
              <w:bottom w:val="single" w:sz="4" w:space="0" w:color="auto"/>
              <w:right w:val="single" w:sz="4" w:space="0" w:color="auto"/>
            </w:tcBorders>
            <w:shd w:val="clear" w:color="auto" w:fill="DDECD0"/>
            <w:vAlign w:val="center"/>
            <w:hideMark/>
          </w:tcPr>
          <w:p w:rsidR="001B1B71" w:rsidRDefault="001B1B71">
            <w:pPr>
              <w:suppressAutoHyphens w:val="0"/>
              <w:spacing w:before="0" w:after="0" w:line="240" w:lineRule="auto"/>
              <w:jc w:val="center"/>
              <w:rPr>
                <w:rFonts w:ascii="Calibri Light" w:eastAsia="Times New Roman" w:hAnsi="Calibri Light" w:cs="Times New Roman"/>
                <w:b/>
                <w:bCs/>
                <w:color w:val="495965"/>
                <w:sz w:val="20"/>
                <w:szCs w:val="20"/>
                <w:lang w:val="en-AU" w:eastAsia="en-AU"/>
              </w:rPr>
            </w:pPr>
            <w:r>
              <w:rPr>
                <w:rFonts w:ascii="Calibri Light" w:eastAsia="Times New Roman" w:hAnsi="Calibri Light" w:cstheme="minorHAnsi"/>
                <w:b/>
                <w:bCs/>
                <w:color w:val="495965"/>
                <w:sz w:val="20"/>
                <w:szCs w:val="20"/>
                <w:lang w:eastAsia="en-AU"/>
              </w:rPr>
              <w:t>Relevant Vision 2025 Strategic Priorities</w:t>
            </w:r>
          </w:p>
        </w:tc>
        <w:tc>
          <w:tcPr>
            <w:tcW w:w="2560" w:type="dxa"/>
            <w:tcBorders>
              <w:top w:val="single" w:sz="4" w:space="0" w:color="auto"/>
              <w:left w:val="nil"/>
              <w:bottom w:val="single" w:sz="4" w:space="0" w:color="auto"/>
              <w:right w:val="single" w:sz="4" w:space="0" w:color="auto"/>
            </w:tcBorders>
            <w:shd w:val="clear" w:color="auto" w:fill="E7E6E6"/>
            <w:vAlign w:val="center"/>
            <w:hideMark/>
          </w:tcPr>
          <w:p w:rsidR="001B1B71" w:rsidRDefault="001B1B71">
            <w:pPr>
              <w:suppressAutoHyphens w:val="0"/>
              <w:spacing w:before="0" w:after="0" w:line="240" w:lineRule="auto"/>
              <w:jc w:val="center"/>
              <w:rPr>
                <w:rFonts w:ascii="Calibri Light" w:eastAsia="Times New Roman" w:hAnsi="Calibri Light" w:cs="Times New Roman"/>
                <w:b/>
                <w:bCs/>
                <w:color w:val="495965"/>
                <w:sz w:val="20"/>
                <w:szCs w:val="20"/>
                <w:lang w:val="en-AU" w:eastAsia="en-AU"/>
              </w:rPr>
            </w:pPr>
            <w:r>
              <w:rPr>
                <w:rFonts w:ascii="Calibri Light" w:eastAsia="Times New Roman" w:hAnsi="Calibri Light" w:cstheme="minorHAnsi"/>
                <w:b/>
                <w:bCs/>
                <w:color w:val="495965"/>
                <w:sz w:val="20"/>
                <w:szCs w:val="20"/>
                <w:lang w:eastAsia="en-AU"/>
              </w:rPr>
              <w:t>End-of-Aid Investment Plan Outcomes (2018-19)</w:t>
            </w:r>
          </w:p>
        </w:tc>
        <w:tc>
          <w:tcPr>
            <w:tcW w:w="3160" w:type="dxa"/>
            <w:tcBorders>
              <w:top w:val="single" w:sz="4" w:space="0" w:color="auto"/>
              <w:left w:val="nil"/>
              <w:bottom w:val="single" w:sz="4" w:space="0" w:color="auto"/>
              <w:right w:val="single" w:sz="4" w:space="0" w:color="auto"/>
            </w:tcBorders>
            <w:shd w:val="clear" w:color="auto" w:fill="E7E6E6"/>
            <w:vAlign w:val="center"/>
            <w:hideMark/>
          </w:tcPr>
          <w:p w:rsidR="001B1B71" w:rsidRDefault="001B1B71">
            <w:pPr>
              <w:suppressAutoHyphens w:val="0"/>
              <w:spacing w:before="0" w:after="0" w:line="240" w:lineRule="auto"/>
              <w:jc w:val="center"/>
              <w:rPr>
                <w:rFonts w:ascii="Calibri Light" w:eastAsia="Times New Roman" w:hAnsi="Calibri Light" w:cs="Times New Roman"/>
                <w:b/>
                <w:bCs/>
                <w:color w:val="495965"/>
                <w:sz w:val="20"/>
                <w:szCs w:val="20"/>
                <w:lang w:val="en-AU" w:eastAsia="en-AU"/>
              </w:rPr>
            </w:pPr>
            <w:r>
              <w:rPr>
                <w:rFonts w:ascii="Calibri Light" w:eastAsia="Times New Roman" w:hAnsi="Calibri Light" w:cstheme="minorHAnsi"/>
                <w:b/>
                <w:bCs/>
                <w:color w:val="495965"/>
                <w:sz w:val="20"/>
                <w:szCs w:val="20"/>
                <w:lang w:eastAsia="en-AU"/>
              </w:rPr>
              <w:t xml:space="preserve">Indicators </w:t>
            </w:r>
            <w:r>
              <w:rPr>
                <w:rFonts w:ascii="Calibri Light" w:eastAsia="Times New Roman" w:hAnsi="Calibri Light" w:cstheme="minorHAnsi"/>
                <w:b/>
                <w:bCs/>
                <w:color w:val="495965"/>
                <w:sz w:val="20"/>
                <w:szCs w:val="20"/>
                <w:lang w:eastAsia="en-AU"/>
              </w:rPr>
              <w:br/>
              <w:t>(Indicators in bold are Performance Benchmarks)</w:t>
            </w:r>
          </w:p>
        </w:tc>
        <w:tc>
          <w:tcPr>
            <w:tcW w:w="1400" w:type="dxa"/>
            <w:tcBorders>
              <w:top w:val="single" w:sz="4" w:space="0" w:color="auto"/>
              <w:left w:val="nil"/>
              <w:bottom w:val="single" w:sz="4" w:space="0" w:color="auto"/>
              <w:right w:val="single" w:sz="4" w:space="0" w:color="auto"/>
            </w:tcBorders>
            <w:shd w:val="clear" w:color="auto" w:fill="E7E6E6"/>
            <w:vAlign w:val="center"/>
            <w:hideMark/>
          </w:tcPr>
          <w:p w:rsidR="001B1B71" w:rsidRDefault="001B1B71">
            <w:pPr>
              <w:suppressAutoHyphens w:val="0"/>
              <w:spacing w:before="0" w:after="0" w:line="240" w:lineRule="auto"/>
              <w:jc w:val="center"/>
              <w:rPr>
                <w:rFonts w:ascii="Calibri Light" w:eastAsia="Times New Roman" w:hAnsi="Calibri Light" w:cs="Times New Roman"/>
                <w:b/>
                <w:bCs/>
                <w:color w:val="495965"/>
                <w:sz w:val="20"/>
                <w:szCs w:val="20"/>
                <w:lang w:val="en-AU" w:eastAsia="en-AU"/>
              </w:rPr>
            </w:pPr>
            <w:r>
              <w:rPr>
                <w:rFonts w:ascii="Calibri Light" w:eastAsia="Times New Roman" w:hAnsi="Calibri Light" w:cstheme="minorHAnsi"/>
                <w:b/>
                <w:bCs/>
                <w:color w:val="495965"/>
                <w:sz w:val="20"/>
                <w:szCs w:val="20"/>
                <w:lang w:eastAsia="en-AU"/>
              </w:rPr>
              <w:t xml:space="preserve">2016/17 target </w:t>
            </w:r>
          </w:p>
        </w:tc>
        <w:tc>
          <w:tcPr>
            <w:tcW w:w="1400" w:type="dxa"/>
            <w:tcBorders>
              <w:top w:val="single" w:sz="4" w:space="0" w:color="auto"/>
              <w:left w:val="nil"/>
              <w:bottom w:val="single" w:sz="4" w:space="0" w:color="auto"/>
              <w:right w:val="single" w:sz="4" w:space="0" w:color="auto"/>
            </w:tcBorders>
            <w:shd w:val="clear" w:color="auto" w:fill="E7E6E6"/>
            <w:vAlign w:val="center"/>
            <w:hideMark/>
          </w:tcPr>
          <w:p w:rsidR="001B1B71" w:rsidRDefault="001B1B71">
            <w:pPr>
              <w:suppressAutoHyphens w:val="0"/>
              <w:spacing w:before="0" w:after="0" w:line="240" w:lineRule="auto"/>
              <w:jc w:val="center"/>
              <w:rPr>
                <w:rFonts w:ascii="Calibri Light" w:eastAsia="Times New Roman" w:hAnsi="Calibri Light" w:cs="Times New Roman"/>
                <w:b/>
                <w:bCs/>
                <w:color w:val="495965"/>
                <w:sz w:val="20"/>
                <w:szCs w:val="20"/>
                <w:lang w:val="en-AU" w:eastAsia="en-AU"/>
              </w:rPr>
            </w:pPr>
            <w:r>
              <w:rPr>
                <w:rFonts w:ascii="Calibri Light" w:eastAsia="Times New Roman" w:hAnsi="Calibri Light" w:cstheme="minorHAnsi"/>
                <w:b/>
                <w:bCs/>
                <w:color w:val="495965"/>
                <w:sz w:val="20"/>
                <w:szCs w:val="20"/>
                <w:lang w:eastAsia="en-AU"/>
              </w:rPr>
              <w:t>2017/18 target</w:t>
            </w:r>
          </w:p>
        </w:tc>
      </w:tr>
      <w:tr w:rsidR="001B1B71" w:rsidTr="001B1B71">
        <w:trPr>
          <w:trHeight w:val="2880"/>
        </w:trPr>
        <w:tc>
          <w:tcPr>
            <w:tcW w:w="3460" w:type="dxa"/>
            <w:tcBorders>
              <w:top w:val="nil"/>
              <w:left w:val="single" w:sz="4" w:space="0" w:color="auto"/>
              <w:bottom w:val="nil"/>
              <w:right w:val="single" w:sz="4" w:space="0" w:color="auto"/>
            </w:tcBorders>
            <w:shd w:val="clear" w:color="auto" w:fill="DDECD0"/>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b/>
                <w:bCs/>
                <w:color w:val="495965"/>
                <w:sz w:val="18"/>
                <w:szCs w:val="18"/>
                <w:lang w:eastAsia="en-AU"/>
              </w:rPr>
              <w:t>Pillar 4 – Energy, Water and Food Security</w:t>
            </w:r>
            <w:r>
              <w:rPr>
                <w:rFonts w:ascii="Calibri Light" w:eastAsia="Times New Roman" w:hAnsi="Calibri Light" w:cstheme="minorHAnsi"/>
                <w:color w:val="495965"/>
                <w:sz w:val="18"/>
                <w:szCs w:val="18"/>
                <w:lang w:eastAsia="en-AU"/>
              </w:rPr>
              <w:br/>
              <w:t>Investing in proven methods and technologies to improve efficient use and allocation of water resources. Goals include establishing institutional mechanisms such as a National Water Commission (Water Goals 2, 3 &amp; 4).</w:t>
            </w:r>
            <w:r>
              <w:rPr>
                <w:rFonts w:ascii="Calibri Light" w:eastAsia="Times New Roman" w:hAnsi="Calibri Light" w:cstheme="minorHAnsi"/>
                <w:color w:val="495965"/>
                <w:sz w:val="18"/>
                <w:szCs w:val="18"/>
                <w:lang w:eastAsia="en-AU"/>
              </w:rPr>
              <w:br/>
              <w:t xml:space="preserve">Creating a modern, efficient and diversified agriculture sector, including improvement of food production and supply chains. (Food Security Goals 2, 3, 4). </w:t>
            </w:r>
          </w:p>
        </w:tc>
        <w:tc>
          <w:tcPr>
            <w:tcW w:w="2560" w:type="dxa"/>
            <w:tcBorders>
              <w:top w:val="nil"/>
              <w:left w:val="nil"/>
              <w:bottom w:val="nil"/>
              <w:right w:val="single" w:sz="4" w:space="0" w:color="auto"/>
            </w:tcBorders>
            <w:shd w:val="clear" w:color="auto" w:fill="D8DCDB"/>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heme="minorHAnsi"/>
                <w:b/>
                <w:bCs/>
                <w:color w:val="495965"/>
                <w:sz w:val="18"/>
                <w:szCs w:val="18"/>
                <w:u w:val="single"/>
                <w:lang w:eastAsia="en-AU"/>
              </w:rPr>
              <w:t>Outcome 1:</w:t>
            </w:r>
            <w:r>
              <w:rPr>
                <w:rFonts w:ascii="Calibri Light" w:eastAsia="Times New Roman" w:hAnsi="Calibri Light" w:cstheme="minorHAnsi"/>
                <w:color w:val="495965"/>
                <w:sz w:val="18"/>
                <w:szCs w:val="18"/>
                <w:lang w:eastAsia="en-AU"/>
              </w:rPr>
              <w:t xml:space="preserve">  Selected value chains are more inclusive </w:t>
            </w:r>
          </w:p>
        </w:tc>
        <w:tc>
          <w:tcPr>
            <w:tcW w:w="3160" w:type="dxa"/>
            <w:tcBorders>
              <w:top w:val="nil"/>
              <w:left w:val="nil"/>
              <w:bottom w:val="single" w:sz="4" w:space="0" w:color="auto"/>
              <w:right w:val="single" w:sz="4" w:space="0" w:color="auto"/>
            </w:tcBorders>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 xml:space="preserve">1.      Number of poor women and men with increased incomes (ADR)[1] </w:t>
            </w:r>
            <w:r>
              <w:rPr>
                <w:rFonts w:ascii="Calibri Light" w:eastAsia="Times New Roman" w:hAnsi="Calibri Light" w:cstheme="minorHAnsi"/>
                <w:color w:val="495965"/>
                <w:sz w:val="18"/>
                <w:szCs w:val="18"/>
                <w:lang w:eastAsia="en-AU"/>
              </w:rPr>
              <w:br/>
              <w:t xml:space="preserve">Data Sources: </w:t>
            </w:r>
            <w:proofErr w:type="spellStart"/>
            <w:r>
              <w:rPr>
                <w:rFonts w:ascii="Calibri Light" w:eastAsia="Times New Roman" w:hAnsi="Calibri Light" w:cstheme="minorHAnsi"/>
                <w:color w:val="495965"/>
                <w:sz w:val="18"/>
                <w:szCs w:val="18"/>
                <w:lang w:eastAsia="en-AU"/>
              </w:rPr>
              <w:t>AusABBA</w:t>
            </w:r>
            <w:proofErr w:type="spellEnd"/>
            <w:r>
              <w:rPr>
                <w:rFonts w:ascii="Calibri Light" w:eastAsia="Times New Roman" w:hAnsi="Calibri Light" w:cstheme="minorHAnsi"/>
                <w:color w:val="495965"/>
                <w:sz w:val="18"/>
                <w:szCs w:val="18"/>
                <w:lang w:eastAsia="en-AU"/>
              </w:rPr>
              <w:t xml:space="preserve"> 1 &amp; 2; AVCCR; SRSP WEEMD annual reports, MDF</w:t>
            </w:r>
          </w:p>
        </w:tc>
        <w:tc>
          <w:tcPr>
            <w:tcW w:w="1400" w:type="dxa"/>
            <w:tcBorders>
              <w:top w:val="nil"/>
              <w:left w:val="nil"/>
              <w:bottom w:val="single" w:sz="4" w:space="0" w:color="auto"/>
              <w:right w:val="single" w:sz="4" w:space="0" w:color="auto"/>
            </w:tcBorders>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MDF (14,700 men, 8600 women)</w:t>
            </w:r>
            <w:r>
              <w:rPr>
                <w:rFonts w:ascii="Calibri Light" w:eastAsia="Times New Roman" w:hAnsi="Calibri Light" w:cstheme="minorHAnsi"/>
                <w:color w:val="495965"/>
                <w:sz w:val="18"/>
                <w:szCs w:val="18"/>
                <w:lang w:eastAsia="en-AU"/>
              </w:rPr>
              <w:br/>
            </w:r>
            <w:proofErr w:type="spellStart"/>
            <w:r>
              <w:rPr>
                <w:rFonts w:ascii="Calibri Light" w:eastAsia="Times New Roman" w:hAnsi="Calibri Light" w:cstheme="minorHAnsi"/>
                <w:color w:val="495965"/>
                <w:sz w:val="18"/>
                <w:szCs w:val="18"/>
                <w:lang w:eastAsia="en-AU"/>
              </w:rPr>
              <w:t>AusABBA</w:t>
            </w:r>
            <w:proofErr w:type="spellEnd"/>
            <w:r>
              <w:rPr>
                <w:rFonts w:ascii="Calibri Light" w:eastAsia="Times New Roman" w:hAnsi="Calibri Light" w:cstheme="minorHAnsi"/>
                <w:color w:val="495965"/>
                <w:sz w:val="18"/>
                <w:szCs w:val="18"/>
                <w:lang w:eastAsia="en-AU"/>
              </w:rPr>
              <w:t xml:space="preserve"> 1 (4428 men; 4402 women)</w:t>
            </w:r>
            <w:r>
              <w:rPr>
                <w:rFonts w:ascii="Calibri Light" w:eastAsia="Times New Roman" w:hAnsi="Calibri Light" w:cstheme="minorHAnsi"/>
                <w:color w:val="495965"/>
                <w:sz w:val="18"/>
                <w:szCs w:val="18"/>
                <w:lang w:eastAsia="en-AU"/>
              </w:rPr>
              <w:br/>
              <w:t>SRSP (170 men; 280 women)</w:t>
            </w:r>
          </w:p>
        </w:tc>
        <w:tc>
          <w:tcPr>
            <w:tcW w:w="1400" w:type="dxa"/>
            <w:tcBorders>
              <w:top w:val="nil"/>
              <w:left w:val="nil"/>
              <w:bottom w:val="single" w:sz="4" w:space="0" w:color="auto"/>
              <w:right w:val="single" w:sz="4" w:space="0" w:color="auto"/>
            </w:tcBorders>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MDF (21,100 men, 12,400 women)</w:t>
            </w:r>
            <w:r>
              <w:rPr>
                <w:rFonts w:ascii="Calibri Light" w:eastAsia="Times New Roman" w:hAnsi="Calibri Light" w:cstheme="minorHAnsi"/>
                <w:color w:val="495965"/>
                <w:sz w:val="18"/>
                <w:szCs w:val="18"/>
                <w:lang w:eastAsia="en-AU"/>
              </w:rPr>
              <w:br/>
            </w:r>
            <w:proofErr w:type="spellStart"/>
            <w:r>
              <w:rPr>
                <w:rFonts w:ascii="Calibri Light" w:eastAsia="Times New Roman" w:hAnsi="Calibri Light" w:cstheme="minorHAnsi"/>
                <w:color w:val="495965"/>
                <w:sz w:val="18"/>
                <w:szCs w:val="18"/>
                <w:lang w:eastAsia="en-AU"/>
              </w:rPr>
              <w:t>AusABBA</w:t>
            </w:r>
            <w:proofErr w:type="spellEnd"/>
            <w:r>
              <w:rPr>
                <w:rFonts w:ascii="Calibri Light" w:eastAsia="Times New Roman" w:hAnsi="Calibri Light" w:cstheme="minorHAnsi"/>
                <w:color w:val="495965"/>
                <w:sz w:val="18"/>
                <w:szCs w:val="18"/>
                <w:lang w:eastAsia="en-AU"/>
              </w:rPr>
              <w:t xml:space="preserve"> (TBC)</w:t>
            </w:r>
            <w:r>
              <w:rPr>
                <w:rFonts w:ascii="Calibri Light" w:eastAsia="Times New Roman" w:hAnsi="Calibri Light" w:cstheme="minorHAnsi"/>
                <w:color w:val="495965"/>
                <w:sz w:val="18"/>
                <w:szCs w:val="18"/>
                <w:lang w:eastAsia="en-AU"/>
              </w:rPr>
              <w:br/>
              <w:t>SRSP (155 men; 250 women)</w:t>
            </w:r>
          </w:p>
        </w:tc>
      </w:tr>
      <w:tr w:rsidR="001B1B71" w:rsidTr="001B1B71">
        <w:trPr>
          <w:trHeight w:val="1200"/>
        </w:trPr>
        <w:tc>
          <w:tcPr>
            <w:tcW w:w="3460" w:type="dxa"/>
            <w:tcBorders>
              <w:top w:val="nil"/>
              <w:left w:val="single" w:sz="4" w:space="0" w:color="auto"/>
              <w:bottom w:val="single" w:sz="4" w:space="0" w:color="auto"/>
              <w:right w:val="single" w:sz="4" w:space="0" w:color="auto"/>
            </w:tcBorders>
            <w:shd w:val="clear" w:color="auto" w:fill="DDECD0"/>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imes New Roman"/>
                <w:color w:val="495965"/>
                <w:sz w:val="18"/>
                <w:szCs w:val="18"/>
                <w:lang w:val="en-AU" w:eastAsia="en-AU"/>
              </w:rPr>
              <w:t> </w:t>
            </w:r>
          </w:p>
        </w:tc>
        <w:tc>
          <w:tcPr>
            <w:tcW w:w="2560" w:type="dxa"/>
            <w:tcBorders>
              <w:top w:val="nil"/>
              <w:left w:val="nil"/>
              <w:bottom w:val="nil"/>
              <w:right w:val="single" w:sz="4" w:space="0" w:color="auto"/>
            </w:tcBorders>
            <w:shd w:val="clear" w:color="auto" w:fill="D8DCDB"/>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imes New Roman"/>
                <w:color w:val="495965"/>
                <w:sz w:val="18"/>
                <w:szCs w:val="18"/>
                <w:u w:val="single"/>
                <w:lang w:val="en-AU" w:eastAsia="en-AU"/>
              </w:rPr>
              <w:t> </w:t>
            </w:r>
          </w:p>
        </w:tc>
        <w:tc>
          <w:tcPr>
            <w:tcW w:w="3160" w:type="dxa"/>
            <w:tcBorders>
              <w:top w:val="nil"/>
              <w:left w:val="nil"/>
              <w:bottom w:val="single" w:sz="4" w:space="0" w:color="auto"/>
              <w:right w:val="single" w:sz="4" w:space="0" w:color="auto"/>
            </w:tcBorders>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2.</w:t>
            </w:r>
            <w:r>
              <w:rPr>
                <w:rFonts w:ascii="Times New Roman" w:eastAsia="Times New Roman" w:hAnsi="Times New Roman" w:cs="Times New Roman"/>
                <w:color w:val="495965"/>
                <w:sz w:val="14"/>
                <w:szCs w:val="14"/>
                <w:lang w:eastAsia="en-AU"/>
              </w:rPr>
              <w:t xml:space="preserve">      </w:t>
            </w:r>
            <w:r>
              <w:rPr>
                <w:rFonts w:ascii="Calibri Light" w:eastAsia="Times New Roman" w:hAnsi="Calibri Light" w:cstheme="minorHAnsi"/>
                <w:color w:val="495965"/>
                <w:sz w:val="18"/>
                <w:szCs w:val="18"/>
                <w:lang w:eastAsia="en-AU"/>
              </w:rPr>
              <w:t>Value of Private Sector investment leveraged for inclusive, pro-poor growth (ADR)</w:t>
            </w:r>
            <w:r>
              <w:rPr>
                <w:rFonts w:ascii="Calibri Light" w:eastAsia="Times New Roman" w:hAnsi="Calibri Light" w:cstheme="minorHAnsi"/>
                <w:color w:val="495965"/>
                <w:sz w:val="18"/>
                <w:szCs w:val="18"/>
                <w:lang w:eastAsia="en-AU"/>
              </w:rPr>
              <w:br/>
              <w:t xml:space="preserve">Data Sources: </w:t>
            </w:r>
            <w:proofErr w:type="spellStart"/>
            <w:r>
              <w:rPr>
                <w:rFonts w:ascii="Calibri Light" w:eastAsia="Times New Roman" w:hAnsi="Calibri Light" w:cstheme="minorHAnsi"/>
                <w:color w:val="495965"/>
                <w:sz w:val="18"/>
                <w:szCs w:val="18"/>
                <w:lang w:eastAsia="en-AU"/>
              </w:rPr>
              <w:t>AusABBA</w:t>
            </w:r>
            <w:proofErr w:type="spellEnd"/>
            <w:r>
              <w:rPr>
                <w:rFonts w:ascii="Calibri Light" w:eastAsia="Times New Roman" w:hAnsi="Calibri Light" w:cstheme="minorHAnsi"/>
                <w:color w:val="495965"/>
                <w:sz w:val="18"/>
                <w:szCs w:val="18"/>
                <w:lang w:eastAsia="en-AU"/>
              </w:rPr>
              <w:t xml:space="preserve"> 1 &amp; 2, AVCCR, MDF</w:t>
            </w:r>
          </w:p>
        </w:tc>
        <w:tc>
          <w:tcPr>
            <w:tcW w:w="1400" w:type="dxa"/>
            <w:tcBorders>
              <w:top w:val="nil"/>
              <w:left w:val="nil"/>
              <w:bottom w:val="single" w:sz="4" w:space="0" w:color="auto"/>
              <w:right w:val="single" w:sz="4" w:space="0" w:color="auto"/>
            </w:tcBorders>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1,097,240 (</w:t>
            </w:r>
            <w:proofErr w:type="spellStart"/>
            <w:r>
              <w:rPr>
                <w:rFonts w:ascii="Calibri Light" w:eastAsia="Times New Roman" w:hAnsi="Calibri Light" w:cstheme="minorHAnsi"/>
                <w:color w:val="495965"/>
                <w:sz w:val="18"/>
                <w:szCs w:val="18"/>
                <w:lang w:eastAsia="en-AU"/>
              </w:rPr>
              <w:t>AusABBA</w:t>
            </w:r>
            <w:proofErr w:type="spellEnd"/>
            <w:r>
              <w:rPr>
                <w:rFonts w:ascii="Calibri Light" w:eastAsia="Times New Roman" w:hAnsi="Calibri Light" w:cstheme="minorHAnsi"/>
                <w:color w:val="495965"/>
                <w:sz w:val="18"/>
                <w:szCs w:val="18"/>
                <w:lang w:eastAsia="en-AU"/>
              </w:rPr>
              <w:t xml:space="preserve"> 1)</w:t>
            </w:r>
            <w:r>
              <w:rPr>
                <w:rFonts w:ascii="Calibri Light" w:eastAsia="Times New Roman" w:hAnsi="Calibri Light" w:cstheme="minorHAnsi"/>
                <w:color w:val="495965"/>
                <w:sz w:val="18"/>
                <w:szCs w:val="18"/>
                <w:lang w:eastAsia="en-AU"/>
              </w:rPr>
              <w:br/>
              <w:t>AUD 862,376 (MDF)</w:t>
            </w:r>
          </w:p>
        </w:tc>
        <w:tc>
          <w:tcPr>
            <w:tcW w:w="1400" w:type="dxa"/>
            <w:tcBorders>
              <w:top w:val="nil"/>
              <w:left w:val="nil"/>
              <w:bottom w:val="single" w:sz="4" w:space="0" w:color="auto"/>
              <w:right w:val="single" w:sz="4" w:space="0" w:color="auto"/>
            </w:tcBorders>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AUD 608,736 (MDF)</w:t>
            </w:r>
            <w:r>
              <w:rPr>
                <w:rFonts w:ascii="Calibri Light" w:eastAsia="Times New Roman" w:hAnsi="Calibri Light" w:cstheme="minorHAnsi"/>
                <w:color w:val="495965"/>
                <w:sz w:val="18"/>
                <w:szCs w:val="18"/>
                <w:lang w:eastAsia="en-AU"/>
              </w:rPr>
              <w:br/>
              <w:t>PTIPP analytics inform Trade Strategy</w:t>
            </w:r>
          </w:p>
        </w:tc>
      </w:tr>
      <w:tr w:rsidR="001B1B71" w:rsidTr="001B1B71">
        <w:trPr>
          <w:trHeight w:val="2790"/>
        </w:trPr>
        <w:tc>
          <w:tcPr>
            <w:tcW w:w="3460" w:type="dxa"/>
            <w:tcBorders>
              <w:top w:val="single" w:sz="4" w:space="0" w:color="FFFFFF" w:themeColor="background1"/>
              <w:left w:val="single" w:sz="4" w:space="0" w:color="auto"/>
              <w:bottom w:val="nil"/>
              <w:right w:val="single" w:sz="4" w:space="0" w:color="auto"/>
            </w:tcBorders>
            <w:shd w:val="clear" w:color="auto" w:fill="DDECD0"/>
            <w:hideMark/>
          </w:tcPr>
          <w:p w:rsidR="001B1B71" w:rsidRDefault="001B1B71">
            <w:pPr>
              <w:suppressAutoHyphens w:val="0"/>
              <w:spacing w:before="0" w:after="0" w:line="240" w:lineRule="auto"/>
              <w:rPr>
                <w:rFonts w:ascii="Calibri Light" w:eastAsia="Times New Roman" w:hAnsi="Calibri Light" w:cs="Times New Roman"/>
                <w:b/>
                <w:bCs/>
                <w:color w:val="495965"/>
                <w:sz w:val="20"/>
                <w:szCs w:val="20"/>
                <w:lang w:val="en-AU" w:eastAsia="en-AU"/>
              </w:rPr>
            </w:pPr>
            <w:r>
              <w:rPr>
                <w:rFonts w:ascii="Calibri Light" w:eastAsia="Times New Roman" w:hAnsi="Calibri Light" w:cstheme="minorHAnsi"/>
                <w:b/>
                <w:bCs/>
                <w:color w:val="495965"/>
                <w:sz w:val="20"/>
                <w:szCs w:val="20"/>
                <w:lang w:eastAsia="en-AU"/>
              </w:rPr>
              <w:t>Pillar 5 – Private Sector and Entrepreneurship Led Growth</w:t>
            </w:r>
            <w:r>
              <w:rPr>
                <w:rFonts w:ascii="Calibri Light" w:eastAsia="Times New Roman" w:hAnsi="Calibri Light" w:cstheme="minorHAnsi"/>
                <w:b/>
                <w:bCs/>
                <w:color w:val="495965"/>
                <w:sz w:val="20"/>
                <w:szCs w:val="20"/>
                <w:lang w:eastAsia="en-AU"/>
              </w:rPr>
              <w:br/>
            </w:r>
            <w:r>
              <w:rPr>
                <w:rFonts w:ascii="Calibri Light" w:eastAsia="Times New Roman" w:hAnsi="Calibri Light" w:cstheme="minorHAnsi"/>
                <w:color w:val="495965"/>
                <w:sz w:val="20"/>
                <w:szCs w:val="20"/>
                <w:lang w:eastAsia="en-AU"/>
              </w:rPr>
              <w:t>Creating employment through supporting Small and Medium Enterprises. Goals include that by 2025, 2m SMEs (from a baseline of 1.73m) will provide 25m jobs (from a baseline of 14.9m), contributing PKR16 trillion to GDP (from a baseline of PKR9.4 trillion) and generating USD54bn in exports (from a baseline of USD18.2bn)</w:t>
            </w:r>
          </w:p>
        </w:tc>
        <w:tc>
          <w:tcPr>
            <w:tcW w:w="2560" w:type="dxa"/>
            <w:tcBorders>
              <w:top w:val="single" w:sz="4" w:space="0" w:color="FFFFFF" w:themeColor="background1"/>
              <w:left w:val="nil"/>
              <w:bottom w:val="nil"/>
              <w:right w:val="single" w:sz="4" w:space="0" w:color="auto"/>
            </w:tcBorders>
            <w:shd w:val="clear" w:color="auto" w:fill="D8DCDB"/>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heme="minorHAnsi"/>
                <w:b/>
                <w:bCs/>
                <w:color w:val="495965"/>
                <w:sz w:val="18"/>
                <w:szCs w:val="18"/>
                <w:u w:val="single"/>
                <w:lang w:eastAsia="en-AU"/>
              </w:rPr>
              <w:t>Outcome 2</w:t>
            </w:r>
            <w:r>
              <w:rPr>
                <w:rFonts w:ascii="Calibri Light" w:eastAsia="Times New Roman" w:hAnsi="Calibri Light" w:cstheme="minorHAnsi"/>
                <w:color w:val="495965"/>
                <w:sz w:val="18"/>
                <w:szCs w:val="18"/>
                <w:u w:val="single"/>
                <w:lang w:eastAsia="en-AU"/>
              </w:rPr>
              <w:t>:</w:t>
            </w:r>
            <w:r>
              <w:rPr>
                <w:rFonts w:ascii="Calibri Light" w:eastAsia="Times New Roman" w:hAnsi="Calibri Light" w:cstheme="minorHAnsi"/>
                <w:color w:val="495965"/>
                <w:sz w:val="18"/>
                <w:szCs w:val="18"/>
                <w:lang w:eastAsia="en-AU"/>
              </w:rPr>
              <w:t xml:space="preserve"> Governments, enterprises and smallholders are adopting evidence-based agriculture, water and trade policy reforms as a result of Australian investments</w:t>
            </w:r>
          </w:p>
        </w:tc>
        <w:tc>
          <w:tcPr>
            <w:tcW w:w="3160" w:type="dxa"/>
            <w:tcBorders>
              <w:top w:val="single" w:sz="4" w:space="0" w:color="FFFFFF" w:themeColor="background1"/>
              <w:left w:val="nil"/>
              <w:bottom w:val="single" w:sz="4" w:space="0" w:color="auto"/>
              <w:right w:val="single" w:sz="4" w:space="0" w:color="auto"/>
            </w:tcBorders>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3.</w:t>
            </w:r>
            <w:r>
              <w:rPr>
                <w:rFonts w:ascii="Times New Roman" w:eastAsia="Times New Roman" w:hAnsi="Times New Roman" w:cs="Times New Roman"/>
                <w:color w:val="495965"/>
                <w:sz w:val="14"/>
                <w:szCs w:val="14"/>
                <w:lang w:eastAsia="en-AU"/>
              </w:rPr>
              <w:t xml:space="preserve">     </w:t>
            </w:r>
            <w:r>
              <w:rPr>
                <w:rFonts w:ascii="Calibri Light" w:eastAsia="Times New Roman" w:hAnsi="Calibri Light" w:cstheme="minorHAnsi"/>
                <w:color w:val="495965"/>
                <w:sz w:val="18"/>
                <w:szCs w:val="18"/>
                <w:lang w:eastAsia="en-AU"/>
              </w:rPr>
              <w:t xml:space="preserve">Evidence that Australian engagement has contributed to policy reform on agriculture, water and trade policy </w:t>
            </w:r>
            <w:r>
              <w:rPr>
                <w:rFonts w:ascii="Calibri Light" w:eastAsia="Times New Roman" w:hAnsi="Calibri Light" w:cstheme="minorHAnsi"/>
                <w:color w:val="495965"/>
                <w:sz w:val="18"/>
                <w:szCs w:val="18"/>
                <w:lang w:eastAsia="en-AU"/>
              </w:rPr>
              <w:br/>
              <w:t xml:space="preserve">Data Sources: PTIPP, SMART Punjab, AVCCR, </w:t>
            </w:r>
            <w:proofErr w:type="spellStart"/>
            <w:r>
              <w:rPr>
                <w:rFonts w:ascii="Calibri Light" w:eastAsia="Times New Roman" w:hAnsi="Calibri Light" w:cstheme="minorHAnsi"/>
                <w:color w:val="495965"/>
                <w:sz w:val="18"/>
                <w:szCs w:val="18"/>
                <w:lang w:eastAsia="en-AU"/>
              </w:rPr>
              <w:t>AusABBA</w:t>
            </w:r>
            <w:proofErr w:type="spellEnd"/>
            <w:r>
              <w:rPr>
                <w:rFonts w:ascii="Calibri Light" w:eastAsia="Times New Roman" w:hAnsi="Calibri Light" w:cstheme="minorHAnsi"/>
                <w:color w:val="495965"/>
                <w:sz w:val="18"/>
                <w:szCs w:val="18"/>
                <w:lang w:eastAsia="en-AU"/>
              </w:rPr>
              <w:t xml:space="preserve"> 2, SRSP, Business Partnership Platform (Better Cotton Initiative and Better Seeds). </w:t>
            </w:r>
          </w:p>
        </w:tc>
        <w:tc>
          <w:tcPr>
            <w:tcW w:w="1400" w:type="dxa"/>
            <w:tcBorders>
              <w:top w:val="single" w:sz="4" w:space="0" w:color="FFFFFF" w:themeColor="background1"/>
              <w:left w:val="nil"/>
              <w:bottom w:val="single" w:sz="4" w:space="0" w:color="auto"/>
              <w:right w:val="single" w:sz="4" w:space="0" w:color="auto"/>
            </w:tcBorders>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 xml:space="preserve">Annual qualitative assessment </w:t>
            </w:r>
          </w:p>
        </w:tc>
        <w:tc>
          <w:tcPr>
            <w:tcW w:w="1400" w:type="dxa"/>
            <w:tcBorders>
              <w:top w:val="single" w:sz="4" w:space="0" w:color="FFFFFF" w:themeColor="background1"/>
              <w:left w:val="nil"/>
              <w:bottom w:val="single" w:sz="4" w:space="0" w:color="auto"/>
              <w:right w:val="single" w:sz="4" w:space="0" w:color="auto"/>
            </w:tcBorders>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Water: Signing of MOU; Holding first Advisory Committee Meeting.</w:t>
            </w:r>
          </w:p>
        </w:tc>
      </w:tr>
      <w:tr w:rsidR="001B1B71" w:rsidTr="001B1B71">
        <w:trPr>
          <w:trHeight w:val="2865"/>
        </w:trPr>
        <w:tc>
          <w:tcPr>
            <w:tcW w:w="3460" w:type="dxa"/>
            <w:tcBorders>
              <w:top w:val="nil"/>
              <w:left w:val="single" w:sz="4" w:space="0" w:color="auto"/>
              <w:bottom w:val="nil"/>
              <w:right w:val="single" w:sz="4" w:space="0" w:color="auto"/>
            </w:tcBorders>
            <w:shd w:val="clear" w:color="auto" w:fill="DDECD0"/>
            <w:hideMark/>
          </w:tcPr>
          <w:p w:rsidR="001B1B71" w:rsidRDefault="001B1B71">
            <w:pPr>
              <w:suppressAutoHyphens w:val="0"/>
              <w:spacing w:before="0" w:after="0" w:line="240" w:lineRule="auto"/>
              <w:rPr>
                <w:rFonts w:ascii="Calibri Light" w:eastAsia="Times New Roman" w:hAnsi="Calibri Light" w:cs="Times New Roman"/>
                <w:b/>
                <w:bCs/>
                <w:color w:val="495965"/>
                <w:sz w:val="20"/>
                <w:szCs w:val="20"/>
                <w:lang w:val="en-AU" w:eastAsia="en-AU"/>
              </w:rPr>
            </w:pPr>
            <w:r>
              <w:rPr>
                <w:rFonts w:ascii="Calibri Light" w:eastAsia="Times New Roman" w:hAnsi="Calibri Light" w:cstheme="minorHAnsi"/>
                <w:b/>
                <w:bCs/>
                <w:color w:val="495965"/>
                <w:sz w:val="20"/>
                <w:szCs w:val="20"/>
                <w:lang w:eastAsia="en-AU"/>
              </w:rPr>
              <w:t>Pillar 6 – Developing a Competitive Knowledge Economy through Value Addition</w:t>
            </w:r>
            <w:r>
              <w:rPr>
                <w:rFonts w:ascii="Calibri Light" w:eastAsia="Times New Roman" w:hAnsi="Calibri Light" w:cstheme="minorHAnsi"/>
                <w:b/>
                <w:bCs/>
                <w:color w:val="495965"/>
                <w:sz w:val="20"/>
                <w:szCs w:val="20"/>
                <w:lang w:eastAsia="en-AU"/>
              </w:rPr>
              <w:br/>
            </w:r>
            <w:r>
              <w:rPr>
                <w:rFonts w:ascii="Calibri Light" w:eastAsia="Times New Roman" w:hAnsi="Calibri Light" w:cstheme="minorHAnsi"/>
                <w:color w:val="495965"/>
                <w:sz w:val="20"/>
                <w:szCs w:val="20"/>
                <w:lang w:eastAsia="en-AU"/>
              </w:rPr>
              <w:t>Enhancing competitiveness, including through reducing the time and cost of trading across borders, improving collaboration between private firms, government and academic institutions, developing value chains, and applying knowledge for increased productivity in Agriculture.</w:t>
            </w:r>
          </w:p>
        </w:tc>
        <w:tc>
          <w:tcPr>
            <w:tcW w:w="2560" w:type="dxa"/>
            <w:tcBorders>
              <w:top w:val="nil"/>
              <w:left w:val="nil"/>
              <w:bottom w:val="nil"/>
              <w:right w:val="single" w:sz="4" w:space="0" w:color="auto"/>
            </w:tcBorders>
            <w:shd w:val="clear" w:color="auto" w:fill="D8DCDB"/>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imes New Roman"/>
                <w:color w:val="495965"/>
                <w:sz w:val="18"/>
                <w:szCs w:val="18"/>
                <w:u w:val="single"/>
                <w:lang w:val="en-AU" w:eastAsia="en-AU"/>
              </w:rPr>
              <w:t> </w:t>
            </w:r>
          </w:p>
        </w:tc>
        <w:tc>
          <w:tcPr>
            <w:tcW w:w="3160" w:type="dxa"/>
            <w:tcBorders>
              <w:top w:val="nil"/>
              <w:left w:val="nil"/>
              <w:bottom w:val="single" w:sz="4" w:space="0" w:color="auto"/>
              <w:right w:val="single" w:sz="4" w:space="0" w:color="auto"/>
            </w:tcBorders>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4.</w:t>
            </w:r>
            <w:r>
              <w:rPr>
                <w:rFonts w:ascii="Times New Roman" w:eastAsia="Times New Roman" w:hAnsi="Times New Roman" w:cs="Times New Roman"/>
                <w:color w:val="495965"/>
                <w:sz w:val="14"/>
                <w:szCs w:val="14"/>
                <w:lang w:eastAsia="en-AU"/>
              </w:rPr>
              <w:t xml:space="preserve">     </w:t>
            </w:r>
            <w:r>
              <w:rPr>
                <w:rFonts w:ascii="Calibri Light" w:eastAsia="Times New Roman" w:hAnsi="Calibri Light" w:cstheme="minorHAnsi"/>
                <w:color w:val="495965"/>
                <w:sz w:val="18"/>
                <w:szCs w:val="18"/>
                <w:lang w:eastAsia="en-AU"/>
              </w:rPr>
              <w:t>Reduction in the time, cost and bureaucracy associated with movement of goods across target border/s.</w:t>
            </w:r>
            <w:r>
              <w:rPr>
                <w:rFonts w:ascii="Calibri Light" w:eastAsia="Times New Roman" w:hAnsi="Calibri Light" w:cstheme="minorHAnsi"/>
                <w:color w:val="495965"/>
                <w:sz w:val="18"/>
                <w:szCs w:val="18"/>
                <w:lang w:eastAsia="en-AU"/>
              </w:rPr>
              <w:br/>
              <w:t>Data source: PTIPP Biannual Progress Report</w:t>
            </w:r>
          </w:p>
        </w:tc>
        <w:tc>
          <w:tcPr>
            <w:tcW w:w="1400" w:type="dxa"/>
            <w:tcBorders>
              <w:top w:val="nil"/>
              <w:left w:val="nil"/>
              <w:bottom w:val="nil"/>
              <w:right w:val="single" w:sz="4" w:space="0" w:color="auto"/>
            </w:tcBorders>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N/A</w:t>
            </w:r>
          </w:p>
        </w:tc>
        <w:tc>
          <w:tcPr>
            <w:tcW w:w="1400" w:type="dxa"/>
            <w:tcBorders>
              <w:top w:val="nil"/>
              <w:left w:val="nil"/>
              <w:bottom w:val="nil"/>
              <w:right w:val="single" w:sz="4" w:space="0" w:color="auto"/>
            </w:tcBorders>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15% reduction in the time to comply with business regulations; and ii) reduction in # of documents to trade through Wagah by 2.</w:t>
            </w:r>
          </w:p>
        </w:tc>
      </w:tr>
      <w:tr w:rsidR="001B1B71" w:rsidTr="001B1B71">
        <w:trPr>
          <w:trHeight w:val="1440"/>
        </w:trPr>
        <w:tc>
          <w:tcPr>
            <w:tcW w:w="3460" w:type="dxa"/>
            <w:tcBorders>
              <w:top w:val="nil"/>
              <w:left w:val="single" w:sz="4" w:space="0" w:color="auto"/>
              <w:bottom w:val="nil"/>
              <w:right w:val="single" w:sz="4" w:space="0" w:color="auto"/>
            </w:tcBorders>
            <w:shd w:val="clear" w:color="auto" w:fill="DDECD0"/>
            <w:hideMark/>
          </w:tcPr>
          <w:p w:rsidR="001B1B71" w:rsidRDefault="001B1B71">
            <w:pPr>
              <w:suppressAutoHyphens w:val="0"/>
              <w:spacing w:before="0" w:after="0" w:line="240" w:lineRule="auto"/>
              <w:rPr>
                <w:rFonts w:ascii="Calibri Light" w:eastAsia="Times New Roman" w:hAnsi="Calibri Light" w:cs="Times New Roman"/>
                <w:b/>
                <w:bCs/>
                <w:color w:val="495965"/>
                <w:sz w:val="20"/>
                <w:szCs w:val="20"/>
                <w:lang w:val="en-AU" w:eastAsia="en-AU"/>
              </w:rPr>
            </w:pPr>
            <w:r>
              <w:rPr>
                <w:rFonts w:ascii="Calibri Light" w:eastAsia="Times New Roman" w:hAnsi="Calibri Light" w:cs="Times New Roman"/>
                <w:b/>
                <w:bCs/>
                <w:color w:val="495965"/>
                <w:sz w:val="20"/>
                <w:szCs w:val="20"/>
                <w:lang w:val="en-AU" w:eastAsia="en-AU"/>
              </w:rPr>
              <w:t> </w:t>
            </w:r>
          </w:p>
        </w:tc>
        <w:tc>
          <w:tcPr>
            <w:tcW w:w="2560" w:type="dxa"/>
            <w:tcBorders>
              <w:top w:val="nil"/>
              <w:left w:val="nil"/>
              <w:bottom w:val="nil"/>
              <w:right w:val="single" w:sz="4" w:space="0" w:color="auto"/>
            </w:tcBorders>
            <w:shd w:val="clear" w:color="auto" w:fill="D8DCDB"/>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imes New Roman"/>
                <w:color w:val="495965"/>
                <w:sz w:val="18"/>
                <w:szCs w:val="18"/>
                <w:u w:val="single"/>
                <w:lang w:val="en-AU" w:eastAsia="en-AU"/>
              </w:rPr>
              <w:t> </w:t>
            </w:r>
          </w:p>
        </w:tc>
        <w:tc>
          <w:tcPr>
            <w:tcW w:w="3160" w:type="dxa"/>
            <w:tcBorders>
              <w:top w:val="single" w:sz="4" w:space="0" w:color="auto"/>
              <w:left w:val="nil"/>
              <w:bottom w:val="single" w:sz="4" w:space="0" w:color="FFFFFF" w:themeColor="background1"/>
              <w:right w:val="single" w:sz="4" w:space="0" w:color="auto"/>
            </w:tcBorders>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5.</w:t>
            </w:r>
            <w:r>
              <w:rPr>
                <w:rFonts w:ascii="Times New Roman" w:eastAsia="Times New Roman" w:hAnsi="Times New Roman" w:cs="Times New Roman"/>
                <w:color w:val="495965"/>
                <w:sz w:val="14"/>
                <w:szCs w:val="14"/>
                <w:lang w:eastAsia="en-AU"/>
              </w:rPr>
              <w:t xml:space="preserve">     </w:t>
            </w:r>
            <w:r>
              <w:rPr>
                <w:rFonts w:ascii="Calibri Light" w:eastAsia="Times New Roman" w:hAnsi="Calibri Light" w:cstheme="minorHAnsi"/>
                <w:color w:val="495965"/>
                <w:sz w:val="18"/>
                <w:szCs w:val="18"/>
                <w:lang w:eastAsia="en-AU"/>
              </w:rPr>
              <w:t xml:space="preserve">% of Pakistan development program funding committed to aid-for-trade programs (AID PROGRAM STRATEGIC TARGET – AID FOR TRADE) </w:t>
            </w:r>
            <w:r>
              <w:rPr>
                <w:rFonts w:ascii="Calibri Light" w:eastAsia="Times New Roman" w:hAnsi="Calibri Light" w:cstheme="minorHAnsi"/>
                <w:color w:val="495965"/>
                <w:sz w:val="18"/>
                <w:szCs w:val="18"/>
                <w:lang w:eastAsia="en-AU"/>
              </w:rPr>
              <w:br/>
              <w:t>Data source: all aid for trade investments</w:t>
            </w:r>
          </w:p>
        </w:tc>
        <w:tc>
          <w:tcPr>
            <w:tcW w:w="1400" w:type="dxa"/>
            <w:tcBorders>
              <w:top w:val="single" w:sz="4" w:space="0" w:color="auto"/>
              <w:left w:val="nil"/>
              <w:bottom w:val="single" w:sz="4" w:space="0" w:color="auto"/>
              <w:right w:val="single" w:sz="4" w:space="0" w:color="auto"/>
            </w:tcBorders>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22%</w:t>
            </w:r>
          </w:p>
        </w:tc>
        <w:tc>
          <w:tcPr>
            <w:tcW w:w="1400" w:type="dxa"/>
            <w:tcBorders>
              <w:top w:val="single" w:sz="4" w:space="0" w:color="auto"/>
              <w:left w:val="nil"/>
              <w:bottom w:val="single" w:sz="4" w:space="0" w:color="auto"/>
              <w:right w:val="single" w:sz="4" w:space="0" w:color="auto"/>
            </w:tcBorders>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25%</w:t>
            </w:r>
          </w:p>
        </w:tc>
      </w:tr>
      <w:tr w:rsidR="001B1B71" w:rsidTr="001B1B71">
        <w:trPr>
          <w:trHeight w:val="2640"/>
        </w:trPr>
        <w:tc>
          <w:tcPr>
            <w:tcW w:w="3460" w:type="dxa"/>
            <w:tcBorders>
              <w:top w:val="nil"/>
              <w:left w:val="single" w:sz="4" w:space="0" w:color="auto"/>
              <w:bottom w:val="nil"/>
              <w:right w:val="nil"/>
            </w:tcBorders>
            <w:shd w:val="clear" w:color="auto" w:fill="DDECD0"/>
            <w:hideMark/>
          </w:tcPr>
          <w:p w:rsidR="001B1B71" w:rsidRDefault="008D5DBB">
            <w:pPr>
              <w:suppressAutoHyphens w:val="0"/>
              <w:spacing w:before="0" w:after="0" w:line="240" w:lineRule="auto"/>
              <w:rPr>
                <w:rFonts w:ascii="Calibri Light" w:eastAsia="Times New Roman" w:hAnsi="Calibri Light" w:cs="Times New Roman"/>
                <w:b/>
                <w:bCs/>
                <w:color w:val="495965"/>
                <w:sz w:val="20"/>
                <w:szCs w:val="20"/>
                <w:lang w:val="en-AU" w:eastAsia="en-AU"/>
              </w:rPr>
            </w:pPr>
            <w:r>
              <w:br w:type="page"/>
            </w:r>
            <w:r w:rsidR="001B1B71">
              <w:rPr>
                <w:rFonts w:ascii="Calibri Light" w:eastAsia="Times New Roman" w:hAnsi="Calibri Light" w:cstheme="minorHAnsi"/>
                <w:b/>
                <w:bCs/>
                <w:color w:val="495965"/>
                <w:sz w:val="20"/>
                <w:szCs w:val="20"/>
                <w:lang w:eastAsia="en-AU"/>
              </w:rPr>
              <w:t>Pillar 1 – Developing Human and Social Capital</w:t>
            </w:r>
            <w:r w:rsidR="001B1B71">
              <w:rPr>
                <w:rFonts w:ascii="Calibri Light" w:eastAsia="Times New Roman" w:hAnsi="Calibri Light" w:cstheme="minorHAnsi"/>
                <w:b/>
                <w:bCs/>
                <w:color w:val="495965"/>
                <w:sz w:val="20"/>
                <w:szCs w:val="20"/>
                <w:lang w:eastAsia="en-AU"/>
              </w:rPr>
              <w:br/>
            </w:r>
            <w:r w:rsidR="001B1B71">
              <w:rPr>
                <w:rFonts w:ascii="Calibri Light" w:eastAsia="Times New Roman" w:hAnsi="Calibri Light" w:cstheme="minorHAnsi"/>
                <w:color w:val="495965"/>
                <w:sz w:val="20"/>
                <w:szCs w:val="20"/>
                <w:lang w:eastAsia="en-AU"/>
              </w:rPr>
              <w:t>Raising the level of public health spending from a baseline of 0.5% of GDP to 3%. Reducing the maternal mortality ratio from a baseline of 276 to less than 140, including by increasing the proportion of births attended by a skilled birthing attendant from 52.1 to above 90.</w:t>
            </w:r>
          </w:p>
        </w:tc>
        <w:tc>
          <w:tcPr>
            <w:tcW w:w="2560" w:type="dxa"/>
            <w:tcBorders>
              <w:top w:val="nil"/>
              <w:left w:val="single" w:sz="4" w:space="0" w:color="auto"/>
              <w:bottom w:val="nil"/>
              <w:right w:val="single" w:sz="4" w:space="0" w:color="auto"/>
            </w:tcBorders>
            <w:shd w:val="clear" w:color="auto" w:fill="D8DCDB"/>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heme="minorHAnsi"/>
                <w:b/>
                <w:bCs/>
                <w:color w:val="495965"/>
                <w:sz w:val="18"/>
                <w:szCs w:val="18"/>
                <w:u w:val="single"/>
                <w:lang w:eastAsia="en-AU"/>
              </w:rPr>
              <w:t>Outcome 3</w:t>
            </w:r>
            <w:r>
              <w:rPr>
                <w:rFonts w:ascii="Calibri Light" w:eastAsia="Times New Roman" w:hAnsi="Calibri Light" w:cstheme="minorHAnsi"/>
                <w:b/>
                <w:bCs/>
                <w:color w:val="495965"/>
                <w:sz w:val="18"/>
                <w:szCs w:val="18"/>
                <w:lang w:eastAsia="en-AU"/>
              </w:rPr>
              <w:t>:</w:t>
            </w:r>
            <w:r>
              <w:rPr>
                <w:rFonts w:ascii="Calibri Light" w:eastAsia="Times New Roman" w:hAnsi="Calibri Light" w:cstheme="minorHAnsi"/>
                <w:color w:val="495965"/>
                <w:sz w:val="18"/>
                <w:szCs w:val="18"/>
                <w:lang w:eastAsia="en-AU"/>
              </w:rPr>
              <w:t xml:space="preserve"> Women and girls have better access to education, nutrition, counselling and support services  </w:t>
            </w:r>
          </w:p>
        </w:tc>
        <w:tc>
          <w:tcPr>
            <w:tcW w:w="3160" w:type="dxa"/>
            <w:tcBorders>
              <w:top w:val="nil"/>
              <w:left w:val="nil"/>
              <w:bottom w:val="nil"/>
              <w:right w:val="single" w:sz="4" w:space="0" w:color="auto"/>
            </w:tcBorders>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6.</w:t>
            </w:r>
            <w:r>
              <w:rPr>
                <w:rFonts w:ascii="Times New Roman" w:eastAsia="Times New Roman" w:hAnsi="Times New Roman" w:cs="Times New Roman"/>
                <w:color w:val="495965"/>
                <w:sz w:val="14"/>
                <w:szCs w:val="14"/>
                <w:lang w:eastAsia="en-AU"/>
              </w:rPr>
              <w:t xml:space="preserve">     </w:t>
            </w:r>
            <w:r>
              <w:rPr>
                <w:rFonts w:ascii="Calibri Light" w:eastAsia="Times New Roman" w:hAnsi="Calibri Light" w:cstheme="minorHAnsi"/>
                <w:color w:val="495965"/>
                <w:sz w:val="18"/>
                <w:szCs w:val="18"/>
                <w:lang w:eastAsia="en-AU"/>
              </w:rPr>
              <w:t>Number of boys and girls directly supported by the program, enrolled in basic education</w:t>
            </w:r>
            <w:r>
              <w:rPr>
                <w:rFonts w:ascii="Calibri Light" w:eastAsia="Times New Roman" w:hAnsi="Calibri Light" w:cstheme="minorHAnsi"/>
                <w:color w:val="495965"/>
                <w:sz w:val="18"/>
                <w:szCs w:val="18"/>
                <w:lang w:eastAsia="en-AU"/>
              </w:rPr>
              <w:br/>
              <w:t>Data Source: This is a shared outcome, as Australian aid is delivered through a Sector Wide Approach with UK Department for International Development and the Government of KP. Results and Projections shared by DFID based on the Education Management Information System</w:t>
            </w:r>
          </w:p>
        </w:tc>
        <w:tc>
          <w:tcPr>
            <w:tcW w:w="1400" w:type="dxa"/>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4.4m (1.9m girls)</w:t>
            </w:r>
          </w:p>
        </w:tc>
        <w:tc>
          <w:tcPr>
            <w:tcW w:w="1400" w:type="dxa"/>
            <w:tcBorders>
              <w:top w:val="nil"/>
              <w:left w:val="single" w:sz="4" w:space="0" w:color="auto"/>
              <w:bottom w:val="single" w:sz="4" w:space="0" w:color="auto"/>
              <w:right w:val="single" w:sz="4" w:space="0" w:color="auto"/>
            </w:tcBorders>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4.6m (2m girls)</w:t>
            </w:r>
          </w:p>
        </w:tc>
      </w:tr>
      <w:tr w:rsidR="001B1B71" w:rsidTr="001B1B71">
        <w:trPr>
          <w:trHeight w:val="1440"/>
        </w:trPr>
        <w:tc>
          <w:tcPr>
            <w:tcW w:w="3460" w:type="dxa"/>
            <w:tcBorders>
              <w:top w:val="nil"/>
              <w:left w:val="single" w:sz="4" w:space="0" w:color="auto"/>
              <w:bottom w:val="nil"/>
              <w:right w:val="nil"/>
            </w:tcBorders>
            <w:shd w:val="clear" w:color="auto" w:fill="DDECD0"/>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Reducing infant mortality rate from a baseline of 74 to less than 40. Reducing the proportion of the population below minimum level of dietary energy consumption from 30% to below 10%.</w:t>
            </w:r>
          </w:p>
        </w:tc>
        <w:tc>
          <w:tcPr>
            <w:tcW w:w="2560" w:type="dxa"/>
            <w:tcBorders>
              <w:top w:val="nil"/>
              <w:left w:val="single" w:sz="4" w:space="0" w:color="auto"/>
              <w:bottom w:val="nil"/>
              <w:right w:val="single" w:sz="4" w:space="0" w:color="auto"/>
            </w:tcBorders>
            <w:shd w:val="clear" w:color="auto" w:fill="D8DCDB"/>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imes New Roman"/>
                <w:color w:val="495965"/>
                <w:sz w:val="18"/>
                <w:szCs w:val="18"/>
                <w:u w:val="single"/>
                <w:lang w:val="en-AU" w:eastAsia="en-AU"/>
              </w:rPr>
              <w:t> </w:t>
            </w:r>
          </w:p>
        </w:tc>
        <w:tc>
          <w:tcPr>
            <w:tcW w:w="3160" w:type="dxa"/>
            <w:tcBorders>
              <w:top w:val="single" w:sz="4" w:space="0" w:color="auto"/>
              <w:left w:val="nil"/>
              <w:bottom w:val="single" w:sz="4" w:space="0" w:color="auto"/>
              <w:right w:val="single" w:sz="4" w:space="0" w:color="auto"/>
            </w:tcBorders>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7.</w:t>
            </w:r>
            <w:r>
              <w:rPr>
                <w:rFonts w:ascii="Times New Roman" w:eastAsia="Times New Roman" w:hAnsi="Times New Roman" w:cs="Times New Roman"/>
                <w:color w:val="495965"/>
                <w:sz w:val="14"/>
                <w:szCs w:val="14"/>
                <w:lang w:eastAsia="en-AU"/>
              </w:rPr>
              <w:t xml:space="preserve">     </w:t>
            </w:r>
            <w:r>
              <w:rPr>
                <w:rFonts w:ascii="Calibri Light" w:eastAsia="Times New Roman" w:hAnsi="Calibri Light" w:cstheme="minorHAnsi"/>
                <w:color w:val="495965"/>
                <w:sz w:val="18"/>
                <w:szCs w:val="18"/>
                <w:lang w:eastAsia="en-AU"/>
              </w:rPr>
              <w:t>No of eligible women, adolescent girls and children under five in target districts receiving nutrition-related services</w:t>
            </w:r>
            <w:r>
              <w:rPr>
                <w:rFonts w:ascii="Calibri Light" w:eastAsia="Times New Roman" w:hAnsi="Calibri Light" w:cstheme="minorHAnsi"/>
                <w:color w:val="495965"/>
                <w:sz w:val="18"/>
                <w:szCs w:val="18"/>
                <w:lang w:eastAsia="en-AU"/>
              </w:rPr>
              <w:br/>
              <w:t>Data source: MDTF-N Annual and Periodic Reporting</w:t>
            </w:r>
          </w:p>
        </w:tc>
        <w:tc>
          <w:tcPr>
            <w:tcW w:w="1400" w:type="dxa"/>
            <w:tcBorders>
              <w:top w:val="single" w:sz="4" w:space="0" w:color="auto"/>
              <w:left w:val="nil"/>
              <w:bottom w:val="single" w:sz="4" w:space="0" w:color="auto"/>
              <w:right w:val="single" w:sz="4" w:space="0" w:color="auto"/>
            </w:tcBorders>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77,970</w:t>
            </w:r>
          </w:p>
        </w:tc>
        <w:tc>
          <w:tcPr>
            <w:tcW w:w="1400" w:type="dxa"/>
            <w:tcBorders>
              <w:top w:val="nil"/>
              <w:left w:val="nil"/>
              <w:bottom w:val="single" w:sz="4" w:space="0" w:color="auto"/>
              <w:right w:val="single" w:sz="4" w:space="0" w:color="auto"/>
            </w:tcBorders>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80,000</w:t>
            </w:r>
          </w:p>
        </w:tc>
      </w:tr>
      <w:tr w:rsidR="001B1B71" w:rsidTr="001B1B71">
        <w:trPr>
          <w:trHeight w:val="1920"/>
        </w:trPr>
        <w:tc>
          <w:tcPr>
            <w:tcW w:w="3460" w:type="dxa"/>
            <w:tcBorders>
              <w:top w:val="nil"/>
              <w:left w:val="single" w:sz="4" w:space="0" w:color="auto"/>
              <w:bottom w:val="nil"/>
              <w:right w:val="nil"/>
            </w:tcBorders>
            <w:shd w:val="clear" w:color="auto" w:fill="DDECD0"/>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Raising the level of public education expenditure from a baseline of 2% of GDP to 4%. Increasing primary school enrolment and completion rates to 100% and literacy rate to 90%, and improving teacher training and education governance.  Increasing gender parity in education – to 1.0 on the gender parity index.</w:t>
            </w:r>
          </w:p>
        </w:tc>
        <w:tc>
          <w:tcPr>
            <w:tcW w:w="2560" w:type="dxa"/>
            <w:tcBorders>
              <w:top w:val="nil"/>
              <w:left w:val="single" w:sz="4" w:space="0" w:color="auto"/>
              <w:bottom w:val="nil"/>
              <w:right w:val="single" w:sz="4" w:space="0" w:color="auto"/>
            </w:tcBorders>
            <w:shd w:val="clear" w:color="auto" w:fill="D8DCDB"/>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imes New Roman"/>
                <w:color w:val="495965"/>
                <w:sz w:val="18"/>
                <w:szCs w:val="18"/>
                <w:u w:val="single"/>
                <w:lang w:val="en-AU" w:eastAsia="en-AU"/>
              </w:rPr>
              <w:t> </w:t>
            </w:r>
          </w:p>
        </w:tc>
        <w:tc>
          <w:tcPr>
            <w:tcW w:w="3160" w:type="dxa"/>
            <w:tcBorders>
              <w:top w:val="nil"/>
              <w:left w:val="nil"/>
              <w:bottom w:val="single" w:sz="4" w:space="0" w:color="auto"/>
              <w:right w:val="single" w:sz="4" w:space="0" w:color="auto"/>
            </w:tcBorders>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8.</w:t>
            </w:r>
            <w:r>
              <w:rPr>
                <w:rFonts w:ascii="Times New Roman" w:eastAsia="Times New Roman" w:hAnsi="Times New Roman" w:cs="Times New Roman"/>
                <w:color w:val="495965"/>
                <w:sz w:val="14"/>
                <w:szCs w:val="14"/>
                <w:lang w:eastAsia="en-AU"/>
              </w:rPr>
              <w:t xml:space="preserve">     </w:t>
            </w:r>
            <w:r>
              <w:rPr>
                <w:rFonts w:ascii="Calibri Light" w:eastAsia="Times New Roman" w:hAnsi="Calibri Light" w:cstheme="minorHAnsi"/>
                <w:color w:val="495965"/>
                <w:sz w:val="18"/>
                <w:szCs w:val="18"/>
                <w:lang w:eastAsia="en-AU"/>
              </w:rPr>
              <w:t>Number of women survivors of violence receiving services such as counselling (ADR)</w:t>
            </w:r>
            <w:r>
              <w:rPr>
                <w:rFonts w:ascii="Calibri Light" w:eastAsia="Times New Roman" w:hAnsi="Calibri Light" w:cstheme="minorHAnsi"/>
                <w:color w:val="495965"/>
                <w:sz w:val="18"/>
                <w:szCs w:val="18"/>
                <w:lang w:eastAsia="en-AU"/>
              </w:rPr>
              <w:br/>
              <w:t xml:space="preserve">Data source: </w:t>
            </w:r>
            <w:proofErr w:type="spellStart"/>
            <w:r>
              <w:rPr>
                <w:rFonts w:ascii="Calibri Light" w:eastAsia="Times New Roman" w:hAnsi="Calibri Light" w:cstheme="minorHAnsi"/>
                <w:color w:val="495965"/>
                <w:sz w:val="18"/>
                <w:szCs w:val="18"/>
                <w:lang w:eastAsia="en-AU"/>
              </w:rPr>
              <w:t>Trocaire</w:t>
            </w:r>
            <w:proofErr w:type="spellEnd"/>
            <w:r>
              <w:rPr>
                <w:rFonts w:ascii="Calibri Light" w:eastAsia="Times New Roman" w:hAnsi="Calibri Light" w:cstheme="minorHAnsi"/>
                <w:color w:val="495965"/>
                <w:sz w:val="18"/>
                <w:szCs w:val="18"/>
                <w:lang w:eastAsia="en-AU"/>
              </w:rPr>
              <w:t xml:space="preserve"> progress reports </w:t>
            </w:r>
          </w:p>
        </w:tc>
        <w:tc>
          <w:tcPr>
            <w:tcW w:w="1400" w:type="dxa"/>
            <w:tcBorders>
              <w:top w:val="nil"/>
              <w:left w:val="nil"/>
              <w:bottom w:val="single" w:sz="4" w:space="0" w:color="auto"/>
              <w:right w:val="single" w:sz="4" w:space="0" w:color="auto"/>
            </w:tcBorders>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1800</w:t>
            </w:r>
          </w:p>
        </w:tc>
        <w:tc>
          <w:tcPr>
            <w:tcW w:w="1400" w:type="dxa"/>
            <w:tcBorders>
              <w:top w:val="nil"/>
              <w:left w:val="nil"/>
              <w:bottom w:val="single" w:sz="4" w:space="0" w:color="auto"/>
              <w:right w:val="single" w:sz="4" w:space="0" w:color="auto"/>
            </w:tcBorders>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2000</w:t>
            </w:r>
          </w:p>
        </w:tc>
      </w:tr>
      <w:tr w:rsidR="001B1B71" w:rsidTr="001B1B71">
        <w:trPr>
          <w:trHeight w:val="720"/>
        </w:trPr>
        <w:tc>
          <w:tcPr>
            <w:tcW w:w="3460" w:type="dxa"/>
            <w:tcBorders>
              <w:top w:val="nil"/>
              <w:left w:val="single" w:sz="4" w:space="0" w:color="auto"/>
              <w:bottom w:val="single" w:sz="4" w:space="0" w:color="FFFFFF" w:themeColor="background1"/>
              <w:right w:val="nil"/>
            </w:tcBorders>
            <w:shd w:val="clear" w:color="auto" w:fill="DDECD0"/>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20"/>
                <w:szCs w:val="20"/>
                <w:lang w:val="en-AU" w:eastAsia="en-AU"/>
              </w:rPr>
            </w:pPr>
            <w:r>
              <w:rPr>
                <w:rFonts w:ascii="Calibri Light" w:eastAsia="Times New Roman" w:hAnsi="Calibri Light" w:cstheme="minorHAnsi"/>
                <w:color w:val="495965"/>
                <w:sz w:val="20"/>
                <w:szCs w:val="20"/>
                <w:lang w:eastAsia="en-AU"/>
              </w:rPr>
              <w:t> </w:t>
            </w:r>
          </w:p>
        </w:tc>
        <w:tc>
          <w:tcPr>
            <w:tcW w:w="2560" w:type="dxa"/>
            <w:tcBorders>
              <w:top w:val="nil"/>
              <w:left w:val="single" w:sz="4" w:space="0" w:color="auto"/>
              <w:bottom w:val="single" w:sz="4" w:space="0" w:color="FFFFFF" w:themeColor="background1"/>
              <w:right w:val="single" w:sz="4" w:space="0" w:color="auto"/>
            </w:tcBorders>
            <w:shd w:val="clear" w:color="auto" w:fill="D8DCDB"/>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imes New Roman"/>
                <w:color w:val="495965"/>
                <w:sz w:val="18"/>
                <w:szCs w:val="18"/>
                <w:u w:val="single"/>
                <w:lang w:val="en-AU" w:eastAsia="en-AU"/>
              </w:rPr>
              <w:t> </w:t>
            </w:r>
          </w:p>
        </w:tc>
        <w:tc>
          <w:tcPr>
            <w:tcW w:w="3160" w:type="dxa"/>
            <w:tcBorders>
              <w:top w:val="nil"/>
              <w:left w:val="nil"/>
              <w:bottom w:val="single" w:sz="4" w:space="0" w:color="FFFFFF" w:themeColor="background1"/>
              <w:right w:val="single" w:sz="4" w:space="0" w:color="auto"/>
            </w:tcBorders>
            <w:shd w:val="clear" w:color="auto" w:fill="FFFFFF"/>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9.</w:t>
            </w:r>
            <w:r>
              <w:rPr>
                <w:rFonts w:ascii="Times New Roman" w:eastAsia="Times New Roman" w:hAnsi="Times New Roman" w:cs="Times New Roman"/>
                <w:color w:val="495965"/>
                <w:sz w:val="14"/>
                <w:szCs w:val="14"/>
                <w:lang w:eastAsia="en-AU"/>
              </w:rPr>
              <w:t xml:space="preserve">     </w:t>
            </w:r>
            <w:r>
              <w:rPr>
                <w:rFonts w:ascii="Calibri Light" w:eastAsia="Times New Roman" w:hAnsi="Calibri Light" w:cstheme="minorHAnsi"/>
                <w:color w:val="495965"/>
                <w:sz w:val="18"/>
                <w:szCs w:val="18"/>
                <w:lang w:eastAsia="en-AU"/>
              </w:rPr>
              <w:t>Percentage of women awarded scholarships/short course awards</w:t>
            </w:r>
            <w:r>
              <w:rPr>
                <w:rFonts w:ascii="Calibri Light" w:eastAsia="Times New Roman" w:hAnsi="Calibri Light" w:cstheme="minorHAnsi"/>
                <w:color w:val="495965"/>
                <w:sz w:val="18"/>
                <w:szCs w:val="18"/>
                <w:lang w:eastAsia="en-AU"/>
              </w:rPr>
              <w:br/>
              <w:t>Data Source: Australia Awards</w:t>
            </w:r>
          </w:p>
        </w:tc>
        <w:tc>
          <w:tcPr>
            <w:tcW w:w="1400" w:type="dxa"/>
            <w:tcBorders>
              <w:top w:val="nil"/>
              <w:left w:val="nil"/>
              <w:bottom w:val="single" w:sz="4" w:space="0" w:color="FFFFFF" w:themeColor="background1"/>
              <w:right w:val="single" w:sz="4" w:space="0" w:color="auto"/>
            </w:tcBorders>
            <w:shd w:val="clear" w:color="auto" w:fill="FFFFFF"/>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50%</w:t>
            </w:r>
          </w:p>
        </w:tc>
        <w:tc>
          <w:tcPr>
            <w:tcW w:w="1400" w:type="dxa"/>
            <w:tcBorders>
              <w:top w:val="nil"/>
              <w:left w:val="nil"/>
              <w:bottom w:val="single" w:sz="4" w:space="0" w:color="FFFFFF" w:themeColor="background1"/>
              <w:right w:val="single" w:sz="4" w:space="0" w:color="auto"/>
            </w:tcBorders>
            <w:shd w:val="clear" w:color="auto" w:fill="FFFFFF"/>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50%</w:t>
            </w:r>
          </w:p>
        </w:tc>
      </w:tr>
      <w:tr w:rsidR="001B1B71" w:rsidTr="001B1B71">
        <w:trPr>
          <w:trHeight w:val="1680"/>
        </w:trPr>
        <w:tc>
          <w:tcPr>
            <w:tcW w:w="3460" w:type="dxa"/>
            <w:tcBorders>
              <w:top w:val="single" w:sz="4" w:space="0" w:color="FFFFFF" w:themeColor="background1"/>
              <w:left w:val="single" w:sz="4" w:space="0" w:color="auto"/>
              <w:bottom w:val="nil"/>
              <w:right w:val="single" w:sz="4" w:space="0" w:color="auto"/>
            </w:tcBorders>
            <w:shd w:val="clear" w:color="auto" w:fill="DDECD0"/>
            <w:hideMark/>
          </w:tcPr>
          <w:p w:rsidR="001B1B71" w:rsidRDefault="008D5DBB">
            <w:pPr>
              <w:suppressAutoHyphens w:val="0"/>
              <w:spacing w:before="0" w:after="0" w:line="240" w:lineRule="auto"/>
              <w:rPr>
                <w:rFonts w:ascii="Calibri" w:eastAsia="Times New Roman" w:hAnsi="Calibri" w:cs="Times New Roman"/>
                <w:color w:val="000000"/>
                <w:lang w:val="en-AU" w:eastAsia="en-AU"/>
              </w:rPr>
            </w:pPr>
            <w:r>
              <w:br w:type="page"/>
            </w:r>
            <w:r w:rsidR="001B1B71">
              <w:rPr>
                <w:rFonts w:ascii="Calibri" w:eastAsia="Times New Roman" w:hAnsi="Calibri" w:cs="Times New Roman"/>
                <w:color w:val="000000"/>
                <w:lang w:val="en-AU" w:eastAsia="en-AU"/>
              </w:rPr>
              <w:t> </w:t>
            </w:r>
          </w:p>
        </w:tc>
        <w:tc>
          <w:tcPr>
            <w:tcW w:w="2560" w:type="dxa"/>
            <w:tcBorders>
              <w:top w:val="single" w:sz="4" w:space="0" w:color="FFFFFF" w:themeColor="background1"/>
              <w:left w:val="nil"/>
              <w:bottom w:val="nil"/>
              <w:right w:val="single" w:sz="4" w:space="0" w:color="auto"/>
            </w:tcBorders>
            <w:shd w:val="clear" w:color="auto" w:fill="D8DCDB"/>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heme="minorHAnsi"/>
                <w:b/>
                <w:bCs/>
                <w:color w:val="495965"/>
                <w:sz w:val="18"/>
                <w:szCs w:val="18"/>
                <w:u w:val="single"/>
                <w:lang w:eastAsia="en-AU"/>
              </w:rPr>
              <w:t>Outcome 4:</w:t>
            </w:r>
            <w:r>
              <w:rPr>
                <w:rFonts w:ascii="Calibri Light" w:eastAsia="Times New Roman" w:hAnsi="Calibri Light" w:cstheme="minorHAnsi"/>
                <w:color w:val="495965"/>
                <w:sz w:val="18"/>
                <w:szCs w:val="18"/>
                <w:lang w:eastAsia="en-AU"/>
              </w:rPr>
              <w:t xml:space="preserve"> Governments are adopting policy reforms around inclusive education, nutrition and EVAW as a result of Australian engagement</w:t>
            </w:r>
          </w:p>
        </w:tc>
        <w:tc>
          <w:tcPr>
            <w:tcW w:w="3160" w:type="dxa"/>
            <w:tcBorders>
              <w:top w:val="single" w:sz="4" w:space="0" w:color="FFFFFF" w:themeColor="background1"/>
              <w:left w:val="nil"/>
              <w:bottom w:val="nil"/>
              <w:right w:val="single" w:sz="4" w:space="0" w:color="auto"/>
            </w:tcBorders>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10.</w:t>
            </w:r>
            <w:r>
              <w:rPr>
                <w:rFonts w:ascii="Times New Roman" w:eastAsia="Times New Roman" w:hAnsi="Times New Roman" w:cs="Times New Roman"/>
                <w:color w:val="495965"/>
                <w:sz w:val="14"/>
                <w:szCs w:val="14"/>
                <w:lang w:eastAsia="en-AU"/>
              </w:rPr>
              <w:t xml:space="preserve">  </w:t>
            </w:r>
            <w:r>
              <w:rPr>
                <w:rFonts w:ascii="Calibri Light" w:eastAsia="Times New Roman" w:hAnsi="Calibri Light" w:cstheme="minorHAnsi"/>
                <w:color w:val="495965"/>
                <w:sz w:val="18"/>
                <w:szCs w:val="18"/>
                <w:lang w:eastAsia="en-AU"/>
              </w:rPr>
              <w:t xml:space="preserve"> Evidence that Australian engagement has contributed to policy reform on education, nutrition and EVAW </w:t>
            </w:r>
            <w:r>
              <w:rPr>
                <w:rFonts w:ascii="Calibri Light" w:eastAsia="Times New Roman" w:hAnsi="Calibri Light" w:cstheme="minorHAnsi"/>
                <w:color w:val="495965"/>
                <w:sz w:val="18"/>
                <w:szCs w:val="18"/>
                <w:lang w:eastAsia="en-AU"/>
              </w:rPr>
              <w:br/>
              <w:t xml:space="preserve">Data Source: KESP, WFP Food Fortification (Six-monthly report), MDTF-N annual/periodic reporting, EVAW </w:t>
            </w:r>
          </w:p>
        </w:tc>
        <w:tc>
          <w:tcPr>
            <w:tcW w:w="1400" w:type="dxa"/>
            <w:tcBorders>
              <w:top w:val="single" w:sz="4" w:space="0" w:color="FFFFFF" w:themeColor="background1"/>
              <w:left w:val="nil"/>
              <w:bottom w:val="nil"/>
              <w:right w:val="single" w:sz="4" w:space="0" w:color="auto"/>
            </w:tcBorders>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Qualitative Assessment</w:t>
            </w:r>
          </w:p>
        </w:tc>
        <w:tc>
          <w:tcPr>
            <w:tcW w:w="1400" w:type="dxa"/>
            <w:tcBorders>
              <w:top w:val="single" w:sz="4" w:space="0" w:color="FFFFFF" w:themeColor="background1"/>
              <w:left w:val="nil"/>
              <w:bottom w:val="nil"/>
              <w:right w:val="single" w:sz="4" w:space="0" w:color="auto"/>
            </w:tcBorders>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Nutrition: National Fortification Standards agreed.</w:t>
            </w:r>
          </w:p>
        </w:tc>
      </w:tr>
      <w:tr w:rsidR="001B1B71" w:rsidTr="001B1B71">
        <w:trPr>
          <w:trHeight w:val="1440"/>
        </w:trPr>
        <w:tc>
          <w:tcPr>
            <w:tcW w:w="3460" w:type="dxa"/>
            <w:tcBorders>
              <w:top w:val="nil"/>
              <w:left w:val="single" w:sz="4" w:space="0" w:color="auto"/>
              <w:bottom w:val="nil"/>
              <w:right w:val="nil"/>
            </w:tcBorders>
            <w:shd w:val="clear" w:color="auto" w:fill="DDECD0"/>
            <w:hideMark/>
          </w:tcPr>
          <w:p w:rsidR="001B1B71" w:rsidRDefault="001B1B71">
            <w:pPr>
              <w:suppressAutoHyphens w:val="0"/>
              <w:spacing w:before="0" w:after="0" w:line="240" w:lineRule="auto"/>
              <w:rPr>
                <w:rFonts w:ascii="Calibri Light" w:eastAsia="Times New Roman" w:hAnsi="Calibri Light" w:cs="Times New Roman"/>
                <w:b/>
                <w:bCs/>
                <w:color w:val="495965"/>
                <w:sz w:val="20"/>
                <w:szCs w:val="20"/>
                <w:lang w:val="en-AU" w:eastAsia="en-AU"/>
              </w:rPr>
            </w:pPr>
            <w:r>
              <w:rPr>
                <w:rFonts w:ascii="Calibri Light" w:eastAsia="Times New Roman" w:hAnsi="Calibri Light" w:cstheme="minorHAnsi"/>
                <w:b/>
                <w:bCs/>
                <w:color w:val="495965"/>
                <w:sz w:val="20"/>
                <w:szCs w:val="20"/>
                <w:lang w:eastAsia="en-AU"/>
              </w:rPr>
              <w:t>Pillar 3 - Democratic Governance, Institutional Reform &amp; Modernization of the Public Sector</w:t>
            </w:r>
          </w:p>
        </w:tc>
        <w:tc>
          <w:tcPr>
            <w:tcW w:w="2560" w:type="dxa"/>
            <w:tcBorders>
              <w:top w:val="nil"/>
              <w:left w:val="single" w:sz="4" w:space="0" w:color="auto"/>
              <w:bottom w:val="nil"/>
              <w:right w:val="single" w:sz="4" w:space="0" w:color="auto"/>
            </w:tcBorders>
            <w:shd w:val="clear" w:color="auto" w:fill="D8DCDB"/>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heme="minorHAnsi"/>
                <w:b/>
                <w:bCs/>
                <w:color w:val="495965"/>
                <w:sz w:val="18"/>
                <w:szCs w:val="18"/>
                <w:u w:val="single"/>
                <w:lang w:eastAsia="en-AU"/>
              </w:rPr>
              <w:t>Outcome 5</w:t>
            </w:r>
            <w:r>
              <w:rPr>
                <w:rFonts w:ascii="Calibri Light" w:eastAsia="Times New Roman" w:hAnsi="Calibri Light" w:cstheme="minorHAnsi"/>
                <w:color w:val="495965"/>
                <w:sz w:val="18"/>
                <w:szCs w:val="18"/>
                <w:lang w:eastAsia="en-AU"/>
              </w:rPr>
              <w:t>: Enhanced Stability in Pakistan’s border areas</w:t>
            </w:r>
          </w:p>
        </w:tc>
        <w:tc>
          <w:tcPr>
            <w:tcW w:w="3160" w:type="dxa"/>
            <w:tcBorders>
              <w:top w:val="nil"/>
              <w:left w:val="nil"/>
              <w:bottom w:val="single" w:sz="4" w:space="0" w:color="auto"/>
              <w:right w:val="single" w:sz="4" w:space="0" w:color="auto"/>
            </w:tcBorders>
            <w:shd w:val="clear" w:color="auto" w:fill="FFFFFF"/>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11.</w:t>
            </w:r>
            <w:r>
              <w:rPr>
                <w:rFonts w:ascii="Times New Roman" w:eastAsia="Times New Roman" w:hAnsi="Times New Roman" w:cs="Times New Roman"/>
                <w:color w:val="495965"/>
                <w:sz w:val="14"/>
                <w:szCs w:val="14"/>
                <w:lang w:eastAsia="en-AU"/>
              </w:rPr>
              <w:t xml:space="preserve">  </w:t>
            </w:r>
            <w:r>
              <w:rPr>
                <w:rFonts w:ascii="Calibri Light" w:eastAsia="Times New Roman" w:hAnsi="Calibri Light" w:cstheme="minorHAnsi"/>
                <w:color w:val="495965"/>
                <w:sz w:val="18"/>
                <w:szCs w:val="18"/>
                <w:lang w:eastAsia="en-AU"/>
              </w:rPr>
              <w:t xml:space="preserve"> # of additional women and men benefiting from improved services, local infrastructure and livelihoods opportunities in areas affected by conflict and natural disaster</w:t>
            </w:r>
            <w:r>
              <w:rPr>
                <w:rFonts w:ascii="Calibri Light" w:eastAsia="Times New Roman" w:hAnsi="Calibri Light" w:cstheme="minorHAnsi"/>
                <w:color w:val="495965"/>
                <w:sz w:val="18"/>
                <w:szCs w:val="18"/>
                <w:lang w:eastAsia="en-AU"/>
              </w:rPr>
              <w:br/>
              <w:t>Data source: MDTF-BA Annual Report</w:t>
            </w:r>
          </w:p>
        </w:tc>
        <w:tc>
          <w:tcPr>
            <w:tcW w:w="1400" w:type="dxa"/>
            <w:tcBorders>
              <w:top w:val="nil"/>
              <w:left w:val="nil"/>
              <w:bottom w:val="single" w:sz="4" w:space="0" w:color="auto"/>
              <w:right w:val="single" w:sz="4" w:space="0" w:color="auto"/>
            </w:tcBorders>
            <w:shd w:val="clear" w:color="auto" w:fill="FFFFFF"/>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35,000</w:t>
            </w:r>
          </w:p>
        </w:tc>
        <w:tc>
          <w:tcPr>
            <w:tcW w:w="1400" w:type="dxa"/>
            <w:tcBorders>
              <w:top w:val="nil"/>
              <w:left w:val="nil"/>
              <w:bottom w:val="single" w:sz="4" w:space="0" w:color="auto"/>
              <w:right w:val="single" w:sz="4" w:space="0" w:color="auto"/>
            </w:tcBorders>
            <w:shd w:val="clear" w:color="auto" w:fill="FFFFFF"/>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175,000</w:t>
            </w:r>
          </w:p>
        </w:tc>
      </w:tr>
      <w:tr w:rsidR="001B1B71" w:rsidTr="001B1B71">
        <w:trPr>
          <w:trHeight w:val="1680"/>
        </w:trPr>
        <w:tc>
          <w:tcPr>
            <w:tcW w:w="3460" w:type="dxa"/>
            <w:tcBorders>
              <w:top w:val="nil"/>
              <w:left w:val="single" w:sz="4" w:space="0" w:color="auto"/>
              <w:bottom w:val="nil"/>
              <w:right w:val="nil"/>
            </w:tcBorders>
            <w:shd w:val="clear" w:color="auto" w:fill="DDECD0"/>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Place in the top 50th percentile for Political Stability (from bottom 1 percentile), No Violence/Terrorism (from bottom 1 percentile), and Control of Corruption (from bottom 13th percentile) as measured by the World Bank’s Worldwide Governance Indicators.</w:t>
            </w:r>
          </w:p>
        </w:tc>
        <w:tc>
          <w:tcPr>
            <w:tcW w:w="2560" w:type="dxa"/>
            <w:tcBorders>
              <w:top w:val="nil"/>
              <w:left w:val="single" w:sz="4" w:space="0" w:color="auto"/>
              <w:bottom w:val="single" w:sz="4" w:space="0" w:color="auto"/>
              <w:right w:val="single" w:sz="4" w:space="0" w:color="auto"/>
            </w:tcBorders>
            <w:shd w:val="clear" w:color="auto" w:fill="D8DCDB"/>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imes New Roman"/>
                <w:color w:val="495965"/>
                <w:sz w:val="18"/>
                <w:szCs w:val="18"/>
                <w:u w:val="single"/>
                <w:lang w:val="en-AU" w:eastAsia="en-AU"/>
              </w:rPr>
              <w:t> </w:t>
            </w:r>
          </w:p>
        </w:tc>
        <w:tc>
          <w:tcPr>
            <w:tcW w:w="3160" w:type="dxa"/>
            <w:tcBorders>
              <w:top w:val="nil"/>
              <w:left w:val="nil"/>
              <w:bottom w:val="single" w:sz="4" w:space="0" w:color="auto"/>
              <w:right w:val="single" w:sz="4" w:space="0" w:color="auto"/>
            </w:tcBorders>
            <w:shd w:val="clear" w:color="auto" w:fill="FFFFFF"/>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12.</w:t>
            </w:r>
            <w:r>
              <w:rPr>
                <w:rFonts w:ascii="Times New Roman" w:eastAsia="Times New Roman" w:hAnsi="Times New Roman" w:cs="Times New Roman"/>
                <w:color w:val="495965"/>
                <w:sz w:val="14"/>
                <w:szCs w:val="14"/>
                <w:lang w:eastAsia="en-AU"/>
              </w:rPr>
              <w:t xml:space="preserve">     </w:t>
            </w:r>
            <w:r>
              <w:rPr>
                <w:rFonts w:ascii="Calibri Light" w:eastAsia="Times New Roman" w:hAnsi="Calibri Light" w:cstheme="minorHAnsi"/>
                <w:color w:val="495965"/>
                <w:sz w:val="18"/>
                <w:szCs w:val="18"/>
                <w:lang w:eastAsia="en-AU"/>
              </w:rPr>
              <w:t># of women and men in crises provided with humanitarian support</w:t>
            </w:r>
            <w:r>
              <w:rPr>
                <w:rFonts w:ascii="Calibri Light" w:eastAsia="Times New Roman" w:hAnsi="Calibri Light" w:cstheme="minorHAnsi"/>
                <w:color w:val="495965"/>
                <w:sz w:val="18"/>
                <w:szCs w:val="18"/>
                <w:lang w:eastAsia="en-AU"/>
              </w:rPr>
              <w:br/>
              <w:t>Data source: WFP; IOM</w:t>
            </w:r>
          </w:p>
        </w:tc>
        <w:tc>
          <w:tcPr>
            <w:tcW w:w="1400" w:type="dxa"/>
            <w:tcBorders>
              <w:top w:val="nil"/>
              <w:left w:val="nil"/>
              <w:bottom w:val="single" w:sz="4" w:space="0" w:color="auto"/>
              <w:right w:val="single" w:sz="4" w:space="0" w:color="auto"/>
            </w:tcBorders>
            <w:shd w:val="clear" w:color="auto" w:fill="FFFFFF"/>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WFP: 356,000</w:t>
            </w:r>
          </w:p>
        </w:tc>
        <w:tc>
          <w:tcPr>
            <w:tcW w:w="1400" w:type="dxa"/>
            <w:tcBorders>
              <w:top w:val="nil"/>
              <w:left w:val="nil"/>
              <w:bottom w:val="single" w:sz="4" w:space="0" w:color="auto"/>
              <w:right w:val="single" w:sz="4" w:space="0" w:color="auto"/>
            </w:tcBorders>
            <w:shd w:val="clear" w:color="auto" w:fill="FFFFFF"/>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 xml:space="preserve">WFP: 40,4000 </w:t>
            </w:r>
            <w:r>
              <w:rPr>
                <w:rFonts w:ascii="Calibri Light" w:eastAsia="Times New Roman" w:hAnsi="Calibri Light" w:cstheme="minorHAnsi"/>
                <w:color w:val="495965"/>
                <w:sz w:val="18"/>
                <w:szCs w:val="18"/>
                <w:lang w:eastAsia="en-AU"/>
              </w:rPr>
              <w:br/>
              <w:t>IOM: 142000 (50% women)</w:t>
            </w:r>
          </w:p>
        </w:tc>
      </w:tr>
      <w:tr w:rsidR="001B1B71" w:rsidTr="001B1B71">
        <w:trPr>
          <w:trHeight w:val="2400"/>
        </w:trPr>
        <w:tc>
          <w:tcPr>
            <w:tcW w:w="3460" w:type="dxa"/>
            <w:tcBorders>
              <w:top w:val="nil"/>
              <w:left w:val="single" w:sz="4" w:space="0" w:color="auto"/>
              <w:bottom w:val="nil"/>
              <w:right w:val="single" w:sz="4" w:space="0" w:color="auto"/>
            </w:tcBorders>
            <w:shd w:val="clear" w:color="auto" w:fill="DDECD0"/>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b/>
                <w:bCs/>
                <w:color w:val="495965"/>
                <w:sz w:val="18"/>
                <w:szCs w:val="18"/>
                <w:lang w:eastAsia="en-AU"/>
              </w:rPr>
              <w:t>Pillar 5 – Private Sector and Entrepreneurship Led Growth</w:t>
            </w:r>
            <w:r>
              <w:rPr>
                <w:rFonts w:ascii="Calibri Light" w:eastAsia="Times New Roman" w:hAnsi="Calibri Light" w:cstheme="minorHAnsi"/>
                <w:color w:val="495965"/>
                <w:sz w:val="18"/>
                <w:szCs w:val="18"/>
                <w:lang w:eastAsia="en-AU"/>
              </w:rPr>
              <w:br/>
              <w:t>Creating employment through supporting Small and Medium Enterprises. Goals include that by 2025, 2m SMEs (from a baseline of 1.73m) will provide 25m jobs (from a baseline of 14.9m), contributing PKR16 trillion to GDP (from a baseline of PKR9.4 trillion) and generating USD54bn in exports (from a baseline of USD18.2bn)</w:t>
            </w:r>
          </w:p>
        </w:tc>
        <w:tc>
          <w:tcPr>
            <w:tcW w:w="2560" w:type="dxa"/>
            <w:shd w:val="clear" w:color="auto" w:fill="D8DCDB"/>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heme="minorHAnsi"/>
                <w:b/>
                <w:bCs/>
                <w:color w:val="495965"/>
                <w:sz w:val="18"/>
                <w:szCs w:val="18"/>
                <w:u w:val="single"/>
                <w:lang w:eastAsia="en-AU"/>
              </w:rPr>
              <w:t>Outcome 6</w:t>
            </w:r>
            <w:r>
              <w:rPr>
                <w:rFonts w:ascii="Calibri Light" w:eastAsia="Times New Roman" w:hAnsi="Calibri Light" w:cstheme="minorHAnsi"/>
                <w:color w:val="495965"/>
                <w:sz w:val="18"/>
                <w:szCs w:val="18"/>
                <w:lang w:eastAsia="en-AU"/>
              </w:rPr>
              <w:t>: Enhanced Resilience in Pakistan’s Border Areas</w:t>
            </w:r>
          </w:p>
        </w:tc>
        <w:tc>
          <w:tcPr>
            <w:tcW w:w="3160" w:type="dxa"/>
            <w:tcBorders>
              <w:top w:val="nil"/>
              <w:left w:val="single" w:sz="4" w:space="0" w:color="auto"/>
              <w:bottom w:val="nil"/>
              <w:right w:val="single" w:sz="4" w:space="0" w:color="auto"/>
            </w:tcBorders>
            <w:shd w:val="clear" w:color="auto" w:fill="FFFFFF"/>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13.</w:t>
            </w:r>
            <w:r>
              <w:rPr>
                <w:rFonts w:ascii="Times New Roman" w:eastAsia="Times New Roman" w:hAnsi="Times New Roman" w:cs="Times New Roman"/>
                <w:color w:val="495965"/>
                <w:sz w:val="14"/>
                <w:szCs w:val="14"/>
                <w:lang w:eastAsia="en-AU"/>
              </w:rPr>
              <w:t xml:space="preserve">  </w:t>
            </w:r>
            <w:r>
              <w:rPr>
                <w:rFonts w:ascii="Calibri Light" w:eastAsia="Times New Roman" w:hAnsi="Calibri Light" w:cstheme="minorHAnsi"/>
                <w:color w:val="495965"/>
                <w:sz w:val="20"/>
                <w:szCs w:val="20"/>
                <w:lang w:eastAsia="en-AU"/>
              </w:rPr>
              <w:t xml:space="preserve"> </w:t>
            </w:r>
            <w:r>
              <w:rPr>
                <w:rFonts w:ascii="Calibri Light" w:eastAsia="Times New Roman" w:hAnsi="Calibri Light" w:cstheme="minorHAnsi"/>
                <w:color w:val="495965"/>
                <w:sz w:val="18"/>
                <w:szCs w:val="18"/>
                <w:lang w:eastAsia="en-AU"/>
              </w:rPr>
              <w:t>Number of community organisations, including women’s organisations, which are effectively supported to build community cohesion and advocate for their own needs</w:t>
            </w:r>
          </w:p>
        </w:tc>
        <w:tc>
          <w:tcPr>
            <w:tcW w:w="1400" w:type="dxa"/>
            <w:shd w:val="clear" w:color="auto" w:fill="FFFFFF"/>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SRSP: 1005 (including 493 Women’s Organisations)</w:t>
            </w:r>
            <w:r>
              <w:rPr>
                <w:rFonts w:ascii="Calibri Light" w:eastAsia="Times New Roman" w:hAnsi="Calibri Light" w:cstheme="minorHAnsi"/>
                <w:color w:val="495965"/>
                <w:sz w:val="18"/>
                <w:szCs w:val="18"/>
                <w:lang w:eastAsia="en-AU"/>
              </w:rPr>
              <w:br/>
              <w:t>BA: 640 (178 or 27% WOs)</w:t>
            </w:r>
          </w:p>
        </w:tc>
        <w:tc>
          <w:tcPr>
            <w:tcW w:w="1400" w:type="dxa"/>
            <w:tcBorders>
              <w:top w:val="nil"/>
              <w:left w:val="single" w:sz="4" w:space="0" w:color="auto"/>
              <w:bottom w:val="nil"/>
              <w:right w:val="single" w:sz="4" w:space="0" w:color="auto"/>
            </w:tcBorders>
            <w:shd w:val="clear" w:color="auto" w:fill="FFFFFF"/>
            <w:vAlign w:val="center"/>
            <w:hideMark/>
          </w:tcPr>
          <w:p w:rsidR="001B1B71" w:rsidRDefault="001B1B71" w:rsidP="00FD459D">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SRSP: 1005 (including 493 Women’s Organisations)</w:t>
            </w:r>
            <w:r>
              <w:rPr>
                <w:rFonts w:ascii="Calibri Light" w:eastAsia="Times New Roman" w:hAnsi="Calibri Light" w:cstheme="minorHAnsi"/>
                <w:color w:val="495965"/>
                <w:sz w:val="18"/>
                <w:szCs w:val="18"/>
                <w:lang w:eastAsia="en-AU"/>
              </w:rPr>
              <w:br/>
              <w:t>BA: 560 (48 or 8% WOs)</w:t>
            </w:r>
          </w:p>
        </w:tc>
      </w:tr>
      <w:tr w:rsidR="001B1B71" w:rsidTr="001B1B71">
        <w:trPr>
          <w:trHeight w:val="960"/>
        </w:trPr>
        <w:tc>
          <w:tcPr>
            <w:tcW w:w="3460" w:type="dxa"/>
            <w:tcBorders>
              <w:top w:val="nil"/>
              <w:left w:val="single" w:sz="4" w:space="0" w:color="auto"/>
              <w:bottom w:val="single" w:sz="4" w:space="0" w:color="auto"/>
              <w:right w:val="single" w:sz="4" w:space="0" w:color="auto"/>
            </w:tcBorders>
            <w:shd w:val="clear" w:color="auto" w:fill="DDECD0"/>
            <w:hideMark/>
          </w:tcPr>
          <w:p w:rsidR="001B1B71" w:rsidRDefault="001B1B71">
            <w:pPr>
              <w:suppressAutoHyphens w:val="0"/>
              <w:spacing w:before="0" w:after="0" w:line="240" w:lineRule="auto"/>
              <w:rPr>
                <w:rFonts w:ascii="Calibri" w:eastAsia="Times New Roman" w:hAnsi="Calibri" w:cs="Times New Roman"/>
                <w:color w:val="000000"/>
                <w:lang w:val="en-AU" w:eastAsia="en-AU"/>
              </w:rPr>
            </w:pPr>
            <w:r>
              <w:rPr>
                <w:rFonts w:ascii="Calibri" w:eastAsia="Times New Roman" w:hAnsi="Calibri" w:cs="Times New Roman"/>
                <w:color w:val="000000"/>
                <w:lang w:val="en-AU" w:eastAsia="en-AU"/>
              </w:rPr>
              <w:t> </w:t>
            </w:r>
          </w:p>
        </w:tc>
        <w:tc>
          <w:tcPr>
            <w:tcW w:w="2560" w:type="dxa"/>
            <w:tcBorders>
              <w:top w:val="nil"/>
              <w:left w:val="nil"/>
              <w:bottom w:val="single" w:sz="4" w:space="0" w:color="auto"/>
              <w:right w:val="nil"/>
            </w:tcBorders>
            <w:shd w:val="clear" w:color="auto" w:fill="D8DCDB"/>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imes New Roman"/>
                <w:color w:val="495965"/>
                <w:sz w:val="18"/>
                <w:szCs w:val="18"/>
                <w:u w:val="single"/>
                <w:lang w:val="en-AU" w:eastAsia="en-AU"/>
              </w:rPr>
              <w:t> </w:t>
            </w:r>
          </w:p>
        </w:tc>
        <w:tc>
          <w:tcPr>
            <w:tcW w:w="3160" w:type="dxa"/>
            <w:tcBorders>
              <w:top w:val="nil"/>
              <w:left w:val="single" w:sz="4" w:space="0" w:color="auto"/>
              <w:bottom w:val="single" w:sz="4" w:space="0" w:color="auto"/>
              <w:right w:val="single" w:sz="4" w:space="0" w:color="auto"/>
            </w:tcBorders>
            <w:shd w:val="clear" w:color="auto" w:fill="FFFFFF"/>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 xml:space="preserve">Data source: SRSP, MDTF-BA Annual Report (3x Round II projects, SADP, RLCIP), </w:t>
            </w:r>
            <w:proofErr w:type="spellStart"/>
            <w:r>
              <w:rPr>
                <w:rFonts w:ascii="Calibri Light" w:eastAsia="Times New Roman" w:hAnsi="Calibri Light" w:cstheme="minorHAnsi"/>
                <w:color w:val="495965"/>
                <w:sz w:val="18"/>
                <w:szCs w:val="18"/>
                <w:lang w:eastAsia="en-AU"/>
              </w:rPr>
              <w:t>AusABBA</w:t>
            </w:r>
            <w:proofErr w:type="spellEnd"/>
            <w:r>
              <w:rPr>
                <w:rFonts w:ascii="Calibri Light" w:eastAsia="Times New Roman" w:hAnsi="Calibri Light" w:cstheme="minorHAnsi"/>
                <w:color w:val="495965"/>
                <w:sz w:val="18"/>
                <w:szCs w:val="18"/>
                <w:lang w:eastAsia="en-AU"/>
              </w:rPr>
              <w:t xml:space="preserve"> I &amp; II.</w:t>
            </w:r>
          </w:p>
        </w:tc>
        <w:tc>
          <w:tcPr>
            <w:tcW w:w="1400" w:type="dxa"/>
            <w:tcBorders>
              <w:top w:val="nil"/>
              <w:left w:val="nil"/>
              <w:bottom w:val="single" w:sz="4" w:space="0" w:color="auto"/>
              <w:right w:val="nil"/>
            </w:tcBorders>
            <w:shd w:val="clear" w:color="auto" w:fill="FFFFFF"/>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proofErr w:type="spellStart"/>
            <w:r>
              <w:rPr>
                <w:rFonts w:ascii="Calibri Light" w:eastAsia="Times New Roman" w:hAnsi="Calibri Light" w:cstheme="minorHAnsi"/>
                <w:color w:val="495965"/>
                <w:sz w:val="18"/>
                <w:szCs w:val="18"/>
                <w:lang w:eastAsia="en-AU"/>
              </w:rPr>
              <w:t>AusABBA</w:t>
            </w:r>
            <w:proofErr w:type="spellEnd"/>
            <w:r>
              <w:rPr>
                <w:rFonts w:ascii="Calibri Light" w:eastAsia="Times New Roman" w:hAnsi="Calibri Light" w:cstheme="minorHAnsi"/>
                <w:color w:val="495965"/>
                <w:sz w:val="18"/>
                <w:szCs w:val="18"/>
                <w:lang w:eastAsia="en-AU"/>
              </w:rPr>
              <w:t xml:space="preserve"> </w:t>
            </w:r>
            <w:proofErr w:type="spellStart"/>
            <w:r>
              <w:rPr>
                <w:rFonts w:ascii="Calibri Light" w:eastAsia="Times New Roman" w:hAnsi="Calibri Light" w:cstheme="minorHAnsi"/>
                <w:color w:val="495965"/>
                <w:sz w:val="18"/>
                <w:szCs w:val="18"/>
                <w:lang w:eastAsia="en-AU"/>
              </w:rPr>
              <w:t>Ph</w:t>
            </w:r>
            <w:proofErr w:type="spellEnd"/>
            <w:r>
              <w:rPr>
                <w:rFonts w:ascii="Calibri Light" w:eastAsia="Times New Roman" w:hAnsi="Calibri Light" w:cstheme="minorHAnsi"/>
                <w:color w:val="495965"/>
                <w:sz w:val="18"/>
                <w:szCs w:val="18"/>
                <w:lang w:eastAsia="en-AU"/>
              </w:rPr>
              <w:t xml:space="preserve"> I: MCOs 361; WCOs 235 (39% WOs)</w:t>
            </w:r>
          </w:p>
        </w:tc>
        <w:tc>
          <w:tcPr>
            <w:tcW w:w="1400" w:type="dxa"/>
            <w:tcBorders>
              <w:top w:val="nil"/>
              <w:left w:val="single" w:sz="4" w:space="0" w:color="auto"/>
              <w:bottom w:val="single" w:sz="4" w:space="0" w:color="auto"/>
              <w:right w:val="single" w:sz="4" w:space="0" w:color="auto"/>
            </w:tcBorders>
            <w:shd w:val="clear" w:color="auto" w:fill="FFFFFF"/>
            <w:vAlign w:val="center"/>
            <w:hideMark/>
          </w:tcPr>
          <w:p w:rsidR="001B1B71" w:rsidRDefault="001B1B71" w:rsidP="00FD459D">
            <w:pPr>
              <w:suppressAutoHyphens w:val="0"/>
              <w:spacing w:before="0" w:after="0" w:line="240" w:lineRule="auto"/>
              <w:jc w:val="center"/>
              <w:rPr>
                <w:rFonts w:ascii="Calibri Light" w:eastAsia="Times New Roman" w:hAnsi="Calibri Light" w:cs="Times New Roman"/>
                <w:color w:val="495965"/>
                <w:sz w:val="18"/>
                <w:szCs w:val="18"/>
                <w:lang w:val="en-AU" w:eastAsia="en-AU"/>
              </w:rPr>
            </w:pPr>
            <w:proofErr w:type="spellStart"/>
            <w:r>
              <w:rPr>
                <w:rFonts w:ascii="Calibri Light" w:eastAsia="Times New Roman" w:hAnsi="Calibri Light" w:cstheme="minorHAnsi"/>
                <w:color w:val="495965"/>
                <w:sz w:val="18"/>
                <w:szCs w:val="18"/>
                <w:lang w:eastAsia="en-AU"/>
              </w:rPr>
              <w:t>AusABBA</w:t>
            </w:r>
            <w:proofErr w:type="spellEnd"/>
          </w:p>
        </w:tc>
      </w:tr>
      <w:tr w:rsidR="001B1B71" w:rsidTr="001B1B71">
        <w:trPr>
          <w:trHeight w:val="3360"/>
        </w:trPr>
        <w:tc>
          <w:tcPr>
            <w:tcW w:w="3460" w:type="dxa"/>
            <w:tcBorders>
              <w:top w:val="nil"/>
              <w:left w:val="single" w:sz="4" w:space="0" w:color="auto"/>
              <w:bottom w:val="nil"/>
              <w:right w:val="single" w:sz="4" w:space="0" w:color="auto"/>
            </w:tcBorders>
            <w:shd w:val="clear" w:color="auto" w:fill="DDECD0"/>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b/>
                <w:bCs/>
                <w:color w:val="495965"/>
                <w:sz w:val="18"/>
                <w:szCs w:val="18"/>
                <w:lang w:eastAsia="en-AU"/>
              </w:rPr>
              <w:t>Pillar 1 – Developing Human and Social Capital</w:t>
            </w:r>
            <w:r>
              <w:rPr>
                <w:rFonts w:ascii="Calibri Light" w:eastAsia="Times New Roman" w:hAnsi="Calibri Light" w:cstheme="minorHAnsi"/>
                <w:color w:val="495965"/>
                <w:sz w:val="18"/>
                <w:szCs w:val="18"/>
                <w:lang w:eastAsia="en-AU"/>
              </w:rPr>
              <w:br/>
              <w:t>Raising the level of public health spending from a baseline of 0.5% of GDP to 3%. Reducing the maternal mortality ratio from a baseline of 276 to less than 140, including by increasing the proportion of births attended by a skilled birthing attendant from 52.1 to above 90. Reducing infant mortality rate from a baseline of 74 to less than 40. Reducing the proportion of the population below minimum level of dietary energy consumption from 30% to below 10%.</w:t>
            </w:r>
          </w:p>
        </w:tc>
        <w:tc>
          <w:tcPr>
            <w:tcW w:w="2560" w:type="dxa"/>
            <w:tcBorders>
              <w:top w:val="nil"/>
              <w:left w:val="nil"/>
              <w:bottom w:val="single" w:sz="4" w:space="0" w:color="auto"/>
              <w:right w:val="single" w:sz="4" w:space="0" w:color="auto"/>
            </w:tcBorders>
            <w:shd w:val="clear" w:color="auto" w:fill="D8DCDB"/>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heme="minorHAnsi"/>
                <w:b/>
                <w:bCs/>
                <w:color w:val="495965"/>
                <w:sz w:val="18"/>
                <w:szCs w:val="18"/>
                <w:u w:val="single"/>
                <w:lang w:eastAsia="en-AU"/>
              </w:rPr>
              <w:t>Outcome 7</w:t>
            </w:r>
            <w:r>
              <w:rPr>
                <w:rFonts w:ascii="Calibri Light" w:eastAsia="Times New Roman" w:hAnsi="Calibri Light" w:cstheme="minorHAnsi"/>
                <w:color w:val="495965"/>
                <w:sz w:val="18"/>
                <w:szCs w:val="18"/>
                <w:u w:val="single"/>
                <w:lang w:eastAsia="en-AU"/>
              </w:rPr>
              <w:t>:</w:t>
            </w:r>
            <w:r>
              <w:rPr>
                <w:rFonts w:ascii="Calibri Light" w:eastAsia="Times New Roman" w:hAnsi="Calibri Light" w:cstheme="minorHAnsi"/>
                <w:color w:val="495965"/>
                <w:sz w:val="18"/>
                <w:szCs w:val="18"/>
                <w:lang w:eastAsia="en-AU"/>
              </w:rPr>
              <w:t xml:space="preserve"> Australia Award Alumni are using their skills, knowledge and networks to contribute to sustainable development in Pakistan </w:t>
            </w:r>
          </w:p>
        </w:tc>
        <w:tc>
          <w:tcPr>
            <w:tcW w:w="3160" w:type="dxa"/>
            <w:tcBorders>
              <w:top w:val="nil"/>
              <w:left w:val="nil"/>
              <w:bottom w:val="single" w:sz="4" w:space="0" w:color="auto"/>
              <w:right w:val="single" w:sz="4" w:space="0" w:color="auto"/>
            </w:tcBorders>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14.</w:t>
            </w:r>
            <w:r>
              <w:rPr>
                <w:rFonts w:ascii="Times New Roman" w:eastAsia="Times New Roman" w:hAnsi="Times New Roman" w:cs="Times New Roman"/>
                <w:color w:val="495965"/>
                <w:sz w:val="14"/>
                <w:szCs w:val="14"/>
                <w:lang w:eastAsia="en-AU"/>
              </w:rPr>
              <w:t xml:space="preserve">  </w:t>
            </w:r>
            <w:r>
              <w:rPr>
                <w:rFonts w:ascii="Calibri Light" w:eastAsia="Times New Roman" w:hAnsi="Calibri Light" w:cstheme="minorHAnsi"/>
                <w:color w:val="495965"/>
                <w:sz w:val="18"/>
                <w:szCs w:val="18"/>
                <w:lang w:eastAsia="en-AU"/>
              </w:rPr>
              <w:t xml:space="preserve"> Evidence that Alumni are contributing to development outcomes in Pakistan</w:t>
            </w:r>
            <w:r>
              <w:rPr>
                <w:rFonts w:ascii="Calibri Light" w:eastAsia="Times New Roman" w:hAnsi="Calibri Light" w:cstheme="minorHAnsi"/>
                <w:color w:val="495965"/>
                <w:sz w:val="18"/>
                <w:szCs w:val="18"/>
                <w:lang w:eastAsia="en-AU"/>
              </w:rPr>
              <w:br/>
              <w:t>Data source: Alumni Development Impact Survey (ADIS) – Biannual: March and December. Alumni from intake 2011 onwards.</w:t>
            </w:r>
          </w:p>
        </w:tc>
        <w:tc>
          <w:tcPr>
            <w:tcW w:w="1400" w:type="dxa"/>
            <w:tcBorders>
              <w:top w:val="nil"/>
              <w:left w:val="nil"/>
              <w:bottom w:val="single" w:sz="4" w:space="0" w:color="auto"/>
              <w:right w:val="single" w:sz="4" w:space="0" w:color="auto"/>
            </w:tcBorders>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Annual Assessment</w:t>
            </w:r>
          </w:p>
        </w:tc>
        <w:tc>
          <w:tcPr>
            <w:tcW w:w="1400" w:type="dxa"/>
            <w:tcBorders>
              <w:top w:val="nil"/>
              <w:left w:val="nil"/>
              <w:bottom w:val="single" w:sz="4" w:space="0" w:color="auto"/>
              <w:right w:val="single" w:sz="4" w:space="0" w:color="auto"/>
            </w:tcBorders>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Annual Assessment</w:t>
            </w:r>
          </w:p>
        </w:tc>
      </w:tr>
      <w:tr w:rsidR="001B1B71" w:rsidTr="001B1B71">
        <w:trPr>
          <w:trHeight w:val="1935"/>
        </w:trPr>
        <w:tc>
          <w:tcPr>
            <w:tcW w:w="3460" w:type="dxa"/>
            <w:tcBorders>
              <w:top w:val="nil"/>
              <w:left w:val="single" w:sz="4" w:space="0" w:color="auto"/>
              <w:bottom w:val="nil"/>
              <w:right w:val="single" w:sz="4" w:space="0" w:color="auto"/>
            </w:tcBorders>
            <w:shd w:val="clear" w:color="auto" w:fill="DDECD0"/>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Raising the level of public education expenditure from a baseline of 2% of GDP to 4%. Increasing primary school enrolment and completion rates to 100% and literacy rate to 90%, and improving teacher training and education governance.  Increasing gender</w:t>
            </w:r>
            <w:r>
              <w:rPr>
                <w:rFonts w:ascii="Calibri Light" w:eastAsia="Times New Roman" w:hAnsi="Calibri Light" w:cstheme="minorHAnsi"/>
                <w:color w:val="495965"/>
                <w:sz w:val="20"/>
                <w:szCs w:val="20"/>
                <w:lang w:eastAsia="en-AU"/>
              </w:rPr>
              <w:t xml:space="preserve"> </w:t>
            </w:r>
            <w:r>
              <w:rPr>
                <w:rFonts w:ascii="Calibri Light" w:eastAsia="Times New Roman" w:hAnsi="Calibri Light" w:cstheme="minorHAnsi"/>
                <w:color w:val="495965"/>
                <w:sz w:val="18"/>
                <w:szCs w:val="18"/>
                <w:lang w:eastAsia="en-AU"/>
              </w:rPr>
              <w:t>parity in education – to 1.0 on the gender parity index.</w:t>
            </w:r>
          </w:p>
        </w:tc>
        <w:tc>
          <w:tcPr>
            <w:tcW w:w="2560" w:type="dxa"/>
            <w:tcBorders>
              <w:top w:val="nil"/>
              <w:left w:val="nil"/>
              <w:bottom w:val="single" w:sz="4" w:space="0" w:color="auto"/>
              <w:right w:val="single" w:sz="4" w:space="0" w:color="auto"/>
            </w:tcBorders>
            <w:shd w:val="clear" w:color="auto" w:fill="D8DCDB"/>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heme="minorHAnsi"/>
                <w:b/>
                <w:bCs/>
                <w:color w:val="495965"/>
                <w:sz w:val="18"/>
                <w:szCs w:val="18"/>
                <w:u w:val="single"/>
                <w:lang w:eastAsia="en-AU"/>
              </w:rPr>
              <w:t>Outcome 8</w:t>
            </w:r>
            <w:r>
              <w:rPr>
                <w:rFonts w:ascii="Calibri Light" w:eastAsia="Times New Roman" w:hAnsi="Calibri Light" w:cstheme="minorHAnsi"/>
                <w:b/>
                <w:bCs/>
                <w:color w:val="495965"/>
                <w:sz w:val="18"/>
                <w:szCs w:val="18"/>
                <w:lang w:eastAsia="en-AU"/>
              </w:rPr>
              <w:t>:</w:t>
            </w:r>
            <w:r>
              <w:rPr>
                <w:rFonts w:ascii="Calibri Light" w:eastAsia="Times New Roman" w:hAnsi="Calibri Light" w:cstheme="minorHAnsi"/>
                <w:color w:val="495965"/>
                <w:sz w:val="18"/>
                <w:szCs w:val="18"/>
                <w:lang w:eastAsia="en-AU"/>
              </w:rPr>
              <w:t xml:space="preserve"> Improved integration of gender equality into aid investments </w:t>
            </w:r>
          </w:p>
        </w:tc>
        <w:tc>
          <w:tcPr>
            <w:tcW w:w="3160" w:type="dxa"/>
            <w:tcBorders>
              <w:top w:val="nil"/>
              <w:left w:val="nil"/>
              <w:bottom w:val="single" w:sz="4" w:space="0" w:color="auto"/>
              <w:right w:val="single" w:sz="4" w:space="0" w:color="auto"/>
            </w:tcBorders>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15.</w:t>
            </w:r>
            <w:r>
              <w:rPr>
                <w:rFonts w:ascii="Times New Roman" w:eastAsia="Times New Roman" w:hAnsi="Times New Roman" w:cs="Times New Roman"/>
                <w:color w:val="495965"/>
                <w:sz w:val="14"/>
                <w:szCs w:val="14"/>
                <w:lang w:eastAsia="en-AU"/>
              </w:rPr>
              <w:t xml:space="preserve">  </w:t>
            </w:r>
            <w:r>
              <w:rPr>
                <w:rFonts w:ascii="Calibri Light" w:eastAsia="Times New Roman" w:hAnsi="Calibri Light" w:cstheme="minorHAnsi"/>
                <w:color w:val="495965"/>
                <w:sz w:val="18"/>
                <w:szCs w:val="18"/>
                <w:lang w:eastAsia="en-AU"/>
              </w:rPr>
              <w:t xml:space="preserve"> % of investments receiving satisfactory ratings for gender equality in annual Aid Quality Checks (AID PROGRAM STRATEGIC TARGET – GENDER EQUALITY)</w:t>
            </w:r>
            <w:r>
              <w:rPr>
                <w:rFonts w:ascii="Calibri Light" w:eastAsia="Times New Roman" w:hAnsi="Calibri Light" w:cstheme="minorHAnsi"/>
                <w:color w:val="495965"/>
                <w:sz w:val="18"/>
                <w:szCs w:val="18"/>
                <w:lang w:eastAsia="en-AU"/>
              </w:rPr>
              <w:br/>
              <w:t>Data source: AQC analysis</w:t>
            </w:r>
          </w:p>
        </w:tc>
        <w:tc>
          <w:tcPr>
            <w:tcW w:w="1400" w:type="dxa"/>
            <w:tcBorders>
              <w:top w:val="nil"/>
              <w:left w:val="nil"/>
              <w:bottom w:val="single" w:sz="4" w:space="0" w:color="auto"/>
              <w:right w:val="single" w:sz="4" w:space="0" w:color="auto"/>
            </w:tcBorders>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80%</w:t>
            </w:r>
          </w:p>
        </w:tc>
        <w:tc>
          <w:tcPr>
            <w:tcW w:w="1400" w:type="dxa"/>
            <w:tcBorders>
              <w:top w:val="nil"/>
              <w:left w:val="nil"/>
              <w:bottom w:val="single" w:sz="4" w:space="0" w:color="auto"/>
              <w:right w:val="single" w:sz="4" w:space="0" w:color="auto"/>
            </w:tcBorders>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80%</w:t>
            </w:r>
          </w:p>
        </w:tc>
      </w:tr>
      <w:tr w:rsidR="001B1B71" w:rsidTr="001B1B71">
        <w:trPr>
          <w:trHeight w:val="720"/>
        </w:trPr>
        <w:tc>
          <w:tcPr>
            <w:tcW w:w="3460" w:type="dxa"/>
            <w:tcBorders>
              <w:top w:val="nil"/>
              <w:left w:val="single" w:sz="4" w:space="0" w:color="auto"/>
              <w:bottom w:val="nil"/>
              <w:right w:val="single" w:sz="4" w:space="0" w:color="auto"/>
            </w:tcBorders>
            <w:shd w:val="clear" w:color="auto" w:fill="DDECD0"/>
            <w:hideMark/>
          </w:tcPr>
          <w:p w:rsidR="001B1B71" w:rsidRDefault="001B1B71">
            <w:pPr>
              <w:suppressAutoHyphens w:val="0"/>
              <w:spacing w:before="0" w:after="0" w:line="240" w:lineRule="auto"/>
              <w:rPr>
                <w:rFonts w:ascii="Calibri" w:eastAsia="Times New Roman" w:hAnsi="Calibri" w:cs="Times New Roman"/>
                <w:color w:val="000000"/>
                <w:lang w:val="en-AU" w:eastAsia="en-AU"/>
              </w:rPr>
            </w:pPr>
            <w:r>
              <w:rPr>
                <w:rFonts w:ascii="Calibri" w:eastAsia="Times New Roman" w:hAnsi="Calibri" w:cs="Times New Roman"/>
                <w:color w:val="000000"/>
                <w:lang w:val="en-AU" w:eastAsia="en-AU"/>
              </w:rPr>
              <w:t> </w:t>
            </w:r>
          </w:p>
        </w:tc>
        <w:tc>
          <w:tcPr>
            <w:tcW w:w="2560" w:type="dxa"/>
            <w:tcBorders>
              <w:top w:val="nil"/>
              <w:left w:val="nil"/>
              <w:bottom w:val="single" w:sz="4" w:space="0" w:color="auto"/>
              <w:right w:val="single" w:sz="4" w:space="0" w:color="auto"/>
            </w:tcBorders>
            <w:shd w:val="clear" w:color="auto" w:fill="D8DCDB"/>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u w:val="single"/>
                <w:lang w:val="en-AU" w:eastAsia="en-AU"/>
              </w:rPr>
            </w:pPr>
            <w:r>
              <w:rPr>
                <w:rFonts w:ascii="Calibri Light" w:eastAsia="Times New Roman" w:hAnsi="Calibri Light" w:cstheme="minorHAnsi"/>
                <w:b/>
                <w:bCs/>
                <w:color w:val="495965"/>
                <w:sz w:val="18"/>
                <w:szCs w:val="18"/>
                <w:u w:val="single"/>
                <w:lang w:eastAsia="en-AU"/>
              </w:rPr>
              <w:t>Outcome 9</w:t>
            </w:r>
            <w:r>
              <w:rPr>
                <w:rFonts w:ascii="Calibri Light" w:eastAsia="Times New Roman" w:hAnsi="Calibri Light" w:cstheme="minorHAnsi"/>
                <w:color w:val="495965"/>
                <w:sz w:val="18"/>
                <w:szCs w:val="18"/>
                <w:u w:val="single"/>
                <w:lang w:eastAsia="en-AU"/>
              </w:rPr>
              <w:t>:</w:t>
            </w:r>
            <w:r>
              <w:rPr>
                <w:rFonts w:ascii="Calibri Light" w:eastAsia="Times New Roman" w:hAnsi="Calibri Light" w:cstheme="minorHAnsi"/>
                <w:color w:val="495965"/>
                <w:sz w:val="18"/>
                <w:szCs w:val="18"/>
                <w:lang w:eastAsia="en-AU"/>
              </w:rPr>
              <w:t xml:space="preserve"> Improved integration of disability into investments</w:t>
            </w:r>
          </w:p>
        </w:tc>
        <w:tc>
          <w:tcPr>
            <w:tcW w:w="3160" w:type="dxa"/>
            <w:tcBorders>
              <w:top w:val="nil"/>
              <w:left w:val="nil"/>
              <w:bottom w:val="single" w:sz="4" w:space="0" w:color="auto"/>
              <w:right w:val="single" w:sz="4" w:space="0" w:color="auto"/>
            </w:tcBorders>
            <w:shd w:val="clear" w:color="auto" w:fill="FFFFFF"/>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16.</w:t>
            </w:r>
            <w:r>
              <w:rPr>
                <w:rFonts w:ascii="Times New Roman" w:eastAsia="Times New Roman" w:hAnsi="Times New Roman" w:cs="Times New Roman"/>
                <w:color w:val="495965"/>
                <w:sz w:val="14"/>
                <w:szCs w:val="14"/>
                <w:lang w:eastAsia="en-AU"/>
              </w:rPr>
              <w:t xml:space="preserve">  </w:t>
            </w:r>
            <w:r>
              <w:rPr>
                <w:rFonts w:ascii="Calibri Light" w:eastAsia="Times New Roman" w:hAnsi="Calibri Light" w:cstheme="minorHAnsi"/>
                <w:color w:val="495965"/>
                <w:sz w:val="18"/>
                <w:szCs w:val="18"/>
                <w:lang w:eastAsia="en-AU"/>
              </w:rPr>
              <w:t>% of investments receiving satisfactory ratings in annual AQCs</w:t>
            </w:r>
            <w:r>
              <w:rPr>
                <w:rFonts w:ascii="Calibri Light" w:eastAsia="Times New Roman" w:hAnsi="Calibri Light" w:cstheme="minorHAnsi"/>
                <w:color w:val="495965"/>
                <w:sz w:val="18"/>
                <w:szCs w:val="18"/>
                <w:lang w:eastAsia="en-AU"/>
              </w:rPr>
              <w:br/>
              <w:t>Data source: AQC analysis</w:t>
            </w:r>
          </w:p>
        </w:tc>
        <w:tc>
          <w:tcPr>
            <w:tcW w:w="1400" w:type="dxa"/>
            <w:tcBorders>
              <w:top w:val="nil"/>
              <w:left w:val="nil"/>
              <w:bottom w:val="single" w:sz="4" w:space="0" w:color="auto"/>
              <w:right w:val="single" w:sz="4" w:space="0" w:color="auto"/>
            </w:tcBorders>
            <w:shd w:val="clear" w:color="auto" w:fill="FFFFFF"/>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45%</w:t>
            </w:r>
          </w:p>
        </w:tc>
        <w:tc>
          <w:tcPr>
            <w:tcW w:w="1400" w:type="dxa"/>
            <w:tcBorders>
              <w:top w:val="nil"/>
              <w:left w:val="nil"/>
              <w:bottom w:val="single" w:sz="4" w:space="0" w:color="auto"/>
              <w:right w:val="single" w:sz="4" w:space="0" w:color="auto"/>
            </w:tcBorders>
            <w:shd w:val="clear" w:color="auto" w:fill="FFFFFF"/>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50%</w:t>
            </w:r>
          </w:p>
        </w:tc>
      </w:tr>
      <w:tr w:rsidR="001B1B71" w:rsidTr="001B1B71">
        <w:trPr>
          <w:trHeight w:val="1275"/>
        </w:trPr>
        <w:tc>
          <w:tcPr>
            <w:tcW w:w="3460" w:type="dxa"/>
            <w:tcBorders>
              <w:top w:val="nil"/>
              <w:left w:val="single" w:sz="4" w:space="0" w:color="auto"/>
              <w:bottom w:val="single" w:sz="4" w:space="0" w:color="auto"/>
              <w:right w:val="single" w:sz="4" w:space="0" w:color="auto"/>
            </w:tcBorders>
            <w:shd w:val="clear" w:color="auto" w:fill="DDECD0"/>
            <w:hideMark/>
          </w:tcPr>
          <w:p w:rsidR="001B1B71" w:rsidRDefault="001B1B71">
            <w:pPr>
              <w:suppressAutoHyphens w:val="0"/>
              <w:spacing w:before="0" w:after="0" w:line="240" w:lineRule="auto"/>
              <w:rPr>
                <w:rFonts w:ascii="Calibri" w:eastAsia="Times New Roman" w:hAnsi="Calibri" w:cs="Times New Roman"/>
                <w:color w:val="000000"/>
                <w:lang w:val="en-AU" w:eastAsia="en-AU"/>
              </w:rPr>
            </w:pPr>
            <w:r>
              <w:rPr>
                <w:rFonts w:ascii="Calibri" w:eastAsia="Times New Roman" w:hAnsi="Calibri" w:cs="Times New Roman"/>
                <w:color w:val="000000"/>
                <w:lang w:val="en-AU" w:eastAsia="en-AU"/>
              </w:rPr>
              <w:t> </w:t>
            </w:r>
          </w:p>
        </w:tc>
        <w:tc>
          <w:tcPr>
            <w:tcW w:w="2560" w:type="dxa"/>
            <w:tcBorders>
              <w:top w:val="nil"/>
              <w:left w:val="nil"/>
              <w:bottom w:val="single" w:sz="4" w:space="0" w:color="auto"/>
              <w:right w:val="single" w:sz="4" w:space="0" w:color="auto"/>
            </w:tcBorders>
            <w:shd w:val="clear" w:color="auto" w:fill="D8DCDB"/>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b/>
                <w:bCs/>
                <w:color w:val="495965"/>
                <w:sz w:val="18"/>
                <w:szCs w:val="18"/>
                <w:u w:val="single"/>
                <w:lang w:eastAsia="en-AU"/>
              </w:rPr>
              <w:t>Outcome 10</w:t>
            </w:r>
            <w:r>
              <w:rPr>
                <w:rFonts w:ascii="Calibri Light" w:eastAsia="Times New Roman" w:hAnsi="Calibri Light" w:cstheme="minorHAnsi"/>
                <w:b/>
                <w:bCs/>
                <w:color w:val="495965"/>
                <w:sz w:val="18"/>
                <w:szCs w:val="18"/>
                <w:lang w:eastAsia="en-AU"/>
              </w:rPr>
              <w:t>:</w:t>
            </w:r>
            <w:r>
              <w:rPr>
                <w:rFonts w:ascii="Calibri Light" w:eastAsia="Times New Roman" w:hAnsi="Calibri Light" w:cstheme="minorHAnsi"/>
                <w:color w:val="495965"/>
                <w:sz w:val="18"/>
                <w:szCs w:val="18"/>
                <w:lang w:eastAsia="en-AU"/>
              </w:rPr>
              <w:t xml:space="preserve"> Pakistan Aid Program is more consolidated over time</w:t>
            </w:r>
          </w:p>
        </w:tc>
        <w:tc>
          <w:tcPr>
            <w:tcW w:w="3160" w:type="dxa"/>
            <w:tcBorders>
              <w:top w:val="nil"/>
              <w:left w:val="nil"/>
              <w:bottom w:val="single" w:sz="4" w:space="0" w:color="auto"/>
              <w:right w:val="single" w:sz="4" w:space="0" w:color="auto"/>
            </w:tcBorders>
            <w:shd w:val="clear" w:color="auto" w:fill="FFFFFF"/>
            <w:vAlign w:val="center"/>
            <w:hideMark/>
          </w:tcPr>
          <w:p w:rsidR="001B1B71" w:rsidRDefault="001B1B71">
            <w:pPr>
              <w:suppressAutoHyphens w:val="0"/>
              <w:spacing w:before="0" w:after="0" w:line="240" w:lineRule="auto"/>
              <w:rPr>
                <w:rFonts w:ascii="Calibri Light" w:eastAsia="Times New Roman" w:hAnsi="Calibri Light" w:cs="Times New Roman"/>
                <w:color w:val="495965"/>
                <w:sz w:val="20"/>
                <w:szCs w:val="20"/>
                <w:lang w:val="en-AU" w:eastAsia="en-AU"/>
              </w:rPr>
            </w:pPr>
            <w:r>
              <w:rPr>
                <w:rFonts w:ascii="Calibri Light" w:eastAsia="Times New Roman" w:hAnsi="Calibri Light" w:cstheme="minorHAnsi"/>
                <w:color w:val="495965"/>
                <w:sz w:val="20"/>
                <w:szCs w:val="20"/>
                <w:lang w:eastAsia="en-AU"/>
              </w:rPr>
              <w:t>17.</w:t>
            </w:r>
            <w:r>
              <w:rPr>
                <w:rFonts w:ascii="Times New Roman" w:eastAsia="Times New Roman" w:hAnsi="Times New Roman" w:cs="Times New Roman"/>
                <w:color w:val="495965"/>
                <w:sz w:val="14"/>
                <w:szCs w:val="14"/>
                <w:lang w:eastAsia="en-AU"/>
              </w:rPr>
              <w:t xml:space="preserve"> </w:t>
            </w:r>
            <w:r>
              <w:rPr>
                <w:rFonts w:ascii="Calibri Light" w:eastAsia="Times New Roman" w:hAnsi="Calibri Light" w:cstheme="minorHAnsi"/>
                <w:color w:val="495965"/>
                <w:sz w:val="20"/>
                <w:szCs w:val="20"/>
                <w:lang w:eastAsia="en-AU"/>
              </w:rPr>
              <w:t># of initiatives in the Pakistan development program fund (AID PROGRAM STRATEGIC TARGET - CONSOLIDATION)</w:t>
            </w:r>
            <w:r>
              <w:rPr>
                <w:rFonts w:ascii="Calibri Light" w:eastAsia="Times New Roman" w:hAnsi="Calibri Light" w:cstheme="minorHAnsi"/>
                <w:color w:val="495965"/>
                <w:sz w:val="20"/>
                <w:szCs w:val="20"/>
                <w:lang w:eastAsia="en-AU"/>
              </w:rPr>
              <w:br/>
              <w:t>Data source: PK1 Program Fund Plan</w:t>
            </w:r>
          </w:p>
        </w:tc>
        <w:tc>
          <w:tcPr>
            <w:tcW w:w="1400" w:type="dxa"/>
            <w:tcBorders>
              <w:top w:val="nil"/>
              <w:left w:val="nil"/>
              <w:bottom w:val="single" w:sz="4" w:space="0" w:color="auto"/>
              <w:right w:val="single" w:sz="4" w:space="0" w:color="auto"/>
            </w:tcBorders>
            <w:shd w:val="clear" w:color="auto" w:fill="FFFFFF"/>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14 initiatives</w:t>
            </w:r>
          </w:p>
        </w:tc>
        <w:tc>
          <w:tcPr>
            <w:tcW w:w="1400" w:type="dxa"/>
            <w:tcBorders>
              <w:top w:val="nil"/>
              <w:left w:val="nil"/>
              <w:bottom w:val="single" w:sz="4" w:space="0" w:color="auto"/>
              <w:right w:val="single" w:sz="4" w:space="0" w:color="auto"/>
            </w:tcBorders>
            <w:shd w:val="clear" w:color="auto" w:fill="FFFFFF"/>
            <w:vAlign w:val="center"/>
            <w:hideMark/>
          </w:tcPr>
          <w:p w:rsidR="001B1B71" w:rsidRDefault="001B1B71">
            <w:pPr>
              <w:suppressAutoHyphens w:val="0"/>
              <w:spacing w:before="0" w:after="0" w:line="240" w:lineRule="auto"/>
              <w:jc w:val="center"/>
              <w:rPr>
                <w:rFonts w:ascii="Calibri Light" w:eastAsia="Times New Roman" w:hAnsi="Calibri Light" w:cs="Times New Roman"/>
                <w:color w:val="495965"/>
                <w:sz w:val="18"/>
                <w:szCs w:val="18"/>
                <w:lang w:val="en-AU" w:eastAsia="en-AU"/>
              </w:rPr>
            </w:pPr>
            <w:r>
              <w:rPr>
                <w:rFonts w:ascii="Calibri Light" w:eastAsia="Times New Roman" w:hAnsi="Calibri Light" w:cstheme="minorHAnsi"/>
                <w:color w:val="495965"/>
                <w:sz w:val="18"/>
                <w:szCs w:val="18"/>
                <w:lang w:eastAsia="en-AU"/>
              </w:rPr>
              <w:t>14 initiatives</w:t>
            </w:r>
          </w:p>
        </w:tc>
      </w:tr>
    </w:tbl>
    <w:p w:rsidR="00CA7DD8" w:rsidRDefault="00CA7DD8" w:rsidP="00784031"/>
    <w:p w:rsidR="00CA7DD8" w:rsidRDefault="00CA7DD8" w:rsidP="00784031"/>
    <w:p w:rsidR="00CA7DD8" w:rsidRDefault="00CA7DD8" w:rsidP="00784031"/>
    <w:p w:rsidR="00CA7DD8" w:rsidRDefault="00CA7DD8" w:rsidP="00784031">
      <w:pPr>
        <w:sectPr w:rsidR="00CA7DD8" w:rsidSect="00EB4838">
          <w:headerReference w:type="default" r:id="rId25"/>
          <w:pgSz w:w="16838" w:h="11906" w:orient="landscape" w:code="9"/>
          <w:pgMar w:top="1134" w:right="1527" w:bottom="1134" w:left="851" w:header="1134" w:footer="267" w:gutter="0"/>
          <w:cols w:space="397"/>
          <w:docGrid w:linePitch="360"/>
        </w:sectPr>
      </w:pPr>
    </w:p>
    <w:p w:rsidR="00CA7DD8" w:rsidRDefault="00CA7DD8" w:rsidP="00784031"/>
    <w:p w:rsidR="00BE737D" w:rsidRDefault="00BE737D" w:rsidP="007B4725">
      <w:pPr>
        <w:spacing w:before="0" w:after="0"/>
        <w:rPr>
          <w:rFonts w:asciiTheme="majorHAnsi" w:eastAsiaTheme="majorEastAsia" w:hAnsiTheme="majorHAnsi" w:cstheme="majorBidi"/>
          <w:b/>
          <w:bCs/>
          <w:iCs/>
          <w:caps/>
          <w:spacing w:val="-10"/>
          <w:kern w:val="28"/>
          <w:sz w:val="38"/>
          <w:szCs w:val="38"/>
        </w:rPr>
      </w:pPr>
      <w:r w:rsidRPr="007B4725">
        <w:rPr>
          <w:rFonts w:asciiTheme="majorHAnsi" w:eastAsiaTheme="majorEastAsia" w:hAnsiTheme="majorHAnsi" w:cstheme="majorBidi"/>
          <w:b/>
          <w:bCs/>
          <w:iCs/>
          <w:caps/>
          <w:spacing w:val="-10"/>
          <w:kern w:val="28"/>
          <w:sz w:val="38"/>
          <w:szCs w:val="38"/>
        </w:rPr>
        <w:t>Appendix 1</w:t>
      </w:r>
      <w:r w:rsidR="007B4725">
        <w:rPr>
          <w:rFonts w:asciiTheme="majorHAnsi" w:eastAsiaTheme="majorEastAsia" w:hAnsiTheme="majorHAnsi" w:cstheme="majorBidi"/>
          <w:b/>
          <w:bCs/>
          <w:iCs/>
          <w:caps/>
          <w:spacing w:val="-10"/>
          <w:kern w:val="28"/>
          <w:sz w:val="38"/>
          <w:szCs w:val="38"/>
        </w:rPr>
        <w:t xml:space="preserve"> –</w:t>
      </w:r>
      <w:r w:rsidRPr="007B4725">
        <w:rPr>
          <w:rFonts w:asciiTheme="majorHAnsi" w:eastAsiaTheme="majorEastAsia" w:hAnsiTheme="majorHAnsi" w:cstheme="majorBidi"/>
          <w:b/>
          <w:bCs/>
          <w:iCs/>
          <w:caps/>
          <w:spacing w:val="-10"/>
          <w:kern w:val="28"/>
          <w:sz w:val="38"/>
          <w:szCs w:val="38"/>
        </w:rPr>
        <w:t xml:space="preserve"> 2030 AGENDA FOR SUSTAINABLE DEVELOPMENT </w:t>
      </w:r>
    </w:p>
    <w:p w:rsidR="007B4725" w:rsidRPr="007B4725" w:rsidRDefault="007B4725" w:rsidP="007B4725">
      <w:pPr>
        <w:spacing w:before="0" w:after="0"/>
        <w:rPr>
          <w:rFonts w:asciiTheme="majorHAnsi" w:eastAsiaTheme="majorEastAsia" w:hAnsiTheme="majorHAnsi" w:cstheme="majorBidi"/>
          <w:b/>
          <w:bCs/>
          <w:iCs/>
          <w:caps/>
          <w:spacing w:val="-10"/>
          <w:kern w:val="28"/>
          <w:sz w:val="38"/>
          <w:szCs w:val="38"/>
        </w:rPr>
      </w:pP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none" w:sz="0" w:space="0" w:color="auto"/>
          <w:insideH w:val="single" w:sz="4" w:space="0" w:color="FFFFFF" w:themeColor="background1"/>
          <w:insideV w:val="none" w:sz="0" w:space="0" w:color="auto"/>
        </w:tblBorders>
        <w:shd w:val="clear" w:color="auto" w:fill="D7DEE2" w:themeFill="text2" w:themeFillTint="33"/>
        <w:tblLook w:val="04A0" w:firstRow="1" w:lastRow="0" w:firstColumn="1" w:lastColumn="0" w:noHBand="0" w:noVBand="1"/>
      </w:tblPr>
      <w:tblGrid>
        <w:gridCol w:w="1271"/>
        <w:gridCol w:w="2977"/>
        <w:gridCol w:w="283"/>
        <w:gridCol w:w="1276"/>
        <w:gridCol w:w="3544"/>
      </w:tblGrid>
      <w:tr w:rsidR="00BE737D" w:rsidTr="00C00672">
        <w:trPr>
          <w:trHeight w:val="1156"/>
        </w:trPr>
        <w:tc>
          <w:tcPr>
            <w:tcW w:w="1271" w:type="dxa"/>
            <w:shd w:val="clear" w:color="auto" w:fill="D7DEE2" w:themeFill="text2" w:themeFillTint="33"/>
          </w:tcPr>
          <w:p w:rsidR="00BE737D" w:rsidRDefault="00BE737D" w:rsidP="00C00672">
            <w:pPr>
              <w:spacing w:before="80" w:after="80"/>
            </w:pPr>
            <w:r w:rsidRPr="00F75380">
              <w:rPr>
                <w:noProof/>
                <w:lang w:val="en-AU" w:eastAsia="en-AU"/>
              </w:rPr>
              <w:drawing>
                <wp:inline distT="0" distB="0" distL="0" distR="0" wp14:anchorId="4BE3B8E0" wp14:editId="7A385245">
                  <wp:extent cx="612000" cy="612000"/>
                  <wp:effectExtent l="0" t="0" r="0" b="0"/>
                  <wp:docPr id="20" name="Picture 20" descr="\\TITAN\CHCH\Desktop\scarpen2\Desktop\New folder (2)\SD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AN\CHCH\Desktop\scarpen2\Desktop\New folder (2)\SDG 1.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tc>
        <w:tc>
          <w:tcPr>
            <w:tcW w:w="2977" w:type="dxa"/>
            <w:shd w:val="clear" w:color="auto" w:fill="D7DEE2" w:themeFill="text2" w:themeFillTint="33"/>
          </w:tcPr>
          <w:p w:rsidR="00BE737D" w:rsidRPr="007B4725" w:rsidRDefault="00BE737D" w:rsidP="00C00672">
            <w:pPr>
              <w:spacing w:before="80" w:after="80"/>
              <w:rPr>
                <w:sz w:val="20"/>
              </w:rPr>
            </w:pPr>
            <w:r w:rsidRPr="007B4725">
              <w:rPr>
                <w:sz w:val="20"/>
              </w:rPr>
              <w:t>End poverty in all its forms everywhere</w:t>
            </w:r>
          </w:p>
        </w:tc>
        <w:tc>
          <w:tcPr>
            <w:tcW w:w="283" w:type="dxa"/>
            <w:shd w:val="clear" w:color="auto" w:fill="D7DEE2" w:themeFill="text2" w:themeFillTint="33"/>
          </w:tcPr>
          <w:p w:rsidR="00BE737D" w:rsidRDefault="00BE737D" w:rsidP="00C00672"/>
        </w:tc>
        <w:tc>
          <w:tcPr>
            <w:tcW w:w="1276" w:type="dxa"/>
            <w:shd w:val="clear" w:color="auto" w:fill="D7DEE2" w:themeFill="text2" w:themeFillTint="33"/>
          </w:tcPr>
          <w:p w:rsidR="00BE737D" w:rsidRDefault="00BE737D" w:rsidP="00C00672">
            <w:pPr>
              <w:spacing w:before="80" w:after="80"/>
            </w:pPr>
            <w:r>
              <w:rPr>
                <w:noProof/>
                <w:lang w:val="en-AU" w:eastAsia="en-AU"/>
              </w:rPr>
              <w:drawing>
                <wp:inline distT="0" distB="0" distL="0" distR="0" wp14:anchorId="5DB92CA8" wp14:editId="23F31228">
                  <wp:extent cx="612000" cy="612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 10.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3544" w:type="dxa"/>
            <w:shd w:val="clear" w:color="auto" w:fill="D7DEE2" w:themeFill="text2" w:themeFillTint="33"/>
          </w:tcPr>
          <w:p w:rsidR="00BE737D" w:rsidRPr="007B4725" w:rsidRDefault="00BE737D" w:rsidP="00C00672">
            <w:pPr>
              <w:spacing w:before="80" w:after="80"/>
              <w:rPr>
                <w:sz w:val="20"/>
              </w:rPr>
            </w:pPr>
            <w:r w:rsidRPr="007B4725">
              <w:rPr>
                <w:sz w:val="20"/>
              </w:rPr>
              <w:t>Reduce inequality within and among countries</w:t>
            </w:r>
          </w:p>
        </w:tc>
      </w:tr>
      <w:tr w:rsidR="00BE737D" w:rsidTr="00C00672">
        <w:tc>
          <w:tcPr>
            <w:tcW w:w="1271" w:type="dxa"/>
            <w:shd w:val="clear" w:color="auto" w:fill="D7DEE2" w:themeFill="text2" w:themeFillTint="33"/>
          </w:tcPr>
          <w:p w:rsidR="00BE737D" w:rsidRDefault="00BE737D" w:rsidP="00C00672">
            <w:pPr>
              <w:spacing w:before="80" w:after="80"/>
            </w:pPr>
            <w:r>
              <w:rPr>
                <w:noProof/>
                <w:lang w:val="en-AU" w:eastAsia="en-AU"/>
              </w:rPr>
              <w:drawing>
                <wp:inline distT="0" distB="0" distL="0" distR="0" wp14:anchorId="3F0C5C4D" wp14:editId="583DD2A8">
                  <wp:extent cx="612000" cy="612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G 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2977" w:type="dxa"/>
            <w:shd w:val="clear" w:color="auto" w:fill="D7DEE2" w:themeFill="text2" w:themeFillTint="33"/>
          </w:tcPr>
          <w:p w:rsidR="00BE737D" w:rsidRPr="007B4725" w:rsidRDefault="00BE737D" w:rsidP="00C00672">
            <w:pPr>
              <w:spacing w:before="80" w:after="80"/>
              <w:rPr>
                <w:sz w:val="20"/>
              </w:rPr>
            </w:pPr>
            <w:r w:rsidRPr="007B4725">
              <w:rPr>
                <w:sz w:val="20"/>
              </w:rPr>
              <w:t>End hunger, achieve food security and improved nutrition and promote sustainable agriculture</w:t>
            </w:r>
          </w:p>
        </w:tc>
        <w:tc>
          <w:tcPr>
            <w:tcW w:w="283" w:type="dxa"/>
            <w:shd w:val="clear" w:color="auto" w:fill="D7DEE2" w:themeFill="text2" w:themeFillTint="33"/>
          </w:tcPr>
          <w:p w:rsidR="00BE737D" w:rsidRDefault="00BE737D" w:rsidP="00C00672"/>
        </w:tc>
        <w:tc>
          <w:tcPr>
            <w:tcW w:w="1276" w:type="dxa"/>
            <w:shd w:val="clear" w:color="auto" w:fill="D7DEE2" w:themeFill="text2" w:themeFillTint="33"/>
          </w:tcPr>
          <w:p w:rsidR="00BE737D" w:rsidRDefault="00BE737D" w:rsidP="00C00672">
            <w:pPr>
              <w:spacing w:before="80" w:after="80"/>
            </w:pPr>
            <w:r>
              <w:rPr>
                <w:noProof/>
                <w:lang w:val="en-AU" w:eastAsia="en-AU"/>
              </w:rPr>
              <w:drawing>
                <wp:inline distT="0" distB="0" distL="0" distR="0" wp14:anchorId="56C76B52" wp14:editId="3B6CFF08">
                  <wp:extent cx="612000" cy="612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DG 11.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3544" w:type="dxa"/>
            <w:shd w:val="clear" w:color="auto" w:fill="D7DEE2" w:themeFill="text2" w:themeFillTint="33"/>
          </w:tcPr>
          <w:p w:rsidR="00BE737D" w:rsidRPr="007B4725" w:rsidRDefault="00BE737D" w:rsidP="00C00672">
            <w:pPr>
              <w:spacing w:before="80" w:after="80"/>
              <w:rPr>
                <w:sz w:val="20"/>
              </w:rPr>
            </w:pPr>
            <w:r w:rsidRPr="007B4725">
              <w:rPr>
                <w:sz w:val="20"/>
              </w:rPr>
              <w:t>Make cities and human settlements inclusive, safe, resilient and sustainable</w:t>
            </w:r>
          </w:p>
        </w:tc>
      </w:tr>
      <w:tr w:rsidR="00BE737D" w:rsidTr="00C00672">
        <w:tc>
          <w:tcPr>
            <w:tcW w:w="1271" w:type="dxa"/>
            <w:shd w:val="clear" w:color="auto" w:fill="D7DEE2" w:themeFill="text2" w:themeFillTint="33"/>
          </w:tcPr>
          <w:p w:rsidR="00BE737D" w:rsidRDefault="00BE737D" w:rsidP="00C00672">
            <w:pPr>
              <w:spacing w:before="80" w:after="80"/>
            </w:pPr>
            <w:r>
              <w:rPr>
                <w:noProof/>
                <w:lang w:val="en-AU" w:eastAsia="en-AU"/>
              </w:rPr>
              <w:drawing>
                <wp:inline distT="0" distB="0" distL="0" distR="0" wp14:anchorId="5F80B25E" wp14:editId="67479F88">
                  <wp:extent cx="612000" cy="612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 3.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2977" w:type="dxa"/>
            <w:shd w:val="clear" w:color="auto" w:fill="D7DEE2" w:themeFill="text2" w:themeFillTint="33"/>
          </w:tcPr>
          <w:p w:rsidR="00BE737D" w:rsidRPr="007B4725" w:rsidRDefault="00BE737D" w:rsidP="00C00672">
            <w:pPr>
              <w:spacing w:before="80" w:after="80"/>
              <w:rPr>
                <w:sz w:val="20"/>
              </w:rPr>
            </w:pPr>
            <w:r w:rsidRPr="007B4725">
              <w:rPr>
                <w:sz w:val="20"/>
              </w:rPr>
              <w:t>Ensure healthy lives and promote well-being at all ages</w:t>
            </w:r>
          </w:p>
        </w:tc>
        <w:tc>
          <w:tcPr>
            <w:tcW w:w="283" w:type="dxa"/>
            <w:shd w:val="clear" w:color="auto" w:fill="D7DEE2" w:themeFill="text2" w:themeFillTint="33"/>
          </w:tcPr>
          <w:p w:rsidR="00BE737D" w:rsidRDefault="00BE737D" w:rsidP="00C00672"/>
        </w:tc>
        <w:tc>
          <w:tcPr>
            <w:tcW w:w="1276" w:type="dxa"/>
            <w:shd w:val="clear" w:color="auto" w:fill="D7DEE2" w:themeFill="text2" w:themeFillTint="33"/>
          </w:tcPr>
          <w:p w:rsidR="00BE737D" w:rsidRDefault="00BE737D" w:rsidP="00C00672">
            <w:pPr>
              <w:spacing w:before="80" w:after="80"/>
            </w:pPr>
            <w:r>
              <w:rPr>
                <w:noProof/>
                <w:lang w:val="en-AU" w:eastAsia="en-AU"/>
              </w:rPr>
              <w:drawing>
                <wp:inline distT="0" distB="0" distL="0" distR="0" wp14:anchorId="41C00703" wp14:editId="7ED9D96D">
                  <wp:extent cx="612000" cy="612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DG 1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3544" w:type="dxa"/>
            <w:shd w:val="clear" w:color="auto" w:fill="D7DEE2" w:themeFill="text2" w:themeFillTint="33"/>
          </w:tcPr>
          <w:p w:rsidR="00BE737D" w:rsidRPr="007B4725" w:rsidRDefault="00BE737D" w:rsidP="00C00672">
            <w:pPr>
              <w:spacing w:before="80" w:after="80"/>
              <w:rPr>
                <w:sz w:val="20"/>
              </w:rPr>
            </w:pPr>
            <w:r w:rsidRPr="007B4725">
              <w:rPr>
                <w:sz w:val="20"/>
              </w:rPr>
              <w:t>Ensure sustainable consumption and production patterns</w:t>
            </w:r>
          </w:p>
        </w:tc>
      </w:tr>
      <w:tr w:rsidR="00BE737D" w:rsidTr="00C00672">
        <w:tc>
          <w:tcPr>
            <w:tcW w:w="1271" w:type="dxa"/>
            <w:shd w:val="clear" w:color="auto" w:fill="D7DEE2" w:themeFill="text2" w:themeFillTint="33"/>
          </w:tcPr>
          <w:p w:rsidR="00BE737D" w:rsidRDefault="00BE737D" w:rsidP="00C00672">
            <w:pPr>
              <w:spacing w:before="80" w:after="80"/>
            </w:pPr>
            <w:r>
              <w:rPr>
                <w:noProof/>
                <w:lang w:val="en-AU" w:eastAsia="en-AU"/>
              </w:rPr>
              <w:drawing>
                <wp:inline distT="0" distB="0" distL="0" distR="0" wp14:anchorId="0677148D" wp14:editId="215C12B5">
                  <wp:extent cx="612000" cy="612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DG 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2977" w:type="dxa"/>
            <w:shd w:val="clear" w:color="auto" w:fill="D7DEE2" w:themeFill="text2" w:themeFillTint="33"/>
          </w:tcPr>
          <w:p w:rsidR="00BE737D" w:rsidRPr="007B4725" w:rsidRDefault="00BE737D" w:rsidP="00C00672">
            <w:pPr>
              <w:spacing w:before="80" w:after="80"/>
              <w:rPr>
                <w:sz w:val="20"/>
              </w:rPr>
            </w:pPr>
            <w:r w:rsidRPr="007B4725">
              <w:rPr>
                <w:sz w:val="20"/>
              </w:rPr>
              <w:t>Ensure inclusive and equitable quality education and promote lifelong learning opportunities for all</w:t>
            </w:r>
          </w:p>
        </w:tc>
        <w:tc>
          <w:tcPr>
            <w:tcW w:w="283" w:type="dxa"/>
            <w:shd w:val="clear" w:color="auto" w:fill="D7DEE2" w:themeFill="text2" w:themeFillTint="33"/>
          </w:tcPr>
          <w:p w:rsidR="00BE737D" w:rsidRDefault="00BE737D" w:rsidP="00C00672"/>
        </w:tc>
        <w:tc>
          <w:tcPr>
            <w:tcW w:w="1276" w:type="dxa"/>
            <w:shd w:val="clear" w:color="auto" w:fill="D7DEE2" w:themeFill="text2" w:themeFillTint="33"/>
          </w:tcPr>
          <w:p w:rsidR="00BE737D" w:rsidRDefault="00BE737D" w:rsidP="00C00672">
            <w:pPr>
              <w:spacing w:before="80" w:after="80"/>
            </w:pPr>
            <w:r>
              <w:rPr>
                <w:noProof/>
                <w:lang w:val="en-AU" w:eastAsia="en-AU"/>
              </w:rPr>
              <w:drawing>
                <wp:inline distT="0" distB="0" distL="0" distR="0" wp14:anchorId="6446670B" wp14:editId="7BEC0129">
                  <wp:extent cx="612000" cy="612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DG 13.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3544" w:type="dxa"/>
            <w:shd w:val="clear" w:color="auto" w:fill="D7DEE2" w:themeFill="text2" w:themeFillTint="33"/>
          </w:tcPr>
          <w:p w:rsidR="00BE737D" w:rsidRPr="007B4725" w:rsidRDefault="00BE737D" w:rsidP="00C00672">
            <w:pPr>
              <w:spacing w:before="80" w:after="80"/>
              <w:rPr>
                <w:sz w:val="20"/>
              </w:rPr>
            </w:pPr>
            <w:r w:rsidRPr="007B4725">
              <w:rPr>
                <w:sz w:val="20"/>
              </w:rPr>
              <w:t>Take urgent action to combat climate change and its impacts</w:t>
            </w:r>
          </w:p>
        </w:tc>
      </w:tr>
      <w:tr w:rsidR="00BE737D" w:rsidTr="00C00672">
        <w:tc>
          <w:tcPr>
            <w:tcW w:w="1271" w:type="dxa"/>
            <w:shd w:val="clear" w:color="auto" w:fill="D7DEE2" w:themeFill="text2" w:themeFillTint="33"/>
          </w:tcPr>
          <w:p w:rsidR="00BE737D" w:rsidRDefault="00BE737D" w:rsidP="00C00672">
            <w:pPr>
              <w:spacing w:before="80" w:after="80"/>
            </w:pPr>
            <w:r>
              <w:rPr>
                <w:noProof/>
                <w:lang w:val="en-AU" w:eastAsia="en-AU"/>
              </w:rPr>
              <w:drawing>
                <wp:inline distT="0" distB="0" distL="0" distR="0" wp14:anchorId="27F57EE0" wp14:editId="10113051">
                  <wp:extent cx="612000" cy="612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 5.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2977" w:type="dxa"/>
            <w:shd w:val="clear" w:color="auto" w:fill="D7DEE2" w:themeFill="text2" w:themeFillTint="33"/>
          </w:tcPr>
          <w:p w:rsidR="00BE737D" w:rsidRPr="007B4725" w:rsidRDefault="00BE737D" w:rsidP="00C00672">
            <w:pPr>
              <w:spacing w:before="80" w:after="80"/>
              <w:rPr>
                <w:sz w:val="20"/>
              </w:rPr>
            </w:pPr>
            <w:r w:rsidRPr="007B4725">
              <w:rPr>
                <w:sz w:val="20"/>
              </w:rPr>
              <w:t>Achieve gender equality and empower all women and girls</w:t>
            </w:r>
          </w:p>
        </w:tc>
        <w:tc>
          <w:tcPr>
            <w:tcW w:w="283" w:type="dxa"/>
            <w:shd w:val="clear" w:color="auto" w:fill="D7DEE2" w:themeFill="text2" w:themeFillTint="33"/>
          </w:tcPr>
          <w:p w:rsidR="00BE737D" w:rsidRDefault="00BE737D" w:rsidP="00C00672"/>
        </w:tc>
        <w:tc>
          <w:tcPr>
            <w:tcW w:w="1276" w:type="dxa"/>
            <w:shd w:val="clear" w:color="auto" w:fill="D7DEE2" w:themeFill="text2" w:themeFillTint="33"/>
          </w:tcPr>
          <w:p w:rsidR="00BE737D" w:rsidRDefault="00BE737D" w:rsidP="00C00672">
            <w:pPr>
              <w:spacing w:before="80" w:after="80"/>
            </w:pPr>
            <w:r>
              <w:rPr>
                <w:noProof/>
                <w:lang w:val="en-AU" w:eastAsia="en-AU"/>
              </w:rPr>
              <w:drawing>
                <wp:inline distT="0" distB="0" distL="0" distR="0" wp14:anchorId="7E775E33" wp14:editId="4465D55F">
                  <wp:extent cx="612000" cy="612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DG 14.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3544" w:type="dxa"/>
            <w:shd w:val="clear" w:color="auto" w:fill="D7DEE2" w:themeFill="text2" w:themeFillTint="33"/>
          </w:tcPr>
          <w:p w:rsidR="00BE737D" w:rsidRPr="007B4725" w:rsidRDefault="00BE737D" w:rsidP="00C00672">
            <w:pPr>
              <w:spacing w:before="80" w:after="80"/>
              <w:rPr>
                <w:sz w:val="20"/>
              </w:rPr>
            </w:pPr>
            <w:r w:rsidRPr="007B4725">
              <w:rPr>
                <w:sz w:val="20"/>
              </w:rPr>
              <w:t>Conserve and sustainably use the oceans, seas and marine resources for sustainable development</w:t>
            </w:r>
          </w:p>
        </w:tc>
      </w:tr>
      <w:tr w:rsidR="00BE737D" w:rsidTr="00C00672">
        <w:tc>
          <w:tcPr>
            <w:tcW w:w="1271" w:type="dxa"/>
            <w:shd w:val="clear" w:color="auto" w:fill="D7DEE2" w:themeFill="text2" w:themeFillTint="33"/>
          </w:tcPr>
          <w:p w:rsidR="00BE737D" w:rsidRDefault="00BE737D" w:rsidP="00C00672">
            <w:pPr>
              <w:spacing w:before="80" w:after="80"/>
            </w:pPr>
            <w:r>
              <w:rPr>
                <w:noProof/>
                <w:lang w:val="en-AU" w:eastAsia="en-AU"/>
              </w:rPr>
              <w:drawing>
                <wp:inline distT="0" distB="0" distL="0" distR="0" wp14:anchorId="11B76752" wp14:editId="4403650B">
                  <wp:extent cx="612000" cy="612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DG 6.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2977" w:type="dxa"/>
            <w:shd w:val="clear" w:color="auto" w:fill="D7DEE2" w:themeFill="text2" w:themeFillTint="33"/>
          </w:tcPr>
          <w:p w:rsidR="00BE737D" w:rsidRPr="007B4725" w:rsidRDefault="00BE737D" w:rsidP="00C00672">
            <w:pPr>
              <w:spacing w:before="80" w:after="80"/>
              <w:rPr>
                <w:sz w:val="20"/>
              </w:rPr>
            </w:pPr>
            <w:r w:rsidRPr="007B4725">
              <w:rPr>
                <w:sz w:val="20"/>
              </w:rPr>
              <w:t>Ensure availability and sustainability management of water and sanitation for all</w:t>
            </w:r>
          </w:p>
        </w:tc>
        <w:tc>
          <w:tcPr>
            <w:tcW w:w="283" w:type="dxa"/>
            <w:shd w:val="clear" w:color="auto" w:fill="D7DEE2" w:themeFill="text2" w:themeFillTint="33"/>
          </w:tcPr>
          <w:p w:rsidR="00BE737D" w:rsidRDefault="00BE737D" w:rsidP="00C00672"/>
        </w:tc>
        <w:tc>
          <w:tcPr>
            <w:tcW w:w="1276" w:type="dxa"/>
            <w:shd w:val="clear" w:color="auto" w:fill="D7DEE2" w:themeFill="text2" w:themeFillTint="33"/>
          </w:tcPr>
          <w:p w:rsidR="00BE737D" w:rsidRDefault="00BE737D" w:rsidP="00C00672">
            <w:pPr>
              <w:spacing w:before="80" w:after="80"/>
            </w:pPr>
            <w:r>
              <w:rPr>
                <w:noProof/>
                <w:lang w:val="en-AU" w:eastAsia="en-AU"/>
              </w:rPr>
              <w:drawing>
                <wp:inline distT="0" distB="0" distL="0" distR="0" wp14:anchorId="51482FEF" wp14:editId="5963D4F7">
                  <wp:extent cx="612000" cy="612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DG 15.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3544" w:type="dxa"/>
            <w:shd w:val="clear" w:color="auto" w:fill="D7DEE2" w:themeFill="text2" w:themeFillTint="33"/>
          </w:tcPr>
          <w:p w:rsidR="00BE737D" w:rsidRPr="007B4725" w:rsidRDefault="00BE737D" w:rsidP="00C00672">
            <w:pPr>
              <w:spacing w:before="80" w:after="80"/>
              <w:rPr>
                <w:sz w:val="20"/>
              </w:rPr>
            </w:pPr>
            <w:r w:rsidRPr="007B4725">
              <w:rPr>
                <w:sz w:val="20"/>
              </w:rPr>
              <w:t>Protect, restore and promote sustainable use of terrestrial ecosystems</w:t>
            </w:r>
          </w:p>
        </w:tc>
      </w:tr>
      <w:tr w:rsidR="00BE737D" w:rsidTr="00C00672">
        <w:tc>
          <w:tcPr>
            <w:tcW w:w="1271" w:type="dxa"/>
            <w:shd w:val="clear" w:color="auto" w:fill="D7DEE2" w:themeFill="text2" w:themeFillTint="33"/>
          </w:tcPr>
          <w:p w:rsidR="00BE737D" w:rsidRDefault="00BE737D" w:rsidP="00C00672">
            <w:pPr>
              <w:spacing w:before="80" w:after="80"/>
            </w:pPr>
            <w:r>
              <w:rPr>
                <w:noProof/>
                <w:lang w:val="en-AU" w:eastAsia="en-AU"/>
              </w:rPr>
              <w:drawing>
                <wp:inline distT="0" distB="0" distL="0" distR="0" wp14:anchorId="65EDEC35" wp14:editId="738B9D58">
                  <wp:extent cx="612000" cy="6120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DG 7.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2977" w:type="dxa"/>
            <w:shd w:val="clear" w:color="auto" w:fill="D7DEE2" w:themeFill="text2" w:themeFillTint="33"/>
          </w:tcPr>
          <w:p w:rsidR="00BE737D" w:rsidRPr="007B4725" w:rsidRDefault="00BE737D" w:rsidP="00C00672">
            <w:pPr>
              <w:spacing w:before="80" w:after="80"/>
              <w:rPr>
                <w:sz w:val="20"/>
              </w:rPr>
            </w:pPr>
            <w:r w:rsidRPr="007B4725">
              <w:rPr>
                <w:sz w:val="20"/>
              </w:rPr>
              <w:t>Ensure access to affordable, reliable sustainable and modern energy for all</w:t>
            </w:r>
          </w:p>
        </w:tc>
        <w:tc>
          <w:tcPr>
            <w:tcW w:w="283" w:type="dxa"/>
            <w:shd w:val="clear" w:color="auto" w:fill="D7DEE2" w:themeFill="text2" w:themeFillTint="33"/>
          </w:tcPr>
          <w:p w:rsidR="00BE737D" w:rsidRDefault="00BE737D" w:rsidP="00C00672"/>
        </w:tc>
        <w:tc>
          <w:tcPr>
            <w:tcW w:w="1276" w:type="dxa"/>
            <w:shd w:val="clear" w:color="auto" w:fill="D7DEE2" w:themeFill="text2" w:themeFillTint="33"/>
          </w:tcPr>
          <w:p w:rsidR="00BE737D" w:rsidRDefault="00BE737D" w:rsidP="00C00672">
            <w:pPr>
              <w:spacing w:before="80" w:after="80"/>
            </w:pPr>
            <w:r>
              <w:rPr>
                <w:noProof/>
                <w:lang w:val="en-AU" w:eastAsia="en-AU"/>
              </w:rPr>
              <w:drawing>
                <wp:inline distT="0" distB="0" distL="0" distR="0" wp14:anchorId="4E202EFB" wp14:editId="43B73052">
                  <wp:extent cx="608400" cy="612000"/>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DG 16.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8400" cy="612000"/>
                          </a:xfrm>
                          <a:prstGeom prst="rect">
                            <a:avLst/>
                          </a:prstGeom>
                        </pic:spPr>
                      </pic:pic>
                    </a:graphicData>
                  </a:graphic>
                </wp:inline>
              </w:drawing>
            </w:r>
          </w:p>
        </w:tc>
        <w:tc>
          <w:tcPr>
            <w:tcW w:w="3544" w:type="dxa"/>
            <w:shd w:val="clear" w:color="auto" w:fill="D7DEE2" w:themeFill="text2" w:themeFillTint="33"/>
          </w:tcPr>
          <w:p w:rsidR="00BE737D" w:rsidRPr="007B4725" w:rsidRDefault="00BE737D" w:rsidP="00C00672">
            <w:pPr>
              <w:spacing w:before="80" w:after="80"/>
              <w:rPr>
                <w:sz w:val="20"/>
              </w:rPr>
            </w:pPr>
            <w:r w:rsidRPr="007B4725">
              <w:rPr>
                <w:sz w:val="20"/>
              </w:rPr>
              <w:t>Promote peaceful and inclusive societies for sustainable development and provide access to justice for all</w:t>
            </w:r>
          </w:p>
        </w:tc>
      </w:tr>
      <w:tr w:rsidR="00BE737D" w:rsidTr="00C00672">
        <w:tc>
          <w:tcPr>
            <w:tcW w:w="1271" w:type="dxa"/>
            <w:shd w:val="clear" w:color="auto" w:fill="D7DEE2" w:themeFill="text2" w:themeFillTint="33"/>
          </w:tcPr>
          <w:p w:rsidR="00BE737D" w:rsidRDefault="00BE737D" w:rsidP="00C00672">
            <w:pPr>
              <w:spacing w:before="80" w:after="80"/>
            </w:pPr>
            <w:r>
              <w:rPr>
                <w:noProof/>
                <w:lang w:val="en-AU" w:eastAsia="en-AU"/>
              </w:rPr>
              <w:drawing>
                <wp:inline distT="0" distB="0" distL="0" distR="0" wp14:anchorId="65C58B29" wp14:editId="667887C6">
                  <wp:extent cx="609600" cy="609600"/>
                  <wp:effectExtent l="0" t="0" r="0" b="0"/>
                  <wp:docPr id="33" name="Picture 33" descr="C:\Users\scarpen2\AppData\Local\Microsoft\Windows\INetCache\Content.Word\SDG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arpen2\AppData\Local\Microsoft\Windows\INetCache\Content.Word\SDG 8.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2977" w:type="dxa"/>
            <w:shd w:val="clear" w:color="auto" w:fill="D7DEE2" w:themeFill="text2" w:themeFillTint="33"/>
          </w:tcPr>
          <w:p w:rsidR="00BE737D" w:rsidRPr="007B4725" w:rsidRDefault="00BE737D" w:rsidP="00C00672">
            <w:pPr>
              <w:spacing w:before="80" w:after="80"/>
              <w:rPr>
                <w:sz w:val="20"/>
              </w:rPr>
            </w:pPr>
            <w:r w:rsidRPr="007B4725">
              <w:rPr>
                <w:sz w:val="20"/>
              </w:rPr>
              <w:t>Promote sustained, inclusive and sustainable economic growth, full and productive employment</w:t>
            </w:r>
          </w:p>
        </w:tc>
        <w:tc>
          <w:tcPr>
            <w:tcW w:w="283" w:type="dxa"/>
            <w:shd w:val="clear" w:color="auto" w:fill="D7DEE2" w:themeFill="text2" w:themeFillTint="33"/>
          </w:tcPr>
          <w:p w:rsidR="00BE737D" w:rsidRDefault="00BE737D" w:rsidP="00C00672"/>
        </w:tc>
        <w:tc>
          <w:tcPr>
            <w:tcW w:w="1276" w:type="dxa"/>
            <w:shd w:val="clear" w:color="auto" w:fill="D7DEE2" w:themeFill="text2" w:themeFillTint="33"/>
          </w:tcPr>
          <w:p w:rsidR="00BE737D" w:rsidRDefault="00BE737D" w:rsidP="00C00672">
            <w:pPr>
              <w:spacing w:before="80" w:after="80"/>
            </w:pPr>
            <w:r>
              <w:rPr>
                <w:noProof/>
                <w:lang w:val="en-AU" w:eastAsia="en-AU"/>
              </w:rPr>
              <w:drawing>
                <wp:inline distT="0" distB="0" distL="0" distR="0" wp14:anchorId="38FD95A4" wp14:editId="73627ED4">
                  <wp:extent cx="612000" cy="612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DF 17.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3544" w:type="dxa"/>
            <w:shd w:val="clear" w:color="auto" w:fill="D7DEE2" w:themeFill="text2" w:themeFillTint="33"/>
          </w:tcPr>
          <w:p w:rsidR="00BE737D" w:rsidRPr="007B4725" w:rsidRDefault="00BE737D" w:rsidP="00C00672">
            <w:pPr>
              <w:spacing w:before="80" w:after="80"/>
              <w:rPr>
                <w:sz w:val="20"/>
              </w:rPr>
            </w:pPr>
            <w:r w:rsidRPr="007B4725">
              <w:rPr>
                <w:sz w:val="20"/>
              </w:rPr>
              <w:t>Strengthen the means of implementation and revitalise the global partnership for sustainable development</w:t>
            </w:r>
          </w:p>
        </w:tc>
      </w:tr>
      <w:tr w:rsidR="00BE737D" w:rsidTr="00C00672">
        <w:tc>
          <w:tcPr>
            <w:tcW w:w="1271" w:type="dxa"/>
            <w:shd w:val="clear" w:color="auto" w:fill="D7DEE2" w:themeFill="text2" w:themeFillTint="33"/>
          </w:tcPr>
          <w:p w:rsidR="00BE737D" w:rsidRDefault="00BE737D" w:rsidP="00C00672">
            <w:pPr>
              <w:spacing w:before="80" w:after="80"/>
            </w:pPr>
            <w:r>
              <w:rPr>
                <w:noProof/>
                <w:lang w:val="en-AU" w:eastAsia="en-AU"/>
              </w:rPr>
              <w:drawing>
                <wp:inline distT="0" distB="0" distL="0" distR="0" wp14:anchorId="24A88B72" wp14:editId="70FA54C6">
                  <wp:extent cx="612000" cy="6120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 9.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2977" w:type="dxa"/>
            <w:shd w:val="clear" w:color="auto" w:fill="D7DEE2" w:themeFill="text2" w:themeFillTint="33"/>
          </w:tcPr>
          <w:p w:rsidR="00BE737D" w:rsidRPr="007B4725" w:rsidRDefault="00BE737D" w:rsidP="00C00672">
            <w:pPr>
              <w:spacing w:before="80" w:after="80"/>
              <w:rPr>
                <w:sz w:val="20"/>
              </w:rPr>
            </w:pPr>
            <w:r w:rsidRPr="007B4725">
              <w:rPr>
                <w:sz w:val="20"/>
              </w:rPr>
              <w:t>Build resilient infrastructure, promote inclusive and sustainable Industrialisation and foster innovation</w:t>
            </w:r>
          </w:p>
        </w:tc>
        <w:tc>
          <w:tcPr>
            <w:tcW w:w="283" w:type="dxa"/>
            <w:shd w:val="clear" w:color="auto" w:fill="D7DEE2" w:themeFill="text2" w:themeFillTint="33"/>
          </w:tcPr>
          <w:p w:rsidR="00BE737D" w:rsidRDefault="00BE737D" w:rsidP="00C00672"/>
        </w:tc>
        <w:tc>
          <w:tcPr>
            <w:tcW w:w="1276" w:type="dxa"/>
            <w:shd w:val="clear" w:color="auto" w:fill="D7DEE2" w:themeFill="text2" w:themeFillTint="33"/>
          </w:tcPr>
          <w:p w:rsidR="00BE737D" w:rsidRPr="00AB289B" w:rsidRDefault="00BE737D" w:rsidP="00C00672">
            <w:pPr>
              <w:spacing w:before="80" w:after="80"/>
              <w:rPr>
                <w:sz w:val="16"/>
              </w:rPr>
            </w:pPr>
          </w:p>
        </w:tc>
        <w:tc>
          <w:tcPr>
            <w:tcW w:w="3544" w:type="dxa"/>
            <w:shd w:val="clear" w:color="auto" w:fill="D7DEE2" w:themeFill="text2" w:themeFillTint="33"/>
          </w:tcPr>
          <w:p w:rsidR="00BE737D" w:rsidRPr="00AB289B" w:rsidRDefault="00BE737D" w:rsidP="00C00672">
            <w:pPr>
              <w:spacing w:before="80" w:after="80"/>
              <w:rPr>
                <w:sz w:val="16"/>
              </w:rPr>
            </w:pPr>
          </w:p>
        </w:tc>
      </w:tr>
    </w:tbl>
    <w:p w:rsidR="006C4F09" w:rsidRPr="005C78DB" w:rsidRDefault="006C4F09" w:rsidP="006C4F09"/>
    <w:sectPr w:rsidR="006C4F09" w:rsidRPr="005C78DB" w:rsidSect="00CA7DD8">
      <w:headerReference w:type="default" r:id="rId37"/>
      <w:pgSz w:w="11906" w:h="16838" w:code="9"/>
      <w:pgMar w:top="1527" w:right="1134" w:bottom="851" w:left="1134" w:header="1418" w:footer="267"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617" w:rsidRDefault="00F46617" w:rsidP="00EF4574">
      <w:pPr>
        <w:spacing w:before="0" w:after="0" w:line="240" w:lineRule="auto"/>
      </w:pPr>
      <w:r>
        <w:separator/>
      </w:r>
    </w:p>
  </w:endnote>
  <w:endnote w:type="continuationSeparator" w:id="0">
    <w:p w:rsidR="00F46617" w:rsidRDefault="00F46617" w:rsidP="00EF45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797" w:rsidRDefault="00EA7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617" w:rsidRPr="00CD0E4B" w:rsidRDefault="00F46617" w:rsidP="00C406F0">
    <w:pPr>
      <w:pStyle w:val="Footer"/>
    </w:pPr>
    <w:r w:rsidRPr="00CD0E4B">
      <w:rPr>
        <w:noProof/>
        <w:lang w:val="en-AU" w:eastAsia="en-AU"/>
      </w:rPr>
      <w:drawing>
        <wp:inline distT="0" distB="0" distL="0" distR="0" wp14:anchorId="033A08F0" wp14:editId="7D6388BA">
          <wp:extent cx="90000" cy="74520"/>
          <wp:effectExtent l="0" t="0" r="571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witter-icon.png"/>
                  <pic:cNvPicPr/>
                </pic:nvPicPr>
                <pic:blipFill>
                  <a:blip r:embed="rId1">
                    <a:extLst>
                      <a:ext uri="{28A0092B-C50C-407E-A947-70E740481C1C}">
                        <a14:useLocalDpi xmlns:a14="http://schemas.microsoft.com/office/drawing/2010/main" val="0"/>
                      </a:ext>
                    </a:extLst>
                  </a:blip>
                  <a:stretch>
                    <a:fillRect/>
                  </a:stretch>
                </pic:blipFill>
                <pic:spPr>
                  <a:xfrm>
                    <a:off x="0" y="0"/>
                    <a:ext cx="90000" cy="74520"/>
                  </a:xfrm>
                  <a:prstGeom prst="rect">
                    <a:avLst/>
                  </a:prstGeom>
                </pic:spPr>
              </pic:pic>
            </a:graphicData>
          </a:graphic>
        </wp:inline>
      </w:drawing>
    </w:r>
    <w:r w:rsidRPr="00CD0E4B">
      <w:t>@DFAT</w:t>
    </w:r>
  </w:p>
  <w:p w:rsidR="00F46617" w:rsidRDefault="00F46617">
    <w:pPr>
      <w:pStyle w:val="Footer"/>
    </w:pPr>
    <w:r w:rsidRPr="00CD0E4B">
      <w:rPr>
        <w:color w:val="ACD08C" w:themeColor="accent3"/>
      </w:rPr>
      <w:t>DFAT.GOV.AU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797" w:rsidRDefault="00EA7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617" w:rsidRPr="008C5A0E" w:rsidRDefault="00F46617" w:rsidP="001D663E">
      <w:pPr>
        <w:pStyle w:val="Footer"/>
        <w:pBdr>
          <w:top w:val="single" w:sz="4" w:space="1" w:color="495965" w:themeColor="text2"/>
        </w:pBdr>
      </w:pPr>
    </w:p>
  </w:footnote>
  <w:footnote w:type="continuationSeparator" w:id="0">
    <w:p w:rsidR="00F46617" w:rsidRDefault="00F46617" w:rsidP="00EF4574">
      <w:pPr>
        <w:spacing w:before="0" w:after="0" w:line="240" w:lineRule="auto"/>
      </w:pPr>
      <w:r>
        <w:continuationSeparator/>
      </w:r>
    </w:p>
  </w:footnote>
  <w:footnote w:id="1">
    <w:p w:rsidR="00F46617" w:rsidRPr="00EB4838" w:rsidRDefault="00F46617" w:rsidP="00EB4838">
      <w:pPr>
        <w:pStyle w:val="FootnoteText"/>
        <w:spacing w:before="0" w:line="276" w:lineRule="auto"/>
        <w:ind w:left="0" w:firstLine="0"/>
        <w:rPr>
          <w:rFonts w:eastAsia="Times New Roman"/>
          <w:sz w:val="16"/>
          <w:szCs w:val="16"/>
        </w:rPr>
      </w:pPr>
      <w:r w:rsidRPr="00EB4838">
        <w:rPr>
          <w:rStyle w:val="FootnoteReference"/>
          <w:sz w:val="16"/>
          <w:szCs w:val="16"/>
        </w:rPr>
        <w:footnoteRef/>
      </w:r>
      <w:r w:rsidRPr="00EB4838">
        <w:rPr>
          <w:sz w:val="16"/>
          <w:szCs w:val="16"/>
        </w:rPr>
        <w:t xml:space="preserve"> </w:t>
      </w:r>
      <w:r w:rsidRPr="00EB4838">
        <w:rPr>
          <w:rFonts w:eastAsia="Times New Roman"/>
          <w:sz w:val="16"/>
          <w:szCs w:val="16"/>
        </w:rPr>
        <w:t>Objective 1 contributes to the Pakistan Government’s Vision 2025 Strategic Priorities - Pillar 4 (Energy, Water and Food Security), Pillar 5 (Private Sector, and Entrepreneurship Led Growth) and Pillar 6 (Developing a Competitive Knowledge Economy through Value Addition).</w:t>
      </w:r>
    </w:p>
    <w:p w:rsidR="00F46617" w:rsidRPr="00EB4838" w:rsidRDefault="00F46617" w:rsidP="00EB4838">
      <w:pPr>
        <w:pStyle w:val="FootnoteText"/>
        <w:spacing w:before="0" w:line="276" w:lineRule="auto"/>
        <w:ind w:left="0" w:firstLine="0"/>
        <w:rPr>
          <w:sz w:val="16"/>
          <w:szCs w:val="16"/>
          <w:lang w:val="en-AU"/>
        </w:rPr>
      </w:pPr>
    </w:p>
  </w:footnote>
  <w:footnote w:id="2">
    <w:p w:rsidR="00F46617" w:rsidRPr="00EB4838" w:rsidRDefault="00F46617" w:rsidP="00EB4838">
      <w:pPr>
        <w:pStyle w:val="FootnoteText"/>
        <w:spacing w:before="0" w:line="276" w:lineRule="auto"/>
        <w:ind w:left="0" w:firstLine="0"/>
        <w:rPr>
          <w:rFonts w:eastAsia="Times New Roman"/>
          <w:sz w:val="16"/>
          <w:szCs w:val="16"/>
        </w:rPr>
      </w:pPr>
      <w:r w:rsidRPr="00EB4838">
        <w:rPr>
          <w:rStyle w:val="FootnoteReference"/>
          <w:sz w:val="16"/>
          <w:szCs w:val="16"/>
        </w:rPr>
        <w:footnoteRef/>
      </w:r>
      <w:r w:rsidRPr="00EB4838">
        <w:rPr>
          <w:sz w:val="16"/>
          <w:szCs w:val="16"/>
        </w:rPr>
        <w:t xml:space="preserve"> </w:t>
      </w:r>
      <w:r w:rsidRPr="00EB4838">
        <w:rPr>
          <w:rFonts w:eastAsia="Times New Roman"/>
          <w:sz w:val="16"/>
          <w:szCs w:val="16"/>
        </w:rPr>
        <w:t>There is evidence of collaboration between a number of our economic growth portfolio partners, including MDF and FAO, MDF and ACIAR, FAO and ACIAR and MDF and Fred Hollows Foundation.</w:t>
      </w:r>
    </w:p>
  </w:footnote>
  <w:footnote w:id="3">
    <w:p w:rsidR="00F46617" w:rsidRPr="00EB4838" w:rsidRDefault="00F46617" w:rsidP="00EB4838">
      <w:pPr>
        <w:pStyle w:val="FootnoteText"/>
        <w:spacing w:before="0" w:line="276" w:lineRule="auto"/>
        <w:ind w:left="0" w:firstLine="0"/>
        <w:rPr>
          <w:sz w:val="16"/>
          <w:szCs w:val="16"/>
          <w:lang w:val="en-AU"/>
        </w:rPr>
      </w:pPr>
      <w:r w:rsidRPr="00EB4838">
        <w:rPr>
          <w:rFonts w:eastAsia="Times New Roman"/>
          <w:sz w:val="16"/>
          <w:szCs w:val="16"/>
          <w:vertAlign w:val="superscript"/>
        </w:rPr>
        <w:footnoteRef/>
      </w:r>
      <w:r w:rsidRPr="00EB4838">
        <w:rPr>
          <w:rFonts w:eastAsia="Times New Roman"/>
          <w:sz w:val="16"/>
          <w:szCs w:val="16"/>
        </w:rPr>
        <w:t xml:space="preserve">MDF reported that 31426 men and 19309 women had increased incomes against targets of 21,100 men and 12400 women; SRSP reported 439 people (363 women, 76 men) against targets of 250 women and 155 men and </w:t>
      </w:r>
      <w:proofErr w:type="spellStart"/>
      <w:r w:rsidRPr="00EB4838">
        <w:rPr>
          <w:rFonts w:eastAsia="Times New Roman"/>
          <w:sz w:val="16"/>
          <w:szCs w:val="16"/>
        </w:rPr>
        <w:t>AusABBA</w:t>
      </w:r>
      <w:proofErr w:type="spellEnd"/>
      <w:r w:rsidRPr="00EB4838">
        <w:rPr>
          <w:rFonts w:eastAsia="Times New Roman"/>
          <w:sz w:val="16"/>
          <w:szCs w:val="16"/>
        </w:rPr>
        <w:t xml:space="preserve"> reported 3978 people (2223 men and 1755 women) has increased incomes as a result of program interventions.</w:t>
      </w:r>
    </w:p>
  </w:footnote>
  <w:footnote w:id="4">
    <w:p w:rsidR="00F46617" w:rsidRPr="00EB4838" w:rsidRDefault="00F46617" w:rsidP="00EB4838">
      <w:pPr>
        <w:pStyle w:val="FootnoteText"/>
        <w:spacing w:before="0" w:line="276" w:lineRule="auto"/>
        <w:ind w:left="0" w:firstLine="0"/>
        <w:rPr>
          <w:sz w:val="16"/>
          <w:szCs w:val="16"/>
          <w:lang w:val="en-AU"/>
        </w:rPr>
      </w:pPr>
      <w:r w:rsidRPr="00EB4838">
        <w:rPr>
          <w:rStyle w:val="FootnoteReference"/>
          <w:sz w:val="16"/>
          <w:szCs w:val="16"/>
        </w:rPr>
        <w:footnoteRef/>
      </w:r>
      <w:r w:rsidRPr="00EB4838">
        <w:rPr>
          <w:sz w:val="16"/>
          <w:szCs w:val="16"/>
        </w:rPr>
        <w:t xml:space="preserve"> SRSP WEEMD 2</w:t>
      </w:r>
      <w:r w:rsidRPr="00EB4838">
        <w:rPr>
          <w:sz w:val="16"/>
          <w:szCs w:val="16"/>
          <w:vertAlign w:val="superscript"/>
        </w:rPr>
        <w:t>nd</w:t>
      </w:r>
      <w:r w:rsidRPr="00EB4838">
        <w:rPr>
          <w:sz w:val="16"/>
          <w:szCs w:val="16"/>
        </w:rPr>
        <w:t xml:space="preserve"> Annual Progress Report</w:t>
      </w:r>
    </w:p>
  </w:footnote>
  <w:footnote w:id="5">
    <w:p w:rsidR="00F46617" w:rsidRPr="00EB4838" w:rsidRDefault="00F46617" w:rsidP="00EB4838">
      <w:pPr>
        <w:pStyle w:val="FootnoteText"/>
        <w:spacing w:before="0" w:line="276" w:lineRule="auto"/>
        <w:ind w:left="0" w:firstLine="0"/>
        <w:rPr>
          <w:sz w:val="16"/>
          <w:szCs w:val="16"/>
          <w:lang w:val="en-AU"/>
        </w:rPr>
      </w:pPr>
      <w:r w:rsidRPr="00EB4838">
        <w:rPr>
          <w:rStyle w:val="FootnoteReference"/>
          <w:sz w:val="16"/>
          <w:szCs w:val="16"/>
        </w:rPr>
        <w:footnoteRef/>
      </w:r>
      <w:r w:rsidRPr="00EB4838">
        <w:rPr>
          <w:sz w:val="16"/>
          <w:szCs w:val="16"/>
        </w:rPr>
        <w:t xml:space="preserve"> </w:t>
      </w:r>
      <w:proofErr w:type="spellStart"/>
      <w:r w:rsidRPr="00EB4838">
        <w:rPr>
          <w:sz w:val="16"/>
          <w:szCs w:val="16"/>
        </w:rPr>
        <w:t>AusABBA</w:t>
      </w:r>
      <w:proofErr w:type="spellEnd"/>
      <w:r w:rsidRPr="00EB4838">
        <w:rPr>
          <w:sz w:val="16"/>
          <w:szCs w:val="16"/>
        </w:rPr>
        <w:t xml:space="preserve"> Phase 1: Evaluation and Impact Assessment Report</w:t>
      </w:r>
    </w:p>
  </w:footnote>
  <w:footnote w:id="6">
    <w:p w:rsidR="00F46617" w:rsidRPr="00EB4838" w:rsidRDefault="00F46617" w:rsidP="00EB4838">
      <w:pPr>
        <w:pStyle w:val="FootnoteText"/>
        <w:spacing w:before="0" w:line="276" w:lineRule="auto"/>
        <w:ind w:left="0" w:firstLine="0"/>
        <w:rPr>
          <w:sz w:val="16"/>
          <w:szCs w:val="16"/>
          <w:lang w:val="en-AU"/>
        </w:rPr>
      </w:pPr>
      <w:r w:rsidRPr="00EB4838">
        <w:rPr>
          <w:rStyle w:val="FootnoteReference"/>
          <w:sz w:val="16"/>
          <w:szCs w:val="16"/>
        </w:rPr>
        <w:footnoteRef/>
      </w:r>
      <w:r w:rsidRPr="00EB4838">
        <w:rPr>
          <w:sz w:val="16"/>
          <w:szCs w:val="16"/>
        </w:rPr>
        <w:t xml:space="preserve"> Report from ACIAR: Irrigation Efficiency Improvement Project – LWR-074/3014</w:t>
      </w:r>
    </w:p>
  </w:footnote>
  <w:footnote w:id="7">
    <w:p w:rsidR="00F46617" w:rsidRPr="00EB4838" w:rsidRDefault="00F46617" w:rsidP="00EB4838">
      <w:pPr>
        <w:pStyle w:val="FootnoteText"/>
        <w:spacing w:before="0" w:line="276" w:lineRule="auto"/>
        <w:ind w:left="0" w:firstLine="0"/>
        <w:rPr>
          <w:sz w:val="16"/>
          <w:szCs w:val="16"/>
          <w:lang w:val="en-AU"/>
        </w:rPr>
      </w:pPr>
      <w:r w:rsidRPr="00EB4838">
        <w:rPr>
          <w:rFonts w:eastAsia="Times New Roman"/>
          <w:sz w:val="16"/>
          <w:szCs w:val="16"/>
        </w:rPr>
        <w:footnoteRef/>
      </w:r>
      <w:r w:rsidRPr="00EB4838">
        <w:rPr>
          <w:rFonts w:eastAsia="Times New Roman"/>
          <w:sz w:val="16"/>
          <w:szCs w:val="16"/>
        </w:rPr>
        <w:t xml:space="preserve"> Objective 2 supports Pillar 1 of the Pakistan Government’s Vision 2025 – Developing Human and Social Capital. </w:t>
      </w:r>
    </w:p>
  </w:footnote>
  <w:footnote w:id="8">
    <w:p w:rsidR="00F46617" w:rsidRPr="00EB4838" w:rsidRDefault="00F46617" w:rsidP="00EB4838">
      <w:pPr>
        <w:pStyle w:val="FootnoteText"/>
        <w:spacing w:before="0" w:line="276" w:lineRule="auto"/>
        <w:ind w:left="0" w:firstLine="0"/>
        <w:rPr>
          <w:sz w:val="16"/>
          <w:szCs w:val="16"/>
          <w:lang w:val="en-AU"/>
        </w:rPr>
      </w:pPr>
      <w:r w:rsidRPr="00EB4838">
        <w:rPr>
          <w:rStyle w:val="FootnoteReference"/>
          <w:sz w:val="16"/>
          <w:szCs w:val="16"/>
        </w:rPr>
        <w:footnoteRef/>
      </w:r>
      <w:r w:rsidRPr="00EB4838">
        <w:rPr>
          <w:sz w:val="16"/>
          <w:szCs w:val="16"/>
        </w:rPr>
        <w:t xml:space="preserve"> </w:t>
      </w:r>
      <w:r w:rsidRPr="00EB4838">
        <w:rPr>
          <w:rFonts w:eastAsia="Times New Roman"/>
          <w:sz w:val="16"/>
          <w:szCs w:val="16"/>
        </w:rPr>
        <w:t>UNICEF Pakistan SMART survey, February 2018</w:t>
      </w:r>
    </w:p>
  </w:footnote>
  <w:footnote w:id="9">
    <w:p w:rsidR="00F46617" w:rsidRPr="00EB4838" w:rsidRDefault="00F46617" w:rsidP="00EB4838">
      <w:pPr>
        <w:pStyle w:val="FootnoteText"/>
        <w:spacing w:before="0" w:line="276" w:lineRule="auto"/>
        <w:ind w:left="0" w:firstLine="0"/>
        <w:rPr>
          <w:sz w:val="16"/>
          <w:szCs w:val="16"/>
          <w:lang w:val="en-AU"/>
        </w:rPr>
      </w:pPr>
      <w:r w:rsidRPr="00EB4838">
        <w:rPr>
          <w:rStyle w:val="FootnoteReference"/>
          <w:sz w:val="16"/>
          <w:szCs w:val="16"/>
        </w:rPr>
        <w:footnoteRef/>
      </w:r>
      <w:r w:rsidRPr="00EB4838">
        <w:rPr>
          <w:sz w:val="16"/>
          <w:szCs w:val="16"/>
        </w:rPr>
        <w:t xml:space="preserve"> </w:t>
      </w:r>
      <w:r w:rsidRPr="00EB4838">
        <w:rPr>
          <w:rFonts w:eastAsia="Times New Roman"/>
          <w:sz w:val="16"/>
          <w:szCs w:val="16"/>
        </w:rPr>
        <w:t xml:space="preserve">Our international NGO implementing partner was one of a number of INGOs that lost accreditation in December 2017. Following advocacy from the international community, including Australia, INGOs which had lost registration were able to continue operating throughout the appeals process. The appeals process is ongoing and Australia has provided a two year extension to the EVAW program while investigating arrangements for the longer term. </w:t>
      </w:r>
    </w:p>
  </w:footnote>
  <w:footnote w:id="10">
    <w:p w:rsidR="00F46617" w:rsidRPr="00EB4838" w:rsidRDefault="00F46617" w:rsidP="00EB4838">
      <w:pPr>
        <w:pStyle w:val="FootnoteText"/>
        <w:spacing w:before="0" w:line="276" w:lineRule="auto"/>
        <w:ind w:left="0" w:firstLine="0"/>
        <w:rPr>
          <w:sz w:val="16"/>
          <w:szCs w:val="16"/>
          <w:lang w:val="en-AU"/>
        </w:rPr>
      </w:pPr>
      <w:r w:rsidRPr="00EB4838">
        <w:rPr>
          <w:rStyle w:val="FootnoteReference"/>
          <w:sz w:val="16"/>
          <w:szCs w:val="16"/>
        </w:rPr>
        <w:footnoteRef/>
      </w:r>
      <w:r w:rsidRPr="00EB4838">
        <w:rPr>
          <w:sz w:val="16"/>
          <w:szCs w:val="16"/>
        </w:rPr>
        <w:t xml:space="preserve"> </w:t>
      </w:r>
      <w:r w:rsidRPr="00EB4838">
        <w:rPr>
          <w:rFonts w:eastAsia="Times New Roman"/>
          <w:sz w:val="16"/>
          <w:szCs w:val="16"/>
        </w:rPr>
        <w:t>Objective 3 supports Pillar 3 of the Pakistan Government’s Vision 2025 – Democratic Governance, Institutional Reform and Modernisation of the Public Sector, as well as Pillars 5 and 1.</w:t>
      </w:r>
    </w:p>
  </w:footnote>
  <w:footnote w:id="11">
    <w:p w:rsidR="00F46617" w:rsidRPr="00EB4838" w:rsidRDefault="00F46617" w:rsidP="00EB4838">
      <w:pPr>
        <w:pStyle w:val="FootnoteText"/>
        <w:spacing w:before="0" w:line="276" w:lineRule="auto"/>
        <w:ind w:left="0" w:firstLine="0"/>
        <w:rPr>
          <w:sz w:val="16"/>
          <w:szCs w:val="16"/>
          <w:lang w:val="en-AU"/>
        </w:rPr>
      </w:pPr>
      <w:r w:rsidRPr="00EB4838">
        <w:rPr>
          <w:rStyle w:val="FootnoteReference"/>
          <w:sz w:val="16"/>
          <w:szCs w:val="16"/>
        </w:rPr>
        <w:footnoteRef/>
      </w:r>
      <w:r w:rsidRPr="00EB4838">
        <w:rPr>
          <w:sz w:val="16"/>
          <w:szCs w:val="16"/>
        </w:rPr>
        <w:t xml:space="preserve"> </w:t>
      </w:r>
      <w:r w:rsidRPr="00EB4838">
        <w:rPr>
          <w:rFonts w:eastAsia="Times New Roman"/>
          <w:sz w:val="16"/>
          <w:szCs w:val="16"/>
        </w:rPr>
        <w:t>SRSP project database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797" w:rsidRDefault="00EA7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617" w:rsidRPr="00333501" w:rsidRDefault="00F46617" w:rsidP="008F56A8">
    <w:pPr>
      <w:pStyle w:val="Header"/>
      <w:jc w:val="left"/>
    </w:pPr>
    <w:r>
      <w:rPr>
        <w:noProof/>
        <w:lang w:val="en-AU" w:eastAsia="en-AU"/>
      </w:rPr>
      <w:drawing>
        <wp:anchor distT="0" distB="0" distL="114300" distR="114300" simplePos="0" relativeHeight="251656192" behindDoc="1" locked="1" layoutInCell="1" allowOverlap="1" wp14:anchorId="053E1BE2" wp14:editId="3AC06D9E">
          <wp:simplePos x="0" y="0"/>
          <wp:positionH relativeFrom="page">
            <wp:posOffset>7620</wp:posOffset>
          </wp:positionH>
          <wp:positionV relativeFrom="page">
            <wp:posOffset>55880</wp:posOffset>
          </wp:positionV>
          <wp:extent cx="7545705" cy="10702290"/>
          <wp:effectExtent l="0" t="0" r="0" b="381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45705" cy="107022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797" w:rsidRDefault="00EA77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617" w:rsidRPr="00333501" w:rsidRDefault="00F46617" w:rsidP="008F56A8">
    <w:pPr>
      <w:pStyle w:val="Header"/>
      <w:jc w:val="left"/>
    </w:pPr>
    <w:r>
      <w:rPr>
        <w:noProof/>
        <w:lang w:val="en-AU" w:eastAsia="en-AU"/>
      </w:rPr>
      <w:drawing>
        <wp:anchor distT="0" distB="0" distL="114300" distR="114300" simplePos="0" relativeHeight="251658240" behindDoc="1" locked="1" layoutInCell="1" allowOverlap="1" wp14:anchorId="0F3D41C7" wp14:editId="33F58943">
          <wp:simplePos x="0" y="0"/>
          <wp:positionH relativeFrom="page">
            <wp:posOffset>134620</wp:posOffset>
          </wp:positionH>
          <wp:positionV relativeFrom="page">
            <wp:posOffset>95250</wp:posOffset>
          </wp:positionV>
          <wp:extent cx="10447020" cy="7497445"/>
          <wp:effectExtent l="0" t="0" r="0" b="8255"/>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Report-Page-1-Gradient.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447020" cy="7497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617" w:rsidRPr="00333501" w:rsidRDefault="00F46617" w:rsidP="008F56A8">
    <w:pPr>
      <w:pStyle w:val="Header"/>
      <w:jc w:val="left"/>
    </w:pPr>
    <w:r>
      <w:rPr>
        <w:noProof/>
        <w:lang w:val="en-AU" w:eastAsia="en-AU"/>
      </w:rPr>
      <w:drawing>
        <wp:anchor distT="0" distB="0" distL="114300" distR="114300" simplePos="0" relativeHeight="251657216" behindDoc="1" locked="1" layoutInCell="1" allowOverlap="1" wp14:anchorId="79EE0009" wp14:editId="3A844E02">
          <wp:simplePos x="0" y="0"/>
          <wp:positionH relativeFrom="page">
            <wp:align>right</wp:align>
          </wp:positionH>
          <wp:positionV relativeFrom="page">
            <wp:align>top</wp:align>
          </wp:positionV>
          <wp:extent cx="7559040" cy="11025505"/>
          <wp:effectExtent l="0" t="0" r="3810" b="4445"/>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Report-Page-1-Gradient.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9040" cy="110255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67F63"/>
    <w:multiLevelType w:val="hybridMultilevel"/>
    <w:tmpl w:val="C4463196"/>
    <w:lvl w:ilvl="0" w:tplc="45B0EF2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4CF6B15"/>
    <w:multiLevelType w:val="hybridMultilevel"/>
    <w:tmpl w:val="96061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7B7DD8"/>
    <w:multiLevelType w:val="hybridMultilevel"/>
    <w:tmpl w:val="3EA6F6DE"/>
    <w:lvl w:ilvl="0" w:tplc="FFFFFFFF">
      <w:start w:val="1"/>
      <w:numFmt w:val="lowerLetter"/>
      <w:pStyle w:val="TableListNumber2"/>
      <w:lvlText w:val="%1."/>
      <w:lvlJc w:val="left"/>
      <w:pPr>
        <w:tabs>
          <w:tab w:val="num" w:pos="454"/>
        </w:tabs>
        <w:ind w:left="454" w:hanging="22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18519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693058"/>
    <w:multiLevelType w:val="hybridMultilevel"/>
    <w:tmpl w:val="6CCC56B8"/>
    <w:lvl w:ilvl="0" w:tplc="6F42BFB8">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37AD1D37"/>
    <w:multiLevelType w:val="hybridMultilevel"/>
    <w:tmpl w:val="1D084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CD579B"/>
    <w:multiLevelType w:val="hybridMultilevel"/>
    <w:tmpl w:val="A5308B10"/>
    <w:lvl w:ilvl="0" w:tplc="35321CFE">
      <w:start w:val="1"/>
      <w:numFmt w:val="bullet"/>
      <w:pStyle w:val="BoxListBullet"/>
      <w:lvlText w:val="›"/>
      <w:lvlJc w:val="left"/>
      <w:pPr>
        <w:ind w:left="360" w:hanging="360"/>
      </w:pPr>
      <w:rPr>
        <w:rFonts w:ascii="Times New Roman" w:hAnsi="Times New Roman" w:cs="Times New Roman" w:hint="default"/>
        <w:color w:val="auto"/>
        <w:position w:val="3"/>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5D35F1"/>
    <w:multiLevelType w:val="hybridMultilevel"/>
    <w:tmpl w:val="6C7C56DA"/>
    <w:lvl w:ilvl="0" w:tplc="202209A6">
      <w:numFmt w:val="bullet"/>
      <w:lvlText w:val="-"/>
      <w:lvlJc w:val="left"/>
      <w:pPr>
        <w:ind w:left="720" w:hanging="360"/>
      </w:pPr>
      <w:rPr>
        <w:rFonts w:ascii="Calibri Light" w:eastAsia="Times New Roman"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A35A0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2233C5"/>
    <w:multiLevelType w:val="hybridMultilevel"/>
    <w:tmpl w:val="168444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3" w15:restartNumberingAfterBreak="0">
    <w:nsid w:val="5D3C1EA7"/>
    <w:multiLevelType w:val="multilevel"/>
    <w:tmpl w:val="43428892"/>
    <w:numStyleLink w:val="BulletsList"/>
  </w:abstractNum>
  <w:abstractNum w:abstractNumId="14"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5" w15:restartNumberingAfterBreak="0">
    <w:nsid w:val="6BBC5E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3107305"/>
    <w:multiLevelType w:val="multilevel"/>
    <w:tmpl w:val="43428892"/>
    <w:styleLink w:val="BulletsList"/>
    <w:lvl w:ilvl="0">
      <w:start w:val="1"/>
      <w:numFmt w:val="bullet"/>
      <w:pStyle w:val="Bullet1"/>
      <w:lvlText w:val=""/>
      <w:lvlJc w:val="left"/>
      <w:pPr>
        <w:ind w:left="170" w:hanging="170"/>
      </w:pPr>
      <w:rPr>
        <w:rFonts w:ascii="Symbol" w:hAnsi="Symbol" w:hint="default"/>
      </w:rPr>
    </w:lvl>
    <w:lvl w:ilvl="1">
      <w:start w:val="1"/>
      <w:numFmt w:val="bullet"/>
      <w:pStyle w:val="Bullet2"/>
      <w:lvlText w:val="–"/>
      <w:lvlJc w:val="left"/>
      <w:pPr>
        <w:ind w:left="340" w:hanging="170"/>
      </w:pPr>
      <w:rPr>
        <w:rFonts w:ascii="Arial" w:hAnsi="Arial" w:hint="default"/>
      </w:rPr>
    </w:lvl>
    <w:lvl w:ilvl="2">
      <w:start w:val="1"/>
      <w:numFmt w:val="bullet"/>
      <w:pStyle w:val="Bullet3"/>
      <w:lvlText w:val="»"/>
      <w:lvlJc w:val="left"/>
      <w:pPr>
        <w:ind w:left="510" w:hanging="170"/>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7A43314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B3F0229"/>
    <w:multiLevelType w:val="hybridMultilevel"/>
    <w:tmpl w:val="68367DB6"/>
    <w:lvl w:ilvl="0" w:tplc="F8800934">
      <w:start w:val="2"/>
      <w:numFmt w:val="bullet"/>
      <w:lvlText w:val="-"/>
      <w:lvlJc w:val="left"/>
      <w:pPr>
        <w:ind w:left="720" w:hanging="360"/>
      </w:pPr>
      <w:rPr>
        <w:rFonts w:ascii="Calibri Light" w:eastAsia="Times New Roman"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6"/>
  </w:num>
  <w:num w:numId="4">
    <w:abstractNumId w:val="12"/>
  </w:num>
  <w:num w:numId="5">
    <w:abstractNumId w:val="14"/>
  </w:num>
  <w:num w:numId="6">
    <w:abstractNumId w:val="6"/>
  </w:num>
  <w:num w:numId="7">
    <w:abstractNumId w:val="13"/>
  </w:num>
  <w:num w:numId="8">
    <w:abstractNumId w:val="1"/>
  </w:num>
  <w:num w:numId="9">
    <w:abstractNumId w:val="8"/>
  </w:num>
  <w:num w:numId="10">
    <w:abstractNumId w:val="3"/>
  </w:num>
  <w:num w:numId="11">
    <w:abstractNumId w:val="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7"/>
  </w:num>
  <w:num w:numId="15">
    <w:abstractNumId w:val="4"/>
  </w:num>
  <w:num w:numId="16">
    <w:abstractNumId w:val="15"/>
  </w:num>
  <w:num w:numId="17">
    <w:abstractNumId w:val="18"/>
  </w:num>
  <w:num w:numId="18">
    <w:abstractNumId w:val="0"/>
  </w:num>
  <w:num w:numId="19">
    <w:abstractNumId w:val="13"/>
  </w:num>
  <w:num w:numId="20">
    <w:abstractNumId w:val="13"/>
  </w:num>
  <w:num w:numId="21">
    <w:abstractNumId w:val="7"/>
  </w:num>
  <w:num w:numId="22">
    <w:abstractNumId w:val="9"/>
  </w:num>
  <w:num w:numId="23">
    <w:abstractNumId w:val="2"/>
  </w:num>
  <w:num w:numId="2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6C"/>
    <w:rsid w:val="00000A4F"/>
    <w:rsid w:val="00000A5C"/>
    <w:rsid w:val="00001DA8"/>
    <w:rsid w:val="000044FF"/>
    <w:rsid w:val="00010844"/>
    <w:rsid w:val="00011FE4"/>
    <w:rsid w:val="00015316"/>
    <w:rsid w:val="0001559E"/>
    <w:rsid w:val="00016ABD"/>
    <w:rsid w:val="00017F56"/>
    <w:rsid w:val="0002080A"/>
    <w:rsid w:val="0002782F"/>
    <w:rsid w:val="00027F29"/>
    <w:rsid w:val="00031512"/>
    <w:rsid w:val="00032DE4"/>
    <w:rsid w:val="00033AB7"/>
    <w:rsid w:val="0004037C"/>
    <w:rsid w:val="00040F1C"/>
    <w:rsid w:val="00047C4F"/>
    <w:rsid w:val="00054E4D"/>
    <w:rsid w:val="00055688"/>
    <w:rsid w:val="00060073"/>
    <w:rsid w:val="00060268"/>
    <w:rsid w:val="00064645"/>
    <w:rsid w:val="0008447B"/>
    <w:rsid w:val="00084483"/>
    <w:rsid w:val="00085651"/>
    <w:rsid w:val="00087B55"/>
    <w:rsid w:val="000A53A5"/>
    <w:rsid w:val="000A7D3E"/>
    <w:rsid w:val="000A7F7E"/>
    <w:rsid w:val="000C1848"/>
    <w:rsid w:val="000C2943"/>
    <w:rsid w:val="000C2FD6"/>
    <w:rsid w:val="000C55C9"/>
    <w:rsid w:val="000C592C"/>
    <w:rsid w:val="000D66D6"/>
    <w:rsid w:val="000D73F7"/>
    <w:rsid w:val="000E314A"/>
    <w:rsid w:val="000E3580"/>
    <w:rsid w:val="000E5F21"/>
    <w:rsid w:val="000E6E55"/>
    <w:rsid w:val="000F164B"/>
    <w:rsid w:val="000F1CC7"/>
    <w:rsid w:val="000F71FB"/>
    <w:rsid w:val="000F7CE1"/>
    <w:rsid w:val="00102C8D"/>
    <w:rsid w:val="00104C92"/>
    <w:rsid w:val="00105726"/>
    <w:rsid w:val="001103E6"/>
    <w:rsid w:val="00111114"/>
    <w:rsid w:val="001200EA"/>
    <w:rsid w:val="00121086"/>
    <w:rsid w:val="001371FE"/>
    <w:rsid w:val="001408A4"/>
    <w:rsid w:val="001521F6"/>
    <w:rsid w:val="001541EA"/>
    <w:rsid w:val="00154E7F"/>
    <w:rsid w:val="00155176"/>
    <w:rsid w:val="0015697B"/>
    <w:rsid w:val="00156E65"/>
    <w:rsid w:val="00162218"/>
    <w:rsid w:val="00166962"/>
    <w:rsid w:val="00174B8C"/>
    <w:rsid w:val="00174D91"/>
    <w:rsid w:val="001836E8"/>
    <w:rsid w:val="00184818"/>
    <w:rsid w:val="00184BFE"/>
    <w:rsid w:val="00186EA3"/>
    <w:rsid w:val="001908C3"/>
    <w:rsid w:val="00190B29"/>
    <w:rsid w:val="001A1F3D"/>
    <w:rsid w:val="001A7AE9"/>
    <w:rsid w:val="001B1B71"/>
    <w:rsid w:val="001B269A"/>
    <w:rsid w:val="001B3C09"/>
    <w:rsid w:val="001B4584"/>
    <w:rsid w:val="001B5019"/>
    <w:rsid w:val="001B5FE7"/>
    <w:rsid w:val="001B6F46"/>
    <w:rsid w:val="001C3BF5"/>
    <w:rsid w:val="001D0E0F"/>
    <w:rsid w:val="001D575D"/>
    <w:rsid w:val="001D663E"/>
    <w:rsid w:val="001E057B"/>
    <w:rsid w:val="001E0FDF"/>
    <w:rsid w:val="001E1DC0"/>
    <w:rsid w:val="001F5D0A"/>
    <w:rsid w:val="002015FE"/>
    <w:rsid w:val="0020363F"/>
    <w:rsid w:val="00223E1E"/>
    <w:rsid w:val="002262A9"/>
    <w:rsid w:val="002309D8"/>
    <w:rsid w:val="0023173D"/>
    <w:rsid w:val="00236A53"/>
    <w:rsid w:val="00240A98"/>
    <w:rsid w:val="00244F5E"/>
    <w:rsid w:val="002465D6"/>
    <w:rsid w:val="00247CC1"/>
    <w:rsid w:val="002555AB"/>
    <w:rsid w:val="0025618D"/>
    <w:rsid w:val="002612DE"/>
    <w:rsid w:val="00267E01"/>
    <w:rsid w:val="00275DB7"/>
    <w:rsid w:val="0027602A"/>
    <w:rsid w:val="0027696A"/>
    <w:rsid w:val="002829B0"/>
    <w:rsid w:val="00282F7C"/>
    <w:rsid w:val="00284957"/>
    <w:rsid w:val="0028602A"/>
    <w:rsid w:val="00296D59"/>
    <w:rsid w:val="002A12E8"/>
    <w:rsid w:val="002A51CA"/>
    <w:rsid w:val="002A6AC8"/>
    <w:rsid w:val="002A75E8"/>
    <w:rsid w:val="002B12CE"/>
    <w:rsid w:val="002B3E95"/>
    <w:rsid w:val="002B55E8"/>
    <w:rsid w:val="002B5E10"/>
    <w:rsid w:val="002B6791"/>
    <w:rsid w:val="002C080D"/>
    <w:rsid w:val="002C3147"/>
    <w:rsid w:val="002C4226"/>
    <w:rsid w:val="002D2B16"/>
    <w:rsid w:val="002D37BC"/>
    <w:rsid w:val="002D5A71"/>
    <w:rsid w:val="002E130A"/>
    <w:rsid w:val="002E2E07"/>
    <w:rsid w:val="002E7100"/>
    <w:rsid w:val="002F43F6"/>
    <w:rsid w:val="002F7DEC"/>
    <w:rsid w:val="003002C0"/>
    <w:rsid w:val="00300567"/>
    <w:rsid w:val="00301144"/>
    <w:rsid w:val="00301B76"/>
    <w:rsid w:val="00304345"/>
    <w:rsid w:val="0030471E"/>
    <w:rsid w:val="00313956"/>
    <w:rsid w:val="003148B7"/>
    <w:rsid w:val="0031545C"/>
    <w:rsid w:val="003158C3"/>
    <w:rsid w:val="00317D2F"/>
    <w:rsid w:val="00320251"/>
    <w:rsid w:val="003204D2"/>
    <w:rsid w:val="003229BA"/>
    <w:rsid w:val="00324651"/>
    <w:rsid w:val="00325891"/>
    <w:rsid w:val="00326901"/>
    <w:rsid w:val="003274CD"/>
    <w:rsid w:val="00332EC9"/>
    <w:rsid w:val="00333501"/>
    <w:rsid w:val="003341D9"/>
    <w:rsid w:val="00334737"/>
    <w:rsid w:val="0033794C"/>
    <w:rsid w:val="00341A1B"/>
    <w:rsid w:val="00344BF4"/>
    <w:rsid w:val="003457C4"/>
    <w:rsid w:val="003503DD"/>
    <w:rsid w:val="0035119D"/>
    <w:rsid w:val="00352704"/>
    <w:rsid w:val="00354ABF"/>
    <w:rsid w:val="003559C2"/>
    <w:rsid w:val="003610D3"/>
    <w:rsid w:val="00367004"/>
    <w:rsid w:val="00372103"/>
    <w:rsid w:val="00374583"/>
    <w:rsid w:val="00377548"/>
    <w:rsid w:val="00385DFD"/>
    <w:rsid w:val="0038653C"/>
    <w:rsid w:val="0039415E"/>
    <w:rsid w:val="003A44F8"/>
    <w:rsid w:val="003B4F12"/>
    <w:rsid w:val="003B75E4"/>
    <w:rsid w:val="003C5120"/>
    <w:rsid w:val="003D352D"/>
    <w:rsid w:val="003D4DEA"/>
    <w:rsid w:val="003D535D"/>
    <w:rsid w:val="003D6779"/>
    <w:rsid w:val="003D79DC"/>
    <w:rsid w:val="003E450B"/>
    <w:rsid w:val="003E5501"/>
    <w:rsid w:val="003E7D5F"/>
    <w:rsid w:val="003F1744"/>
    <w:rsid w:val="00400B0F"/>
    <w:rsid w:val="00402ACC"/>
    <w:rsid w:val="0040395E"/>
    <w:rsid w:val="00407DF6"/>
    <w:rsid w:val="0041172E"/>
    <w:rsid w:val="0041174F"/>
    <w:rsid w:val="004120EC"/>
    <w:rsid w:val="00414763"/>
    <w:rsid w:val="00423F31"/>
    <w:rsid w:val="004246E7"/>
    <w:rsid w:val="00431899"/>
    <w:rsid w:val="00431E2C"/>
    <w:rsid w:val="0043564E"/>
    <w:rsid w:val="004368A0"/>
    <w:rsid w:val="00451776"/>
    <w:rsid w:val="00452D35"/>
    <w:rsid w:val="0047170E"/>
    <w:rsid w:val="00475C4C"/>
    <w:rsid w:val="00480576"/>
    <w:rsid w:val="00486804"/>
    <w:rsid w:val="004977A1"/>
    <w:rsid w:val="004A0EDD"/>
    <w:rsid w:val="004A3BB3"/>
    <w:rsid w:val="004B3775"/>
    <w:rsid w:val="004B515C"/>
    <w:rsid w:val="004B541A"/>
    <w:rsid w:val="004C5CA6"/>
    <w:rsid w:val="004D0BA0"/>
    <w:rsid w:val="004D117C"/>
    <w:rsid w:val="004D43F3"/>
    <w:rsid w:val="004D587C"/>
    <w:rsid w:val="004E0264"/>
    <w:rsid w:val="004E058F"/>
    <w:rsid w:val="004E14C3"/>
    <w:rsid w:val="004E30CC"/>
    <w:rsid w:val="004E3B3E"/>
    <w:rsid w:val="004E3B87"/>
    <w:rsid w:val="004E3C0C"/>
    <w:rsid w:val="004E48CF"/>
    <w:rsid w:val="004E4C52"/>
    <w:rsid w:val="004E790B"/>
    <w:rsid w:val="004F437F"/>
    <w:rsid w:val="005026E9"/>
    <w:rsid w:val="005068F1"/>
    <w:rsid w:val="00507CC1"/>
    <w:rsid w:val="00510023"/>
    <w:rsid w:val="00510921"/>
    <w:rsid w:val="00510AD3"/>
    <w:rsid w:val="00510FAB"/>
    <w:rsid w:val="00513348"/>
    <w:rsid w:val="00516956"/>
    <w:rsid w:val="00516EEB"/>
    <w:rsid w:val="00520CA3"/>
    <w:rsid w:val="005215F5"/>
    <w:rsid w:val="00525E9D"/>
    <w:rsid w:val="005268E9"/>
    <w:rsid w:val="00533B5D"/>
    <w:rsid w:val="00533F40"/>
    <w:rsid w:val="00534528"/>
    <w:rsid w:val="0054065E"/>
    <w:rsid w:val="00542B85"/>
    <w:rsid w:val="00546A63"/>
    <w:rsid w:val="005511BF"/>
    <w:rsid w:val="005553C5"/>
    <w:rsid w:val="005614FF"/>
    <w:rsid w:val="00564063"/>
    <w:rsid w:val="005712DE"/>
    <w:rsid w:val="005723FB"/>
    <w:rsid w:val="0057433C"/>
    <w:rsid w:val="005778BC"/>
    <w:rsid w:val="00577E20"/>
    <w:rsid w:val="00584453"/>
    <w:rsid w:val="0058515D"/>
    <w:rsid w:val="0059146A"/>
    <w:rsid w:val="0059150F"/>
    <w:rsid w:val="00595279"/>
    <w:rsid w:val="00597031"/>
    <w:rsid w:val="005A04A4"/>
    <w:rsid w:val="005A3B76"/>
    <w:rsid w:val="005B42F0"/>
    <w:rsid w:val="005B5769"/>
    <w:rsid w:val="005B7972"/>
    <w:rsid w:val="005C7366"/>
    <w:rsid w:val="005C7F17"/>
    <w:rsid w:val="005D3655"/>
    <w:rsid w:val="005D4136"/>
    <w:rsid w:val="005E1294"/>
    <w:rsid w:val="005E313A"/>
    <w:rsid w:val="005E56F8"/>
    <w:rsid w:val="005E606B"/>
    <w:rsid w:val="005F2297"/>
    <w:rsid w:val="005F2563"/>
    <w:rsid w:val="005F40B2"/>
    <w:rsid w:val="005F4E47"/>
    <w:rsid w:val="005F68A7"/>
    <w:rsid w:val="00600479"/>
    <w:rsid w:val="00600A7F"/>
    <w:rsid w:val="006130DF"/>
    <w:rsid w:val="00615669"/>
    <w:rsid w:val="00621BDB"/>
    <w:rsid w:val="00622DBB"/>
    <w:rsid w:val="00623283"/>
    <w:rsid w:val="0062338D"/>
    <w:rsid w:val="00623BA1"/>
    <w:rsid w:val="006346BC"/>
    <w:rsid w:val="00635EB6"/>
    <w:rsid w:val="00637CF0"/>
    <w:rsid w:val="00637F15"/>
    <w:rsid w:val="00643726"/>
    <w:rsid w:val="00643FA1"/>
    <w:rsid w:val="00646165"/>
    <w:rsid w:val="00654ACE"/>
    <w:rsid w:val="00656EF7"/>
    <w:rsid w:val="00657AEE"/>
    <w:rsid w:val="0066073C"/>
    <w:rsid w:val="0066652A"/>
    <w:rsid w:val="00680522"/>
    <w:rsid w:val="00681E40"/>
    <w:rsid w:val="00681F08"/>
    <w:rsid w:val="00682167"/>
    <w:rsid w:val="0068515E"/>
    <w:rsid w:val="006926A1"/>
    <w:rsid w:val="00692F02"/>
    <w:rsid w:val="006A3275"/>
    <w:rsid w:val="006A5F02"/>
    <w:rsid w:val="006A791D"/>
    <w:rsid w:val="006B0F39"/>
    <w:rsid w:val="006B1669"/>
    <w:rsid w:val="006B5CEC"/>
    <w:rsid w:val="006B5D29"/>
    <w:rsid w:val="006C3FCF"/>
    <w:rsid w:val="006C42AF"/>
    <w:rsid w:val="006C4F09"/>
    <w:rsid w:val="006C7A05"/>
    <w:rsid w:val="006E04E4"/>
    <w:rsid w:val="006E285D"/>
    <w:rsid w:val="006F0287"/>
    <w:rsid w:val="006F27B1"/>
    <w:rsid w:val="006F5663"/>
    <w:rsid w:val="007026B3"/>
    <w:rsid w:val="00711D8E"/>
    <w:rsid w:val="00712672"/>
    <w:rsid w:val="00712DA1"/>
    <w:rsid w:val="00725B9A"/>
    <w:rsid w:val="00726EB9"/>
    <w:rsid w:val="00732567"/>
    <w:rsid w:val="00733717"/>
    <w:rsid w:val="00733BA5"/>
    <w:rsid w:val="00734E3F"/>
    <w:rsid w:val="00736985"/>
    <w:rsid w:val="00741FE1"/>
    <w:rsid w:val="007450A0"/>
    <w:rsid w:val="00745DF5"/>
    <w:rsid w:val="00747962"/>
    <w:rsid w:val="00750AA8"/>
    <w:rsid w:val="00753530"/>
    <w:rsid w:val="00756EBD"/>
    <w:rsid w:val="00760C59"/>
    <w:rsid w:val="0076250F"/>
    <w:rsid w:val="00764352"/>
    <w:rsid w:val="00771B53"/>
    <w:rsid w:val="007720D2"/>
    <w:rsid w:val="00775048"/>
    <w:rsid w:val="00784031"/>
    <w:rsid w:val="00785A85"/>
    <w:rsid w:val="00794B95"/>
    <w:rsid w:val="007959D7"/>
    <w:rsid w:val="007972E5"/>
    <w:rsid w:val="007A3510"/>
    <w:rsid w:val="007A70CA"/>
    <w:rsid w:val="007A7B9C"/>
    <w:rsid w:val="007B1E84"/>
    <w:rsid w:val="007B4725"/>
    <w:rsid w:val="007B4865"/>
    <w:rsid w:val="007B6200"/>
    <w:rsid w:val="007B75BA"/>
    <w:rsid w:val="007C2540"/>
    <w:rsid w:val="007C3B1F"/>
    <w:rsid w:val="007C4163"/>
    <w:rsid w:val="007C7418"/>
    <w:rsid w:val="007D0299"/>
    <w:rsid w:val="007D1FD3"/>
    <w:rsid w:val="007D28BE"/>
    <w:rsid w:val="007D2E25"/>
    <w:rsid w:val="007D310F"/>
    <w:rsid w:val="007D61C4"/>
    <w:rsid w:val="007D764D"/>
    <w:rsid w:val="007F0314"/>
    <w:rsid w:val="007F3395"/>
    <w:rsid w:val="008001BF"/>
    <w:rsid w:val="00801B9F"/>
    <w:rsid w:val="008057FD"/>
    <w:rsid w:val="00820EC5"/>
    <w:rsid w:val="008410A6"/>
    <w:rsid w:val="00843222"/>
    <w:rsid w:val="00843252"/>
    <w:rsid w:val="008475F0"/>
    <w:rsid w:val="008518C3"/>
    <w:rsid w:val="008520D9"/>
    <w:rsid w:val="008551AF"/>
    <w:rsid w:val="0086192C"/>
    <w:rsid w:val="00863502"/>
    <w:rsid w:val="00864210"/>
    <w:rsid w:val="00866D4F"/>
    <w:rsid w:val="0086753B"/>
    <w:rsid w:val="00867B23"/>
    <w:rsid w:val="00880004"/>
    <w:rsid w:val="008873B5"/>
    <w:rsid w:val="008905B3"/>
    <w:rsid w:val="00891631"/>
    <w:rsid w:val="008A1203"/>
    <w:rsid w:val="008A5AFE"/>
    <w:rsid w:val="008A602B"/>
    <w:rsid w:val="008B39AD"/>
    <w:rsid w:val="008B68D7"/>
    <w:rsid w:val="008B7D42"/>
    <w:rsid w:val="008C16A3"/>
    <w:rsid w:val="008C1E42"/>
    <w:rsid w:val="008C23B0"/>
    <w:rsid w:val="008C2F58"/>
    <w:rsid w:val="008C5A0E"/>
    <w:rsid w:val="008C5FC6"/>
    <w:rsid w:val="008D0415"/>
    <w:rsid w:val="008D12D1"/>
    <w:rsid w:val="008D2B47"/>
    <w:rsid w:val="008D4745"/>
    <w:rsid w:val="008D58DB"/>
    <w:rsid w:val="008D5DBB"/>
    <w:rsid w:val="008E1B3E"/>
    <w:rsid w:val="008E3E7C"/>
    <w:rsid w:val="008F04B1"/>
    <w:rsid w:val="008F0C31"/>
    <w:rsid w:val="008F1F4B"/>
    <w:rsid w:val="008F2587"/>
    <w:rsid w:val="008F2726"/>
    <w:rsid w:val="008F56A8"/>
    <w:rsid w:val="008F656A"/>
    <w:rsid w:val="008F706D"/>
    <w:rsid w:val="0090272C"/>
    <w:rsid w:val="00914984"/>
    <w:rsid w:val="00920E91"/>
    <w:rsid w:val="0092623A"/>
    <w:rsid w:val="009278F3"/>
    <w:rsid w:val="009375D3"/>
    <w:rsid w:val="009429CC"/>
    <w:rsid w:val="00943607"/>
    <w:rsid w:val="00946E78"/>
    <w:rsid w:val="00950214"/>
    <w:rsid w:val="00952423"/>
    <w:rsid w:val="00954898"/>
    <w:rsid w:val="00954E0D"/>
    <w:rsid w:val="009602BF"/>
    <w:rsid w:val="00965AEF"/>
    <w:rsid w:val="00970924"/>
    <w:rsid w:val="00973239"/>
    <w:rsid w:val="00973B68"/>
    <w:rsid w:val="00977115"/>
    <w:rsid w:val="00983394"/>
    <w:rsid w:val="009872E7"/>
    <w:rsid w:val="009903F3"/>
    <w:rsid w:val="00990C4E"/>
    <w:rsid w:val="00992C76"/>
    <w:rsid w:val="009A0236"/>
    <w:rsid w:val="009A6794"/>
    <w:rsid w:val="009B1EFD"/>
    <w:rsid w:val="009B2023"/>
    <w:rsid w:val="009B4D3B"/>
    <w:rsid w:val="009C3A3B"/>
    <w:rsid w:val="009C7DC8"/>
    <w:rsid w:val="009D1BF0"/>
    <w:rsid w:val="009D28B5"/>
    <w:rsid w:val="009D63A0"/>
    <w:rsid w:val="009D6E17"/>
    <w:rsid w:val="009D7407"/>
    <w:rsid w:val="009E0866"/>
    <w:rsid w:val="009E1D05"/>
    <w:rsid w:val="009E3DDE"/>
    <w:rsid w:val="009E417D"/>
    <w:rsid w:val="009E41ED"/>
    <w:rsid w:val="009E4C8A"/>
    <w:rsid w:val="009E7BB8"/>
    <w:rsid w:val="009F5488"/>
    <w:rsid w:val="009F6423"/>
    <w:rsid w:val="009F6A2D"/>
    <w:rsid w:val="00A03155"/>
    <w:rsid w:val="00A05A11"/>
    <w:rsid w:val="00A21834"/>
    <w:rsid w:val="00A227AA"/>
    <w:rsid w:val="00A24A62"/>
    <w:rsid w:val="00A31C9F"/>
    <w:rsid w:val="00A31FFD"/>
    <w:rsid w:val="00A40B58"/>
    <w:rsid w:val="00A41162"/>
    <w:rsid w:val="00A4144F"/>
    <w:rsid w:val="00A41AE1"/>
    <w:rsid w:val="00A46AAE"/>
    <w:rsid w:val="00A46DAA"/>
    <w:rsid w:val="00A470AF"/>
    <w:rsid w:val="00A47953"/>
    <w:rsid w:val="00A54034"/>
    <w:rsid w:val="00A56F14"/>
    <w:rsid w:val="00A63FB4"/>
    <w:rsid w:val="00A65629"/>
    <w:rsid w:val="00A704D2"/>
    <w:rsid w:val="00A77EF7"/>
    <w:rsid w:val="00A80F95"/>
    <w:rsid w:val="00A8197B"/>
    <w:rsid w:val="00A91B9F"/>
    <w:rsid w:val="00A92BF6"/>
    <w:rsid w:val="00A94EB7"/>
    <w:rsid w:val="00A95FE1"/>
    <w:rsid w:val="00A97153"/>
    <w:rsid w:val="00AA7BE3"/>
    <w:rsid w:val="00AB2FA8"/>
    <w:rsid w:val="00AB3A78"/>
    <w:rsid w:val="00AB5E7F"/>
    <w:rsid w:val="00AC164A"/>
    <w:rsid w:val="00AC302F"/>
    <w:rsid w:val="00AC5C1D"/>
    <w:rsid w:val="00AC74A7"/>
    <w:rsid w:val="00AD20BB"/>
    <w:rsid w:val="00AD305F"/>
    <w:rsid w:val="00AD71BC"/>
    <w:rsid w:val="00AF1B85"/>
    <w:rsid w:val="00AF2050"/>
    <w:rsid w:val="00AF3483"/>
    <w:rsid w:val="00AF3DB4"/>
    <w:rsid w:val="00AF3F2F"/>
    <w:rsid w:val="00AF41BE"/>
    <w:rsid w:val="00B0386E"/>
    <w:rsid w:val="00B03B63"/>
    <w:rsid w:val="00B03CA8"/>
    <w:rsid w:val="00B13768"/>
    <w:rsid w:val="00B30FB7"/>
    <w:rsid w:val="00B316EC"/>
    <w:rsid w:val="00B32DA5"/>
    <w:rsid w:val="00B331DC"/>
    <w:rsid w:val="00B36DA4"/>
    <w:rsid w:val="00B37C19"/>
    <w:rsid w:val="00B40803"/>
    <w:rsid w:val="00B41367"/>
    <w:rsid w:val="00B432A8"/>
    <w:rsid w:val="00B438D3"/>
    <w:rsid w:val="00B515B8"/>
    <w:rsid w:val="00B51EDF"/>
    <w:rsid w:val="00B55E19"/>
    <w:rsid w:val="00B623A2"/>
    <w:rsid w:val="00B64AEA"/>
    <w:rsid w:val="00B64D35"/>
    <w:rsid w:val="00B67A6B"/>
    <w:rsid w:val="00B705FE"/>
    <w:rsid w:val="00B80055"/>
    <w:rsid w:val="00B8262E"/>
    <w:rsid w:val="00B82D48"/>
    <w:rsid w:val="00B83AB3"/>
    <w:rsid w:val="00B8694A"/>
    <w:rsid w:val="00B87A12"/>
    <w:rsid w:val="00B90550"/>
    <w:rsid w:val="00B914E9"/>
    <w:rsid w:val="00BA3339"/>
    <w:rsid w:val="00BA4B6D"/>
    <w:rsid w:val="00BA4DD0"/>
    <w:rsid w:val="00BB254C"/>
    <w:rsid w:val="00BB26C5"/>
    <w:rsid w:val="00BB5839"/>
    <w:rsid w:val="00BB763E"/>
    <w:rsid w:val="00BC0BB7"/>
    <w:rsid w:val="00BC337C"/>
    <w:rsid w:val="00BC3D74"/>
    <w:rsid w:val="00BC74DE"/>
    <w:rsid w:val="00BD0289"/>
    <w:rsid w:val="00BD3DDD"/>
    <w:rsid w:val="00BD5657"/>
    <w:rsid w:val="00BD6540"/>
    <w:rsid w:val="00BE6C6D"/>
    <w:rsid w:val="00BE737D"/>
    <w:rsid w:val="00BF4DE6"/>
    <w:rsid w:val="00BF7EC1"/>
    <w:rsid w:val="00C00672"/>
    <w:rsid w:val="00C01434"/>
    <w:rsid w:val="00C203CF"/>
    <w:rsid w:val="00C2245C"/>
    <w:rsid w:val="00C2338D"/>
    <w:rsid w:val="00C24EB7"/>
    <w:rsid w:val="00C27B1B"/>
    <w:rsid w:val="00C30156"/>
    <w:rsid w:val="00C339FD"/>
    <w:rsid w:val="00C37399"/>
    <w:rsid w:val="00C406F0"/>
    <w:rsid w:val="00C42CDE"/>
    <w:rsid w:val="00C431B4"/>
    <w:rsid w:val="00C500D7"/>
    <w:rsid w:val="00C5182A"/>
    <w:rsid w:val="00C55A4C"/>
    <w:rsid w:val="00C63EE9"/>
    <w:rsid w:val="00C6626C"/>
    <w:rsid w:val="00C67647"/>
    <w:rsid w:val="00C7024C"/>
    <w:rsid w:val="00C7247E"/>
    <w:rsid w:val="00C7297E"/>
    <w:rsid w:val="00C7684F"/>
    <w:rsid w:val="00C81A08"/>
    <w:rsid w:val="00C82995"/>
    <w:rsid w:val="00C83387"/>
    <w:rsid w:val="00C868E1"/>
    <w:rsid w:val="00C86DBE"/>
    <w:rsid w:val="00C90AA1"/>
    <w:rsid w:val="00CA37B1"/>
    <w:rsid w:val="00CA7DD8"/>
    <w:rsid w:val="00CB1959"/>
    <w:rsid w:val="00CB50F3"/>
    <w:rsid w:val="00CB6363"/>
    <w:rsid w:val="00CB638A"/>
    <w:rsid w:val="00CC4E30"/>
    <w:rsid w:val="00CC51B9"/>
    <w:rsid w:val="00CC789F"/>
    <w:rsid w:val="00CD0E4B"/>
    <w:rsid w:val="00CD33AF"/>
    <w:rsid w:val="00CE0155"/>
    <w:rsid w:val="00CE020F"/>
    <w:rsid w:val="00CE036D"/>
    <w:rsid w:val="00CE41C0"/>
    <w:rsid w:val="00CE5579"/>
    <w:rsid w:val="00CE5DF0"/>
    <w:rsid w:val="00CE6832"/>
    <w:rsid w:val="00CE73AF"/>
    <w:rsid w:val="00CF15BA"/>
    <w:rsid w:val="00CF1980"/>
    <w:rsid w:val="00CF2AB2"/>
    <w:rsid w:val="00CF2C04"/>
    <w:rsid w:val="00D0075D"/>
    <w:rsid w:val="00D00802"/>
    <w:rsid w:val="00D0296C"/>
    <w:rsid w:val="00D03909"/>
    <w:rsid w:val="00D06965"/>
    <w:rsid w:val="00D10B29"/>
    <w:rsid w:val="00D1104B"/>
    <w:rsid w:val="00D11489"/>
    <w:rsid w:val="00D146A2"/>
    <w:rsid w:val="00D1570E"/>
    <w:rsid w:val="00D15A00"/>
    <w:rsid w:val="00D206A8"/>
    <w:rsid w:val="00D2316A"/>
    <w:rsid w:val="00D27051"/>
    <w:rsid w:val="00D27E7F"/>
    <w:rsid w:val="00D3315E"/>
    <w:rsid w:val="00D337F1"/>
    <w:rsid w:val="00D33BF8"/>
    <w:rsid w:val="00D35260"/>
    <w:rsid w:val="00D37D87"/>
    <w:rsid w:val="00D40AEB"/>
    <w:rsid w:val="00D44676"/>
    <w:rsid w:val="00D458FF"/>
    <w:rsid w:val="00D460DC"/>
    <w:rsid w:val="00D473D2"/>
    <w:rsid w:val="00D500FE"/>
    <w:rsid w:val="00D50A6F"/>
    <w:rsid w:val="00D62E20"/>
    <w:rsid w:val="00D6432A"/>
    <w:rsid w:val="00D64BD1"/>
    <w:rsid w:val="00D72760"/>
    <w:rsid w:val="00D73EFE"/>
    <w:rsid w:val="00D81AAE"/>
    <w:rsid w:val="00D82FA7"/>
    <w:rsid w:val="00D86954"/>
    <w:rsid w:val="00D86BBB"/>
    <w:rsid w:val="00D902E0"/>
    <w:rsid w:val="00D90E4C"/>
    <w:rsid w:val="00D9556D"/>
    <w:rsid w:val="00D9759C"/>
    <w:rsid w:val="00DA040F"/>
    <w:rsid w:val="00DA26A7"/>
    <w:rsid w:val="00DB22DE"/>
    <w:rsid w:val="00DB37F0"/>
    <w:rsid w:val="00DB545A"/>
    <w:rsid w:val="00DB6CD7"/>
    <w:rsid w:val="00DD1986"/>
    <w:rsid w:val="00DE084C"/>
    <w:rsid w:val="00DF1BEF"/>
    <w:rsid w:val="00DF3F75"/>
    <w:rsid w:val="00DF4AB8"/>
    <w:rsid w:val="00E025E9"/>
    <w:rsid w:val="00E03789"/>
    <w:rsid w:val="00E03FFF"/>
    <w:rsid w:val="00E0719C"/>
    <w:rsid w:val="00E10C6F"/>
    <w:rsid w:val="00E12FBA"/>
    <w:rsid w:val="00E13DA3"/>
    <w:rsid w:val="00E16CD9"/>
    <w:rsid w:val="00E245D7"/>
    <w:rsid w:val="00E24CA3"/>
    <w:rsid w:val="00E26A90"/>
    <w:rsid w:val="00E3314B"/>
    <w:rsid w:val="00E33176"/>
    <w:rsid w:val="00E35589"/>
    <w:rsid w:val="00E357B7"/>
    <w:rsid w:val="00E36F91"/>
    <w:rsid w:val="00E41D5C"/>
    <w:rsid w:val="00E4738E"/>
    <w:rsid w:val="00E47CE3"/>
    <w:rsid w:val="00E51F76"/>
    <w:rsid w:val="00E536BF"/>
    <w:rsid w:val="00E53800"/>
    <w:rsid w:val="00E56E64"/>
    <w:rsid w:val="00E576EE"/>
    <w:rsid w:val="00E6037D"/>
    <w:rsid w:val="00E6062E"/>
    <w:rsid w:val="00E6081F"/>
    <w:rsid w:val="00E63224"/>
    <w:rsid w:val="00E75712"/>
    <w:rsid w:val="00E76FD5"/>
    <w:rsid w:val="00E8713D"/>
    <w:rsid w:val="00E87728"/>
    <w:rsid w:val="00E9171C"/>
    <w:rsid w:val="00E92A4B"/>
    <w:rsid w:val="00E9399F"/>
    <w:rsid w:val="00E956BA"/>
    <w:rsid w:val="00E96064"/>
    <w:rsid w:val="00E964DC"/>
    <w:rsid w:val="00EA04B2"/>
    <w:rsid w:val="00EA20F3"/>
    <w:rsid w:val="00EA7797"/>
    <w:rsid w:val="00EB2D0F"/>
    <w:rsid w:val="00EB4838"/>
    <w:rsid w:val="00EC5C06"/>
    <w:rsid w:val="00ED2831"/>
    <w:rsid w:val="00ED43D1"/>
    <w:rsid w:val="00ED5BC2"/>
    <w:rsid w:val="00ED6D18"/>
    <w:rsid w:val="00EE4EE1"/>
    <w:rsid w:val="00EF2EF0"/>
    <w:rsid w:val="00EF408A"/>
    <w:rsid w:val="00EF4574"/>
    <w:rsid w:val="00EF5BE5"/>
    <w:rsid w:val="00EF6543"/>
    <w:rsid w:val="00F02ADA"/>
    <w:rsid w:val="00F03CF2"/>
    <w:rsid w:val="00F04201"/>
    <w:rsid w:val="00F07E33"/>
    <w:rsid w:val="00F07EF1"/>
    <w:rsid w:val="00F111C8"/>
    <w:rsid w:val="00F112BD"/>
    <w:rsid w:val="00F16D35"/>
    <w:rsid w:val="00F26475"/>
    <w:rsid w:val="00F2684E"/>
    <w:rsid w:val="00F26ACE"/>
    <w:rsid w:val="00F27C9E"/>
    <w:rsid w:val="00F32081"/>
    <w:rsid w:val="00F3321A"/>
    <w:rsid w:val="00F40F42"/>
    <w:rsid w:val="00F43817"/>
    <w:rsid w:val="00F46617"/>
    <w:rsid w:val="00F531F6"/>
    <w:rsid w:val="00F5404C"/>
    <w:rsid w:val="00F5582D"/>
    <w:rsid w:val="00F6471F"/>
    <w:rsid w:val="00F6503D"/>
    <w:rsid w:val="00F70299"/>
    <w:rsid w:val="00F729EF"/>
    <w:rsid w:val="00F77CAE"/>
    <w:rsid w:val="00F77ECA"/>
    <w:rsid w:val="00F82271"/>
    <w:rsid w:val="00F83428"/>
    <w:rsid w:val="00F9434D"/>
    <w:rsid w:val="00F96BB9"/>
    <w:rsid w:val="00FB1B8F"/>
    <w:rsid w:val="00FB6E32"/>
    <w:rsid w:val="00FC148A"/>
    <w:rsid w:val="00FC6830"/>
    <w:rsid w:val="00FC79D7"/>
    <w:rsid w:val="00FD459D"/>
    <w:rsid w:val="00FE338A"/>
    <w:rsid w:val="00FE37EE"/>
    <w:rsid w:val="00FE4982"/>
    <w:rsid w:val="00FE6D51"/>
    <w:rsid w:val="00FE75C2"/>
    <w:rsid w:val="00FE7E6C"/>
    <w:rsid w:val="00FF01AE"/>
    <w:rsid w:val="00FF09F3"/>
    <w:rsid w:val="00FF6DF7"/>
    <w:rsid w:val="00FF756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97B"/>
    <w:pPr>
      <w:suppressAutoHyphens/>
      <w:spacing w:before="120" w:after="60" w:line="230" w:lineRule="atLeast"/>
    </w:pPr>
    <w:rPr>
      <w:color w:val="495965" w:themeColor="text2"/>
      <w:lang w:val="en-GB"/>
    </w:rPr>
  </w:style>
  <w:style w:type="paragraph" w:styleId="Heading1">
    <w:name w:val="heading 1"/>
    <w:basedOn w:val="Normal"/>
    <w:next w:val="Normal"/>
    <w:link w:val="Heading1Char"/>
    <w:uiPriority w:val="9"/>
    <w:qFormat/>
    <w:rsid w:val="00F83428"/>
    <w:pPr>
      <w:keepNext/>
      <w:keepLines/>
      <w:pageBreakBefore/>
      <w:spacing w:before="0" w:after="18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uiPriority w:val="9"/>
    <w:unhideWhenUsed/>
    <w:qFormat/>
    <w:rsid w:val="00A4144F"/>
    <w:pPr>
      <w:pageBreakBefore w:val="0"/>
      <w:spacing w:before="300" w:after="120"/>
      <w:outlineLvl w:val="1"/>
    </w:pPr>
    <w:rPr>
      <w:b w:val="0"/>
      <w:bCs w:val="0"/>
      <w:szCs w:val="26"/>
    </w:rPr>
  </w:style>
  <w:style w:type="paragraph" w:styleId="Heading3">
    <w:name w:val="heading 3"/>
    <w:basedOn w:val="Heading2"/>
    <w:next w:val="Normal"/>
    <w:link w:val="Heading3Char"/>
    <w:uiPriority w:val="9"/>
    <w:unhideWhenUsed/>
    <w:qFormat/>
    <w:rsid w:val="00ED2831"/>
    <w:pPr>
      <w:spacing w:before="480" w:line="360" w:lineRule="atLeast"/>
      <w:outlineLvl w:val="2"/>
    </w:pPr>
    <w:rPr>
      <w:bCs/>
      <w:caps w:val="0"/>
      <w:sz w:val="30"/>
    </w:rPr>
  </w:style>
  <w:style w:type="paragraph" w:styleId="Heading4">
    <w:name w:val="heading 4"/>
    <w:basedOn w:val="Heading3"/>
    <w:next w:val="Normal"/>
    <w:link w:val="Heading4Char"/>
    <w:uiPriority w:val="9"/>
    <w:unhideWhenUsed/>
    <w:qFormat/>
    <w:rsid w:val="00A4144F"/>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A4144F"/>
    <w:pPr>
      <w:spacing w:line="200" w:lineRule="atLeast"/>
      <w:outlineLvl w:val="4"/>
    </w:pPr>
    <w:rPr>
      <w:b/>
      <w:sz w:val="16"/>
    </w:rPr>
  </w:style>
  <w:style w:type="paragraph" w:styleId="Heading6">
    <w:name w:val="heading 6"/>
    <w:basedOn w:val="Heading5"/>
    <w:next w:val="Normal"/>
    <w:link w:val="Heading6Char"/>
    <w:uiPriority w:val="9"/>
    <w:semiHidden/>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rsid w:val="00486804"/>
    <w:pPr>
      <w:outlineLvl w:val="6"/>
    </w:pPr>
    <w:rPr>
      <w:i/>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428"/>
    <w:rPr>
      <w:rFonts w:asciiTheme="majorHAnsi" w:eastAsiaTheme="majorEastAsia" w:hAnsiTheme="majorHAnsi" w:cstheme="majorBidi"/>
      <w:b/>
      <w:bCs/>
      <w:caps/>
      <w:color w:val="495965" w:themeColor="text2"/>
      <w:sz w:val="38"/>
      <w:szCs w:val="28"/>
    </w:rPr>
  </w:style>
  <w:style w:type="character" w:customStyle="1" w:styleId="Heading2Char">
    <w:name w:val="Heading 2 Char"/>
    <w:basedOn w:val="DefaultParagraphFont"/>
    <w:link w:val="Heading2"/>
    <w:uiPriority w:val="9"/>
    <w:rsid w:val="00A4144F"/>
    <w:rPr>
      <w:rFonts w:asciiTheme="majorHAnsi" w:eastAsiaTheme="majorEastAsia" w:hAnsiTheme="majorHAnsi" w:cstheme="majorBidi"/>
      <w:caps/>
      <w:color w:val="495965" w:themeColor="text2"/>
      <w:sz w:val="38"/>
      <w:szCs w:val="26"/>
    </w:rPr>
  </w:style>
  <w:style w:type="character" w:customStyle="1" w:styleId="Heading3Char">
    <w:name w:val="Heading 3 Char"/>
    <w:basedOn w:val="DefaultParagraphFont"/>
    <w:link w:val="Heading3"/>
    <w:uiPriority w:val="9"/>
    <w:rsid w:val="00ED2831"/>
    <w:rPr>
      <w:rFonts w:asciiTheme="majorHAnsi" w:eastAsiaTheme="majorEastAsia" w:hAnsiTheme="majorHAnsi" w:cstheme="majorBidi"/>
      <w:bCs/>
      <w:color w:val="495965" w:themeColor="text2"/>
      <w:sz w:val="30"/>
      <w:szCs w:val="26"/>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pPr>
      <w:pageBreakBefore w:val="0"/>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qFormat/>
    <w:rsid w:val="00D64BD1"/>
    <w:pPr>
      <w:numPr>
        <w:ilvl w:val="1"/>
      </w:numPr>
      <w:spacing w:before="60" w:after="300"/>
    </w:pPr>
    <w:rPr>
      <w:rFonts w:asciiTheme="minorHAnsi" w:hAnsiTheme="minorHAnsi"/>
      <w:b w:val="0"/>
      <w:iCs/>
      <w:szCs w:val="24"/>
    </w:rPr>
  </w:style>
  <w:style w:type="character" w:customStyle="1" w:styleId="SubtitleChar">
    <w:name w:val="Subtitle Char"/>
    <w:basedOn w:val="DefaultParagraphFont"/>
    <w:link w:val="Subtitle"/>
    <w:rsid w:val="00D64BD1"/>
    <w:rPr>
      <w:rFonts w:eastAsiaTheme="majorEastAsia" w:cstheme="majorBidi"/>
      <w:bCs/>
      <w:iCs/>
      <w:caps/>
      <w:color w:val="495965" w:themeColor="text2"/>
      <w:spacing w:val="-10"/>
      <w:kern w:val="28"/>
      <w:sz w:val="38"/>
      <w:szCs w:val="24"/>
    </w:rPr>
  </w:style>
  <w:style w:type="paragraph" w:customStyle="1" w:styleId="Bullet1">
    <w:name w:val="Bullet 1"/>
    <w:basedOn w:val="Normal"/>
    <w:qFormat/>
    <w:rsid w:val="001D663E"/>
    <w:pPr>
      <w:numPr>
        <w:numId w:val="7"/>
      </w:numPr>
      <w:spacing w:before="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684E"/>
    <w:pPr>
      <w:numPr>
        <w:numId w:val="8"/>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6"/>
      </w:numPr>
    </w:pPr>
  </w:style>
  <w:style w:type="paragraph" w:customStyle="1" w:styleId="Heading2Numbered">
    <w:name w:val="Heading 2 Numbered"/>
    <w:basedOn w:val="Heading2"/>
    <w:next w:val="Normal"/>
    <w:qFormat/>
    <w:rsid w:val="00ED2831"/>
    <w:pPr>
      <w:numPr>
        <w:ilvl w:val="1"/>
        <w:numId w:val="6"/>
      </w:numPr>
      <w:spacing w:before="480" w:after="60"/>
    </w:pPr>
    <w:rPr>
      <w:bCs/>
    </w:rPr>
  </w:style>
  <w:style w:type="paragraph" w:customStyle="1" w:styleId="Heading3Numbered">
    <w:name w:val="Heading 3 Numbered"/>
    <w:basedOn w:val="Heading3"/>
    <w:next w:val="Normal"/>
    <w:qFormat/>
    <w:rsid w:val="00ED2831"/>
    <w:pPr>
      <w:numPr>
        <w:ilvl w:val="2"/>
        <w:numId w:val="6"/>
      </w:numPr>
      <w:spacing w:before="300" w:after="60"/>
    </w:pPr>
    <w:rPr>
      <w:szCs w:val="22"/>
    </w:rPr>
  </w:style>
  <w:style w:type="numbering" w:customStyle="1" w:styleId="BulletsList">
    <w:name w:val="Bullets List"/>
    <w:uiPriority w:val="99"/>
    <w:rsid w:val="001D663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pageBreakBefore w:val="0"/>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ED2831"/>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992C76"/>
    <w:pPr>
      <w:tabs>
        <w:tab w:val="center" w:pos="4513"/>
        <w:tab w:val="right" w:pos="9026"/>
      </w:tabs>
      <w:spacing w:before="0" w:after="0"/>
      <w:jc w:val="right"/>
    </w:pPr>
    <w:rPr>
      <w:b/>
      <w:caps/>
      <w:sz w:val="20"/>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ED2831"/>
    <w:pPr>
      <w:spacing w:before="400" w:after="400" w:line="280" w:lineRule="exact"/>
    </w:pPr>
    <w:rPr>
      <w:b/>
      <w:caps/>
      <w:color w:val="ACD08C" w:themeColor="accent3"/>
      <w:sz w:val="28"/>
    </w:rPr>
  </w:style>
  <w:style w:type="table" w:styleId="TableGrid">
    <w:name w:val="Table Grid"/>
    <w:basedOn w:val="TableNormal"/>
    <w:uiPriority w:val="59"/>
    <w:rsid w:val="00ED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92C76"/>
    <w:rPr>
      <w:b/>
      <w:caps/>
      <w:color w:val="495965" w:themeColor="text2"/>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A4144F"/>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link w:val="CaptionChar"/>
    <w:uiPriority w:val="99"/>
    <w:unhideWhenUsed/>
    <w:qFormat/>
    <w:rsid w:val="00ED2831"/>
    <w:pPr>
      <w:spacing w:before="240" w:after="180" w:line="240" w:lineRule="atLeast"/>
      <w:contextualSpacing/>
    </w:pPr>
    <w:rPr>
      <w:b/>
      <w:iCs/>
      <w:color w:val="000000" w:themeColor="text1"/>
      <w:sz w:val="20"/>
      <w:szCs w:val="18"/>
    </w:rPr>
  </w:style>
  <w:style w:type="paragraph" w:styleId="Footer">
    <w:name w:val="footer"/>
    <w:basedOn w:val="Normal"/>
    <w:link w:val="FooterChar"/>
    <w:uiPriority w:val="99"/>
    <w:unhideWhenUsed/>
    <w:rsid w:val="00CD0E4B"/>
    <w:pPr>
      <w:spacing w:before="0" w:after="0" w:line="240" w:lineRule="exact"/>
      <w:ind w:right="284"/>
      <w:jc w:val="right"/>
    </w:pPr>
    <w:rPr>
      <w:color w:val="FFFFFF" w:themeColor="background1"/>
    </w:rPr>
  </w:style>
  <w:style w:type="character" w:customStyle="1" w:styleId="FooterChar">
    <w:name w:val="Footer Char"/>
    <w:basedOn w:val="DefaultParagraphFont"/>
    <w:link w:val="Footer"/>
    <w:uiPriority w:val="99"/>
    <w:rsid w:val="00CD0E4B"/>
    <w:rPr>
      <w:color w:val="FFFFFF" w:themeColor="background1"/>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rsid w:val="00C5182A"/>
    <w:rPr>
      <w:b/>
      <w:sz w:val="20"/>
    </w:rPr>
  </w:style>
  <w:style w:type="paragraph" w:styleId="FootnoteText">
    <w:name w:val="footnote text"/>
    <w:basedOn w:val="Normal"/>
    <w:link w:val="FootnoteTextChar"/>
    <w:uiPriority w:val="99"/>
    <w:unhideWhenUsed/>
    <w:rsid w:val="008C5A0E"/>
    <w:pPr>
      <w:spacing w:before="60" w:after="0" w:line="140" w:lineRule="atLeast"/>
      <w:ind w:left="170" w:hanging="170"/>
    </w:pPr>
    <w:rPr>
      <w:sz w:val="12"/>
      <w:szCs w:val="20"/>
    </w:rPr>
  </w:style>
  <w:style w:type="character" w:customStyle="1" w:styleId="FootnoteTextChar">
    <w:name w:val="Footnote Text Char"/>
    <w:basedOn w:val="DefaultParagraphFont"/>
    <w:link w:val="FootnoteText"/>
    <w:uiPriority w:val="99"/>
    <w:rsid w:val="008C5A0E"/>
    <w:rPr>
      <w:color w:val="495965" w:themeColor="text2"/>
      <w:sz w:val="12"/>
      <w:szCs w:val="20"/>
    </w:rPr>
  </w:style>
  <w:style w:type="character" w:styleId="FootnoteReference">
    <w:name w:val="footnote reference"/>
    <w:basedOn w:val="DefaultParagraphFont"/>
    <w:uiPriority w:val="99"/>
    <w:semiHidden/>
    <w:unhideWhenUsed/>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F83428"/>
    <w:rPr>
      <w:color w:val="ACD08C" w:themeColor="accent3"/>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F82271"/>
    <w:pPr>
      <w:spacing w:after="200" w:line="140" w:lineRule="atLeast"/>
      <w:jc w:val="right"/>
    </w:pPr>
    <w:rPr>
      <w:sz w:val="12"/>
    </w:rPr>
  </w:style>
  <w:style w:type="table" w:customStyle="1" w:styleId="DFATTable1">
    <w:name w:val="DFAT Table 1"/>
    <w:basedOn w:val="TableNormal"/>
    <w:uiPriority w:val="99"/>
    <w:rsid w:val="00ED2831"/>
    <w:pPr>
      <w:spacing w:before="60" w:after="60" w:line="220" w:lineRule="atLeast"/>
    </w:pPr>
    <w:rPr>
      <w:rFonts w:ascii="Calibri" w:hAnsi="Calibri"/>
      <w:sz w:val="18"/>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jc w:val="left"/>
    </w:pPr>
    <w:rPr>
      <w:color w:val="495965" w:themeColor="text2"/>
      <w:sz w:val="14"/>
    </w:rPr>
  </w:style>
  <w:style w:type="paragraph" w:customStyle="1" w:styleId="Heading1smallspaceafter">
    <w:name w:val="Heading 1 small space after"/>
    <w:basedOn w:val="Heading1"/>
    <w:qFormat/>
    <w:rsid w:val="00ED2831"/>
    <w:pPr>
      <w:pageBreakBefore w:val="0"/>
      <w:spacing w:after="600"/>
    </w:pPr>
  </w:style>
  <w:style w:type="paragraph" w:customStyle="1" w:styleId="TableBullet1">
    <w:name w:val="Table Bullet 1"/>
    <w:basedOn w:val="Bullet1"/>
    <w:qFormat/>
    <w:rsid w:val="00ED2831"/>
    <w:pPr>
      <w:spacing w:before="60" w:line="220" w:lineRule="atLeast"/>
    </w:pPr>
    <w:rPr>
      <w:rFonts w:ascii="Calibri" w:hAnsi="Calibri"/>
      <w:sz w:val="18"/>
    </w:rPr>
  </w:style>
  <w:style w:type="paragraph" w:customStyle="1" w:styleId="TableBullet2">
    <w:name w:val="Table Bullet 2"/>
    <w:basedOn w:val="Bullet2"/>
    <w:qFormat/>
    <w:rsid w:val="00ED2831"/>
    <w:pPr>
      <w:spacing w:before="60" w:line="220" w:lineRule="atLeast"/>
    </w:pPr>
    <w:rPr>
      <w:rFonts w:ascii="Calibri" w:hAnsi="Calibri"/>
      <w:sz w:val="18"/>
    </w:rPr>
  </w:style>
  <w:style w:type="paragraph" w:customStyle="1" w:styleId="TableBullet3">
    <w:name w:val="Table Bullet 3"/>
    <w:basedOn w:val="Bullet3"/>
    <w:qFormat/>
    <w:rsid w:val="00ED2831"/>
    <w:pPr>
      <w:spacing w:before="60" w:line="220" w:lineRule="atLeast"/>
    </w:pPr>
    <w:rPr>
      <w:rFonts w:ascii="Calibri" w:hAnsi="Calibri"/>
      <w:sz w:val="18"/>
    </w:rPr>
  </w:style>
  <w:style w:type="paragraph" w:customStyle="1" w:styleId="TableHeaderRow">
    <w:name w:val="Table Header Row"/>
    <w:basedOn w:val="Normal"/>
    <w:qFormat/>
    <w:rsid w:val="00ED2831"/>
    <w:pPr>
      <w:spacing w:before="60" w:line="220" w:lineRule="atLeast"/>
    </w:pPr>
    <w:rPr>
      <w:rFonts w:ascii="Calibri" w:hAnsi="Calibri"/>
      <w:b/>
      <w:sz w:val="18"/>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ind w:left="851"/>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ED2831"/>
    <w:pPr>
      <w:spacing w:before="60" w:line="220" w:lineRule="atLeast"/>
    </w:pPr>
    <w:rPr>
      <w:rFonts w:ascii="Calibri" w:hAnsi="Calibri"/>
      <w:b/>
      <w:color w:val="FFFFFF" w:themeColor="background1"/>
      <w:sz w:val="18"/>
    </w:rPr>
  </w:style>
  <w:style w:type="paragraph" w:customStyle="1" w:styleId="BoxHeading">
    <w:name w:val="Box Heading"/>
    <w:basedOn w:val="Heading3"/>
    <w:qFormat/>
    <w:rsid w:val="00ED2831"/>
    <w:pPr>
      <w:spacing w:before="60"/>
    </w:pPr>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A80F95"/>
    <w:pPr>
      <w:spacing w:before="60" w:line="220" w:lineRule="atLeast"/>
    </w:pPr>
    <w:rPr>
      <w:rFonts w:ascii="Calibri" w:hAnsi="Calibri"/>
      <w:sz w:val="18"/>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rsid w:val="002B3E9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E95"/>
    <w:rPr>
      <w:rFonts w:ascii="Tahoma" w:hAnsi="Tahoma" w:cs="Tahoma"/>
      <w:color w:val="495965" w:themeColor="text2"/>
      <w:sz w:val="16"/>
      <w:szCs w:val="16"/>
      <w:lang w:val="en-GB"/>
    </w:rPr>
  </w:style>
  <w:style w:type="paragraph" w:styleId="BodyText">
    <w:name w:val="Body Text"/>
    <w:basedOn w:val="Normal"/>
    <w:link w:val="BodyTextChar"/>
    <w:qFormat/>
    <w:rsid w:val="008F56A8"/>
    <w:pPr>
      <w:suppressAutoHyphens w:val="0"/>
      <w:spacing w:before="0" w:after="160" w:line="280" w:lineRule="exact"/>
    </w:pPr>
    <w:rPr>
      <w:rFonts w:ascii="Franklin Gothic Book" w:eastAsia="Times New Roman" w:hAnsi="Franklin Gothic Book" w:cs="Times New Roman"/>
      <w:color w:val="auto"/>
      <w:sz w:val="21"/>
      <w:szCs w:val="24"/>
      <w:lang w:val="en-AU" w:eastAsia="en-AU"/>
    </w:rPr>
  </w:style>
  <w:style w:type="character" w:customStyle="1" w:styleId="BodyTextChar">
    <w:name w:val="Body Text Char"/>
    <w:basedOn w:val="DefaultParagraphFont"/>
    <w:link w:val="BodyText"/>
    <w:rsid w:val="008F56A8"/>
    <w:rPr>
      <w:rFonts w:ascii="Franklin Gothic Book" w:eastAsia="Times New Roman" w:hAnsi="Franklin Gothic Book" w:cs="Times New Roman"/>
      <w:sz w:val="21"/>
      <w:szCs w:val="24"/>
      <w:lang w:eastAsia="en-AU"/>
    </w:rPr>
  </w:style>
  <w:style w:type="paragraph" w:styleId="ListBullet">
    <w:name w:val="List Bullet"/>
    <w:basedOn w:val="BodyText"/>
    <w:qFormat/>
    <w:rsid w:val="008F56A8"/>
    <w:pPr>
      <w:tabs>
        <w:tab w:val="left" w:pos="284"/>
      </w:tabs>
      <w:spacing w:after="120"/>
    </w:pPr>
  </w:style>
  <w:style w:type="character" w:customStyle="1" w:styleId="CaptionChar">
    <w:name w:val="Caption Char"/>
    <w:link w:val="Caption"/>
    <w:uiPriority w:val="99"/>
    <w:locked/>
    <w:rsid w:val="008F56A8"/>
    <w:rPr>
      <w:b/>
      <w:iCs/>
      <w:color w:val="000000" w:themeColor="text1"/>
      <w:sz w:val="20"/>
      <w:szCs w:val="18"/>
      <w:lang w:val="en-GB"/>
    </w:rPr>
  </w:style>
  <w:style w:type="paragraph" w:customStyle="1" w:styleId="Note">
    <w:name w:val="Note"/>
    <w:basedOn w:val="TableTextEntries"/>
    <w:next w:val="BodyText"/>
    <w:link w:val="NoteCharChar"/>
    <w:autoRedefine/>
    <w:rsid w:val="005B5769"/>
    <w:pPr>
      <w:keepNext/>
      <w:spacing w:before="20" w:after="20" w:line="180" w:lineRule="atLeast"/>
      <w:jc w:val="both"/>
    </w:pPr>
    <w:rPr>
      <w:iCs w:val="0"/>
      <w:sz w:val="14"/>
      <w:szCs w:val="14"/>
      <w:lang w:eastAsia="en-AU"/>
    </w:rPr>
  </w:style>
  <w:style w:type="paragraph" w:customStyle="1" w:styleId="TableTextEntries">
    <w:name w:val="Table Text Entries"/>
    <w:rsid w:val="005B5769"/>
    <w:pPr>
      <w:keepLines/>
      <w:spacing w:before="40" w:after="40" w:line="200" w:lineRule="atLeast"/>
    </w:pPr>
    <w:rPr>
      <w:rFonts w:ascii="Franklin Gothic Book" w:eastAsia="Times New Roman" w:hAnsi="Franklin Gothic Book" w:cs="Times New Roman"/>
      <w:iCs/>
      <w:sz w:val="17"/>
      <w:szCs w:val="17"/>
    </w:rPr>
  </w:style>
  <w:style w:type="character" w:customStyle="1" w:styleId="NoteCharChar">
    <w:name w:val="Note Char Char"/>
    <w:link w:val="Note"/>
    <w:rsid w:val="005B5769"/>
    <w:rPr>
      <w:rFonts w:ascii="Franklin Gothic Book" w:eastAsia="Times New Roman" w:hAnsi="Franklin Gothic Book" w:cs="Times New Roman"/>
      <w:sz w:val="14"/>
      <w:szCs w:val="14"/>
      <w:lang w:eastAsia="en-AU"/>
    </w:rPr>
  </w:style>
  <w:style w:type="paragraph" w:customStyle="1" w:styleId="TableTextColumnHeading">
    <w:name w:val="Table Text Column Heading"/>
    <w:basedOn w:val="Normal"/>
    <w:autoRedefine/>
    <w:rsid w:val="005B5769"/>
    <w:pPr>
      <w:keepLines/>
      <w:suppressAutoHyphens w:val="0"/>
      <w:spacing w:before="80" w:after="80" w:line="200" w:lineRule="atLeast"/>
    </w:pPr>
    <w:rPr>
      <w:rFonts w:ascii="Franklin Gothic Medium" w:eastAsia="Times New Roman" w:hAnsi="Franklin Gothic Medium" w:cs="Times New Roman"/>
      <w:b/>
      <w:iCs/>
      <w:color w:val="auto"/>
      <w:sz w:val="17"/>
      <w:szCs w:val="17"/>
      <w:lang w:val="en-AU"/>
    </w:rPr>
  </w:style>
  <w:style w:type="table" w:customStyle="1" w:styleId="DFATTable">
    <w:name w:val="DFAT Table"/>
    <w:basedOn w:val="TableNormal"/>
    <w:uiPriority w:val="99"/>
    <w:rsid w:val="005B5769"/>
    <w:pPr>
      <w:spacing w:after="0" w:line="240" w:lineRule="auto"/>
    </w:pPr>
    <w:rPr>
      <w:rFonts w:ascii="Helvetica" w:hAnsi="Helvetica"/>
      <w:sz w:val="17"/>
      <w:lang w:eastAsia="en-AU"/>
    </w:rPr>
    <w:tblPr>
      <w:tblBorders>
        <w:top w:val="single" w:sz="12" w:space="0" w:color="auto"/>
        <w:bottom w:val="single" w:sz="12" w:space="0" w:color="auto"/>
      </w:tblBorders>
    </w:tblPr>
  </w:style>
  <w:style w:type="paragraph" w:customStyle="1" w:styleId="BoxListBullet">
    <w:name w:val="Box List Bullet"/>
    <w:basedOn w:val="Normal"/>
    <w:rsid w:val="005B5769"/>
    <w:pPr>
      <w:keepLines/>
      <w:numPr>
        <w:numId w:val="9"/>
      </w:numPr>
      <w:pBdr>
        <w:top w:val="single" w:sz="4" w:space="10" w:color="auto"/>
        <w:left w:val="single" w:sz="4" w:space="10" w:color="auto"/>
        <w:bottom w:val="single" w:sz="4" w:space="10" w:color="auto"/>
        <w:right w:val="single" w:sz="4" w:space="10" w:color="auto"/>
      </w:pBdr>
      <w:shd w:val="clear" w:color="auto" w:fill="C7D5E6"/>
      <w:suppressAutoHyphens w:val="0"/>
      <w:spacing w:before="0" w:after="120" w:line="240" w:lineRule="auto"/>
      <w:ind w:left="284" w:hanging="284"/>
      <w:contextualSpacing/>
      <w:mirrorIndents/>
    </w:pPr>
    <w:rPr>
      <w:rFonts w:ascii="Franklin Gothic Book" w:eastAsia="Times New Roman" w:hAnsi="Franklin Gothic Book" w:cs="Times New Roman"/>
      <w:iCs/>
      <w:color w:val="auto"/>
      <w:sz w:val="20"/>
      <w:szCs w:val="20"/>
      <w:lang w:val="en-AU" w:eastAsia="en-AU"/>
    </w:rPr>
  </w:style>
  <w:style w:type="paragraph" w:customStyle="1" w:styleId="TableHeading1">
    <w:name w:val="Table Heading 1"/>
    <w:basedOn w:val="TableTextEntries"/>
    <w:next w:val="TableTextEntries"/>
    <w:rsid w:val="005B5769"/>
    <w:pPr>
      <w:spacing w:before="80" w:after="80"/>
    </w:pPr>
    <w:rPr>
      <w:b/>
    </w:rPr>
  </w:style>
  <w:style w:type="table" w:customStyle="1" w:styleId="APPR">
    <w:name w:val="APPR"/>
    <w:basedOn w:val="TableNormal"/>
    <w:uiPriority w:val="99"/>
    <w:rsid w:val="005B5769"/>
    <w:pPr>
      <w:spacing w:after="0" w:line="240" w:lineRule="auto"/>
    </w:pPr>
    <w:rPr>
      <w:rFonts w:ascii="Franklin Gothic Book" w:hAnsi="Franklin Gothic Book"/>
      <w:sz w:val="17"/>
      <w:lang w:eastAsia="en-AU"/>
    </w:rPr>
    <w:tblPr>
      <w:tblStyleRowBandSize w:val="1"/>
      <w:tblCellSpacing w:w="14" w:type="dxa"/>
      <w:tblBorders>
        <w:top w:val="single" w:sz="12" w:space="0" w:color="000000" w:themeColor="text1"/>
        <w:bottom w:val="single" w:sz="12" w:space="0" w:color="000000" w:themeColor="text1"/>
      </w:tblBorders>
    </w:tblPr>
    <w:trPr>
      <w:tblHeader/>
      <w:tblCellSpacing w:w="14" w:type="dxa"/>
    </w:trPr>
    <w:tblStylePr w:type="firstRow">
      <w:pPr>
        <w:wordWrap/>
      </w:pPr>
      <w:rPr>
        <w:rFonts w:ascii="Franklin Gothic Medium" w:hAnsi="Franklin Gothic Medium"/>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paragraph" w:customStyle="1" w:styleId="TableListNumber2">
    <w:name w:val="Table List Number 2"/>
    <w:basedOn w:val="Normal"/>
    <w:rsid w:val="005B5769"/>
    <w:pPr>
      <w:keepLines/>
      <w:numPr>
        <w:numId w:val="10"/>
      </w:numPr>
      <w:suppressAutoHyphens w:val="0"/>
      <w:spacing w:before="40" w:after="40" w:line="200" w:lineRule="atLeast"/>
      <w:ind w:left="568" w:hanging="284"/>
    </w:pPr>
    <w:rPr>
      <w:rFonts w:ascii="Helvetica" w:eastAsia="Times New Roman" w:hAnsi="Helvetica" w:cs="Times New Roman"/>
      <w:iCs/>
      <w:color w:val="auto"/>
      <w:sz w:val="17"/>
      <w:szCs w:val="17"/>
      <w:lang w:val="en-AU"/>
    </w:rPr>
  </w:style>
  <w:style w:type="paragraph" w:styleId="ListParagraph">
    <w:name w:val="List Paragraph"/>
    <w:aliases w:val="List Paragraph (numbered (a)),Normal 2,Main numbered paragraph"/>
    <w:basedOn w:val="Normal"/>
    <w:link w:val="ListParagraphChar"/>
    <w:uiPriority w:val="34"/>
    <w:qFormat/>
    <w:rsid w:val="00E36F91"/>
    <w:pPr>
      <w:suppressAutoHyphens w:val="0"/>
      <w:spacing w:before="0" w:after="0" w:line="240" w:lineRule="auto"/>
      <w:ind w:left="720"/>
      <w:contextualSpacing/>
    </w:pPr>
    <w:rPr>
      <w:rFonts w:ascii="Times New Roman" w:eastAsia="Times New Roman" w:hAnsi="Times New Roman" w:cs="Times New Roman"/>
      <w:color w:val="auto"/>
      <w:sz w:val="24"/>
      <w:szCs w:val="24"/>
      <w:lang w:val="en-AU"/>
    </w:rPr>
  </w:style>
  <w:style w:type="character" w:customStyle="1" w:styleId="ListParagraphChar">
    <w:name w:val="List Paragraph Char"/>
    <w:aliases w:val="List Paragraph (numbered (a)) Char,Normal 2 Char,Main numbered paragraph Char"/>
    <w:basedOn w:val="DefaultParagraphFont"/>
    <w:link w:val="ListParagraph"/>
    <w:uiPriority w:val="34"/>
    <w:locked/>
    <w:rsid w:val="00E36F9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C7418"/>
    <w:rPr>
      <w:color w:val="800080" w:themeColor="followedHyperlink"/>
      <w:u w:val="single"/>
    </w:rPr>
  </w:style>
  <w:style w:type="table" w:customStyle="1" w:styleId="TableGrid1">
    <w:name w:val="Table Grid1"/>
    <w:basedOn w:val="TableNormal"/>
    <w:next w:val="TableGrid"/>
    <w:uiPriority w:val="39"/>
    <w:rsid w:val="0096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75C2"/>
    <w:rPr>
      <w:sz w:val="16"/>
      <w:szCs w:val="16"/>
    </w:rPr>
  </w:style>
  <w:style w:type="paragraph" w:styleId="CommentText">
    <w:name w:val="annotation text"/>
    <w:basedOn w:val="Normal"/>
    <w:link w:val="CommentTextChar"/>
    <w:uiPriority w:val="99"/>
    <w:semiHidden/>
    <w:unhideWhenUsed/>
    <w:rsid w:val="00FE75C2"/>
    <w:pPr>
      <w:spacing w:line="240" w:lineRule="auto"/>
    </w:pPr>
    <w:rPr>
      <w:sz w:val="20"/>
      <w:szCs w:val="20"/>
    </w:rPr>
  </w:style>
  <w:style w:type="character" w:customStyle="1" w:styleId="CommentTextChar">
    <w:name w:val="Comment Text Char"/>
    <w:basedOn w:val="DefaultParagraphFont"/>
    <w:link w:val="CommentText"/>
    <w:uiPriority w:val="99"/>
    <w:semiHidden/>
    <w:rsid w:val="00FE75C2"/>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FE75C2"/>
    <w:rPr>
      <w:b/>
      <w:bCs/>
    </w:rPr>
  </w:style>
  <w:style w:type="character" w:customStyle="1" w:styleId="CommentSubjectChar">
    <w:name w:val="Comment Subject Char"/>
    <w:basedOn w:val="CommentTextChar"/>
    <w:link w:val="CommentSubject"/>
    <w:uiPriority w:val="99"/>
    <w:semiHidden/>
    <w:rsid w:val="00FE75C2"/>
    <w:rPr>
      <w:b/>
      <w:bCs/>
      <w:color w:val="495965" w:themeColor="text2"/>
      <w:sz w:val="20"/>
      <w:szCs w:val="20"/>
      <w:lang w:val="en-GB"/>
    </w:rPr>
  </w:style>
  <w:style w:type="paragraph" w:styleId="NormalWeb">
    <w:name w:val="Normal (Web)"/>
    <w:basedOn w:val="Normal"/>
    <w:uiPriority w:val="99"/>
    <w:unhideWhenUsed/>
    <w:rsid w:val="000C592C"/>
    <w:pPr>
      <w:suppressAutoHyphens w:val="0"/>
      <w:spacing w:before="100" w:beforeAutospacing="1" w:after="100" w:afterAutospacing="1" w:line="240" w:lineRule="auto"/>
    </w:pPr>
    <w:rPr>
      <w:rFonts w:ascii="Times New Roman" w:eastAsia="Calibri" w:hAnsi="Times New Roman" w:cs="Times New Roman"/>
      <w:color w:val="auto"/>
      <w:sz w:val="24"/>
      <w:szCs w:val="24"/>
      <w:lang w:val="en-AU" w:eastAsia="en-AU"/>
    </w:rPr>
  </w:style>
  <w:style w:type="character" w:customStyle="1" w:styleId="st1">
    <w:name w:val="st1"/>
    <w:basedOn w:val="DefaultParagraphFont"/>
    <w:rsid w:val="00990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73">
      <w:bodyDiv w:val="1"/>
      <w:marLeft w:val="0"/>
      <w:marRight w:val="0"/>
      <w:marTop w:val="0"/>
      <w:marBottom w:val="0"/>
      <w:divBdr>
        <w:top w:val="none" w:sz="0" w:space="0" w:color="auto"/>
        <w:left w:val="none" w:sz="0" w:space="0" w:color="auto"/>
        <w:bottom w:val="none" w:sz="0" w:space="0" w:color="auto"/>
        <w:right w:val="none" w:sz="0" w:space="0" w:color="auto"/>
      </w:divBdr>
    </w:div>
    <w:div w:id="8600784">
      <w:bodyDiv w:val="1"/>
      <w:marLeft w:val="0"/>
      <w:marRight w:val="0"/>
      <w:marTop w:val="0"/>
      <w:marBottom w:val="0"/>
      <w:divBdr>
        <w:top w:val="none" w:sz="0" w:space="0" w:color="auto"/>
        <w:left w:val="none" w:sz="0" w:space="0" w:color="auto"/>
        <w:bottom w:val="none" w:sz="0" w:space="0" w:color="auto"/>
        <w:right w:val="none" w:sz="0" w:space="0" w:color="auto"/>
      </w:divBdr>
    </w:div>
    <w:div w:id="87042880">
      <w:bodyDiv w:val="1"/>
      <w:marLeft w:val="0"/>
      <w:marRight w:val="0"/>
      <w:marTop w:val="0"/>
      <w:marBottom w:val="0"/>
      <w:divBdr>
        <w:top w:val="none" w:sz="0" w:space="0" w:color="auto"/>
        <w:left w:val="none" w:sz="0" w:space="0" w:color="auto"/>
        <w:bottom w:val="none" w:sz="0" w:space="0" w:color="auto"/>
        <w:right w:val="none" w:sz="0" w:space="0" w:color="auto"/>
      </w:divBdr>
      <w:divsChild>
        <w:div w:id="1063790935">
          <w:marLeft w:val="0"/>
          <w:marRight w:val="0"/>
          <w:marTop w:val="0"/>
          <w:marBottom w:val="0"/>
          <w:divBdr>
            <w:top w:val="none" w:sz="0" w:space="0" w:color="auto"/>
            <w:left w:val="none" w:sz="0" w:space="0" w:color="auto"/>
            <w:bottom w:val="none" w:sz="0" w:space="0" w:color="auto"/>
            <w:right w:val="none" w:sz="0" w:space="0" w:color="auto"/>
          </w:divBdr>
          <w:divsChild>
            <w:div w:id="1208490177">
              <w:marLeft w:val="0"/>
              <w:marRight w:val="0"/>
              <w:marTop w:val="0"/>
              <w:marBottom w:val="0"/>
              <w:divBdr>
                <w:top w:val="none" w:sz="0" w:space="0" w:color="auto"/>
                <w:left w:val="none" w:sz="0" w:space="0" w:color="auto"/>
                <w:bottom w:val="none" w:sz="0" w:space="0" w:color="auto"/>
                <w:right w:val="none" w:sz="0" w:space="0" w:color="auto"/>
              </w:divBdr>
              <w:divsChild>
                <w:div w:id="708720622">
                  <w:marLeft w:val="0"/>
                  <w:marRight w:val="0"/>
                  <w:marTop w:val="0"/>
                  <w:marBottom w:val="0"/>
                  <w:divBdr>
                    <w:top w:val="none" w:sz="0" w:space="0" w:color="auto"/>
                    <w:left w:val="none" w:sz="0" w:space="0" w:color="auto"/>
                    <w:bottom w:val="none" w:sz="0" w:space="0" w:color="auto"/>
                    <w:right w:val="none" w:sz="0" w:space="0" w:color="auto"/>
                  </w:divBdr>
                  <w:divsChild>
                    <w:div w:id="88186919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2163497">
      <w:bodyDiv w:val="1"/>
      <w:marLeft w:val="0"/>
      <w:marRight w:val="0"/>
      <w:marTop w:val="0"/>
      <w:marBottom w:val="0"/>
      <w:divBdr>
        <w:top w:val="none" w:sz="0" w:space="0" w:color="auto"/>
        <w:left w:val="none" w:sz="0" w:space="0" w:color="auto"/>
        <w:bottom w:val="none" w:sz="0" w:space="0" w:color="auto"/>
        <w:right w:val="none" w:sz="0" w:space="0" w:color="auto"/>
      </w:divBdr>
    </w:div>
    <w:div w:id="141315261">
      <w:bodyDiv w:val="1"/>
      <w:marLeft w:val="0"/>
      <w:marRight w:val="0"/>
      <w:marTop w:val="0"/>
      <w:marBottom w:val="0"/>
      <w:divBdr>
        <w:top w:val="none" w:sz="0" w:space="0" w:color="auto"/>
        <w:left w:val="none" w:sz="0" w:space="0" w:color="auto"/>
        <w:bottom w:val="none" w:sz="0" w:space="0" w:color="auto"/>
        <w:right w:val="none" w:sz="0" w:space="0" w:color="auto"/>
      </w:divBdr>
    </w:div>
    <w:div w:id="152338129">
      <w:bodyDiv w:val="1"/>
      <w:marLeft w:val="0"/>
      <w:marRight w:val="0"/>
      <w:marTop w:val="0"/>
      <w:marBottom w:val="0"/>
      <w:divBdr>
        <w:top w:val="none" w:sz="0" w:space="0" w:color="auto"/>
        <w:left w:val="none" w:sz="0" w:space="0" w:color="auto"/>
        <w:bottom w:val="none" w:sz="0" w:space="0" w:color="auto"/>
        <w:right w:val="none" w:sz="0" w:space="0" w:color="auto"/>
      </w:divBdr>
    </w:div>
    <w:div w:id="264920150">
      <w:bodyDiv w:val="1"/>
      <w:marLeft w:val="0"/>
      <w:marRight w:val="0"/>
      <w:marTop w:val="0"/>
      <w:marBottom w:val="0"/>
      <w:divBdr>
        <w:top w:val="none" w:sz="0" w:space="0" w:color="auto"/>
        <w:left w:val="none" w:sz="0" w:space="0" w:color="auto"/>
        <w:bottom w:val="none" w:sz="0" w:space="0" w:color="auto"/>
        <w:right w:val="none" w:sz="0" w:space="0" w:color="auto"/>
      </w:divBdr>
    </w:div>
    <w:div w:id="345643485">
      <w:bodyDiv w:val="1"/>
      <w:marLeft w:val="0"/>
      <w:marRight w:val="0"/>
      <w:marTop w:val="0"/>
      <w:marBottom w:val="0"/>
      <w:divBdr>
        <w:top w:val="none" w:sz="0" w:space="0" w:color="auto"/>
        <w:left w:val="none" w:sz="0" w:space="0" w:color="auto"/>
        <w:bottom w:val="none" w:sz="0" w:space="0" w:color="auto"/>
        <w:right w:val="none" w:sz="0" w:space="0" w:color="auto"/>
      </w:divBdr>
    </w:div>
    <w:div w:id="530454861">
      <w:bodyDiv w:val="1"/>
      <w:marLeft w:val="0"/>
      <w:marRight w:val="0"/>
      <w:marTop w:val="0"/>
      <w:marBottom w:val="0"/>
      <w:divBdr>
        <w:top w:val="none" w:sz="0" w:space="0" w:color="auto"/>
        <w:left w:val="none" w:sz="0" w:space="0" w:color="auto"/>
        <w:bottom w:val="none" w:sz="0" w:space="0" w:color="auto"/>
        <w:right w:val="none" w:sz="0" w:space="0" w:color="auto"/>
      </w:divBdr>
    </w:div>
    <w:div w:id="625507370">
      <w:bodyDiv w:val="1"/>
      <w:marLeft w:val="0"/>
      <w:marRight w:val="0"/>
      <w:marTop w:val="0"/>
      <w:marBottom w:val="0"/>
      <w:divBdr>
        <w:top w:val="none" w:sz="0" w:space="0" w:color="auto"/>
        <w:left w:val="none" w:sz="0" w:space="0" w:color="auto"/>
        <w:bottom w:val="none" w:sz="0" w:space="0" w:color="auto"/>
        <w:right w:val="none" w:sz="0" w:space="0" w:color="auto"/>
      </w:divBdr>
    </w:div>
    <w:div w:id="849369114">
      <w:bodyDiv w:val="1"/>
      <w:marLeft w:val="0"/>
      <w:marRight w:val="0"/>
      <w:marTop w:val="0"/>
      <w:marBottom w:val="0"/>
      <w:divBdr>
        <w:top w:val="none" w:sz="0" w:space="0" w:color="auto"/>
        <w:left w:val="none" w:sz="0" w:space="0" w:color="auto"/>
        <w:bottom w:val="none" w:sz="0" w:space="0" w:color="auto"/>
        <w:right w:val="none" w:sz="0" w:space="0" w:color="auto"/>
      </w:divBdr>
    </w:div>
    <w:div w:id="901333214">
      <w:bodyDiv w:val="1"/>
      <w:marLeft w:val="0"/>
      <w:marRight w:val="0"/>
      <w:marTop w:val="0"/>
      <w:marBottom w:val="0"/>
      <w:divBdr>
        <w:top w:val="none" w:sz="0" w:space="0" w:color="auto"/>
        <w:left w:val="none" w:sz="0" w:space="0" w:color="auto"/>
        <w:bottom w:val="none" w:sz="0" w:space="0" w:color="auto"/>
        <w:right w:val="none" w:sz="0" w:space="0" w:color="auto"/>
      </w:divBdr>
    </w:div>
    <w:div w:id="925307102">
      <w:bodyDiv w:val="1"/>
      <w:marLeft w:val="0"/>
      <w:marRight w:val="0"/>
      <w:marTop w:val="0"/>
      <w:marBottom w:val="0"/>
      <w:divBdr>
        <w:top w:val="none" w:sz="0" w:space="0" w:color="auto"/>
        <w:left w:val="none" w:sz="0" w:space="0" w:color="auto"/>
        <w:bottom w:val="none" w:sz="0" w:space="0" w:color="auto"/>
        <w:right w:val="none" w:sz="0" w:space="0" w:color="auto"/>
      </w:divBdr>
    </w:div>
    <w:div w:id="927690190">
      <w:bodyDiv w:val="1"/>
      <w:marLeft w:val="0"/>
      <w:marRight w:val="0"/>
      <w:marTop w:val="0"/>
      <w:marBottom w:val="0"/>
      <w:divBdr>
        <w:top w:val="none" w:sz="0" w:space="0" w:color="auto"/>
        <w:left w:val="none" w:sz="0" w:space="0" w:color="auto"/>
        <w:bottom w:val="none" w:sz="0" w:space="0" w:color="auto"/>
        <w:right w:val="none" w:sz="0" w:space="0" w:color="auto"/>
      </w:divBdr>
    </w:div>
    <w:div w:id="1029796057">
      <w:bodyDiv w:val="1"/>
      <w:marLeft w:val="0"/>
      <w:marRight w:val="0"/>
      <w:marTop w:val="0"/>
      <w:marBottom w:val="0"/>
      <w:divBdr>
        <w:top w:val="none" w:sz="0" w:space="0" w:color="auto"/>
        <w:left w:val="none" w:sz="0" w:space="0" w:color="auto"/>
        <w:bottom w:val="none" w:sz="0" w:space="0" w:color="auto"/>
        <w:right w:val="none" w:sz="0" w:space="0" w:color="auto"/>
      </w:divBdr>
    </w:div>
    <w:div w:id="1038821240">
      <w:bodyDiv w:val="1"/>
      <w:marLeft w:val="0"/>
      <w:marRight w:val="0"/>
      <w:marTop w:val="0"/>
      <w:marBottom w:val="0"/>
      <w:divBdr>
        <w:top w:val="none" w:sz="0" w:space="0" w:color="auto"/>
        <w:left w:val="none" w:sz="0" w:space="0" w:color="auto"/>
        <w:bottom w:val="none" w:sz="0" w:space="0" w:color="auto"/>
        <w:right w:val="none" w:sz="0" w:space="0" w:color="auto"/>
      </w:divBdr>
    </w:div>
    <w:div w:id="1043486644">
      <w:bodyDiv w:val="1"/>
      <w:marLeft w:val="0"/>
      <w:marRight w:val="0"/>
      <w:marTop w:val="0"/>
      <w:marBottom w:val="0"/>
      <w:divBdr>
        <w:top w:val="none" w:sz="0" w:space="0" w:color="auto"/>
        <w:left w:val="none" w:sz="0" w:space="0" w:color="auto"/>
        <w:bottom w:val="none" w:sz="0" w:space="0" w:color="auto"/>
        <w:right w:val="none" w:sz="0" w:space="0" w:color="auto"/>
      </w:divBdr>
    </w:div>
    <w:div w:id="1045060654">
      <w:bodyDiv w:val="1"/>
      <w:marLeft w:val="0"/>
      <w:marRight w:val="0"/>
      <w:marTop w:val="0"/>
      <w:marBottom w:val="0"/>
      <w:divBdr>
        <w:top w:val="none" w:sz="0" w:space="0" w:color="auto"/>
        <w:left w:val="none" w:sz="0" w:space="0" w:color="auto"/>
        <w:bottom w:val="none" w:sz="0" w:space="0" w:color="auto"/>
        <w:right w:val="none" w:sz="0" w:space="0" w:color="auto"/>
      </w:divBdr>
    </w:div>
    <w:div w:id="1081831486">
      <w:bodyDiv w:val="1"/>
      <w:marLeft w:val="0"/>
      <w:marRight w:val="0"/>
      <w:marTop w:val="0"/>
      <w:marBottom w:val="0"/>
      <w:divBdr>
        <w:top w:val="none" w:sz="0" w:space="0" w:color="auto"/>
        <w:left w:val="none" w:sz="0" w:space="0" w:color="auto"/>
        <w:bottom w:val="none" w:sz="0" w:space="0" w:color="auto"/>
        <w:right w:val="none" w:sz="0" w:space="0" w:color="auto"/>
      </w:divBdr>
    </w:div>
    <w:div w:id="1214389582">
      <w:bodyDiv w:val="1"/>
      <w:marLeft w:val="0"/>
      <w:marRight w:val="0"/>
      <w:marTop w:val="0"/>
      <w:marBottom w:val="0"/>
      <w:divBdr>
        <w:top w:val="none" w:sz="0" w:space="0" w:color="auto"/>
        <w:left w:val="none" w:sz="0" w:space="0" w:color="auto"/>
        <w:bottom w:val="none" w:sz="0" w:space="0" w:color="auto"/>
        <w:right w:val="none" w:sz="0" w:space="0" w:color="auto"/>
      </w:divBdr>
    </w:div>
    <w:div w:id="1357150065">
      <w:bodyDiv w:val="1"/>
      <w:marLeft w:val="0"/>
      <w:marRight w:val="0"/>
      <w:marTop w:val="0"/>
      <w:marBottom w:val="0"/>
      <w:divBdr>
        <w:top w:val="none" w:sz="0" w:space="0" w:color="auto"/>
        <w:left w:val="none" w:sz="0" w:space="0" w:color="auto"/>
        <w:bottom w:val="none" w:sz="0" w:space="0" w:color="auto"/>
        <w:right w:val="none" w:sz="0" w:space="0" w:color="auto"/>
      </w:divBdr>
    </w:div>
    <w:div w:id="1365015374">
      <w:bodyDiv w:val="1"/>
      <w:marLeft w:val="0"/>
      <w:marRight w:val="0"/>
      <w:marTop w:val="0"/>
      <w:marBottom w:val="0"/>
      <w:divBdr>
        <w:top w:val="none" w:sz="0" w:space="0" w:color="auto"/>
        <w:left w:val="none" w:sz="0" w:space="0" w:color="auto"/>
        <w:bottom w:val="none" w:sz="0" w:space="0" w:color="auto"/>
        <w:right w:val="none" w:sz="0" w:space="0" w:color="auto"/>
      </w:divBdr>
    </w:div>
    <w:div w:id="1473399297">
      <w:bodyDiv w:val="1"/>
      <w:marLeft w:val="0"/>
      <w:marRight w:val="0"/>
      <w:marTop w:val="0"/>
      <w:marBottom w:val="0"/>
      <w:divBdr>
        <w:top w:val="none" w:sz="0" w:space="0" w:color="auto"/>
        <w:left w:val="none" w:sz="0" w:space="0" w:color="auto"/>
        <w:bottom w:val="none" w:sz="0" w:space="0" w:color="auto"/>
        <w:right w:val="none" w:sz="0" w:space="0" w:color="auto"/>
      </w:divBdr>
    </w:div>
    <w:div w:id="1486431771">
      <w:bodyDiv w:val="1"/>
      <w:marLeft w:val="0"/>
      <w:marRight w:val="0"/>
      <w:marTop w:val="0"/>
      <w:marBottom w:val="0"/>
      <w:divBdr>
        <w:top w:val="none" w:sz="0" w:space="0" w:color="auto"/>
        <w:left w:val="none" w:sz="0" w:space="0" w:color="auto"/>
        <w:bottom w:val="none" w:sz="0" w:space="0" w:color="auto"/>
        <w:right w:val="none" w:sz="0" w:space="0" w:color="auto"/>
      </w:divBdr>
    </w:div>
    <w:div w:id="1523592056">
      <w:bodyDiv w:val="1"/>
      <w:marLeft w:val="0"/>
      <w:marRight w:val="0"/>
      <w:marTop w:val="0"/>
      <w:marBottom w:val="0"/>
      <w:divBdr>
        <w:top w:val="none" w:sz="0" w:space="0" w:color="auto"/>
        <w:left w:val="none" w:sz="0" w:space="0" w:color="auto"/>
        <w:bottom w:val="none" w:sz="0" w:space="0" w:color="auto"/>
        <w:right w:val="none" w:sz="0" w:space="0" w:color="auto"/>
      </w:divBdr>
    </w:div>
    <w:div w:id="1574512751">
      <w:bodyDiv w:val="1"/>
      <w:marLeft w:val="0"/>
      <w:marRight w:val="0"/>
      <w:marTop w:val="0"/>
      <w:marBottom w:val="0"/>
      <w:divBdr>
        <w:top w:val="none" w:sz="0" w:space="0" w:color="auto"/>
        <w:left w:val="none" w:sz="0" w:space="0" w:color="auto"/>
        <w:bottom w:val="none" w:sz="0" w:space="0" w:color="auto"/>
        <w:right w:val="none" w:sz="0" w:space="0" w:color="auto"/>
      </w:divBdr>
    </w:div>
    <w:div w:id="1652826167">
      <w:bodyDiv w:val="1"/>
      <w:marLeft w:val="0"/>
      <w:marRight w:val="0"/>
      <w:marTop w:val="0"/>
      <w:marBottom w:val="0"/>
      <w:divBdr>
        <w:top w:val="none" w:sz="0" w:space="0" w:color="auto"/>
        <w:left w:val="none" w:sz="0" w:space="0" w:color="auto"/>
        <w:bottom w:val="none" w:sz="0" w:space="0" w:color="auto"/>
        <w:right w:val="none" w:sz="0" w:space="0" w:color="auto"/>
      </w:divBdr>
    </w:div>
    <w:div w:id="1695882490">
      <w:bodyDiv w:val="1"/>
      <w:marLeft w:val="0"/>
      <w:marRight w:val="0"/>
      <w:marTop w:val="0"/>
      <w:marBottom w:val="0"/>
      <w:divBdr>
        <w:top w:val="none" w:sz="0" w:space="0" w:color="auto"/>
        <w:left w:val="none" w:sz="0" w:space="0" w:color="auto"/>
        <w:bottom w:val="none" w:sz="0" w:space="0" w:color="auto"/>
        <w:right w:val="none" w:sz="0" w:space="0" w:color="auto"/>
      </w:divBdr>
    </w:div>
    <w:div w:id="1728067961">
      <w:bodyDiv w:val="1"/>
      <w:marLeft w:val="0"/>
      <w:marRight w:val="0"/>
      <w:marTop w:val="0"/>
      <w:marBottom w:val="0"/>
      <w:divBdr>
        <w:top w:val="none" w:sz="0" w:space="0" w:color="auto"/>
        <w:left w:val="none" w:sz="0" w:space="0" w:color="auto"/>
        <w:bottom w:val="none" w:sz="0" w:space="0" w:color="auto"/>
        <w:right w:val="none" w:sz="0" w:space="0" w:color="auto"/>
      </w:divBdr>
    </w:div>
    <w:div w:id="1760367127">
      <w:bodyDiv w:val="1"/>
      <w:marLeft w:val="0"/>
      <w:marRight w:val="0"/>
      <w:marTop w:val="0"/>
      <w:marBottom w:val="0"/>
      <w:divBdr>
        <w:top w:val="none" w:sz="0" w:space="0" w:color="auto"/>
        <w:left w:val="none" w:sz="0" w:space="0" w:color="auto"/>
        <w:bottom w:val="none" w:sz="0" w:space="0" w:color="auto"/>
        <w:right w:val="none" w:sz="0" w:space="0" w:color="auto"/>
      </w:divBdr>
    </w:div>
    <w:div w:id="1763989307">
      <w:bodyDiv w:val="1"/>
      <w:marLeft w:val="0"/>
      <w:marRight w:val="0"/>
      <w:marTop w:val="0"/>
      <w:marBottom w:val="0"/>
      <w:divBdr>
        <w:top w:val="none" w:sz="0" w:space="0" w:color="auto"/>
        <w:left w:val="none" w:sz="0" w:space="0" w:color="auto"/>
        <w:bottom w:val="none" w:sz="0" w:space="0" w:color="auto"/>
        <w:right w:val="none" w:sz="0" w:space="0" w:color="auto"/>
      </w:divBdr>
    </w:div>
    <w:div w:id="1781490801">
      <w:bodyDiv w:val="1"/>
      <w:marLeft w:val="0"/>
      <w:marRight w:val="0"/>
      <w:marTop w:val="0"/>
      <w:marBottom w:val="0"/>
      <w:divBdr>
        <w:top w:val="none" w:sz="0" w:space="0" w:color="auto"/>
        <w:left w:val="none" w:sz="0" w:space="0" w:color="auto"/>
        <w:bottom w:val="none" w:sz="0" w:space="0" w:color="auto"/>
        <w:right w:val="none" w:sz="0" w:space="0" w:color="auto"/>
      </w:divBdr>
    </w:div>
    <w:div w:id="1825853943">
      <w:bodyDiv w:val="1"/>
      <w:marLeft w:val="0"/>
      <w:marRight w:val="0"/>
      <w:marTop w:val="0"/>
      <w:marBottom w:val="0"/>
      <w:divBdr>
        <w:top w:val="none" w:sz="0" w:space="0" w:color="auto"/>
        <w:left w:val="none" w:sz="0" w:space="0" w:color="auto"/>
        <w:bottom w:val="none" w:sz="0" w:space="0" w:color="auto"/>
        <w:right w:val="none" w:sz="0" w:space="0" w:color="auto"/>
      </w:divBdr>
    </w:div>
    <w:div w:id="1826243340">
      <w:bodyDiv w:val="1"/>
      <w:marLeft w:val="0"/>
      <w:marRight w:val="0"/>
      <w:marTop w:val="0"/>
      <w:marBottom w:val="0"/>
      <w:divBdr>
        <w:top w:val="none" w:sz="0" w:space="0" w:color="auto"/>
        <w:left w:val="none" w:sz="0" w:space="0" w:color="auto"/>
        <w:bottom w:val="none" w:sz="0" w:space="0" w:color="auto"/>
        <w:right w:val="none" w:sz="0" w:space="0" w:color="auto"/>
      </w:divBdr>
    </w:div>
    <w:div w:id="1827085413">
      <w:bodyDiv w:val="1"/>
      <w:marLeft w:val="0"/>
      <w:marRight w:val="0"/>
      <w:marTop w:val="0"/>
      <w:marBottom w:val="0"/>
      <w:divBdr>
        <w:top w:val="none" w:sz="0" w:space="0" w:color="auto"/>
        <w:left w:val="none" w:sz="0" w:space="0" w:color="auto"/>
        <w:bottom w:val="none" w:sz="0" w:space="0" w:color="auto"/>
        <w:right w:val="none" w:sz="0" w:space="0" w:color="auto"/>
      </w:divBdr>
    </w:div>
    <w:div w:id="1891379980">
      <w:bodyDiv w:val="1"/>
      <w:marLeft w:val="0"/>
      <w:marRight w:val="0"/>
      <w:marTop w:val="0"/>
      <w:marBottom w:val="0"/>
      <w:divBdr>
        <w:top w:val="none" w:sz="0" w:space="0" w:color="auto"/>
        <w:left w:val="none" w:sz="0" w:space="0" w:color="auto"/>
        <w:bottom w:val="none" w:sz="0" w:space="0" w:color="auto"/>
        <w:right w:val="none" w:sz="0" w:space="0" w:color="auto"/>
      </w:divBdr>
    </w:div>
    <w:div w:id="1969124713">
      <w:bodyDiv w:val="1"/>
      <w:marLeft w:val="0"/>
      <w:marRight w:val="0"/>
      <w:marTop w:val="0"/>
      <w:marBottom w:val="0"/>
      <w:divBdr>
        <w:top w:val="none" w:sz="0" w:space="0" w:color="auto"/>
        <w:left w:val="none" w:sz="0" w:space="0" w:color="auto"/>
        <w:bottom w:val="none" w:sz="0" w:space="0" w:color="auto"/>
        <w:right w:val="none" w:sz="0" w:space="0" w:color="auto"/>
      </w:divBdr>
    </w:div>
    <w:div w:id="2124885627">
      <w:bodyDiv w:val="1"/>
      <w:marLeft w:val="0"/>
      <w:marRight w:val="0"/>
      <w:marTop w:val="0"/>
      <w:marBottom w:val="0"/>
      <w:divBdr>
        <w:top w:val="none" w:sz="0" w:space="0" w:color="auto"/>
        <w:left w:val="none" w:sz="0" w:space="0" w:color="auto"/>
        <w:bottom w:val="none" w:sz="0" w:space="0" w:color="auto"/>
        <w:right w:val="none" w:sz="0" w:space="0" w:color="auto"/>
      </w:divBdr>
    </w:div>
    <w:div w:id="21368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image" Target="media/image22.jpeg"/><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jpeg"/><Relationship Id="rId29" Type="http://schemas.openxmlformats.org/officeDocument/2006/relationships/image" Target="media/image17.jpeg"/><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image" Target="media/image20.jpeg"/><Relationship Id="rId37" Type="http://schemas.openxmlformats.org/officeDocument/2006/relationships/header" Target="header5.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2.png"/><Relationship Id="rId28" Type="http://schemas.openxmlformats.org/officeDocument/2006/relationships/image" Target="media/image16.jpeg"/><Relationship Id="rId36" Type="http://schemas.openxmlformats.org/officeDocument/2006/relationships/image" Target="media/image24.png"/><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6.JPG"/><Relationship Id="rId25" Type="http://schemas.openxmlformats.org/officeDocument/2006/relationships/header" Target="header4.xml"/><Relationship Id="rId33" Type="http://schemas.openxmlformats.org/officeDocument/2006/relationships/image" Target="media/image21.png"/><Relationship Id="rId38"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FAT Corporate">
      <a:dk1>
        <a:sysClr val="windowText" lastClr="000000"/>
      </a:dk1>
      <a:lt1>
        <a:sysClr val="window" lastClr="FFFFFF"/>
      </a:lt1>
      <a:dk2>
        <a:srgbClr val="495965"/>
      </a:dk2>
      <a:lt2>
        <a:srgbClr val="D8DCDB"/>
      </a:lt2>
      <a:accent1>
        <a:srgbClr val="65C5B4"/>
      </a:accent1>
      <a:accent2>
        <a:srgbClr val="D3875F"/>
      </a:accent2>
      <a:accent3>
        <a:srgbClr val="ACD08C"/>
      </a:accent3>
      <a:accent4>
        <a:srgbClr val="007C89"/>
      </a:accent4>
      <a:accent5>
        <a:srgbClr val="C15A2D"/>
      </a:accent5>
      <a:accent6>
        <a:srgbClr val="409F68"/>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7D21DE-329E-481D-971E-45D01BD678BC}"/>
</file>

<file path=customXml/itemProps2.xml><?xml version="1.0" encoding="utf-8"?>
<ds:datastoreItem xmlns:ds="http://schemas.openxmlformats.org/officeDocument/2006/customXml" ds:itemID="{94FF6835-B6C3-46AC-9E4C-0309A02B3097}"/>
</file>

<file path=customXml/itemProps3.xml><?xml version="1.0" encoding="utf-8"?>
<ds:datastoreItem xmlns:ds="http://schemas.openxmlformats.org/officeDocument/2006/customXml" ds:itemID="{CBD6B44C-7315-464F-B7CA-8F37F6732326}"/>
</file>

<file path=customXml/itemProps4.xml><?xml version="1.0" encoding="utf-8"?>
<ds:datastoreItem xmlns:ds="http://schemas.openxmlformats.org/officeDocument/2006/customXml" ds:itemID="{397204C5-09A2-4C46-8285-18D70B61C54B}"/>
</file>

<file path=docProps/app.xml><?xml version="1.0" encoding="utf-8"?>
<Properties xmlns="http://schemas.openxmlformats.org/officeDocument/2006/extended-properties" xmlns:vt="http://schemas.openxmlformats.org/officeDocument/2006/docPropsVTypes">
  <Template>Normal.dotm</Template>
  <TotalTime>0</TotalTime>
  <Pages>26</Pages>
  <Words>9860</Words>
  <Characters>56207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2018-10-17T03:44:00Z</dcterms:created>
  <dcterms:modified xsi:type="dcterms:W3CDTF">2018-10-17T03:44:00Z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055cfc81-2073-42c0-8294-81328b237771</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1201500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