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B9162CC" w14:textId="77777777"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1E00EEF1" wp14:editId="24DB53D7">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0D2C331A" wp14:editId="218B0B0C">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14:paraId="73881BC0" w14:textId="77777777" w:rsidR="003D352D" w:rsidRDefault="003D352D" w:rsidP="00D146A2"/>
    <w:p w14:paraId="479D8751" w14:textId="77777777" w:rsidR="003D352D" w:rsidRDefault="003D352D" w:rsidP="00D146A2"/>
    <w:p w14:paraId="015CFDEE" w14:textId="77777777" w:rsidR="003D352D" w:rsidRDefault="003D352D" w:rsidP="00D146A2"/>
    <w:p w14:paraId="67863C38" w14:textId="77777777" w:rsidR="003D352D" w:rsidRDefault="003D352D" w:rsidP="00D146A2"/>
    <w:p w14:paraId="23C1295B" w14:textId="77777777" w:rsidR="003D352D" w:rsidRDefault="003D352D" w:rsidP="00D146A2"/>
    <w:p w14:paraId="445C5469" w14:textId="77777777" w:rsidR="003D352D" w:rsidRDefault="003D352D" w:rsidP="00D146A2"/>
    <w:p w14:paraId="251F1D82" w14:textId="77777777" w:rsidR="003D352D" w:rsidRDefault="003D352D" w:rsidP="00D146A2"/>
    <w:p w14:paraId="35BBC424" w14:textId="77777777" w:rsidR="003D352D" w:rsidRDefault="003D352D" w:rsidP="00D146A2"/>
    <w:p w14:paraId="7F607097" w14:textId="77777777" w:rsidR="003D352D" w:rsidRDefault="003D352D" w:rsidP="00D146A2"/>
    <w:p w14:paraId="31CC570E" w14:textId="77777777" w:rsidR="003D352D" w:rsidRDefault="003D352D" w:rsidP="00D146A2"/>
    <w:p w14:paraId="073473DB" w14:textId="77777777" w:rsidR="003D352D" w:rsidRDefault="003D352D" w:rsidP="00D146A2"/>
    <w:p w14:paraId="024D3BC7" w14:textId="77777777" w:rsidR="003D352D" w:rsidRDefault="003D352D" w:rsidP="00D146A2"/>
    <w:p w14:paraId="67FB0301" w14:textId="77777777" w:rsidR="003D352D" w:rsidRDefault="003D352D" w:rsidP="00D146A2"/>
    <w:p w14:paraId="23AF22AC" w14:textId="77777777" w:rsidR="003D352D" w:rsidRDefault="003D352D" w:rsidP="00D146A2"/>
    <w:p w14:paraId="10D1DAC8" w14:textId="77777777" w:rsidR="003D352D" w:rsidRDefault="003D352D" w:rsidP="00D146A2"/>
    <w:p w14:paraId="5DC2EA45" w14:textId="77777777" w:rsidR="003D352D" w:rsidRPr="0059146A" w:rsidRDefault="003D352D" w:rsidP="0059146A"/>
    <w:p w14:paraId="19A23B13" w14:textId="77777777" w:rsidR="003D352D" w:rsidRPr="0059146A" w:rsidRDefault="003D352D" w:rsidP="0059146A"/>
    <w:p w14:paraId="7FC111DA" w14:textId="77777777" w:rsidR="003D352D" w:rsidRPr="0059146A" w:rsidRDefault="003D352D" w:rsidP="0059146A"/>
    <w:p w14:paraId="2CD6E31D" w14:textId="77777777" w:rsidR="003D352D" w:rsidRPr="0059146A" w:rsidRDefault="003D352D" w:rsidP="0059146A"/>
    <w:p w14:paraId="4AD3A062" w14:textId="77777777" w:rsidR="003D352D" w:rsidRPr="0059146A" w:rsidRDefault="003D352D" w:rsidP="0059146A"/>
    <w:p w14:paraId="33BCA911" w14:textId="77777777" w:rsidR="003D352D" w:rsidRPr="0059146A" w:rsidRDefault="003D352D" w:rsidP="0059146A"/>
    <w:p w14:paraId="67AEC65E" w14:textId="77777777" w:rsidR="00A56F14" w:rsidRPr="0059146A" w:rsidRDefault="00A56F14" w:rsidP="00A56F14"/>
    <w:p w14:paraId="36FCF225" w14:textId="77777777" w:rsidR="00A56F14" w:rsidRPr="0059146A" w:rsidRDefault="00A56F14" w:rsidP="0059146A"/>
    <w:p w14:paraId="20E241CC" w14:textId="77777777" w:rsidR="00A56F14" w:rsidRDefault="00A56F14" w:rsidP="0059146A"/>
    <w:p w14:paraId="2302E61C" w14:textId="77777777" w:rsidR="0059146A" w:rsidRDefault="0059146A" w:rsidP="0059146A"/>
    <w:p w14:paraId="41428016" w14:textId="77777777" w:rsidR="0059146A" w:rsidRDefault="0059146A" w:rsidP="0059146A"/>
    <w:p w14:paraId="2F38A383" w14:textId="77777777" w:rsidR="0059146A" w:rsidRDefault="0059146A" w:rsidP="0059146A"/>
    <w:p w14:paraId="2AE59210" w14:textId="77777777" w:rsidR="0059146A" w:rsidRPr="0059146A" w:rsidRDefault="0059146A" w:rsidP="0059146A"/>
    <w:p w14:paraId="44212F80" w14:textId="77777777"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w:t>
      </w:r>
      <w:r w:rsidR="003E305C">
        <w:rPr>
          <w:spacing w:val="-20"/>
          <w:sz w:val="60"/>
        </w:rPr>
        <w:t>6</w:t>
      </w:r>
      <w:r>
        <w:rPr>
          <w:spacing w:val="-20"/>
          <w:sz w:val="60"/>
        </w:rPr>
        <w:t>-1</w:t>
      </w:r>
      <w:r w:rsidR="003E305C">
        <w:rPr>
          <w:spacing w:val="-20"/>
          <w:sz w:val="60"/>
        </w:rPr>
        <w:t>7</w:t>
      </w:r>
    </w:p>
    <w:p w14:paraId="48282A79" w14:textId="77777777" w:rsidR="0059146A" w:rsidRDefault="00E23CC4" w:rsidP="00A56F14">
      <w:pPr>
        <w:rPr>
          <w:sz w:val="24"/>
        </w:rPr>
        <w:sectPr w:rsidR="0059146A"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Pr>
          <w:sz w:val="40"/>
        </w:rPr>
        <w:t>Pakistan</w:t>
      </w:r>
      <w:r w:rsidR="0059146A">
        <w:rPr>
          <w:sz w:val="40"/>
        </w:rPr>
        <w:br/>
      </w:r>
      <w:r w:rsidR="0059146A" w:rsidRPr="0059146A">
        <w:rPr>
          <w:sz w:val="24"/>
        </w:rPr>
        <w:t>September 201</w:t>
      </w:r>
      <w:r w:rsidR="003E305C">
        <w:rPr>
          <w:sz w:val="24"/>
        </w:rPr>
        <w:t>7</w:t>
      </w:r>
    </w:p>
    <w:p w14:paraId="3A702382" w14:textId="77777777" w:rsidR="00594E0D" w:rsidRDefault="00A07759" w:rsidP="00B438D3">
      <w:pPr>
        <w:pStyle w:val="Title"/>
      </w:pPr>
      <w:r>
        <w:lastRenderedPageBreak/>
        <w:t>PAKISTAN</w:t>
      </w:r>
      <w:r w:rsidR="005B5769" w:rsidRPr="00B438D3">
        <w:t xml:space="preserve"> Aid Program Performance </w:t>
      </w:r>
      <w:r w:rsidR="00594E0D">
        <w:t xml:space="preserve">INFORMATION </w:t>
      </w:r>
    </w:p>
    <w:p w14:paraId="47F25027" w14:textId="6F8E200A" w:rsidR="005B5769" w:rsidRPr="00B438D3" w:rsidRDefault="005B5769" w:rsidP="00B438D3">
      <w:pPr>
        <w:pStyle w:val="Title"/>
      </w:pPr>
      <w:r w:rsidRPr="00B438D3">
        <w:t>201</w:t>
      </w:r>
      <w:r w:rsidR="003E305C">
        <w:t>6</w:t>
      </w:r>
      <w:r w:rsidRPr="00B438D3">
        <w:t>-1</w:t>
      </w:r>
      <w:r w:rsidR="003E305C">
        <w:t>7</w:t>
      </w:r>
    </w:p>
    <w:p w14:paraId="35F9CD19" w14:textId="77777777" w:rsidR="005F2E4D" w:rsidRPr="005F2E4D" w:rsidRDefault="005B5769" w:rsidP="005F2E4D">
      <w:pPr>
        <w:pStyle w:val="Subtitle"/>
      </w:pPr>
      <w:r w:rsidRPr="00C4114C">
        <w:t>Summary</w:t>
      </w:r>
    </w:p>
    <w:p w14:paraId="4B3E0542" w14:textId="38A1A157" w:rsidR="00790DEF" w:rsidRDefault="00CD1652" w:rsidP="00E57EEC">
      <w:pPr>
        <w:spacing w:afterLines="60" w:after="144"/>
      </w:pPr>
      <w:r w:rsidRPr="008F2667">
        <w:t xml:space="preserve">This </w:t>
      </w:r>
      <w:r w:rsidR="003338A6">
        <w:t xml:space="preserve">Aid Program Performance Report (APPR) </w:t>
      </w:r>
      <w:r w:rsidRPr="008F2667">
        <w:t xml:space="preserve">summarises the performance of Australia’s aid program in </w:t>
      </w:r>
      <w:r w:rsidR="00E23CC4" w:rsidRPr="008F2667">
        <w:t>Pakistan</w:t>
      </w:r>
      <w:r w:rsidRPr="008F2667">
        <w:t xml:space="preserve"> from July</w:t>
      </w:r>
      <w:r w:rsidR="00E23CC4" w:rsidRPr="008F2667">
        <w:t xml:space="preserve"> 2016 to June 2017 against the </w:t>
      </w:r>
      <w:r w:rsidR="00E23CC4" w:rsidRPr="00333888">
        <w:rPr>
          <w:i/>
        </w:rPr>
        <w:t>Pakistan</w:t>
      </w:r>
      <w:r w:rsidRPr="00333888">
        <w:rPr>
          <w:i/>
        </w:rPr>
        <w:t xml:space="preserve"> Aid Investment Plan</w:t>
      </w:r>
      <w:r w:rsidR="003338A6" w:rsidRPr="00333888">
        <w:rPr>
          <w:i/>
        </w:rPr>
        <w:t xml:space="preserve"> </w:t>
      </w:r>
      <w:r w:rsidR="00E23CC4" w:rsidRPr="00333888">
        <w:rPr>
          <w:i/>
        </w:rPr>
        <w:t>2015-16 to 2018-19</w:t>
      </w:r>
      <w:r w:rsidRPr="008F2667">
        <w:t>.</w:t>
      </w:r>
      <w:r w:rsidRPr="00C61187">
        <w:t xml:space="preserve"> </w:t>
      </w:r>
      <w:r w:rsidR="00B03BC1">
        <w:t>Over the past year, Australia</w:t>
      </w:r>
      <w:r w:rsidR="00AB069C">
        <w:t>’s</w:t>
      </w:r>
      <w:r w:rsidR="00B03BC1">
        <w:t xml:space="preserve"> aid program has </w:t>
      </w:r>
      <w:r w:rsidR="00790DEF">
        <w:t>continued to make</w:t>
      </w:r>
      <w:r w:rsidR="00B03BC1">
        <w:t xml:space="preserve"> a valuable contribution to Pakistan’s development</w:t>
      </w:r>
      <w:r w:rsidR="001E7B38">
        <w:t>.</w:t>
      </w:r>
      <w:r w:rsidR="001E7B38" w:rsidRPr="001E7B38">
        <w:t xml:space="preserve"> </w:t>
      </w:r>
      <w:r w:rsidR="001E7B38">
        <w:t>Australian aid focus</w:t>
      </w:r>
      <w:r w:rsidR="00A1023F">
        <w:t>es</w:t>
      </w:r>
      <w:r w:rsidR="001E7B38">
        <w:t xml:space="preserve"> on the poorest and hardest to reach areas, in particular </w:t>
      </w:r>
      <w:r w:rsidR="00273377">
        <w:t>the</w:t>
      </w:r>
      <w:r w:rsidR="001E7B38">
        <w:t xml:space="preserve"> provinces </w:t>
      </w:r>
      <w:r w:rsidR="00F51D19">
        <w:t>that</w:t>
      </w:r>
      <w:r w:rsidR="001E7B38">
        <w:t xml:space="preserve"> border Afghanistan and Iran</w:t>
      </w:r>
      <w:r w:rsidR="005152FB">
        <w:t xml:space="preserve">. The program provides on-the-ground support </w:t>
      </w:r>
      <w:r w:rsidR="001E7B38">
        <w:t xml:space="preserve">alongside </w:t>
      </w:r>
      <w:r w:rsidR="005152FB">
        <w:t xml:space="preserve">strong </w:t>
      </w:r>
      <w:r w:rsidR="001E7B38">
        <w:t xml:space="preserve">policy engagement </w:t>
      </w:r>
      <w:r w:rsidR="00F51D19">
        <w:t xml:space="preserve">in priority areas </w:t>
      </w:r>
      <w:r w:rsidR="001E7B38">
        <w:t xml:space="preserve">at the </w:t>
      </w:r>
      <w:r w:rsidR="007A6F49">
        <w:t xml:space="preserve">federal </w:t>
      </w:r>
      <w:r w:rsidR="001E7B38">
        <w:t>and provincial level</w:t>
      </w:r>
      <w:r w:rsidR="005152FB">
        <w:t>s</w:t>
      </w:r>
      <w:r w:rsidR="001E7B38">
        <w:t xml:space="preserve">. </w:t>
      </w:r>
      <w:r w:rsidR="00E57EEC">
        <w:t xml:space="preserve">Against the backdrop of </w:t>
      </w:r>
      <w:r w:rsidR="001C4E07">
        <w:t xml:space="preserve">a high risk operating environment </w:t>
      </w:r>
      <w:r w:rsidR="00594E0D">
        <w:t>with</w:t>
      </w:r>
      <w:r w:rsidR="001C4E07">
        <w:t xml:space="preserve"> </w:t>
      </w:r>
      <w:r w:rsidR="00E57EEC">
        <w:t>security</w:t>
      </w:r>
      <w:r w:rsidR="00594E0D">
        <w:t xml:space="preserve"> challenges</w:t>
      </w:r>
      <w:r w:rsidR="00E57EEC">
        <w:t>, limited capacity at the provincial level,</w:t>
      </w:r>
      <w:r w:rsidR="001654FE">
        <w:t xml:space="preserve"> </w:t>
      </w:r>
      <w:r w:rsidR="00E57EEC">
        <w:t>and low human development indicators, most aid investments are performing well and are on track to achieve objectives.</w:t>
      </w:r>
    </w:p>
    <w:p w14:paraId="609A989B" w14:textId="11DCFA0D" w:rsidR="00AF4DAB" w:rsidRDefault="00AF4DAB" w:rsidP="003843E7">
      <w:r>
        <w:t xml:space="preserve">The Pakistan aid program achieved some </w:t>
      </w:r>
      <w:r w:rsidR="00594E0D">
        <w:t>strong</w:t>
      </w:r>
      <w:r>
        <w:t xml:space="preserve"> results despite </w:t>
      </w:r>
      <w:r w:rsidR="00594E0D">
        <w:t>these</w:t>
      </w:r>
      <w:r>
        <w:t xml:space="preserve"> operational challenges. </w:t>
      </w:r>
      <w:r w:rsidR="001654FE">
        <w:t>All six of the</w:t>
      </w:r>
      <w:r w:rsidR="001654FE" w:rsidRPr="00DB0593">
        <w:t xml:space="preserve"> 2016-17 performance benchmarks were achieved</w:t>
      </w:r>
      <w:r>
        <w:t>,</w:t>
      </w:r>
      <w:r w:rsidR="001654FE">
        <w:t xml:space="preserve"> </w:t>
      </w:r>
      <w:r w:rsidR="00A1023F">
        <w:t>notwithstanding mixed ratings across our investments</w:t>
      </w:r>
      <w:r w:rsidRPr="00AF4DAB">
        <w:t xml:space="preserve"> </w:t>
      </w:r>
      <w:r>
        <w:t>for efficiency</w:t>
      </w:r>
      <w:r w:rsidR="009A0A81">
        <w:t>, monitoring and evaluation,</w:t>
      </w:r>
      <w:r w:rsidR="004D0B6B">
        <w:t xml:space="preserve"> and gender equality</w:t>
      </w:r>
      <w:r w:rsidR="001654FE" w:rsidRPr="00DB0593">
        <w:t>.</w:t>
      </w:r>
      <w:r w:rsidR="001654FE">
        <w:t xml:space="preserve"> </w:t>
      </w:r>
      <w:r w:rsidR="004D0B6B">
        <w:t>The Pakistan aid program</w:t>
      </w:r>
      <w:r>
        <w:t xml:space="preserve"> fell just short of the 80 percent </w:t>
      </w:r>
      <w:r w:rsidR="004D0B6B">
        <w:t xml:space="preserve">satisfactory target </w:t>
      </w:r>
      <w:r>
        <w:t>for gender equality achieving 75 percent satisfactory</w:t>
      </w:r>
      <w:r w:rsidR="004D0B6B">
        <w:t xml:space="preserve"> –</w:t>
      </w:r>
      <w:r w:rsidR="00840668">
        <w:t xml:space="preserve"> albeit </w:t>
      </w:r>
      <w:r>
        <w:t>a marked improvement from 55 percent satisfactory</w:t>
      </w:r>
      <w:r w:rsidR="009A0A81">
        <w:t xml:space="preserve"> for gender </w:t>
      </w:r>
      <w:r>
        <w:t xml:space="preserve">last year. A </w:t>
      </w:r>
      <w:r w:rsidR="00A1023F">
        <w:t>decrease in efficiency ratings from 82 percent satisfactory to 67 percent satisfactory</w:t>
      </w:r>
      <w:r w:rsidR="00F032A8">
        <w:t xml:space="preserve"> </w:t>
      </w:r>
      <w:r w:rsidR="00477EFF">
        <w:t>was driven by three investments</w:t>
      </w:r>
      <w:r w:rsidR="00F032A8">
        <w:t xml:space="preserve">, which also rated poorly </w:t>
      </w:r>
      <w:r w:rsidR="00483C97">
        <w:t>on monitoring and evaluation</w:t>
      </w:r>
      <w:r w:rsidR="009A0A81">
        <w:t>.</w:t>
      </w:r>
    </w:p>
    <w:p w14:paraId="71529972" w14:textId="1D577001" w:rsidR="006541DC" w:rsidRDefault="00AF4DAB" w:rsidP="00FD5A17">
      <w:r>
        <w:t xml:space="preserve">Steady progress was made towards the program’s three strategic objectives in this reporting period. </w:t>
      </w:r>
      <w:r w:rsidR="00E71E9E">
        <w:t xml:space="preserve">Under </w:t>
      </w:r>
      <w:r w:rsidR="00582A24" w:rsidRPr="0016006B">
        <w:rPr>
          <w:b/>
          <w:i/>
        </w:rPr>
        <w:t>O</w:t>
      </w:r>
      <w:r w:rsidR="00E71E9E" w:rsidRPr="0016006B">
        <w:rPr>
          <w:b/>
          <w:i/>
        </w:rPr>
        <w:t>bjective 1: Generating sustainable inclusive growth</w:t>
      </w:r>
      <w:r w:rsidR="00E71E9E">
        <w:t xml:space="preserve">, </w:t>
      </w:r>
      <w:r w:rsidR="00582A24">
        <w:t xml:space="preserve">the Food and Agriculture Organisation’s </w:t>
      </w:r>
      <w:r w:rsidR="003338A6">
        <w:t xml:space="preserve">(FAO) </w:t>
      </w:r>
      <w:r w:rsidR="00582A24">
        <w:t>agribusiness program assisted 8</w:t>
      </w:r>
      <w:r w:rsidR="00553AF2">
        <w:t>,</w:t>
      </w:r>
      <w:r w:rsidR="00582A24">
        <w:t>830 small-holder farmers in the remote areas of South West Balochistan</w:t>
      </w:r>
      <w:r w:rsidR="00582A24" w:rsidRPr="00540B15">
        <w:t xml:space="preserve"> </w:t>
      </w:r>
      <w:r w:rsidR="00582A24">
        <w:t>to improve their incomes. In addition, the Market Development Facility</w:t>
      </w:r>
      <w:r w:rsidR="003338A6">
        <w:t xml:space="preserve"> (MDF)</w:t>
      </w:r>
      <w:r w:rsidR="00582A24">
        <w:t xml:space="preserve"> </w:t>
      </w:r>
      <w:r w:rsidR="004D0B6B">
        <w:t xml:space="preserve">helped </w:t>
      </w:r>
      <w:r w:rsidR="00553AF2">
        <w:t>around</w:t>
      </w:r>
      <w:r w:rsidR="00582A24">
        <w:t xml:space="preserve"> </w:t>
      </w:r>
      <w:r w:rsidR="00553AF2">
        <w:t xml:space="preserve">26,000 </w:t>
      </w:r>
      <w:r w:rsidR="00582A24" w:rsidRPr="005864EC">
        <w:t>poor farmers</w:t>
      </w:r>
      <w:r w:rsidR="00582A24">
        <w:t xml:space="preserve"> to improve their incomes and employment opportunities</w:t>
      </w:r>
      <w:r w:rsidR="00E71E9E">
        <w:t xml:space="preserve">, with </w:t>
      </w:r>
      <w:r w:rsidR="003843E7">
        <w:t>impressive</w:t>
      </w:r>
      <w:r w:rsidR="004D0B6B">
        <w:t xml:space="preserve"> results</w:t>
      </w:r>
      <w:r w:rsidR="00594E0D">
        <w:t xml:space="preserve"> in</w:t>
      </w:r>
      <w:r w:rsidR="006203F2">
        <w:t xml:space="preserve"> the area of women’s economic empowerment</w:t>
      </w:r>
      <w:r w:rsidR="00594E0D">
        <w:t xml:space="preserve"> </w:t>
      </w:r>
      <w:r w:rsidR="004D0B6B">
        <w:t>– in a context of persistent challenges for gender equality</w:t>
      </w:r>
      <w:r w:rsidR="00675DEC">
        <w:t xml:space="preserve">. </w:t>
      </w:r>
      <w:r w:rsidR="003843E7">
        <w:t>T</w:t>
      </w:r>
      <w:r w:rsidR="00F032A8">
        <w:t xml:space="preserve">wo </w:t>
      </w:r>
      <w:r w:rsidR="003843E7">
        <w:t>investments</w:t>
      </w:r>
      <w:r w:rsidR="005164CC">
        <w:t xml:space="preserve"> under the economic growth objective</w:t>
      </w:r>
      <w:r w:rsidR="003843E7">
        <w:t>, an agricultural research program and a trade policy program, did not meet performance expectations and will</w:t>
      </w:r>
      <w:r w:rsidR="002C70E7">
        <w:t xml:space="preserve"> be</w:t>
      </w:r>
      <w:r w:rsidR="003843E7">
        <w:t xml:space="preserve"> the subject of close DFAT management attention over the coming year.</w:t>
      </w:r>
    </w:p>
    <w:p w14:paraId="71146BFC" w14:textId="23731AEF" w:rsidR="005164CC" w:rsidRPr="00C61187" w:rsidRDefault="00675DEC" w:rsidP="005164CC">
      <w:r>
        <w:t xml:space="preserve">Progress against </w:t>
      </w:r>
      <w:r w:rsidR="00E51091" w:rsidRPr="0016006B">
        <w:rPr>
          <w:b/>
          <w:i/>
        </w:rPr>
        <w:t>O</w:t>
      </w:r>
      <w:r w:rsidRPr="0016006B">
        <w:rPr>
          <w:b/>
          <w:i/>
        </w:rPr>
        <w:t>bjective 2: Investing in Pakistan’s people with a focus on women and girls</w:t>
      </w:r>
      <w:r>
        <w:t xml:space="preserve"> </w:t>
      </w:r>
      <w:r w:rsidR="00A24D7E">
        <w:t>exceeded</w:t>
      </w:r>
      <w:r>
        <w:t xml:space="preserve"> expectations against performance targets for our </w:t>
      </w:r>
      <w:r w:rsidR="003338A6">
        <w:t xml:space="preserve">Challenging </w:t>
      </w:r>
      <w:r w:rsidR="002C70E7">
        <w:t>Gender-</w:t>
      </w:r>
      <w:r w:rsidR="003338A6">
        <w:t xml:space="preserve">Based Violence </w:t>
      </w:r>
      <w:r w:rsidR="002C70E7">
        <w:t xml:space="preserve">(GBV) </w:t>
      </w:r>
      <w:r w:rsidR="003338A6">
        <w:t>Program</w:t>
      </w:r>
      <w:r w:rsidR="00A24D7E">
        <w:t xml:space="preserve"> in Khyber Pakhtunkhwa and Sindh provinces</w:t>
      </w:r>
      <w:r w:rsidR="00AB069C">
        <w:t>,</w:t>
      </w:r>
      <w:r w:rsidR="00A24D7E">
        <w:t xml:space="preserve"> where over 2330 female survivors of violence accessed program services</w:t>
      </w:r>
      <w:r w:rsidR="00AB069C">
        <w:t>,</w:t>
      </w:r>
      <w:r w:rsidR="00A24D7E">
        <w:t xml:space="preserve"> </w:t>
      </w:r>
      <w:r>
        <w:t xml:space="preserve">and </w:t>
      </w:r>
      <w:r w:rsidR="00A24D7E">
        <w:t>for our Nutrition program in Balochistan, which delivered nutrition services to 130,000 women</w:t>
      </w:r>
      <w:r w:rsidR="00483C97">
        <w:t xml:space="preserve"> and children</w:t>
      </w:r>
      <w:r>
        <w:t xml:space="preserve">. </w:t>
      </w:r>
      <w:r w:rsidR="00D16703">
        <w:t xml:space="preserve">An evaluation found that </w:t>
      </w:r>
      <w:r w:rsidR="00E57EEC">
        <w:t xml:space="preserve">the </w:t>
      </w:r>
      <w:r w:rsidR="003338A6">
        <w:t xml:space="preserve">GBV </w:t>
      </w:r>
      <w:r w:rsidR="00E57EEC">
        <w:t xml:space="preserve">Program </w:t>
      </w:r>
      <w:r w:rsidR="00D16703">
        <w:t>was delivering critical, quality services to survivors of violence</w:t>
      </w:r>
      <w:r>
        <w:t xml:space="preserve">. </w:t>
      </w:r>
      <w:r w:rsidR="005164CC">
        <w:t xml:space="preserve">Progress against our </w:t>
      </w:r>
      <w:r w:rsidR="00840668">
        <w:t xml:space="preserve">new third strategic </w:t>
      </w:r>
      <w:r w:rsidR="005164CC">
        <w:t xml:space="preserve">objective, </w:t>
      </w:r>
      <w:r w:rsidR="005164CC" w:rsidRPr="0016006B">
        <w:rPr>
          <w:b/>
          <w:i/>
        </w:rPr>
        <w:t xml:space="preserve">Objective 3: Supporting stabilisation and resilience </w:t>
      </w:r>
      <w:r w:rsidR="005164CC" w:rsidRPr="0016006B">
        <w:t xml:space="preserve">met expectations </w:t>
      </w:r>
      <w:r w:rsidR="005164CC">
        <w:t>with investments achieving targets as planned, noting that a number of programs under this objective were in their first year of implementation</w:t>
      </w:r>
      <w:r w:rsidR="00F032A8">
        <w:t xml:space="preserve"> and will require active management attention over the coming year.</w:t>
      </w:r>
    </w:p>
    <w:p w14:paraId="39D6B91D" w14:textId="014B0FA2" w:rsidR="005164CC" w:rsidRDefault="005164CC" w:rsidP="005164CC">
      <w:pPr>
        <w:spacing w:afterLines="60" w:after="144"/>
      </w:pPr>
      <w:r>
        <w:t>O</w:t>
      </w:r>
      <w:r w:rsidR="003843E7">
        <w:t>f note over the past year was Australia’s contribution to provincial-level policy outcomes in areas such as nutrition, education and ending violence against women. Under</w:t>
      </w:r>
      <w:r w:rsidR="003843E7" w:rsidRPr="00734CA3">
        <w:rPr>
          <w:rFonts w:eastAsia="Times New Roman"/>
        </w:rPr>
        <w:t xml:space="preserve"> </w:t>
      </w:r>
      <w:r w:rsidR="003843E7" w:rsidRPr="00E96479">
        <w:t>Australia’s flagship nutritio</w:t>
      </w:r>
      <w:r w:rsidR="003843E7">
        <w:t>n</w:t>
      </w:r>
      <w:r w:rsidR="003843E7" w:rsidRPr="00E96479">
        <w:t xml:space="preserve"> investment</w:t>
      </w:r>
      <w:r w:rsidR="003843E7">
        <w:t xml:space="preserve"> the Multi-Donor Trust Fund on Nutrition (MDTF-N), the</w:t>
      </w:r>
      <w:r w:rsidR="003843E7" w:rsidRPr="00E96479">
        <w:t xml:space="preserve"> Government of Balochistan allocated co</w:t>
      </w:r>
      <w:r w:rsidR="003843E7">
        <w:t>-</w:t>
      </w:r>
      <w:r w:rsidR="003843E7" w:rsidRPr="00E96479">
        <w:t>financing of AUD</w:t>
      </w:r>
      <w:r w:rsidR="003843E7">
        <w:t xml:space="preserve">$3.5m for 2 years (20 per cent of the annual project cost) </w:t>
      </w:r>
      <w:r w:rsidR="003843E7" w:rsidRPr="00E96479">
        <w:t xml:space="preserve">for </w:t>
      </w:r>
      <w:r w:rsidR="003843E7">
        <w:t>nutrition services in seven districts, and</w:t>
      </w:r>
      <w:r w:rsidR="003843E7" w:rsidRPr="00E96479">
        <w:t xml:space="preserve"> committed AU</w:t>
      </w:r>
      <w:r w:rsidR="003843E7">
        <w:t>$</w:t>
      </w:r>
      <w:r w:rsidR="003843E7" w:rsidRPr="00E96479">
        <w:t>5.9</w:t>
      </w:r>
      <w:r w:rsidR="003843E7">
        <w:t>m over three years</w:t>
      </w:r>
      <w:r w:rsidR="003843E7" w:rsidRPr="00E96479">
        <w:t xml:space="preserve"> for a pilot multi</w:t>
      </w:r>
      <w:r w:rsidR="003843E7">
        <w:t>-</w:t>
      </w:r>
      <w:r w:rsidR="003843E7" w:rsidRPr="00E96479">
        <w:t>sectoral nutrition</w:t>
      </w:r>
      <w:r w:rsidR="003843E7">
        <w:t xml:space="preserve"> project in two districts. </w:t>
      </w:r>
      <w:r>
        <w:t xml:space="preserve">Australia also successfully advocated for the development of the </w:t>
      </w:r>
      <w:r w:rsidRPr="00471F7F">
        <w:t>Khyber Pakhtunkhwa Education Sector Program (KESP)</w:t>
      </w:r>
      <w:r>
        <w:t xml:space="preserve"> Equity Strategy and</w:t>
      </w:r>
      <w:r w:rsidRPr="00790DEF">
        <w:t xml:space="preserve"> </w:t>
      </w:r>
      <w:r>
        <w:t xml:space="preserve">an initial commitment of AUD$4.2m by the </w:t>
      </w:r>
      <w:r w:rsidRPr="00471F7F">
        <w:t>Khyber Pakhtunkhwa</w:t>
      </w:r>
      <w:r>
        <w:t xml:space="preserve"> Government to implement the Strategy. In the challenging contexts of these two border provinces, these are significant achievements.</w:t>
      </w:r>
    </w:p>
    <w:p w14:paraId="748702F0" w14:textId="1AEBD114" w:rsidR="00B438D3" w:rsidRPr="00E17CA6" w:rsidRDefault="00582A24" w:rsidP="00015316">
      <w:r>
        <w:lastRenderedPageBreak/>
        <w:t>In 2016</w:t>
      </w:r>
      <w:r w:rsidR="00A24D7E">
        <w:t>-</w:t>
      </w:r>
      <w:r>
        <w:t>17, based on analysis from last year’s APPR</w:t>
      </w:r>
      <w:r w:rsidR="00A24D7E">
        <w:t>,</w:t>
      </w:r>
      <w:r>
        <w:t xml:space="preserve"> we </w:t>
      </w:r>
      <w:r w:rsidR="00A24D7E">
        <w:t xml:space="preserve">undertook to </w:t>
      </w:r>
      <w:r>
        <w:t xml:space="preserve">review the </w:t>
      </w:r>
      <w:r w:rsidR="00A24D7E">
        <w:t>Strategic O</w:t>
      </w:r>
      <w:r>
        <w:t xml:space="preserve">bjectives under the current </w:t>
      </w:r>
      <w:r w:rsidR="003338A6">
        <w:t>A</w:t>
      </w:r>
      <w:r w:rsidR="002C70E7">
        <w:t xml:space="preserve">id Investment Plan </w:t>
      </w:r>
      <w:r w:rsidR="00483C97">
        <w:t xml:space="preserve">(AIP) </w:t>
      </w:r>
      <w:r w:rsidR="00270B60">
        <w:t>for Pakistan</w:t>
      </w:r>
      <w:r w:rsidR="00E23CC4">
        <w:t xml:space="preserve">. </w:t>
      </w:r>
      <w:r w:rsidR="00A23447">
        <w:t>Since</w:t>
      </w:r>
      <w:r w:rsidR="00E23CC4">
        <w:t xml:space="preserve"> </w:t>
      </w:r>
      <w:r w:rsidR="00483C97">
        <w:t>2015 when the AIP was developed,</w:t>
      </w:r>
      <w:r w:rsidR="00E23CC4">
        <w:t xml:space="preserve"> Australia’s aid program </w:t>
      </w:r>
      <w:r w:rsidR="00962BE4">
        <w:t xml:space="preserve">has </w:t>
      </w:r>
      <w:r w:rsidR="00E23CC4">
        <w:t xml:space="preserve">evolved in line with changes in the </w:t>
      </w:r>
      <w:r w:rsidR="00962BE4">
        <w:t xml:space="preserve">Pakistan </w:t>
      </w:r>
      <w:r w:rsidR="00E23CC4">
        <w:t>context and Australia’s priorities</w:t>
      </w:r>
      <w:r w:rsidR="00B36BBA">
        <w:t xml:space="preserve">. </w:t>
      </w:r>
      <w:r w:rsidR="003618C1">
        <w:t>Changes include</w:t>
      </w:r>
      <w:r w:rsidR="00273377">
        <w:t xml:space="preserve"> the growth</w:t>
      </w:r>
      <w:r w:rsidR="00270B60">
        <w:t xml:space="preserve"> of</w:t>
      </w:r>
      <w:r w:rsidR="00273377">
        <w:t xml:space="preserve"> our</w:t>
      </w:r>
      <w:r w:rsidR="006455AB">
        <w:t xml:space="preserve"> </w:t>
      </w:r>
      <w:r w:rsidR="00273377">
        <w:t>inclusive economic development and trade-related investments</w:t>
      </w:r>
      <w:r w:rsidR="00E2354D">
        <w:t>,</w:t>
      </w:r>
      <w:r w:rsidR="003618C1">
        <w:t xml:space="preserve"> the</w:t>
      </w:r>
      <w:r w:rsidR="00E2354D">
        <w:t xml:space="preserve"> consolidation </w:t>
      </w:r>
      <w:r w:rsidR="003618C1">
        <w:t>of investments in the governance, health</w:t>
      </w:r>
      <w:r w:rsidR="00E2354D">
        <w:t xml:space="preserve"> and education sectors, </w:t>
      </w:r>
      <w:r w:rsidR="003618C1">
        <w:t xml:space="preserve">an </w:t>
      </w:r>
      <w:r w:rsidR="00E660A4">
        <w:t xml:space="preserve">increased focus on stabilisation and resilience, </w:t>
      </w:r>
      <w:r w:rsidR="002F04BF">
        <w:t>and a</w:t>
      </w:r>
      <w:r w:rsidR="003618C1">
        <w:t xml:space="preserve"> </w:t>
      </w:r>
      <w:r w:rsidR="00E660A4">
        <w:t xml:space="preserve">more explicit </w:t>
      </w:r>
      <w:r w:rsidR="002F04BF">
        <w:t xml:space="preserve">focus on </w:t>
      </w:r>
      <w:r w:rsidR="00E2354D" w:rsidRPr="00496AE9">
        <w:rPr>
          <w:b/>
        </w:rPr>
        <w:t xml:space="preserve">women’s empowerment and </w:t>
      </w:r>
      <w:r w:rsidR="002F04BF" w:rsidRPr="00496AE9">
        <w:rPr>
          <w:b/>
        </w:rPr>
        <w:t xml:space="preserve">gender </w:t>
      </w:r>
      <w:r w:rsidR="00E2354D" w:rsidRPr="00496AE9">
        <w:rPr>
          <w:b/>
        </w:rPr>
        <w:t>equality</w:t>
      </w:r>
      <w:r w:rsidR="00E2354D">
        <w:t xml:space="preserve"> </w:t>
      </w:r>
      <w:r w:rsidR="002F04BF">
        <w:t xml:space="preserve">across our aid </w:t>
      </w:r>
      <w:r w:rsidR="00E2354D">
        <w:t>investments</w:t>
      </w:r>
      <w:r w:rsidR="00E23CC4">
        <w:t xml:space="preserve">. </w:t>
      </w:r>
      <w:r w:rsidR="00A23447">
        <w:t>To reflect this, the human development objective now has a clearer focus on women and girls, and an a</w:t>
      </w:r>
      <w:r w:rsidR="001F68F4">
        <w:t>dditional Strategic O</w:t>
      </w:r>
      <w:r w:rsidR="00D24CF8">
        <w:t xml:space="preserve">bjective on </w:t>
      </w:r>
      <w:r w:rsidR="00D24CF8" w:rsidRPr="00FC33FA">
        <w:rPr>
          <w:b/>
        </w:rPr>
        <w:t>Stabilisation and Resilience</w:t>
      </w:r>
      <w:r w:rsidR="00A23447">
        <w:t xml:space="preserve"> has been included </w:t>
      </w:r>
      <w:r w:rsidR="00962BE4">
        <w:t xml:space="preserve">in </w:t>
      </w:r>
      <w:r w:rsidR="00A23447">
        <w:t>the</w:t>
      </w:r>
      <w:r w:rsidR="00962BE4">
        <w:t xml:space="preserve"> updated Performance Assessment Framework </w:t>
      </w:r>
      <w:r w:rsidR="002B3771">
        <w:t xml:space="preserve">(PAF) </w:t>
      </w:r>
      <w:r w:rsidR="00962BE4">
        <w:t>(Annex E</w:t>
      </w:r>
      <w:r w:rsidR="00A23447">
        <w:t>)</w:t>
      </w:r>
      <w:r w:rsidR="00962BE4">
        <w:t xml:space="preserve">. This revised PAF </w:t>
      </w:r>
      <w:r w:rsidR="00D24CF8">
        <w:t xml:space="preserve">is used to assess performance in this </w:t>
      </w:r>
      <w:r w:rsidR="003338A6">
        <w:t>APPR</w:t>
      </w:r>
      <w:r w:rsidR="00D24CF8">
        <w:t xml:space="preserve">, and </w:t>
      </w:r>
      <w:r w:rsidR="00962BE4">
        <w:t xml:space="preserve">will inform development of the next </w:t>
      </w:r>
      <w:r w:rsidR="003338A6">
        <w:t>AIP.</w:t>
      </w:r>
      <w:r w:rsidR="00E23CC4">
        <w:t xml:space="preserve"> </w:t>
      </w:r>
    </w:p>
    <w:p w14:paraId="085A028A" w14:textId="77777777" w:rsidR="00483C97" w:rsidRDefault="00483C97" w:rsidP="005864EC">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br w:type="page"/>
      </w:r>
    </w:p>
    <w:p w14:paraId="02A37816" w14:textId="77777777" w:rsidR="0063265E" w:rsidRPr="002A51CA" w:rsidRDefault="0063265E" w:rsidP="0063265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Expenditure</w:t>
      </w:r>
    </w:p>
    <w:p w14:paraId="52AA6819" w14:textId="0793B7D9" w:rsidR="00AB069C" w:rsidRPr="00496AE9" w:rsidDel="003843E7" w:rsidRDefault="00AB069C" w:rsidP="00AB069C">
      <w:r w:rsidDel="003843E7">
        <w:t>Australian ODA accounts for approximately 1.7 per</w:t>
      </w:r>
      <w:r w:rsidR="003338A6" w:rsidDel="003843E7">
        <w:t xml:space="preserve"> </w:t>
      </w:r>
      <w:r w:rsidDel="003843E7">
        <w:t>cent of total ODA to Pakistan, and Australia ranks as the sixth largest donor to Pakistan according to most recently available OECD/DAC reporting</w:t>
      </w:r>
      <w:r w:rsidDel="003843E7">
        <w:rPr>
          <w:rStyle w:val="FootnoteReference"/>
        </w:rPr>
        <w:footnoteReference w:id="1"/>
      </w:r>
      <w:r w:rsidDel="003843E7">
        <w:t>.</w:t>
      </w:r>
    </w:p>
    <w:p w14:paraId="45FDF8EF" w14:textId="77777777" w:rsidR="003843E7" w:rsidRDefault="003843E7" w:rsidP="00184F1E">
      <w:pPr>
        <w:rPr>
          <w:b/>
          <w:sz w:val="24"/>
        </w:rPr>
      </w:pPr>
    </w:p>
    <w:p w14:paraId="00A4F808" w14:textId="17AF7CD5" w:rsidR="00184F1E" w:rsidRDefault="00184F1E" w:rsidP="00184F1E">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1C0292">
        <w:rPr>
          <w:b/>
          <w:noProof/>
          <w:sz w:val="24"/>
        </w:rPr>
        <w:t>1</w:t>
      </w:r>
      <w:r w:rsidRPr="008C2F58">
        <w:rPr>
          <w:b/>
          <w:noProof/>
          <w:sz w:val="24"/>
        </w:rPr>
        <w:fldChar w:fldCharType="end"/>
      </w:r>
      <w:r w:rsidRPr="008C2F58">
        <w:rPr>
          <w:b/>
          <w:sz w:val="24"/>
        </w:rPr>
        <w:t xml:space="preserve"> Total ODA Expenditure in FY 201</w:t>
      </w:r>
      <w:r>
        <w:rPr>
          <w:b/>
          <w:sz w:val="24"/>
        </w:rPr>
        <w:t>6</w:t>
      </w:r>
      <w:r w:rsidRPr="008C2F58">
        <w:rPr>
          <w:b/>
          <w:sz w:val="24"/>
        </w:rPr>
        <w:t>-1</w:t>
      </w:r>
      <w:r>
        <w:rPr>
          <w:b/>
          <w:sz w:val="24"/>
        </w:rPr>
        <w:t>7</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CD1652" w14:paraId="67298D3D" w14:textId="77777777" w:rsidTr="00CD1652">
        <w:tc>
          <w:tcPr>
            <w:tcW w:w="6374" w:type="dxa"/>
          </w:tcPr>
          <w:p w14:paraId="53CBEBB9" w14:textId="77777777" w:rsidR="00CD1652" w:rsidRDefault="00CD1652" w:rsidP="00C953C2">
            <w:pPr>
              <w:rPr>
                <w:b/>
                <w:sz w:val="24"/>
              </w:rPr>
            </w:pPr>
            <w:r w:rsidRPr="00BE6C6D">
              <w:rPr>
                <w:sz w:val="20"/>
              </w:rPr>
              <w:t>Objective</w:t>
            </w:r>
          </w:p>
        </w:tc>
        <w:tc>
          <w:tcPr>
            <w:tcW w:w="1423" w:type="dxa"/>
          </w:tcPr>
          <w:p w14:paraId="511F077A" w14:textId="77777777" w:rsidR="00CD1652" w:rsidRDefault="00CD1652" w:rsidP="00C953C2">
            <w:pPr>
              <w:jc w:val="center"/>
              <w:rPr>
                <w:b/>
                <w:sz w:val="24"/>
              </w:rPr>
            </w:pPr>
            <w:r w:rsidRPr="00BE6C6D">
              <w:rPr>
                <w:sz w:val="20"/>
              </w:rPr>
              <w:t>A$ million</w:t>
            </w:r>
          </w:p>
        </w:tc>
        <w:tc>
          <w:tcPr>
            <w:tcW w:w="1417" w:type="dxa"/>
          </w:tcPr>
          <w:p w14:paraId="2E6EAE82" w14:textId="77777777" w:rsidR="00CD1652" w:rsidRDefault="00CD1652" w:rsidP="00C953C2">
            <w:pPr>
              <w:jc w:val="center"/>
              <w:rPr>
                <w:b/>
                <w:sz w:val="24"/>
              </w:rPr>
            </w:pPr>
            <w:r w:rsidRPr="00BE6C6D">
              <w:rPr>
                <w:sz w:val="20"/>
              </w:rPr>
              <w:t>% of total ODA</w:t>
            </w:r>
          </w:p>
        </w:tc>
      </w:tr>
      <w:tr w:rsidR="00CD1652" w14:paraId="530B1447" w14:textId="77777777" w:rsidTr="00CD1652">
        <w:tc>
          <w:tcPr>
            <w:tcW w:w="6374" w:type="dxa"/>
          </w:tcPr>
          <w:p w14:paraId="401C3919" w14:textId="77777777" w:rsidR="00CD1652" w:rsidRDefault="00CD1652" w:rsidP="00C953C2">
            <w:pPr>
              <w:rPr>
                <w:b/>
                <w:sz w:val="24"/>
              </w:rPr>
            </w:pPr>
            <w:r w:rsidRPr="00BE6C6D">
              <w:rPr>
                <w:sz w:val="20"/>
              </w:rPr>
              <w:t>Objective 1</w:t>
            </w:r>
            <w:r w:rsidR="00D24CF8">
              <w:rPr>
                <w:sz w:val="20"/>
              </w:rPr>
              <w:t>: Generating sustainable inclusive growth and employment</w:t>
            </w:r>
          </w:p>
        </w:tc>
        <w:tc>
          <w:tcPr>
            <w:tcW w:w="1423" w:type="dxa"/>
          </w:tcPr>
          <w:p w14:paraId="15C7490E" w14:textId="77777777" w:rsidR="00CD1652" w:rsidRPr="00FD4934" w:rsidRDefault="003315EC" w:rsidP="003315EC">
            <w:pPr>
              <w:rPr>
                <w:sz w:val="20"/>
              </w:rPr>
            </w:pPr>
            <w:r w:rsidRPr="00FD4934">
              <w:rPr>
                <w:sz w:val="20"/>
              </w:rPr>
              <w:t>12.</w:t>
            </w:r>
            <w:r w:rsidR="002B6A77" w:rsidRPr="00FD4934">
              <w:rPr>
                <w:sz w:val="20"/>
              </w:rPr>
              <w:t>8</w:t>
            </w:r>
          </w:p>
        </w:tc>
        <w:tc>
          <w:tcPr>
            <w:tcW w:w="1417" w:type="dxa"/>
          </w:tcPr>
          <w:p w14:paraId="194A50D1" w14:textId="77777777" w:rsidR="00CD1652" w:rsidRPr="00FD4934" w:rsidRDefault="002B6A77" w:rsidP="00C953C2">
            <w:pPr>
              <w:rPr>
                <w:sz w:val="20"/>
              </w:rPr>
            </w:pPr>
            <w:r w:rsidRPr="00FD4934">
              <w:rPr>
                <w:sz w:val="20"/>
              </w:rPr>
              <w:t>26 %</w:t>
            </w:r>
          </w:p>
        </w:tc>
      </w:tr>
      <w:tr w:rsidR="00CD1652" w14:paraId="06F659FF" w14:textId="77777777" w:rsidTr="00CD1652">
        <w:tc>
          <w:tcPr>
            <w:tcW w:w="6374" w:type="dxa"/>
          </w:tcPr>
          <w:p w14:paraId="6B15C407" w14:textId="36FA6962" w:rsidR="00CD1652" w:rsidRDefault="00CD1652" w:rsidP="00C953C2">
            <w:pPr>
              <w:rPr>
                <w:b/>
                <w:sz w:val="24"/>
              </w:rPr>
            </w:pPr>
            <w:r w:rsidRPr="00BE6C6D">
              <w:rPr>
                <w:sz w:val="20"/>
              </w:rPr>
              <w:t>Objective 2</w:t>
            </w:r>
            <w:r w:rsidR="00D24CF8">
              <w:rPr>
                <w:sz w:val="20"/>
              </w:rPr>
              <w:t>: Investing in Pakistan’s people</w:t>
            </w:r>
            <w:r w:rsidR="00CC07D8">
              <w:rPr>
                <w:sz w:val="20"/>
              </w:rPr>
              <w:t xml:space="preserve"> with a focus on women and girls</w:t>
            </w:r>
          </w:p>
        </w:tc>
        <w:tc>
          <w:tcPr>
            <w:tcW w:w="1423" w:type="dxa"/>
          </w:tcPr>
          <w:p w14:paraId="3D0E3163" w14:textId="77777777" w:rsidR="00CD1652" w:rsidRPr="00FD4934" w:rsidRDefault="003315EC" w:rsidP="003315EC">
            <w:pPr>
              <w:rPr>
                <w:sz w:val="20"/>
              </w:rPr>
            </w:pPr>
            <w:r w:rsidRPr="00FD4934">
              <w:rPr>
                <w:sz w:val="20"/>
              </w:rPr>
              <w:t>17.</w:t>
            </w:r>
            <w:r w:rsidR="002B6A77" w:rsidRPr="00FD4934">
              <w:rPr>
                <w:sz w:val="20"/>
              </w:rPr>
              <w:t>1</w:t>
            </w:r>
          </w:p>
        </w:tc>
        <w:tc>
          <w:tcPr>
            <w:tcW w:w="1417" w:type="dxa"/>
          </w:tcPr>
          <w:p w14:paraId="64896BB8" w14:textId="77777777" w:rsidR="00CD1652" w:rsidRPr="00FD4934" w:rsidRDefault="002B6A77" w:rsidP="00C953C2">
            <w:pPr>
              <w:rPr>
                <w:sz w:val="20"/>
              </w:rPr>
            </w:pPr>
            <w:r w:rsidRPr="00FD4934">
              <w:rPr>
                <w:sz w:val="20"/>
              </w:rPr>
              <w:t>34 %</w:t>
            </w:r>
          </w:p>
        </w:tc>
      </w:tr>
      <w:tr w:rsidR="00CD1652" w14:paraId="0F3C310D" w14:textId="77777777" w:rsidTr="00CD1652">
        <w:tc>
          <w:tcPr>
            <w:tcW w:w="6374" w:type="dxa"/>
          </w:tcPr>
          <w:p w14:paraId="33E7518C" w14:textId="77777777" w:rsidR="00CD1652" w:rsidRDefault="00CD1652" w:rsidP="00C953C2">
            <w:pPr>
              <w:rPr>
                <w:b/>
                <w:sz w:val="24"/>
              </w:rPr>
            </w:pPr>
            <w:r w:rsidRPr="00BE6C6D">
              <w:rPr>
                <w:sz w:val="20"/>
              </w:rPr>
              <w:t>Objective 3</w:t>
            </w:r>
            <w:r w:rsidR="00D24CF8">
              <w:rPr>
                <w:sz w:val="20"/>
              </w:rPr>
              <w:t>: Supporting stabilisation and resilience</w:t>
            </w:r>
          </w:p>
        </w:tc>
        <w:tc>
          <w:tcPr>
            <w:tcW w:w="1423" w:type="dxa"/>
          </w:tcPr>
          <w:p w14:paraId="4C302D64" w14:textId="77777777" w:rsidR="003315EC" w:rsidRPr="00FD4934" w:rsidRDefault="002B6A77" w:rsidP="003315EC">
            <w:pPr>
              <w:rPr>
                <w:sz w:val="20"/>
              </w:rPr>
            </w:pPr>
            <w:r w:rsidRPr="00FD4934">
              <w:rPr>
                <w:sz w:val="20"/>
              </w:rPr>
              <w:t>12.6</w:t>
            </w:r>
          </w:p>
        </w:tc>
        <w:tc>
          <w:tcPr>
            <w:tcW w:w="1417" w:type="dxa"/>
          </w:tcPr>
          <w:p w14:paraId="6F4A44BE" w14:textId="77777777" w:rsidR="00CD1652" w:rsidRPr="00FD4934" w:rsidRDefault="002B6A77" w:rsidP="00C953C2">
            <w:pPr>
              <w:rPr>
                <w:sz w:val="20"/>
              </w:rPr>
            </w:pPr>
            <w:r w:rsidRPr="00FD4934">
              <w:rPr>
                <w:sz w:val="20"/>
              </w:rPr>
              <w:t>25 %</w:t>
            </w:r>
          </w:p>
        </w:tc>
      </w:tr>
      <w:tr w:rsidR="00CD1652" w14:paraId="538B1946" w14:textId="77777777" w:rsidTr="00CD1652">
        <w:tc>
          <w:tcPr>
            <w:tcW w:w="6374" w:type="dxa"/>
          </w:tcPr>
          <w:p w14:paraId="1332754D" w14:textId="77777777" w:rsidR="00CD1652" w:rsidRDefault="00CD1652" w:rsidP="00C953C2">
            <w:pPr>
              <w:rPr>
                <w:b/>
                <w:sz w:val="24"/>
              </w:rPr>
            </w:pPr>
            <w:r w:rsidRPr="00BE6C6D">
              <w:rPr>
                <w:sz w:val="20"/>
              </w:rPr>
              <w:t>Sub-Total Bilateral</w:t>
            </w:r>
          </w:p>
        </w:tc>
        <w:tc>
          <w:tcPr>
            <w:tcW w:w="1423" w:type="dxa"/>
          </w:tcPr>
          <w:p w14:paraId="11CAB995" w14:textId="77777777" w:rsidR="00CD1652" w:rsidRPr="00FD4934" w:rsidRDefault="003315EC" w:rsidP="00C953C2">
            <w:pPr>
              <w:rPr>
                <w:sz w:val="20"/>
              </w:rPr>
            </w:pPr>
            <w:r w:rsidRPr="00FD4934">
              <w:rPr>
                <w:sz w:val="20"/>
              </w:rPr>
              <w:t>42.5</w:t>
            </w:r>
          </w:p>
        </w:tc>
        <w:tc>
          <w:tcPr>
            <w:tcW w:w="1417" w:type="dxa"/>
          </w:tcPr>
          <w:p w14:paraId="293E3BDB" w14:textId="77777777" w:rsidR="00CD1652" w:rsidRPr="00FD4934" w:rsidRDefault="002B6A77" w:rsidP="00C953C2">
            <w:pPr>
              <w:rPr>
                <w:sz w:val="20"/>
              </w:rPr>
            </w:pPr>
            <w:r w:rsidRPr="00FD4934">
              <w:rPr>
                <w:sz w:val="20"/>
              </w:rPr>
              <w:t>86 %</w:t>
            </w:r>
          </w:p>
        </w:tc>
      </w:tr>
      <w:tr w:rsidR="00CD1652" w14:paraId="78D7476F" w14:textId="77777777" w:rsidTr="00CD1652">
        <w:tc>
          <w:tcPr>
            <w:tcW w:w="6374" w:type="dxa"/>
          </w:tcPr>
          <w:p w14:paraId="1A556EAB" w14:textId="77777777" w:rsidR="00CD1652" w:rsidRDefault="00CD1652" w:rsidP="00C953C2">
            <w:pPr>
              <w:rPr>
                <w:b/>
                <w:sz w:val="24"/>
              </w:rPr>
            </w:pPr>
            <w:r w:rsidRPr="00BE6C6D">
              <w:rPr>
                <w:sz w:val="20"/>
              </w:rPr>
              <w:t>Regional and Global</w:t>
            </w:r>
          </w:p>
        </w:tc>
        <w:tc>
          <w:tcPr>
            <w:tcW w:w="1423" w:type="dxa"/>
          </w:tcPr>
          <w:p w14:paraId="5A836099" w14:textId="77777777" w:rsidR="00CD1652" w:rsidRPr="00FD4934" w:rsidRDefault="007A6F49" w:rsidP="00C953C2">
            <w:pPr>
              <w:rPr>
                <w:sz w:val="20"/>
              </w:rPr>
            </w:pPr>
            <w:r w:rsidRPr="00FD4934">
              <w:rPr>
                <w:sz w:val="20"/>
              </w:rPr>
              <w:t>6.3</w:t>
            </w:r>
          </w:p>
        </w:tc>
        <w:tc>
          <w:tcPr>
            <w:tcW w:w="1417" w:type="dxa"/>
          </w:tcPr>
          <w:p w14:paraId="7D1DBC8C" w14:textId="77777777" w:rsidR="00CD1652" w:rsidRPr="00FD4934" w:rsidRDefault="002B6A77" w:rsidP="00C953C2">
            <w:pPr>
              <w:rPr>
                <w:sz w:val="20"/>
              </w:rPr>
            </w:pPr>
            <w:r w:rsidRPr="00FD4934">
              <w:rPr>
                <w:sz w:val="20"/>
              </w:rPr>
              <w:t>12 %</w:t>
            </w:r>
          </w:p>
        </w:tc>
      </w:tr>
      <w:tr w:rsidR="00CD1652" w14:paraId="5F1A415D" w14:textId="77777777" w:rsidTr="00CD1652">
        <w:tc>
          <w:tcPr>
            <w:tcW w:w="6374" w:type="dxa"/>
          </w:tcPr>
          <w:p w14:paraId="75DC61D6" w14:textId="77777777" w:rsidR="00CD1652" w:rsidRDefault="00CD1652" w:rsidP="00C953C2">
            <w:pPr>
              <w:rPr>
                <w:b/>
                <w:sz w:val="24"/>
              </w:rPr>
            </w:pPr>
            <w:r w:rsidRPr="00BE6C6D">
              <w:rPr>
                <w:sz w:val="20"/>
              </w:rPr>
              <w:t>Other Government Departments</w:t>
            </w:r>
          </w:p>
        </w:tc>
        <w:tc>
          <w:tcPr>
            <w:tcW w:w="1423" w:type="dxa"/>
          </w:tcPr>
          <w:p w14:paraId="22A239F7" w14:textId="77777777" w:rsidR="00CD1652" w:rsidRPr="00FD4934" w:rsidRDefault="006B6B73" w:rsidP="00C953C2">
            <w:pPr>
              <w:rPr>
                <w:sz w:val="20"/>
              </w:rPr>
            </w:pPr>
            <w:r w:rsidRPr="00FD4934">
              <w:rPr>
                <w:sz w:val="20"/>
              </w:rPr>
              <w:t>0</w:t>
            </w:r>
            <w:r w:rsidR="007A6F49" w:rsidRPr="00FD4934">
              <w:rPr>
                <w:sz w:val="20"/>
              </w:rPr>
              <w:t>.3</w:t>
            </w:r>
          </w:p>
        </w:tc>
        <w:tc>
          <w:tcPr>
            <w:tcW w:w="1417" w:type="dxa"/>
          </w:tcPr>
          <w:p w14:paraId="44968FDF" w14:textId="77777777" w:rsidR="00CD1652" w:rsidRPr="00FD4934" w:rsidRDefault="006B6B73" w:rsidP="00C953C2">
            <w:pPr>
              <w:rPr>
                <w:sz w:val="20"/>
              </w:rPr>
            </w:pPr>
            <w:r w:rsidRPr="00FD4934">
              <w:rPr>
                <w:sz w:val="20"/>
              </w:rPr>
              <w:t>0</w:t>
            </w:r>
            <w:r w:rsidR="002B6A77" w:rsidRPr="00FD4934">
              <w:rPr>
                <w:sz w:val="20"/>
              </w:rPr>
              <w:t>.6 %</w:t>
            </w:r>
          </w:p>
        </w:tc>
      </w:tr>
      <w:tr w:rsidR="00CD1652" w14:paraId="733F759C" w14:textId="77777777" w:rsidTr="00CD1652">
        <w:tc>
          <w:tcPr>
            <w:tcW w:w="6374" w:type="dxa"/>
          </w:tcPr>
          <w:p w14:paraId="0D4A8772" w14:textId="77777777" w:rsidR="00CD1652" w:rsidRDefault="00CD1652" w:rsidP="00C953C2">
            <w:pPr>
              <w:rPr>
                <w:b/>
                <w:sz w:val="24"/>
              </w:rPr>
            </w:pPr>
            <w:r w:rsidRPr="00BE6C6D">
              <w:rPr>
                <w:sz w:val="20"/>
              </w:rPr>
              <w:t>Total ODA Expenditure</w:t>
            </w:r>
          </w:p>
        </w:tc>
        <w:tc>
          <w:tcPr>
            <w:tcW w:w="1423" w:type="dxa"/>
          </w:tcPr>
          <w:p w14:paraId="7F3AE126" w14:textId="77777777" w:rsidR="00CD1652" w:rsidRPr="00FD4934" w:rsidRDefault="003315EC" w:rsidP="00C953C2">
            <w:pPr>
              <w:rPr>
                <w:sz w:val="20"/>
              </w:rPr>
            </w:pPr>
            <w:r w:rsidRPr="00FD4934">
              <w:rPr>
                <w:sz w:val="20"/>
              </w:rPr>
              <w:t>49.1</w:t>
            </w:r>
          </w:p>
        </w:tc>
        <w:tc>
          <w:tcPr>
            <w:tcW w:w="1417" w:type="dxa"/>
          </w:tcPr>
          <w:p w14:paraId="10DC6C9D" w14:textId="77777777" w:rsidR="00CD1652" w:rsidRPr="00FD4934" w:rsidRDefault="00CD1652" w:rsidP="00C953C2">
            <w:pPr>
              <w:rPr>
                <w:sz w:val="20"/>
              </w:rPr>
            </w:pPr>
          </w:p>
        </w:tc>
      </w:tr>
    </w:tbl>
    <w:p w14:paraId="12F8FFAC" w14:textId="77777777" w:rsidR="003843E7" w:rsidRPr="00840668" w:rsidRDefault="003843E7" w:rsidP="0063265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648FD2D0" w14:textId="6E2816A1" w:rsidR="005B5769" w:rsidRPr="0063265E" w:rsidRDefault="005B5769" w:rsidP="0063265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63265E">
        <w:rPr>
          <w:rFonts w:asciiTheme="majorHAnsi" w:eastAsiaTheme="majorEastAsia" w:hAnsiTheme="majorHAnsi" w:cstheme="majorBidi"/>
          <w:caps/>
          <w:color w:val="495965" w:themeColor="text2"/>
          <w:sz w:val="38"/>
          <w:szCs w:val="26"/>
          <w:lang w:val="en-GB" w:eastAsia="en-US"/>
        </w:rPr>
        <w:t>Performance against Strategic Objectives</w:t>
      </w:r>
    </w:p>
    <w:tbl>
      <w:tblPr>
        <w:tblStyle w:val="APPR"/>
        <w:tblW w:w="5000" w:type="pct"/>
        <w:tblLook w:val="0000" w:firstRow="0" w:lastRow="0" w:firstColumn="0" w:lastColumn="0" w:noHBand="0" w:noVBand="0"/>
      </w:tblPr>
      <w:tblGrid>
        <w:gridCol w:w="5849"/>
        <w:gridCol w:w="1126"/>
        <w:gridCol w:w="430"/>
        <w:gridCol w:w="1195"/>
        <w:gridCol w:w="1038"/>
      </w:tblGrid>
      <w:tr w:rsidR="002A4A0E" w:rsidRPr="00812509" w14:paraId="32E05E4B" w14:textId="77777777" w:rsidTr="00184F1E">
        <w:trPr>
          <w:cnfStyle w:val="000000010000" w:firstRow="0" w:lastRow="0" w:firstColumn="0" w:lastColumn="0" w:oddVBand="0" w:evenVBand="0" w:oddHBand="0" w:evenHBand="1" w:firstRowFirstColumn="0" w:firstRowLastColumn="0" w:lastRowFirstColumn="0" w:lastRowLastColumn="0"/>
          <w:trHeight w:val="651"/>
        </w:trPr>
        <w:tc>
          <w:tcPr>
            <w:tcW w:w="5807" w:type="dxa"/>
          </w:tcPr>
          <w:p w14:paraId="7C975A30" w14:textId="77777777" w:rsidR="002A4A0E" w:rsidRPr="00812509" w:rsidRDefault="002A4A0E" w:rsidP="00E65105">
            <w:pPr>
              <w:pStyle w:val="TableTextColumnHeading"/>
            </w:pPr>
            <w:r w:rsidRPr="00812509">
              <w:rPr>
                <w:noProof/>
              </w:rPr>
              <w:drawing>
                <wp:anchor distT="0" distB="0" distL="114300" distR="114300" simplePos="0" relativeHeight="251674624" behindDoc="0" locked="0" layoutInCell="1" allowOverlap="1" wp14:anchorId="70B1A968" wp14:editId="6ABCF895">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098" w:type="dxa"/>
          </w:tcPr>
          <w:p w14:paraId="556BE177" w14:textId="77777777" w:rsidR="002A4A0E" w:rsidRPr="00812509" w:rsidRDefault="002A4A0E" w:rsidP="00E65105">
            <w:pPr>
              <w:pStyle w:val="TableTextColumnHeading"/>
            </w:pPr>
            <w:r w:rsidRPr="00812509">
              <w:t>Previous Rating</w:t>
            </w:r>
          </w:p>
        </w:tc>
        <w:tc>
          <w:tcPr>
            <w:tcW w:w="402" w:type="dxa"/>
          </w:tcPr>
          <w:p w14:paraId="26B58027" w14:textId="77777777" w:rsidR="002A4A0E" w:rsidRPr="00812509" w:rsidRDefault="002A4A0E" w:rsidP="00E65105">
            <w:pPr>
              <w:pStyle w:val="TableTextColumnHeading"/>
            </w:pPr>
          </w:p>
        </w:tc>
        <w:tc>
          <w:tcPr>
            <w:tcW w:w="1167" w:type="dxa"/>
          </w:tcPr>
          <w:p w14:paraId="1C021D8E" w14:textId="77777777" w:rsidR="002A4A0E" w:rsidRPr="00812509" w:rsidRDefault="002A4A0E" w:rsidP="00E65105">
            <w:pPr>
              <w:pStyle w:val="TableTextColumnHeading"/>
            </w:pPr>
            <w:r w:rsidRPr="00812509">
              <w:t>Current Rating</w:t>
            </w:r>
          </w:p>
        </w:tc>
        <w:tc>
          <w:tcPr>
            <w:tcW w:w="996" w:type="dxa"/>
          </w:tcPr>
          <w:p w14:paraId="18348BB5" w14:textId="77777777" w:rsidR="002A4A0E" w:rsidRPr="002A4A0E" w:rsidRDefault="002A4A0E" w:rsidP="00E65105">
            <w:pPr>
              <w:pStyle w:val="TableTextColumnHeading"/>
            </w:pPr>
          </w:p>
        </w:tc>
      </w:tr>
      <w:tr w:rsidR="002A4A0E" w:rsidRPr="00812509" w14:paraId="0B3ED8E1" w14:textId="77777777" w:rsidTr="00184F1E">
        <w:trPr>
          <w:cnfStyle w:val="000000010000" w:firstRow="0" w:lastRow="0" w:firstColumn="0" w:lastColumn="0" w:oddVBand="0" w:evenVBand="0" w:oddHBand="0" w:evenHBand="1" w:firstRowFirstColumn="0" w:firstRowLastColumn="0" w:lastRowFirstColumn="0" w:lastRowLastColumn="0"/>
        </w:trPr>
        <w:tc>
          <w:tcPr>
            <w:tcW w:w="5807" w:type="dxa"/>
          </w:tcPr>
          <w:p w14:paraId="648E3E48" w14:textId="77777777" w:rsidR="002A4A0E" w:rsidRPr="00812509" w:rsidRDefault="002A4A0E" w:rsidP="002A4A0E">
            <w:pPr>
              <w:pStyle w:val="TableTextEntries"/>
              <w:rPr>
                <w:rFonts w:asciiTheme="minorHAnsi" w:hAnsiTheme="minorHAnsi"/>
              </w:rPr>
            </w:pPr>
            <w:r w:rsidRPr="00812509">
              <w:rPr>
                <w:rFonts w:asciiTheme="minorHAnsi" w:hAnsiTheme="minorHAnsi"/>
              </w:rPr>
              <w:t>Objective 1</w:t>
            </w:r>
            <w:r w:rsidR="00D24CF8">
              <w:rPr>
                <w:rFonts w:asciiTheme="minorHAnsi" w:hAnsiTheme="minorHAnsi"/>
              </w:rPr>
              <w:t>: Generating sustainable inclusive growth and employment</w:t>
            </w:r>
          </w:p>
        </w:tc>
        <w:tc>
          <w:tcPr>
            <w:tcW w:w="1098" w:type="dxa"/>
            <w:shd w:val="clear" w:color="auto" w:fill="72AF2F"/>
            <w:noWrap/>
          </w:tcPr>
          <w:p w14:paraId="3FF84498" w14:textId="77777777" w:rsidR="002A4A0E" w:rsidRPr="00812509" w:rsidRDefault="002A4A0E" w:rsidP="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14:paraId="326C5F66" w14:textId="77777777" w:rsidR="002A4A0E" w:rsidRPr="00812509" w:rsidRDefault="002A4A0E" w:rsidP="007A6119">
            <w:pPr>
              <w:pStyle w:val="TableTextEntries"/>
              <w:jc w:val="center"/>
              <w:rPr>
                <w:rFonts w:asciiTheme="minorHAnsi" w:hAnsiTheme="minorHAnsi"/>
                <w:color w:val="FFFFFF" w:themeColor="background1"/>
              </w:rPr>
            </w:pPr>
          </w:p>
        </w:tc>
        <w:tc>
          <w:tcPr>
            <w:tcW w:w="1167" w:type="dxa"/>
            <w:shd w:val="clear" w:color="auto" w:fill="E36C0A"/>
            <w:noWrap/>
          </w:tcPr>
          <w:p w14:paraId="0294A047" w14:textId="77777777" w:rsidR="002A4A0E" w:rsidRPr="00812509" w:rsidRDefault="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c>
          <w:tcPr>
            <w:tcW w:w="996" w:type="dxa"/>
            <w:shd w:val="clear" w:color="auto" w:fill="auto"/>
          </w:tcPr>
          <w:p w14:paraId="1AD57D91" w14:textId="77777777" w:rsidR="002A4A0E" w:rsidRPr="002A4A0E" w:rsidRDefault="002A4A0E" w:rsidP="00184F1E">
            <w:pPr>
              <w:pStyle w:val="TableTextEntries"/>
              <w:jc w:val="center"/>
              <w:rPr>
                <w:rFonts w:asciiTheme="minorHAnsi" w:hAnsiTheme="minorHAnsi"/>
                <w:color w:val="FFFFFF" w:themeColor="background1"/>
              </w:rPr>
            </w:pPr>
          </w:p>
        </w:tc>
      </w:tr>
      <w:tr w:rsidR="002A4A0E" w:rsidRPr="00812509" w14:paraId="10883AE3" w14:textId="77777777" w:rsidTr="00184F1E">
        <w:trPr>
          <w:cnfStyle w:val="000000010000" w:firstRow="0" w:lastRow="0" w:firstColumn="0" w:lastColumn="0" w:oddVBand="0" w:evenVBand="0" w:oddHBand="0" w:evenHBand="1" w:firstRowFirstColumn="0" w:firstRowLastColumn="0" w:lastRowFirstColumn="0" w:lastRowLastColumn="0"/>
        </w:trPr>
        <w:tc>
          <w:tcPr>
            <w:tcW w:w="5807" w:type="dxa"/>
          </w:tcPr>
          <w:p w14:paraId="0512F8DF" w14:textId="1AEBEF2F" w:rsidR="002A4A0E" w:rsidRPr="00812509" w:rsidRDefault="002A4A0E" w:rsidP="002A4A0E">
            <w:pPr>
              <w:pStyle w:val="TableTextEntries"/>
              <w:rPr>
                <w:rFonts w:asciiTheme="minorHAnsi" w:hAnsiTheme="minorHAnsi"/>
              </w:rPr>
            </w:pPr>
            <w:r w:rsidRPr="00812509">
              <w:rPr>
                <w:rFonts w:asciiTheme="minorHAnsi" w:hAnsiTheme="minorHAnsi"/>
              </w:rPr>
              <w:t>Objective 2</w:t>
            </w:r>
            <w:r w:rsidR="00D24CF8">
              <w:rPr>
                <w:rFonts w:asciiTheme="minorHAnsi" w:hAnsiTheme="minorHAnsi"/>
              </w:rPr>
              <w:t>: Investing in Pakistan’s people</w:t>
            </w:r>
            <w:r w:rsidR="00845E65">
              <w:t xml:space="preserve"> </w:t>
            </w:r>
            <w:r w:rsidR="00845E65" w:rsidRPr="00845E65">
              <w:rPr>
                <w:rFonts w:asciiTheme="minorHAnsi" w:hAnsiTheme="minorHAnsi"/>
              </w:rPr>
              <w:t>with a focus on women and girls</w:t>
            </w:r>
          </w:p>
        </w:tc>
        <w:tc>
          <w:tcPr>
            <w:tcW w:w="1098" w:type="dxa"/>
            <w:shd w:val="clear" w:color="auto" w:fill="E36C0A"/>
            <w:noWrap/>
          </w:tcPr>
          <w:p w14:paraId="43E24147" w14:textId="77777777" w:rsidR="002A4A0E" w:rsidRPr="00812509" w:rsidRDefault="002A4A0E" w:rsidP="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c>
          <w:tcPr>
            <w:tcW w:w="402" w:type="dxa"/>
          </w:tcPr>
          <w:p w14:paraId="59EF1875" w14:textId="77777777" w:rsidR="002A4A0E" w:rsidRPr="00812509" w:rsidRDefault="002A4A0E" w:rsidP="007A6119">
            <w:pPr>
              <w:pStyle w:val="TableTextEntries"/>
              <w:jc w:val="center"/>
              <w:rPr>
                <w:rFonts w:asciiTheme="minorHAnsi" w:hAnsiTheme="minorHAnsi"/>
                <w:color w:val="FFFFFF" w:themeColor="background1"/>
              </w:rPr>
            </w:pPr>
          </w:p>
        </w:tc>
        <w:tc>
          <w:tcPr>
            <w:tcW w:w="1167" w:type="dxa"/>
            <w:shd w:val="clear" w:color="auto" w:fill="72AF2F"/>
            <w:noWrap/>
          </w:tcPr>
          <w:p w14:paraId="448A2E46" w14:textId="77777777" w:rsidR="002A4A0E" w:rsidRPr="00812509" w:rsidRDefault="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996" w:type="dxa"/>
            <w:shd w:val="clear" w:color="auto" w:fill="auto"/>
          </w:tcPr>
          <w:p w14:paraId="041E113E" w14:textId="77777777" w:rsidR="002A4A0E" w:rsidRPr="002A4A0E" w:rsidRDefault="002A4A0E" w:rsidP="00184F1E">
            <w:pPr>
              <w:pStyle w:val="TableTextEntries"/>
              <w:jc w:val="center"/>
              <w:rPr>
                <w:rFonts w:asciiTheme="minorHAnsi" w:hAnsiTheme="minorHAnsi"/>
                <w:color w:val="FFFFFF" w:themeColor="background1"/>
              </w:rPr>
            </w:pPr>
          </w:p>
        </w:tc>
      </w:tr>
      <w:tr w:rsidR="00D24CF8" w:rsidRPr="00812509" w14:paraId="303E5BFE" w14:textId="77777777" w:rsidTr="00120BB1">
        <w:trPr>
          <w:cnfStyle w:val="000000010000" w:firstRow="0" w:lastRow="0" w:firstColumn="0" w:lastColumn="0" w:oddVBand="0" w:evenVBand="0" w:oddHBand="0" w:evenHBand="1" w:firstRowFirstColumn="0" w:firstRowLastColumn="0" w:lastRowFirstColumn="0" w:lastRowLastColumn="0"/>
        </w:trPr>
        <w:tc>
          <w:tcPr>
            <w:tcW w:w="5807" w:type="dxa"/>
          </w:tcPr>
          <w:p w14:paraId="5547D541" w14:textId="77777777" w:rsidR="00D24CF8" w:rsidRPr="00812509" w:rsidRDefault="00D24CF8" w:rsidP="00D24CF8">
            <w:pPr>
              <w:pStyle w:val="TableTextEntries"/>
              <w:rPr>
                <w:rFonts w:asciiTheme="minorHAnsi" w:hAnsiTheme="minorHAnsi"/>
              </w:rPr>
            </w:pPr>
            <w:r w:rsidRPr="00812509">
              <w:rPr>
                <w:rFonts w:asciiTheme="minorHAnsi" w:hAnsiTheme="minorHAnsi"/>
              </w:rPr>
              <w:t>Objective 3</w:t>
            </w:r>
            <w:r>
              <w:rPr>
                <w:rFonts w:asciiTheme="minorHAnsi" w:hAnsiTheme="minorHAnsi"/>
              </w:rPr>
              <w:t>: Supporting stabilisation and resilience</w:t>
            </w:r>
          </w:p>
        </w:tc>
        <w:tc>
          <w:tcPr>
            <w:tcW w:w="1098" w:type="dxa"/>
            <w:shd w:val="clear" w:color="auto" w:fill="FFFFFF" w:themeFill="background1"/>
            <w:noWrap/>
          </w:tcPr>
          <w:p w14:paraId="3FCD00B2" w14:textId="77777777" w:rsidR="00D24CF8" w:rsidRPr="00812509" w:rsidRDefault="00120BB1" w:rsidP="00120BB1">
            <w:pPr>
              <w:pStyle w:val="TableTextEntries"/>
              <w:jc w:val="center"/>
              <w:rPr>
                <w:rFonts w:asciiTheme="minorHAnsi" w:hAnsiTheme="minorHAnsi"/>
                <w:color w:val="FFFFFF" w:themeColor="background1"/>
              </w:rPr>
            </w:pPr>
            <w:r w:rsidRPr="00120BB1">
              <w:rPr>
                <w:rFonts w:asciiTheme="minorHAnsi" w:hAnsi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w:t>
            </w:r>
          </w:p>
        </w:tc>
        <w:tc>
          <w:tcPr>
            <w:tcW w:w="402" w:type="dxa"/>
          </w:tcPr>
          <w:p w14:paraId="36A07D96" w14:textId="77777777" w:rsidR="00D24CF8" w:rsidRPr="00812509" w:rsidRDefault="00D24CF8" w:rsidP="00D24CF8">
            <w:pPr>
              <w:pStyle w:val="TableTextEntries"/>
              <w:jc w:val="center"/>
              <w:rPr>
                <w:rFonts w:asciiTheme="minorHAnsi" w:hAnsiTheme="minorHAnsi"/>
                <w:color w:val="FFFFFF" w:themeColor="background1"/>
              </w:rPr>
            </w:pPr>
          </w:p>
        </w:tc>
        <w:tc>
          <w:tcPr>
            <w:tcW w:w="1167" w:type="dxa"/>
            <w:shd w:val="clear" w:color="auto" w:fill="7FB64D" w:themeFill="accent3" w:themeFillShade="BF"/>
            <w:noWrap/>
          </w:tcPr>
          <w:p w14:paraId="45FEC3ED" w14:textId="77777777" w:rsidR="00D24CF8" w:rsidRPr="00812509" w:rsidRDefault="00120BB1" w:rsidP="00120BB1">
            <w:pPr>
              <w:pStyle w:val="TableTextEntries"/>
              <w:tabs>
                <w:tab w:val="center" w:pos="475"/>
              </w:tabs>
              <w:rPr>
                <w:rFonts w:asciiTheme="minorHAnsi" w:hAnsiTheme="minorHAnsi"/>
                <w:color w:val="FFFFFF" w:themeColor="background1"/>
              </w:rPr>
            </w:pPr>
            <w:r>
              <w:rPr>
                <w:rFonts w:asciiTheme="minorHAnsi" w:hAnsiTheme="minorHAnsi"/>
                <w:color w:val="FFFFFF" w:themeColor="background1"/>
              </w:rPr>
              <w:tab/>
            </w:r>
            <w:r w:rsidR="00D24CF8" w:rsidRPr="00812509">
              <w:rPr>
                <w:rFonts w:asciiTheme="minorHAnsi" w:hAnsiTheme="minorHAnsi"/>
                <w:color w:val="FFFFFF" w:themeColor="background1"/>
              </w:rPr>
              <w:t>Green</w:t>
            </w:r>
          </w:p>
        </w:tc>
        <w:tc>
          <w:tcPr>
            <w:tcW w:w="996" w:type="dxa"/>
            <w:shd w:val="clear" w:color="auto" w:fill="auto"/>
          </w:tcPr>
          <w:p w14:paraId="59AF2C2B" w14:textId="77777777" w:rsidR="00D24CF8" w:rsidRPr="002A4A0E" w:rsidRDefault="00D24CF8" w:rsidP="00D24CF8">
            <w:pPr>
              <w:pStyle w:val="TableTextEntries"/>
              <w:jc w:val="center"/>
              <w:rPr>
                <w:rFonts w:asciiTheme="minorHAnsi" w:hAnsiTheme="minorHAnsi"/>
                <w:color w:val="FFFFFF" w:themeColor="background1"/>
              </w:rPr>
            </w:pPr>
          </w:p>
        </w:tc>
      </w:tr>
    </w:tbl>
    <w:p w14:paraId="635BE81A" w14:textId="77777777" w:rsidR="005B5769" w:rsidRPr="00812509" w:rsidRDefault="005B5769" w:rsidP="002A4A0E">
      <w:pPr>
        <w:pStyle w:val="Note"/>
        <w:rPr>
          <w:rFonts w:asciiTheme="minorHAnsi" w:hAnsiTheme="minorHAnsi"/>
          <w:sz w:val="16"/>
        </w:rPr>
      </w:pPr>
      <w:r w:rsidRPr="00812509">
        <w:rPr>
          <w:rFonts w:asciiTheme="minorHAnsi" w:hAnsiTheme="minorHAnsi"/>
          <w:sz w:val="16"/>
        </w:rPr>
        <w:t xml:space="preserve">Note: </w:t>
      </w:r>
    </w:p>
    <w:p w14:paraId="57E41C90" w14:textId="77777777"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14:paraId="6528A876" w14:textId="77777777"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14:paraId="4926619D" w14:textId="02045C71" w:rsidR="005B5769" w:rsidRPr="00C4114C" w:rsidRDefault="005B5769" w:rsidP="005B5769">
      <w:pPr>
        <w:pStyle w:val="Note"/>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14:paraId="3AB12E5A" w14:textId="77777777" w:rsidR="00845E65" w:rsidRDefault="00845E65">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607B8D17" w14:textId="35207EE7" w:rsidR="00695730" w:rsidRDefault="0051121D" w:rsidP="005864EC">
      <w:pPr>
        <w:keepNex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lastRenderedPageBreak/>
        <w:t xml:space="preserve">Objective 1: Generating sustainable inclusive growth and employment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695730" w:rsidRPr="00695730" w14:paraId="5EAFA0B9" w14:textId="77777777" w:rsidTr="005864EC">
        <w:trPr>
          <w:cantSplit/>
        </w:trPr>
        <w:tc>
          <w:tcPr>
            <w:tcW w:w="2016" w:type="dxa"/>
          </w:tcPr>
          <w:p w14:paraId="7EE08903" w14:textId="77777777" w:rsidR="00695730" w:rsidRPr="00695730" w:rsidRDefault="00695730" w:rsidP="00695730">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6E996B6E" wp14:editId="0EBB4C1B">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06F53A3E" w14:textId="77777777" w:rsidR="00695730" w:rsidRPr="00695730" w:rsidRDefault="00695730" w:rsidP="00695730">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42636613" wp14:editId="7A4FBE91">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08C823A2" w14:textId="77777777" w:rsidR="00695730" w:rsidRPr="00695730" w:rsidRDefault="008869E6"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604EAE72" wp14:editId="4587294D">
                  <wp:extent cx="612000" cy="6120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010BBFCB" w14:textId="77777777" w:rsidR="00695730" w:rsidRPr="00695730" w:rsidRDefault="008869E6"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6D48394D" wp14:editId="06CB2002">
                  <wp:extent cx="609600" cy="609600"/>
                  <wp:effectExtent l="0" t="0" r="0" b="0"/>
                  <wp:docPr id="45" name="Picture 45"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tcPr>
          <w:p w14:paraId="3AC97C3A" w14:textId="77777777" w:rsidR="00695730" w:rsidRPr="00695730" w:rsidRDefault="008869E6"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3997A8E5" wp14:editId="0A372D90">
                  <wp:extent cx="612000" cy="612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22F305CE" w14:textId="3D917B63" w:rsidR="00257BB4" w:rsidRDefault="00981B14" w:rsidP="009E2975">
      <w:pPr>
        <w:spacing w:before="240" w:line="240" w:lineRule="auto"/>
        <w:rPr>
          <w:rFonts w:eastAsia="Times New Roman"/>
        </w:rPr>
      </w:pPr>
      <w:r>
        <w:rPr>
          <w:rFonts w:eastAsia="Times New Roman"/>
        </w:rPr>
        <w:t>This</w:t>
      </w:r>
      <w:r w:rsidR="00CD1652" w:rsidRPr="00CA7DD8">
        <w:rPr>
          <w:rFonts w:eastAsia="Times New Roman"/>
        </w:rPr>
        <w:t xml:space="preserve"> objectiv</w:t>
      </w:r>
      <w:r w:rsidR="00DB23E8">
        <w:rPr>
          <w:rFonts w:eastAsia="Times New Roman"/>
        </w:rPr>
        <w:t xml:space="preserve">e </w:t>
      </w:r>
      <w:r w:rsidR="00DB23E8">
        <w:rPr>
          <w:rFonts w:eastAsia="Times New Roman"/>
          <w:b/>
        </w:rPr>
        <w:t>–</w:t>
      </w:r>
      <w:r w:rsidR="00DB23E8" w:rsidRPr="00946D45">
        <w:rPr>
          <w:rFonts w:eastAsia="Times New Roman"/>
          <w:b/>
        </w:rPr>
        <w:t xml:space="preserve"> </w:t>
      </w:r>
      <w:r w:rsidR="00DB23E8">
        <w:rPr>
          <w:rFonts w:eastAsia="Times New Roman"/>
          <w:b/>
        </w:rPr>
        <w:t xml:space="preserve"> </w:t>
      </w:r>
      <w:r w:rsidR="004A3C57" w:rsidRPr="001F68F4">
        <w:rPr>
          <w:rFonts w:eastAsia="Times New Roman"/>
          <w:i/>
        </w:rPr>
        <w:t>Generating sustainable inclusive growth and employment through improved agricultural and mark</w:t>
      </w:r>
      <w:r w:rsidR="005152FB" w:rsidRPr="001F68F4">
        <w:rPr>
          <w:rFonts w:eastAsia="Times New Roman"/>
          <w:i/>
        </w:rPr>
        <w:t>et development, increased trade</w:t>
      </w:r>
      <w:r w:rsidR="004A3C57" w:rsidRPr="001F68F4">
        <w:rPr>
          <w:rFonts w:eastAsia="Times New Roman"/>
          <w:i/>
        </w:rPr>
        <w:t xml:space="preserve"> and investment, and water resources management</w:t>
      </w:r>
      <w:r w:rsidR="00DB23E8">
        <w:rPr>
          <w:rFonts w:eastAsia="Times New Roman"/>
          <w:i/>
        </w:rPr>
        <w:t xml:space="preserve"> </w:t>
      </w:r>
      <w:r w:rsidR="00DB23E8">
        <w:rPr>
          <w:rFonts w:eastAsia="Times New Roman"/>
          <w:b/>
        </w:rPr>
        <w:t>–</w:t>
      </w:r>
      <w:r w:rsidR="00DB23E8" w:rsidRPr="00946D45">
        <w:rPr>
          <w:rFonts w:eastAsia="Times New Roman"/>
          <w:b/>
        </w:rPr>
        <w:t xml:space="preserve"> </w:t>
      </w:r>
      <w:r w:rsidR="00DB23E8">
        <w:rPr>
          <w:rFonts w:eastAsia="Times New Roman"/>
          <w:b/>
        </w:rPr>
        <w:t xml:space="preserve"> </w:t>
      </w:r>
      <w:r w:rsidR="00CD1652" w:rsidRPr="00CA7DD8">
        <w:rPr>
          <w:rFonts w:eastAsia="Times New Roman"/>
        </w:rPr>
        <w:t xml:space="preserve">was rated </w:t>
      </w:r>
      <w:r w:rsidR="004763A2">
        <w:rPr>
          <w:rFonts w:eastAsia="Times New Roman"/>
        </w:rPr>
        <w:t>amber</w:t>
      </w:r>
      <w:r w:rsidR="00CD1652" w:rsidRPr="00CA7DD8">
        <w:rPr>
          <w:rFonts w:eastAsia="Times New Roman"/>
        </w:rPr>
        <w:t xml:space="preserve"> because</w:t>
      </w:r>
      <w:r w:rsidR="004763A2">
        <w:rPr>
          <w:rFonts w:eastAsia="Times New Roman"/>
        </w:rPr>
        <w:t xml:space="preserve"> of mixed progress withi</w:t>
      </w:r>
      <w:r w:rsidR="00985DA2">
        <w:rPr>
          <w:rFonts w:eastAsia="Times New Roman"/>
        </w:rPr>
        <w:t>n the ec</w:t>
      </w:r>
      <w:r w:rsidR="00C46097">
        <w:rPr>
          <w:rFonts w:eastAsia="Times New Roman"/>
        </w:rPr>
        <w:t>onomic growth portfolio. M</w:t>
      </w:r>
      <w:r w:rsidR="00985DA2">
        <w:rPr>
          <w:rFonts w:eastAsia="Times New Roman"/>
        </w:rPr>
        <w:t>ost investments are performing in line with expectations</w:t>
      </w:r>
      <w:r w:rsidR="001F68F4">
        <w:rPr>
          <w:rFonts w:eastAsia="Times New Roman"/>
        </w:rPr>
        <w:t>,</w:t>
      </w:r>
      <w:r w:rsidR="00636738">
        <w:rPr>
          <w:rFonts w:eastAsia="Times New Roman"/>
        </w:rPr>
        <w:t xml:space="preserve"> wi</w:t>
      </w:r>
      <w:r w:rsidR="001F68F4">
        <w:rPr>
          <w:rFonts w:eastAsia="Times New Roman"/>
        </w:rPr>
        <w:t>th some exceeding expectations. However,</w:t>
      </w:r>
      <w:r w:rsidR="00636738">
        <w:rPr>
          <w:rFonts w:eastAsia="Times New Roman"/>
        </w:rPr>
        <w:t xml:space="preserve"> </w:t>
      </w:r>
      <w:r w:rsidR="004763A2">
        <w:rPr>
          <w:rFonts w:eastAsia="Times New Roman"/>
        </w:rPr>
        <w:t>two investments</w:t>
      </w:r>
      <w:r w:rsidR="00EC1011">
        <w:rPr>
          <w:rFonts w:eastAsia="Times New Roman"/>
        </w:rPr>
        <w:t xml:space="preserve"> which aim to </w:t>
      </w:r>
      <w:r w:rsidR="00B36BBA">
        <w:rPr>
          <w:rFonts w:eastAsia="Times New Roman"/>
        </w:rPr>
        <w:t>promote</w:t>
      </w:r>
      <w:r w:rsidR="00EC1011" w:rsidRPr="00EC1011">
        <w:rPr>
          <w:rFonts w:eastAsia="Times New Roman"/>
        </w:rPr>
        <w:t xml:space="preserve"> evidence based policy reform in trade and agriculture</w:t>
      </w:r>
      <w:r w:rsidR="00DB23E8">
        <w:rPr>
          <w:rFonts w:eastAsia="Times New Roman"/>
        </w:rPr>
        <w:t xml:space="preserve"> </w:t>
      </w:r>
      <w:r w:rsidR="00DB23E8">
        <w:rPr>
          <w:rFonts w:eastAsia="Times New Roman"/>
          <w:b/>
        </w:rPr>
        <w:t>–</w:t>
      </w:r>
      <w:r w:rsidR="00DB23E8" w:rsidRPr="00946D45">
        <w:rPr>
          <w:rFonts w:eastAsia="Times New Roman"/>
          <w:b/>
        </w:rPr>
        <w:t xml:space="preserve"> </w:t>
      </w:r>
      <w:r w:rsidR="00DB23E8">
        <w:rPr>
          <w:rFonts w:eastAsia="Times New Roman"/>
          <w:b/>
        </w:rPr>
        <w:t xml:space="preserve"> </w:t>
      </w:r>
      <w:r w:rsidR="006D1404">
        <w:rPr>
          <w:rFonts w:eastAsia="Times New Roman"/>
        </w:rPr>
        <w:t>t</w:t>
      </w:r>
      <w:r w:rsidR="006D1404" w:rsidRPr="008F2667">
        <w:rPr>
          <w:rFonts w:eastAsia="Times New Roman"/>
        </w:rPr>
        <w:t xml:space="preserve">he </w:t>
      </w:r>
      <w:r w:rsidR="006D1404" w:rsidRPr="00471F7F">
        <w:rPr>
          <w:rFonts w:eastAsia="Times New Roman"/>
        </w:rPr>
        <w:t xml:space="preserve">Pakistan Trade and Investment Policy </w:t>
      </w:r>
      <w:r w:rsidR="008E4C41" w:rsidRPr="00471F7F">
        <w:rPr>
          <w:rFonts w:eastAsia="Times New Roman"/>
        </w:rPr>
        <w:t>P</w:t>
      </w:r>
      <w:r w:rsidR="006D1404" w:rsidRPr="00471F7F">
        <w:rPr>
          <w:rFonts w:eastAsia="Times New Roman"/>
        </w:rPr>
        <w:t>rogram</w:t>
      </w:r>
      <w:r w:rsidR="006D1404">
        <w:rPr>
          <w:rFonts w:eastAsia="Times New Roman"/>
        </w:rPr>
        <w:t xml:space="preserve"> (PTIPP) and</w:t>
      </w:r>
      <w:r w:rsidR="006D1404" w:rsidRPr="006D1404">
        <w:rPr>
          <w:rFonts w:eastAsia="Times New Roman"/>
        </w:rPr>
        <w:t xml:space="preserve"> </w:t>
      </w:r>
      <w:r w:rsidR="006D1404">
        <w:rPr>
          <w:rFonts w:eastAsia="Times New Roman"/>
        </w:rPr>
        <w:t xml:space="preserve">the </w:t>
      </w:r>
      <w:r w:rsidR="006D1404" w:rsidRPr="00471F7F">
        <w:rPr>
          <w:rFonts w:eastAsia="Times New Roman"/>
        </w:rPr>
        <w:t xml:space="preserve">Agricultural Value Chain Collaborative Research </w:t>
      </w:r>
      <w:r w:rsidR="008E4C41" w:rsidRPr="00471F7F">
        <w:rPr>
          <w:rFonts w:eastAsia="Times New Roman"/>
        </w:rPr>
        <w:t>P</w:t>
      </w:r>
      <w:r w:rsidR="006D1404" w:rsidRPr="00471F7F">
        <w:rPr>
          <w:rFonts w:eastAsia="Times New Roman"/>
        </w:rPr>
        <w:t>rogram</w:t>
      </w:r>
      <w:r w:rsidR="004763A2">
        <w:rPr>
          <w:rFonts w:eastAsia="Times New Roman"/>
        </w:rPr>
        <w:t xml:space="preserve"> </w:t>
      </w:r>
      <w:r w:rsidR="006D1404">
        <w:rPr>
          <w:rFonts w:eastAsia="Times New Roman"/>
        </w:rPr>
        <w:t xml:space="preserve">(AVCCR) </w:t>
      </w:r>
      <w:r w:rsidR="00DB23E8">
        <w:rPr>
          <w:rFonts w:eastAsia="Times New Roman"/>
          <w:b/>
        </w:rPr>
        <w:t>–</w:t>
      </w:r>
      <w:r w:rsidR="00DB23E8" w:rsidRPr="00946D45">
        <w:rPr>
          <w:rFonts w:eastAsia="Times New Roman"/>
          <w:b/>
        </w:rPr>
        <w:t xml:space="preserve"> </w:t>
      </w:r>
      <w:r w:rsidR="006D1404">
        <w:rPr>
          <w:rFonts w:eastAsia="Times New Roman"/>
        </w:rPr>
        <w:t xml:space="preserve"> </w:t>
      </w:r>
      <w:r w:rsidR="004763A2">
        <w:rPr>
          <w:rFonts w:eastAsia="Times New Roman"/>
        </w:rPr>
        <w:t>have been assessed as underperforming Investments Requiring Improvement</w:t>
      </w:r>
      <w:r w:rsidR="00B13C41">
        <w:rPr>
          <w:rFonts w:eastAsia="Times New Roman"/>
        </w:rPr>
        <w:t xml:space="preserve"> (IRI)</w:t>
      </w:r>
      <w:r w:rsidR="004763A2">
        <w:rPr>
          <w:rFonts w:eastAsia="Times New Roman"/>
        </w:rPr>
        <w:t>.</w:t>
      </w:r>
    </w:p>
    <w:p w14:paraId="12B5D4D8" w14:textId="5A584973" w:rsidR="00CD1652" w:rsidRPr="00CA7DD8" w:rsidRDefault="00A23447" w:rsidP="009E2975">
      <w:pPr>
        <w:spacing w:before="240" w:line="240" w:lineRule="auto"/>
        <w:rPr>
          <w:rFonts w:eastAsia="Times New Roman"/>
        </w:rPr>
      </w:pPr>
      <w:r>
        <w:rPr>
          <w:rFonts w:eastAsia="Times New Roman"/>
        </w:rPr>
        <w:t xml:space="preserve">With a </w:t>
      </w:r>
      <w:r w:rsidR="00E660A4">
        <w:rPr>
          <w:rFonts w:eastAsia="Times New Roman"/>
        </w:rPr>
        <w:t>number</w:t>
      </w:r>
      <w:r>
        <w:rPr>
          <w:rFonts w:eastAsia="Times New Roman"/>
        </w:rPr>
        <w:t xml:space="preserve"> of investments now making up the economic growth portfolio, the</w:t>
      </w:r>
      <w:r w:rsidR="00CC57E3">
        <w:rPr>
          <w:rFonts w:eastAsia="Times New Roman"/>
        </w:rPr>
        <w:t xml:space="preserve"> reporting period saw </w:t>
      </w:r>
      <w:r>
        <w:rPr>
          <w:rFonts w:eastAsia="Times New Roman"/>
        </w:rPr>
        <w:t xml:space="preserve">an emphasis on </w:t>
      </w:r>
      <w:r w:rsidR="00983C6E">
        <w:rPr>
          <w:rFonts w:eastAsia="Times New Roman"/>
        </w:rPr>
        <w:t>strengthening links between investments</w:t>
      </w:r>
      <w:r w:rsidR="00832837">
        <w:rPr>
          <w:rFonts w:eastAsia="Times New Roman"/>
        </w:rPr>
        <w:t xml:space="preserve"> </w:t>
      </w:r>
      <w:r w:rsidR="004D2ACD">
        <w:rPr>
          <w:rFonts w:eastAsia="Times New Roman"/>
        </w:rPr>
        <w:t xml:space="preserve">and </w:t>
      </w:r>
      <w:r w:rsidR="00832837">
        <w:rPr>
          <w:rFonts w:eastAsia="Times New Roman"/>
        </w:rPr>
        <w:t>gender equality outcomes</w:t>
      </w:r>
      <w:r w:rsidR="00983C6E">
        <w:rPr>
          <w:rFonts w:eastAsia="Times New Roman"/>
        </w:rPr>
        <w:t xml:space="preserve">. </w:t>
      </w:r>
      <w:r w:rsidR="004D2ACD">
        <w:rPr>
          <w:rFonts w:eastAsia="Times New Roman"/>
        </w:rPr>
        <w:t xml:space="preserve">For example, the </w:t>
      </w:r>
      <w:r w:rsidR="008E4C41">
        <w:rPr>
          <w:rFonts w:eastAsia="Times New Roman"/>
        </w:rPr>
        <w:t>MDF</w:t>
      </w:r>
      <w:r w:rsidR="004D2ACD" w:rsidRPr="008F2667">
        <w:rPr>
          <w:rFonts w:eastAsia="Times New Roman"/>
        </w:rPr>
        <w:t xml:space="preserve">, Australia’s </w:t>
      </w:r>
      <w:r w:rsidR="008E4C41">
        <w:rPr>
          <w:rFonts w:eastAsia="Times New Roman"/>
        </w:rPr>
        <w:t>p</w:t>
      </w:r>
      <w:r w:rsidR="004D2ACD" w:rsidRPr="008F2667">
        <w:rPr>
          <w:rFonts w:eastAsia="Times New Roman"/>
        </w:rPr>
        <w:t>riv</w:t>
      </w:r>
      <w:r w:rsidR="00443043" w:rsidRPr="008F2667">
        <w:rPr>
          <w:rFonts w:eastAsia="Times New Roman"/>
        </w:rPr>
        <w:t xml:space="preserve">ate </w:t>
      </w:r>
      <w:r w:rsidR="008E4C41">
        <w:rPr>
          <w:rFonts w:eastAsia="Times New Roman"/>
        </w:rPr>
        <w:t>s</w:t>
      </w:r>
      <w:r w:rsidR="00443043" w:rsidRPr="008F2667">
        <w:rPr>
          <w:rFonts w:eastAsia="Times New Roman"/>
        </w:rPr>
        <w:t xml:space="preserve">ector </w:t>
      </w:r>
      <w:r w:rsidR="008E4C41">
        <w:rPr>
          <w:rFonts w:eastAsia="Times New Roman"/>
        </w:rPr>
        <w:t>d</w:t>
      </w:r>
      <w:r w:rsidR="00443043" w:rsidRPr="008F2667">
        <w:rPr>
          <w:rFonts w:eastAsia="Times New Roman"/>
        </w:rPr>
        <w:t xml:space="preserve">evelopment </w:t>
      </w:r>
      <w:r w:rsidR="008E4C41">
        <w:rPr>
          <w:rFonts w:eastAsia="Times New Roman"/>
        </w:rPr>
        <w:t>p</w:t>
      </w:r>
      <w:r w:rsidR="00443043" w:rsidRPr="008F2667">
        <w:rPr>
          <w:rFonts w:eastAsia="Times New Roman"/>
        </w:rPr>
        <w:t>rogram</w:t>
      </w:r>
      <w:r w:rsidR="005152FB" w:rsidRPr="008F2667">
        <w:rPr>
          <w:rFonts w:eastAsia="Times New Roman"/>
        </w:rPr>
        <w:t>,</w:t>
      </w:r>
      <w:r w:rsidR="00443043" w:rsidRPr="008F2667">
        <w:rPr>
          <w:rFonts w:eastAsia="Times New Roman"/>
        </w:rPr>
        <w:t xml:space="preserve"> worked </w:t>
      </w:r>
      <w:r w:rsidR="004D2ACD" w:rsidRPr="008F2667">
        <w:rPr>
          <w:rFonts w:eastAsia="Times New Roman"/>
        </w:rPr>
        <w:t xml:space="preserve">with </w:t>
      </w:r>
      <w:r w:rsidR="00B36BBA">
        <w:rPr>
          <w:rFonts w:eastAsia="Times New Roman"/>
        </w:rPr>
        <w:t xml:space="preserve">FAO </w:t>
      </w:r>
      <w:r w:rsidR="00B13C41">
        <w:t>agribusiness AusABBA Program</w:t>
      </w:r>
      <w:r w:rsidR="00B13C41" w:rsidRPr="008F2667">
        <w:rPr>
          <w:rFonts w:eastAsia="Times New Roman"/>
        </w:rPr>
        <w:t xml:space="preserve"> </w:t>
      </w:r>
      <w:r w:rsidR="00443043" w:rsidRPr="008F2667">
        <w:rPr>
          <w:rFonts w:eastAsia="Times New Roman"/>
        </w:rPr>
        <w:t xml:space="preserve">to establish a female-only dates packing facility </w:t>
      </w:r>
      <w:r w:rsidR="00CA2694" w:rsidRPr="008F2667">
        <w:rPr>
          <w:rFonts w:eastAsia="Times New Roman"/>
        </w:rPr>
        <w:t xml:space="preserve">in Balochistan - </w:t>
      </w:r>
      <w:r w:rsidR="00443043" w:rsidRPr="008F2667">
        <w:rPr>
          <w:rFonts w:eastAsia="Times New Roman"/>
        </w:rPr>
        <w:t xml:space="preserve">a significant </w:t>
      </w:r>
      <w:r w:rsidR="00F51D19">
        <w:rPr>
          <w:rFonts w:eastAsia="Times New Roman"/>
        </w:rPr>
        <w:t xml:space="preserve">outcome given the </w:t>
      </w:r>
      <w:r w:rsidR="00E660A4">
        <w:rPr>
          <w:rFonts w:eastAsia="Times New Roman"/>
        </w:rPr>
        <w:t xml:space="preserve">conservative social </w:t>
      </w:r>
      <w:r w:rsidR="00443043" w:rsidRPr="008F2667">
        <w:rPr>
          <w:rFonts w:eastAsia="Times New Roman"/>
        </w:rPr>
        <w:t xml:space="preserve">context. </w:t>
      </w:r>
      <w:r w:rsidR="00FF3DEA">
        <w:rPr>
          <w:rFonts w:eastAsia="Times New Roman"/>
        </w:rPr>
        <w:t>Climate action</w:t>
      </w:r>
      <w:r w:rsidR="00DE1DB6">
        <w:rPr>
          <w:rFonts w:eastAsia="Times New Roman"/>
        </w:rPr>
        <w:t xml:space="preserve"> and nutrition</w:t>
      </w:r>
      <w:r w:rsidR="001654FE">
        <w:rPr>
          <w:rFonts w:eastAsia="Times New Roman"/>
        </w:rPr>
        <w:t>-sensitive programming</w:t>
      </w:r>
      <w:r w:rsidR="00DE1DB6">
        <w:rPr>
          <w:rFonts w:eastAsia="Times New Roman"/>
        </w:rPr>
        <w:t xml:space="preserve"> are</w:t>
      </w:r>
      <w:r w:rsidR="00FF3DEA">
        <w:rPr>
          <w:rFonts w:eastAsia="Times New Roman"/>
        </w:rPr>
        <w:t xml:space="preserve"> also increasing</w:t>
      </w:r>
      <w:r w:rsidR="00B36BBA">
        <w:rPr>
          <w:rFonts w:eastAsia="Times New Roman"/>
        </w:rPr>
        <w:t xml:space="preserve"> </w:t>
      </w:r>
      <w:r w:rsidR="00C53278">
        <w:rPr>
          <w:rFonts w:eastAsia="Times New Roman"/>
        </w:rPr>
        <w:t xml:space="preserve">areas of </w:t>
      </w:r>
      <w:r w:rsidR="00B36BBA">
        <w:rPr>
          <w:rFonts w:eastAsia="Times New Roman"/>
        </w:rPr>
        <w:t xml:space="preserve">focus </w:t>
      </w:r>
      <w:r w:rsidR="00C53278">
        <w:rPr>
          <w:rFonts w:eastAsia="Times New Roman"/>
        </w:rPr>
        <w:t xml:space="preserve">for </w:t>
      </w:r>
      <w:r w:rsidR="00B36BBA">
        <w:rPr>
          <w:rFonts w:eastAsia="Times New Roman"/>
        </w:rPr>
        <w:t>the portfolio</w:t>
      </w:r>
      <w:r w:rsidR="001654FE">
        <w:rPr>
          <w:rFonts w:eastAsia="Times New Roman"/>
        </w:rPr>
        <w:t xml:space="preserve">, </w:t>
      </w:r>
      <w:r w:rsidR="00FD4934">
        <w:rPr>
          <w:rFonts w:eastAsia="Times New Roman"/>
        </w:rPr>
        <w:t xml:space="preserve">with </w:t>
      </w:r>
      <w:r w:rsidR="001654FE">
        <w:rPr>
          <w:rFonts w:eastAsia="Times New Roman"/>
        </w:rPr>
        <w:t xml:space="preserve">a </w:t>
      </w:r>
      <w:r w:rsidR="00FD4934">
        <w:rPr>
          <w:rFonts w:eastAsia="Times New Roman"/>
        </w:rPr>
        <w:t xml:space="preserve">strong emphasis on water resources management </w:t>
      </w:r>
      <w:r w:rsidR="00B36BBA">
        <w:rPr>
          <w:rFonts w:eastAsia="Times New Roman"/>
        </w:rPr>
        <w:t xml:space="preserve">as </w:t>
      </w:r>
      <w:r w:rsidR="00FF3DEA">
        <w:rPr>
          <w:rFonts w:eastAsia="Times New Roman"/>
        </w:rPr>
        <w:t xml:space="preserve">the second phases of AusABBA and MDF </w:t>
      </w:r>
      <w:r w:rsidR="00B36BBA">
        <w:rPr>
          <w:rFonts w:eastAsia="Times New Roman"/>
        </w:rPr>
        <w:t>come on</w:t>
      </w:r>
      <w:r w:rsidR="008E4C41">
        <w:rPr>
          <w:rFonts w:eastAsia="Times New Roman"/>
        </w:rPr>
        <w:t xml:space="preserve"> </w:t>
      </w:r>
      <w:r w:rsidR="00B36BBA">
        <w:rPr>
          <w:rFonts w:eastAsia="Times New Roman"/>
        </w:rPr>
        <w:t>line.</w:t>
      </w:r>
    </w:p>
    <w:p w14:paraId="2B5E24C6" w14:textId="7B5568C3" w:rsidR="00E60111" w:rsidRDefault="005152FB" w:rsidP="003A53E6">
      <w:r w:rsidRPr="008F2667">
        <w:rPr>
          <w:rFonts w:eastAsia="Times New Roman"/>
        </w:rPr>
        <w:t xml:space="preserve">Under </w:t>
      </w:r>
      <w:r w:rsidRPr="00946D45">
        <w:rPr>
          <w:rFonts w:eastAsia="Times New Roman"/>
          <w:b/>
        </w:rPr>
        <w:t>Outcome 1</w:t>
      </w:r>
      <w:r w:rsidR="00DB23E8">
        <w:rPr>
          <w:rFonts w:eastAsia="Times New Roman"/>
          <w:b/>
        </w:rPr>
        <w:t>:</w:t>
      </w:r>
      <w:r w:rsidRPr="00946D45">
        <w:rPr>
          <w:rFonts w:eastAsia="Times New Roman"/>
          <w:b/>
        </w:rPr>
        <w:t xml:space="preserve"> </w:t>
      </w:r>
      <w:r w:rsidR="006D1404">
        <w:rPr>
          <w:rFonts w:eastAsia="Times New Roman"/>
          <w:b/>
        </w:rPr>
        <w:t>Selected v</w:t>
      </w:r>
      <w:r w:rsidR="00820158" w:rsidRPr="00946D45">
        <w:rPr>
          <w:rFonts w:eastAsia="Times New Roman"/>
          <w:b/>
        </w:rPr>
        <w:t>alue chains are more inclusive</w:t>
      </w:r>
      <w:r w:rsidRPr="008F2667">
        <w:rPr>
          <w:rFonts w:eastAsia="Times New Roman"/>
        </w:rPr>
        <w:t xml:space="preserve"> </w:t>
      </w:r>
      <w:r w:rsidR="00DB23E8">
        <w:rPr>
          <w:rFonts w:eastAsia="Times New Roman"/>
          <w:b/>
        </w:rPr>
        <w:t>–</w:t>
      </w:r>
      <w:r w:rsidR="00DB23E8" w:rsidRPr="00946D45">
        <w:rPr>
          <w:rFonts w:eastAsia="Times New Roman"/>
          <w:b/>
        </w:rPr>
        <w:t xml:space="preserve"> </w:t>
      </w:r>
      <w:r w:rsidR="00CA2694" w:rsidRPr="008F2667">
        <w:rPr>
          <w:rFonts w:eastAsia="Times New Roman"/>
        </w:rPr>
        <w:t xml:space="preserve"> </w:t>
      </w:r>
      <w:r w:rsidR="006D1404" w:rsidRPr="008F2667">
        <w:rPr>
          <w:rFonts w:eastAsia="Times New Roman"/>
        </w:rPr>
        <w:t xml:space="preserve">MDF, </w:t>
      </w:r>
      <w:r w:rsidR="006D1404">
        <w:rPr>
          <w:rFonts w:eastAsia="Times New Roman"/>
        </w:rPr>
        <w:t xml:space="preserve">AusABBA and </w:t>
      </w:r>
      <w:r w:rsidR="006D1404" w:rsidRPr="008F2667">
        <w:rPr>
          <w:rFonts w:eastAsia="Times New Roman"/>
        </w:rPr>
        <w:t xml:space="preserve">the </w:t>
      </w:r>
      <w:r w:rsidR="006D1404" w:rsidRPr="00471F7F">
        <w:rPr>
          <w:rFonts w:eastAsia="Times New Roman"/>
        </w:rPr>
        <w:t xml:space="preserve">Sarhad Rural Support Program’s Women’s Empowerment and Market Development </w:t>
      </w:r>
      <w:r w:rsidR="006F7572">
        <w:rPr>
          <w:rFonts w:eastAsia="Times New Roman"/>
        </w:rPr>
        <w:t>activity</w:t>
      </w:r>
      <w:r w:rsidR="006D1404">
        <w:rPr>
          <w:rFonts w:eastAsia="Times New Roman"/>
        </w:rPr>
        <w:t xml:space="preserve"> (SRSP WEEMD) all exceeded their targets relating to women’s economic empowerment. </w:t>
      </w:r>
      <w:r w:rsidR="00845E65">
        <w:rPr>
          <w:rFonts w:eastAsia="Times New Roman"/>
        </w:rPr>
        <w:t>T</w:t>
      </w:r>
      <w:r w:rsidR="006D1404" w:rsidRPr="008F2667">
        <w:rPr>
          <w:rFonts w:eastAsia="Times New Roman"/>
        </w:rPr>
        <w:t xml:space="preserve">he proportion of </w:t>
      </w:r>
      <w:r w:rsidR="006D1404">
        <w:rPr>
          <w:rFonts w:eastAsia="Times New Roman"/>
        </w:rPr>
        <w:t>full-time equivalent jobs (</w:t>
      </w:r>
      <w:r w:rsidR="006D1404" w:rsidRPr="008F2667">
        <w:rPr>
          <w:rFonts w:eastAsia="Times New Roman"/>
        </w:rPr>
        <w:t>FTEs</w:t>
      </w:r>
      <w:r w:rsidR="006D1404">
        <w:rPr>
          <w:rFonts w:eastAsia="Times New Roman"/>
        </w:rPr>
        <w:t>)</w:t>
      </w:r>
      <w:r w:rsidR="006D1404" w:rsidRPr="008F2667">
        <w:rPr>
          <w:rFonts w:eastAsia="Times New Roman"/>
        </w:rPr>
        <w:t xml:space="preserve"> </w:t>
      </w:r>
      <w:r w:rsidR="006D1404">
        <w:rPr>
          <w:rFonts w:eastAsia="Times New Roman"/>
        </w:rPr>
        <w:t xml:space="preserve">for women </w:t>
      </w:r>
      <w:r w:rsidR="006D1404" w:rsidRPr="008F2667">
        <w:rPr>
          <w:rFonts w:eastAsia="Times New Roman"/>
        </w:rPr>
        <w:t>has gone up to 40</w:t>
      </w:r>
      <w:r w:rsidR="002029E5">
        <w:rPr>
          <w:rFonts w:eastAsia="Times New Roman"/>
        </w:rPr>
        <w:t xml:space="preserve"> per cent </w:t>
      </w:r>
      <w:r w:rsidR="006D1404" w:rsidRPr="008F2667">
        <w:rPr>
          <w:rFonts w:eastAsia="Times New Roman"/>
        </w:rPr>
        <w:t xml:space="preserve">of all </w:t>
      </w:r>
      <w:r w:rsidR="00DD790C">
        <w:rPr>
          <w:rFonts w:eastAsia="Times New Roman"/>
        </w:rPr>
        <w:t>jobs</w:t>
      </w:r>
      <w:r w:rsidR="00DD790C" w:rsidRPr="008F2667">
        <w:rPr>
          <w:rFonts w:eastAsia="Times New Roman"/>
        </w:rPr>
        <w:t xml:space="preserve"> </w:t>
      </w:r>
      <w:r w:rsidR="006D1404" w:rsidRPr="008F2667">
        <w:rPr>
          <w:rFonts w:eastAsia="Times New Roman"/>
        </w:rPr>
        <w:t>created</w:t>
      </w:r>
      <w:r w:rsidR="00DD790C">
        <w:rPr>
          <w:rFonts w:eastAsia="Times New Roman"/>
        </w:rPr>
        <w:t>,</w:t>
      </w:r>
      <w:r w:rsidR="006D1404" w:rsidRPr="008F2667">
        <w:rPr>
          <w:rFonts w:eastAsia="Times New Roman"/>
        </w:rPr>
        <w:t xml:space="preserve"> compared with 25</w:t>
      </w:r>
      <w:r w:rsidR="002029E5">
        <w:rPr>
          <w:rFonts w:eastAsia="Times New Roman"/>
        </w:rPr>
        <w:t xml:space="preserve"> per cent</w:t>
      </w:r>
      <w:r w:rsidR="006D1404" w:rsidRPr="008F2667">
        <w:rPr>
          <w:rFonts w:eastAsia="Times New Roman"/>
        </w:rPr>
        <w:t xml:space="preserve"> last year. </w:t>
      </w:r>
      <w:r w:rsidR="006F7572">
        <w:rPr>
          <w:rFonts w:eastAsia="Times New Roman"/>
        </w:rPr>
        <w:t xml:space="preserve">SRSP WEEMD </w:t>
      </w:r>
      <w:r w:rsidR="00CA2694" w:rsidRPr="008F2667">
        <w:rPr>
          <w:rFonts w:eastAsia="Times New Roman"/>
        </w:rPr>
        <w:t>is delivering good early results</w:t>
      </w:r>
      <w:r w:rsidR="006F7572">
        <w:rPr>
          <w:rFonts w:eastAsia="Times New Roman"/>
        </w:rPr>
        <w:t xml:space="preserve"> in </w:t>
      </w:r>
      <w:r w:rsidR="005164CC">
        <w:t>Khyber Pakhtunkhwa</w:t>
      </w:r>
      <w:r w:rsidR="006F7572">
        <w:rPr>
          <w:rFonts w:eastAsia="Times New Roman"/>
        </w:rPr>
        <w:t xml:space="preserve"> province</w:t>
      </w:r>
      <w:r w:rsidR="006D1404">
        <w:rPr>
          <w:rFonts w:eastAsia="Times New Roman"/>
        </w:rPr>
        <w:t xml:space="preserve">. For example, </w:t>
      </w:r>
      <w:r w:rsidR="006D1404">
        <w:t xml:space="preserve">438 women </w:t>
      </w:r>
      <w:r w:rsidR="006F7572">
        <w:t xml:space="preserve">were </w:t>
      </w:r>
      <w:r w:rsidR="006D1404">
        <w:t>trained in accessing jobs and setting up enterp</w:t>
      </w:r>
      <w:r w:rsidR="006F7572">
        <w:t>rises against the target of 429,</w:t>
      </w:r>
      <w:r w:rsidR="006D1404">
        <w:t xml:space="preserve"> and</w:t>
      </w:r>
      <w:r w:rsidR="006F7572">
        <w:t xml:space="preserve"> </w:t>
      </w:r>
      <w:r w:rsidR="006D1404">
        <w:t>484 women accessed Community Investment Funds (soft loan</w:t>
      </w:r>
      <w:r w:rsidR="006F7572">
        <w:t>s</w:t>
      </w:r>
      <w:r w:rsidR="006D1404">
        <w:t xml:space="preserve"> for setting up small-scale enterprises) against the target of 400</w:t>
      </w:r>
      <w:r w:rsidR="006D1404" w:rsidRPr="005864EC">
        <w:rPr>
          <w:rFonts w:eastAsia="Times New Roman"/>
        </w:rPr>
        <w:t>.</w:t>
      </w:r>
      <w:r w:rsidR="00CA2694" w:rsidRPr="005864EC">
        <w:rPr>
          <w:rFonts w:eastAsia="Times New Roman"/>
        </w:rPr>
        <w:t xml:space="preserve"> </w:t>
      </w:r>
      <w:r w:rsidR="002123E4" w:rsidRPr="005864EC">
        <w:rPr>
          <w:rFonts w:eastAsia="Times New Roman"/>
        </w:rPr>
        <w:t xml:space="preserve">These </w:t>
      </w:r>
      <w:r w:rsidR="006B2676" w:rsidRPr="005864EC">
        <w:rPr>
          <w:rFonts w:eastAsia="Times New Roman"/>
        </w:rPr>
        <w:t>numbers are small but important, providing a strong platform for scalability going forward</w:t>
      </w:r>
      <w:r w:rsidR="002123E4" w:rsidRPr="005864EC">
        <w:rPr>
          <w:rFonts w:eastAsia="Times New Roman"/>
        </w:rPr>
        <w:t>.</w:t>
      </w:r>
    </w:p>
    <w:p w14:paraId="64B30AB4" w14:textId="0C5BBE20" w:rsidR="00CA2694" w:rsidRPr="005864EC" w:rsidRDefault="006F7572" w:rsidP="003A53E6">
      <w:pPr>
        <w:rPr>
          <w:color w:val="1F497D"/>
        </w:rPr>
      </w:pPr>
      <w:r w:rsidRPr="00930B44">
        <w:t xml:space="preserve">MDF </w:t>
      </w:r>
      <w:r w:rsidR="006D1404" w:rsidRPr="008F2667">
        <w:t xml:space="preserve">created </w:t>
      </w:r>
      <w:r w:rsidR="00DD790C">
        <w:t>AUD8.5m (</w:t>
      </w:r>
      <w:r w:rsidR="00F152FE">
        <w:t>US6.8</w:t>
      </w:r>
      <w:r w:rsidR="006D1404">
        <w:t>m</w:t>
      </w:r>
      <w:r w:rsidR="00DD790C">
        <w:t>)</w:t>
      </w:r>
      <w:r w:rsidR="006D1404" w:rsidRPr="008F2667">
        <w:t xml:space="preserve"> additional market</w:t>
      </w:r>
      <w:r w:rsidR="00F152FE">
        <w:t xml:space="preserve"> transactions compared with </w:t>
      </w:r>
      <w:r w:rsidR="00326F72">
        <w:t>AUD2.6m (</w:t>
      </w:r>
      <w:r w:rsidR="00F152FE">
        <w:t>US2.1m</w:t>
      </w:r>
      <w:r w:rsidR="00326F72">
        <w:t>)</w:t>
      </w:r>
      <w:r w:rsidR="00F152FE">
        <w:t xml:space="preserve"> </w:t>
      </w:r>
      <w:r w:rsidR="006D1404" w:rsidRPr="008F2667">
        <w:t>la</w:t>
      </w:r>
      <w:r w:rsidR="006D1404">
        <w:t>st year</w:t>
      </w:r>
      <w:r w:rsidR="006D1404" w:rsidRPr="008F2667">
        <w:t xml:space="preserve"> - a four fold increase</w:t>
      </w:r>
      <w:r w:rsidR="006D1404">
        <w:t xml:space="preserve"> -</w:t>
      </w:r>
      <w:r w:rsidR="006D1404" w:rsidRPr="008F2667">
        <w:t xml:space="preserve"> and the leverage ratio for private sector investment improved from 1.5 to 1.9.</w:t>
      </w:r>
      <w:r w:rsidR="006D1404">
        <w:rPr>
          <w:rStyle w:val="FootnoteReference"/>
          <w:rFonts w:ascii="Arial" w:hAnsi="Arial" w:cs="Arial"/>
          <w:color w:val="auto"/>
          <w:sz w:val="16"/>
          <w:szCs w:val="16"/>
          <w:lang w:val="en-AU"/>
        </w:rPr>
        <w:footnoteReference w:id="2"/>
      </w:r>
      <w:r w:rsidR="006D1404">
        <w:t xml:space="preserve"> </w:t>
      </w:r>
      <w:r w:rsidR="00E71E9E">
        <w:rPr>
          <w:rFonts w:eastAsia="Times New Roman"/>
        </w:rPr>
        <w:t xml:space="preserve">MDF </w:t>
      </w:r>
      <w:r w:rsidR="00553AF2">
        <w:t xml:space="preserve"> delivered </w:t>
      </w:r>
      <w:r w:rsidR="00E71E9E">
        <w:t xml:space="preserve">improved incomes for </w:t>
      </w:r>
      <w:r w:rsidR="00553AF2">
        <w:t xml:space="preserve">around 26,000 </w:t>
      </w:r>
      <w:r w:rsidR="00E71E9E">
        <w:t xml:space="preserve">poor farmers </w:t>
      </w:r>
      <w:r w:rsidR="00553AF2">
        <w:t xml:space="preserve">(against a target of </w:t>
      </w:r>
      <w:r w:rsidR="00553AF2" w:rsidRPr="005864EC">
        <w:t>23,300</w:t>
      </w:r>
      <w:r w:rsidR="00553AF2">
        <w:t>)</w:t>
      </w:r>
      <w:r w:rsidR="00553AF2" w:rsidRPr="005864EC">
        <w:t xml:space="preserve"> </w:t>
      </w:r>
      <w:r w:rsidR="00553AF2">
        <w:t>in the reporting period</w:t>
      </w:r>
      <w:r w:rsidR="00E71E9E">
        <w:t xml:space="preserve">. </w:t>
      </w:r>
      <w:r w:rsidR="00B42DE4">
        <w:t xml:space="preserve">Under FAO AusABBA, </w:t>
      </w:r>
      <w:r w:rsidR="00B42DE4" w:rsidRPr="008C1D04">
        <w:rPr>
          <w:rFonts w:eastAsia="Times New Roman"/>
          <w:iCs/>
          <w:szCs w:val="17"/>
        </w:rPr>
        <w:t>8830</w:t>
      </w:r>
      <w:r w:rsidR="00B42DE4">
        <w:rPr>
          <w:rFonts w:eastAsia="Times New Roman"/>
          <w:iCs/>
          <w:szCs w:val="17"/>
        </w:rPr>
        <w:t xml:space="preserve"> smallholder farmers (50</w:t>
      </w:r>
      <w:r w:rsidR="008E4C41">
        <w:rPr>
          <w:rFonts w:eastAsia="Times New Roman"/>
          <w:iCs/>
          <w:szCs w:val="17"/>
        </w:rPr>
        <w:t xml:space="preserve"> per cent</w:t>
      </w:r>
      <w:r w:rsidR="00B42DE4">
        <w:rPr>
          <w:rFonts w:eastAsia="Times New Roman"/>
          <w:iCs/>
          <w:szCs w:val="17"/>
        </w:rPr>
        <w:t xml:space="preserve"> women against the benchmark target of 48</w:t>
      </w:r>
      <w:r w:rsidR="008E4C41">
        <w:rPr>
          <w:rFonts w:eastAsia="Times New Roman"/>
          <w:iCs/>
          <w:szCs w:val="17"/>
        </w:rPr>
        <w:t xml:space="preserve"> per cent</w:t>
      </w:r>
      <w:r w:rsidR="00B42DE4">
        <w:rPr>
          <w:rFonts w:eastAsia="Times New Roman"/>
          <w:iCs/>
          <w:szCs w:val="17"/>
        </w:rPr>
        <w:t xml:space="preserve">) in the remote areas of South West Balochistan increased their incomes. The average increase in incomes for 11,259 households over the life of the </w:t>
      </w:r>
      <w:r w:rsidR="00B13C41">
        <w:rPr>
          <w:rFonts w:eastAsia="Times New Roman"/>
          <w:iCs/>
          <w:szCs w:val="17"/>
        </w:rPr>
        <w:t>P</w:t>
      </w:r>
      <w:r w:rsidR="00B42DE4">
        <w:rPr>
          <w:rFonts w:eastAsia="Times New Roman"/>
          <w:iCs/>
          <w:szCs w:val="17"/>
        </w:rPr>
        <w:t>rogram (2012-17) was 23</w:t>
      </w:r>
      <w:r w:rsidR="008E4C41">
        <w:rPr>
          <w:rFonts w:eastAsia="Times New Roman"/>
          <w:iCs/>
          <w:szCs w:val="17"/>
        </w:rPr>
        <w:t xml:space="preserve"> per cent</w:t>
      </w:r>
      <w:r w:rsidR="00B42DE4">
        <w:t xml:space="preserve">. </w:t>
      </w:r>
      <w:r w:rsidR="006D1404">
        <w:rPr>
          <w:rFonts w:eastAsia="Times New Roman"/>
        </w:rPr>
        <w:t xml:space="preserve">AusABBA </w:t>
      </w:r>
      <w:r w:rsidR="006D1404">
        <w:t>leveraged almost AUD2m private sector investment in the reporting period.</w:t>
      </w:r>
      <w:r w:rsidR="006D1404">
        <w:rPr>
          <w:rFonts w:eastAsia="Times New Roman"/>
        </w:rPr>
        <w:t xml:space="preserve"> </w:t>
      </w:r>
      <w:r>
        <w:rPr>
          <w:rFonts w:eastAsia="Times New Roman"/>
        </w:rPr>
        <w:t>In</w:t>
      </w:r>
      <w:r w:rsidR="005152FB" w:rsidRPr="008F2667">
        <w:rPr>
          <w:rFonts w:eastAsia="Times New Roman"/>
        </w:rPr>
        <w:t xml:space="preserve"> September 2016, as the Co-Chair of</w:t>
      </w:r>
      <w:r w:rsidR="00D86C26">
        <w:rPr>
          <w:rFonts w:eastAsia="Times New Roman"/>
        </w:rPr>
        <w:t xml:space="preserve"> Pakistan’s</w:t>
      </w:r>
      <w:r w:rsidR="005152FB" w:rsidRPr="008F2667">
        <w:rPr>
          <w:rFonts w:eastAsia="Times New Roman"/>
        </w:rPr>
        <w:t xml:space="preserve"> </w:t>
      </w:r>
      <w:r w:rsidR="00D86C26">
        <w:t>Inter-Agency Gender and Development Group</w:t>
      </w:r>
      <w:r w:rsidR="00D86C26" w:rsidRPr="008F2667">
        <w:rPr>
          <w:rFonts w:eastAsia="Times New Roman"/>
        </w:rPr>
        <w:t xml:space="preserve"> </w:t>
      </w:r>
      <w:r w:rsidR="00257BB4">
        <w:rPr>
          <w:rFonts w:eastAsia="Times New Roman"/>
        </w:rPr>
        <w:t xml:space="preserve">- </w:t>
      </w:r>
      <w:r w:rsidR="005152FB" w:rsidRPr="008F2667">
        <w:rPr>
          <w:rFonts w:eastAsia="Times New Roman"/>
        </w:rPr>
        <w:t>INGAD, Australia</w:t>
      </w:r>
      <w:r w:rsidR="00CA2694" w:rsidRPr="008F2667">
        <w:rPr>
          <w:rFonts w:eastAsia="Times New Roman"/>
        </w:rPr>
        <w:t xml:space="preserve"> hosted a panel discussion on w</w:t>
      </w:r>
      <w:r w:rsidR="005152FB" w:rsidRPr="008F2667">
        <w:rPr>
          <w:rFonts w:eastAsia="Times New Roman"/>
        </w:rPr>
        <w:t>omen’s economic e</w:t>
      </w:r>
      <w:r w:rsidR="00CA2694" w:rsidRPr="008F2667">
        <w:rPr>
          <w:rFonts w:eastAsia="Times New Roman"/>
        </w:rPr>
        <w:t>mpowerment in the context of the China-Pakistan Economic Corridor</w:t>
      </w:r>
      <w:r w:rsidR="008E4C41">
        <w:rPr>
          <w:rFonts w:eastAsia="Times New Roman"/>
        </w:rPr>
        <w:t xml:space="preserve"> (CPEC)</w:t>
      </w:r>
      <w:r w:rsidR="005152FB" w:rsidRPr="008F2667">
        <w:rPr>
          <w:rFonts w:eastAsia="Times New Roman"/>
        </w:rPr>
        <w:t>, an important contribution to the policy debate in Pakistan</w:t>
      </w:r>
      <w:r w:rsidR="00CA2694" w:rsidRPr="008F2667">
        <w:rPr>
          <w:rFonts w:eastAsia="Times New Roman"/>
        </w:rPr>
        <w:t>.</w:t>
      </w:r>
      <w:r w:rsidR="003A53E6">
        <w:rPr>
          <w:rFonts w:eastAsia="Times New Roman"/>
        </w:rPr>
        <w:t xml:space="preserve"> </w:t>
      </w:r>
    </w:p>
    <w:p w14:paraId="43AE89FC" w14:textId="500B776E" w:rsidR="00F152FE" w:rsidRPr="00E73C1D" w:rsidRDefault="00CA2694" w:rsidP="00F152FE">
      <w:pPr>
        <w:rPr>
          <w:rFonts w:eastAsia="Times New Roman"/>
        </w:rPr>
      </w:pPr>
      <w:r w:rsidRPr="008F2667">
        <w:rPr>
          <w:rFonts w:eastAsia="Times New Roman"/>
        </w:rPr>
        <w:t xml:space="preserve">Under </w:t>
      </w:r>
      <w:r w:rsidR="006D1404">
        <w:rPr>
          <w:rFonts w:eastAsia="Times New Roman"/>
          <w:b/>
        </w:rPr>
        <w:t>O</w:t>
      </w:r>
      <w:r w:rsidRPr="00946D45">
        <w:rPr>
          <w:rFonts w:eastAsia="Times New Roman"/>
          <w:b/>
        </w:rPr>
        <w:t>utcome 2</w:t>
      </w:r>
      <w:r w:rsidR="00DB23E8">
        <w:rPr>
          <w:rFonts w:eastAsia="Times New Roman"/>
          <w:b/>
        </w:rPr>
        <w:t>:</w:t>
      </w:r>
      <w:r w:rsidR="005152FB" w:rsidRPr="00946D45">
        <w:rPr>
          <w:rFonts w:eastAsia="Times New Roman"/>
          <w:b/>
        </w:rPr>
        <w:t xml:space="preserve"> </w:t>
      </w:r>
      <w:r w:rsidR="001229E8" w:rsidRPr="00946D45">
        <w:rPr>
          <w:rFonts w:eastAsia="Times New Roman"/>
          <w:b/>
        </w:rPr>
        <w:t>Governments, enterprises and smallholders are adopting evidence-based agriculture, water and trade policy reforms as a result of Australian investments</w:t>
      </w:r>
      <w:r w:rsidR="00FD4934">
        <w:rPr>
          <w:rFonts w:eastAsia="Times New Roman"/>
        </w:rPr>
        <w:t xml:space="preserve">, </w:t>
      </w:r>
      <w:r w:rsidRPr="008F2667">
        <w:rPr>
          <w:rFonts w:eastAsia="Times New Roman"/>
        </w:rPr>
        <w:t xml:space="preserve">there is now high-level commitment to establish consistency in water data management and sharing </w:t>
      </w:r>
      <w:r w:rsidR="005152FB" w:rsidRPr="008F2667">
        <w:rPr>
          <w:rFonts w:eastAsia="Times New Roman"/>
        </w:rPr>
        <w:t xml:space="preserve">across key agencies in Pakistan, </w:t>
      </w:r>
      <w:r w:rsidR="005164CC">
        <w:rPr>
          <w:rFonts w:eastAsia="Times New Roman"/>
        </w:rPr>
        <w:t>with support from</w:t>
      </w:r>
      <w:r w:rsidR="005152FB" w:rsidRPr="008F2667">
        <w:rPr>
          <w:rFonts w:eastAsia="Times New Roman"/>
        </w:rPr>
        <w:t xml:space="preserve"> Australia’s Sustainable Development Investment Portfolio</w:t>
      </w:r>
      <w:r w:rsidR="00EC1011">
        <w:rPr>
          <w:rFonts w:eastAsia="Times New Roman"/>
        </w:rPr>
        <w:t xml:space="preserve"> </w:t>
      </w:r>
      <w:r w:rsidR="005A2FEE" w:rsidRPr="008F2667">
        <w:rPr>
          <w:rFonts w:eastAsia="Times New Roman"/>
        </w:rPr>
        <w:t>(</w:t>
      </w:r>
      <w:r w:rsidR="00EC1011">
        <w:rPr>
          <w:rFonts w:eastAsia="Times New Roman"/>
        </w:rPr>
        <w:t>SDIP</w:t>
      </w:r>
      <w:r w:rsidR="005A2FEE">
        <w:rPr>
          <w:rFonts w:eastAsia="Times New Roman"/>
        </w:rPr>
        <w:t>)</w:t>
      </w:r>
      <w:r w:rsidR="005A2FEE" w:rsidRPr="005A2FEE">
        <w:rPr>
          <w:rFonts w:eastAsia="Times New Roman"/>
        </w:rPr>
        <w:t xml:space="preserve"> </w:t>
      </w:r>
      <w:r w:rsidR="00AB069C">
        <w:rPr>
          <w:rFonts w:eastAsia="Times New Roman"/>
        </w:rPr>
        <w:t xml:space="preserve">regional </w:t>
      </w:r>
      <w:r w:rsidR="005A2FEE" w:rsidRPr="008F2667">
        <w:rPr>
          <w:rFonts w:eastAsia="Times New Roman"/>
        </w:rPr>
        <w:t xml:space="preserve">investment </w:t>
      </w:r>
      <w:r w:rsidR="00AB069C">
        <w:rPr>
          <w:rFonts w:eastAsia="Times New Roman"/>
        </w:rPr>
        <w:t xml:space="preserve">in </w:t>
      </w:r>
      <w:r w:rsidR="005A2FEE">
        <w:rPr>
          <w:rFonts w:eastAsia="Times New Roman"/>
        </w:rPr>
        <w:t xml:space="preserve">water </w:t>
      </w:r>
      <w:r w:rsidR="005A2FEE" w:rsidRPr="008F2667">
        <w:rPr>
          <w:rFonts w:eastAsia="Times New Roman"/>
        </w:rPr>
        <w:lastRenderedPageBreak/>
        <w:t>management</w:t>
      </w:r>
      <w:r w:rsidR="005A2FEE">
        <w:rPr>
          <w:rFonts w:eastAsia="Times New Roman"/>
        </w:rPr>
        <w:t>, food and energy security</w:t>
      </w:r>
      <w:r w:rsidR="006F7572" w:rsidRPr="00F152FE">
        <w:rPr>
          <w:rFonts w:eastAsia="Times New Roman"/>
        </w:rPr>
        <w:t xml:space="preserve">. </w:t>
      </w:r>
      <w:r w:rsidR="00FD4934">
        <w:rPr>
          <w:rFonts w:eastAsia="Times New Roman"/>
        </w:rPr>
        <w:t>Under SDIP</w:t>
      </w:r>
      <w:r w:rsidR="00547813">
        <w:rPr>
          <w:rFonts w:eastAsia="Times New Roman"/>
        </w:rPr>
        <w:t xml:space="preserve"> Pakistan</w:t>
      </w:r>
      <w:r w:rsidR="00FD4934">
        <w:rPr>
          <w:rFonts w:eastAsia="Times New Roman"/>
        </w:rPr>
        <w:t xml:space="preserve">, the </w:t>
      </w:r>
      <w:r w:rsidR="00FD4934" w:rsidRPr="00C65D83">
        <w:rPr>
          <w:rFonts w:eastAsia="Times New Roman"/>
        </w:rPr>
        <w:t xml:space="preserve">International Union for Conservation of Nature (IUCN) partnered with the Asia Foundation to conduct a study on the political economy of water in ten key </w:t>
      </w:r>
      <w:r w:rsidR="005164CC">
        <w:rPr>
          <w:rFonts w:eastAsia="Times New Roman"/>
        </w:rPr>
        <w:t>areas</w:t>
      </w:r>
      <w:r w:rsidR="005164CC" w:rsidRPr="00C65D83">
        <w:rPr>
          <w:rFonts w:eastAsia="Times New Roman"/>
        </w:rPr>
        <w:t xml:space="preserve"> </w:t>
      </w:r>
      <w:r w:rsidR="00FD4934" w:rsidRPr="00C65D83">
        <w:rPr>
          <w:rFonts w:eastAsia="Times New Roman"/>
        </w:rPr>
        <w:t xml:space="preserve">in the Indus </w:t>
      </w:r>
      <w:r w:rsidR="00547813">
        <w:rPr>
          <w:rFonts w:eastAsia="Times New Roman"/>
        </w:rPr>
        <w:t xml:space="preserve">River </w:t>
      </w:r>
      <w:r w:rsidR="00FD4934" w:rsidRPr="00C65D83">
        <w:rPr>
          <w:rFonts w:eastAsia="Times New Roman"/>
        </w:rPr>
        <w:t>Basin, including the role of private secto</w:t>
      </w:r>
      <w:r w:rsidR="00FD4934">
        <w:rPr>
          <w:rFonts w:eastAsia="Times New Roman"/>
        </w:rPr>
        <w:t xml:space="preserve">r in shaping the water debate. </w:t>
      </w:r>
      <w:r w:rsidR="00F152FE" w:rsidRPr="00F152FE">
        <w:rPr>
          <w:rFonts w:eastAsia="Times New Roman"/>
        </w:rPr>
        <w:t>Australian water scientists are working with Pakistan’s Ministry of Water and Power, the Indus Rivers Systems Authority and the Water and Power Development Authority (WAPDA) to introduce a river flows forecasting model for the Indus</w:t>
      </w:r>
      <w:r w:rsidR="00F152FE" w:rsidRPr="00E73C1D">
        <w:rPr>
          <w:rFonts w:eastAsia="Times New Roman"/>
        </w:rPr>
        <w:t xml:space="preserve">. </w:t>
      </w:r>
      <w:r w:rsidR="00E73C1D" w:rsidRPr="00911C1B">
        <w:rPr>
          <w:rFonts w:eastAsia="Times New Roman"/>
        </w:rPr>
        <w:t xml:space="preserve">These policy outcomes are supporting Pakistan’s adaptation to </w:t>
      </w:r>
      <w:r w:rsidR="005164CC">
        <w:rPr>
          <w:rFonts w:eastAsia="Times New Roman"/>
        </w:rPr>
        <w:t>the impact of</w:t>
      </w:r>
      <w:r w:rsidR="005164CC" w:rsidRPr="00911C1B">
        <w:rPr>
          <w:rFonts w:eastAsia="Times New Roman"/>
        </w:rPr>
        <w:t xml:space="preserve"> </w:t>
      </w:r>
      <w:r w:rsidR="00E73C1D" w:rsidRPr="00911C1B">
        <w:rPr>
          <w:rFonts w:eastAsia="Times New Roman"/>
        </w:rPr>
        <w:t>climate change.</w:t>
      </w:r>
      <w:r w:rsidR="00FD4934">
        <w:rPr>
          <w:rFonts w:eastAsia="Times New Roman"/>
        </w:rPr>
        <w:t xml:space="preserve"> The Australia-</w:t>
      </w:r>
      <w:r w:rsidR="00FD4934" w:rsidRPr="007C7CED">
        <w:rPr>
          <w:rFonts w:eastAsia="Times New Roman"/>
        </w:rPr>
        <w:t>Pakistan Integrated Water Resource Management MoU is currently</w:t>
      </w:r>
      <w:r w:rsidR="00FD4934">
        <w:rPr>
          <w:rFonts w:eastAsia="Times New Roman"/>
        </w:rPr>
        <w:t xml:space="preserve"> with the Pakistan </w:t>
      </w:r>
      <w:r w:rsidR="00845E65">
        <w:rPr>
          <w:rFonts w:eastAsia="Times New Roman"/>
        </w:rPr>
        <w:t xml:space="preserve">government </w:t>
      </w:r>
      <w:r w:rsidR="00FD4934">
        <w:rPr>
          <w:rFonts w:eastAsia="Times New Roman"/>
        </w:rPr>
        <w:t xml:space="preserve">for approval and is expected to be signed in the next reporting period. </w:t>
      </w:r>
    </w:p>
    <w:p w14:paraId="4648E322" w14:textId="6B99176B" w:rsidR="00845E65" w:rsidRDefault="00257BB4" w:rsidP="00EC1011">
      <w:pPr>
        <w:rPr>
          <w:rFonts w:eastAsia="Times New Roman"/>
        </w:rPr>
      </w:pPr>
      <w:r>
        <w:rPr>
          <w:rFonts w:eastAsia="Times New Roman"/>
        </w:rPr>
        <w:t xml:space="preserve">The Pakistan aid program is also pursuing </w:t>
      </w:r>
      <w:r w:rsidR="005164CC">
        <w:rPr>
          <w:rFonts w:eastAsia="Times New Roman"/>
        </w:rPr>
        <w:t xml:space="preserve">innovation </w:t>
      </w:r>
      <w:r>
        <w:rPr>
          <w:rFonts w:eastAsia="Times New Roman"/>
        </w:rPr>
        <w:t xml:space="preserve">through </w:t>
      </w:r>
      <w:r w:rsidRPr="008F2667">
        <w:rPr>
          <w:rFonts w:eastAsia="Times New Roman"/>
        </w:rPr>
        <w:t xml:space="preserve">the </w:t>
      </w:r>
      <w:r w:rsidRPr="00471F7F">
        <w:rPr>
          <w:rFonts w:eastAsia="Times New Roman"/>
        </w:rPr>
        <w:t>No Win No Fee Program</w:t>
      </w:r>
      <w:r>
        <w:rPr>
          <w:rFonts w:eastAsia="Times New Roman"/>
        </w:rPr>
        <w:t xml:space="preserve"> </w:t>
      </w:r>
      <w:r w:rsidR="00836B8C">
        <w:rPr>
          <w:rFonts w:eastAsia="Times New Roman"/>
        </w:rPr>
        <w:t>with assistance from</w:t>
      </w:r>
      <w:r w:rsidR="005164CC" w:rsidRPr="008F2667">
        <w:rPr>
          <w:rFonts w:eastAsia="Times New Roman"/>
        </w:rPr>
        <w:t xml:space="preserve"> DFAT’s InnovationXchange</w:t>
      </w:r>
      <w:r w:rsidR="00836B8C">
        <w:rPr>
          <w:rFonts w:eastAsia="Times New Roman"/>
        </w:rPr>
        <w:t>. Under this program, the</w:t>
      </w:r>
      <w:r w:rsidR="008F2667" w:rsidRPr="008F2667">
        <w:rPr>
          <w:rFonts w:eastAsia="Times New Roman"/>
        </w:rPr>
        <w:t xml:space="preserve"> Punjab Government and McKinsey Group</w:t>
      </w:r>
      <w:r w:rsidR="00A3685D">
        <w:rPr>
          <w:rFonts w:eastAsia="Times New Roman"/>
        </w:rPr>
        <w:t xml:space="preserve"> ha</w:t>
      </w:r>
      <w:r w:rsidR="00836B8C">
        <w:rPr>
          <w:rFonts w:eastAsia="Times New Roman"/>
        </w:rPr>
        <w:t>ve</w:t>
      </w:r>
      <w:r w:rsidR="00A3685D">
        <w:rPr>
          <w:rFonts w:eastAsia="Times New Roman"/>
        </w:rPr>
        <w:t xml:space="preserve"> commenced a </w:t>
      </w:r>
      <w:r w:rsidR="008F2667" w:rsidRPr="008F2667">
        <w:rPr>
          <w:rFonts w:eastAsia="Times New Roman"/>
        </w:rPr>
        <w:t xml:space="preserve">trial of a </w:t>
      </w:r>
      <w:r w:rsidR="00836B8C" w:rsidRPr="008F2667">
        <w:rPr>
          <w:rFonts w:eastAsia="Times New Roman"/>
        </w:rPr>
        <w:t>performance</w:t>
      </w:r>
      <w:r w:rsidR="00836B8C">
        <w:rPr>
          <w:rFonts w:eastAsia="Times New Roman"/>
        </w:rPr>
        <w:t>-</w:t>
      </w:r>
      <w:r w:rsidR="008F2667" w:rsidRPr="008F2667">
        <w:rPr>
          <w:rFonts w:eastAsia="Times New Roman"/>
        </w:rPr>
        <w:t xml:space="preserve">based payment arrangement for tax specialists to identify options </w:t>
      </w:r>
      <w:r w:rsidR="00845E65">
        <w:rPr>
          <w:rFonts w:eastAsia="Times New Roman"/>
        </w:rPr>
        <w:t>to</w:t>
      </w:r>
      <w:r w:rsidR="00845E65" w:rsidRPr="008F2667">
        <w:rPr>
          <w:rFonts w:eastAsia="Times New Roman"/>
        </w:rPr>
        <w:t xml:space="preserve"> </w:t>
      </w:r>
      <w:r w:rsidR="008F2667" w:rsidRPr="008F2667">
        <w:rPr>
          <w:rFonts w:eastAsia="Times New Roman"/>
        </w:rPr>
        <w:t>increas</w:t>
      </w:r>
      <w:r w:rsidR="00845E65">
        <w:rPr>
          <w:rFonts w:eastAsia="Times New Roman"/>
        </w:rPr>
        <w:t>e</w:t>
      </w:r>
      <w:r w:rsidR="008F2667" w:rsidRPr="008F2667">
        <w:rPr>
          <w:rFonts w:eastAsia="Times New Roman"/>
        </w:rPr>
        <w:t xml:space="preserve"> tax revenues.</w:t>
      </w:r>
    </w:p>
    <w:p w14:paraId="19F06649" w14:textId="6B823CDB" w:rsidR="00D16703" w:rsidRPr="00C1005B" w:rsidRDefault="00845E65" w:rsidP="00EC1011">
      <w:r>
        <w:rPr>
          <w:rFonts w:eastAsia="Times New Roman"/>
        </w:rPr>
        <w:t>While t</w:t>
      </w:r>
      <w:r w:rsidR="00CA2694" w:rsidRPr="008F2667">
        <w:rPr>
          <w:rFonts w:eastAsia="Times New Roman"/>
        </w:rPr>
        <w:t xml:space="preserve">he </w:t>
      </w:r>
      <w:r w:rsidR="00F51D19">
        <w:rPr>
          <w:rFonts w:eastAsia="Times New Roman"/>
        </w:rPr>
        <w:t>PTIPP</w:t>
      </w:r>
      <w:r w:rsidR="008E4C41">
        <w:rPr>
          <w:rFonts w:eastAsia="Times New Roman"/>
        </w:rPr>
        <w:t>,</w:t>
      </w:r>
      <w:r w:rsidR="008F2667" w:rsidRPr="008F2667">
        <w:rPr>
          <w:rFonts w:eastAsia="Times New Roman"/>
        </w:rPr>
        <w:t xml:space="preserve"> delivered</w:t>
      </w:r>
      <w:r w:rsidR="00CA2694" w:rsidRPr="008F2667">
        <w:rPr>
          <w:rFonts w:eastAsia="Times New Roman"/>
        </w:rPr>
        <w:t xml:space="preserve"> in partnership with the World Bank, has strong suppor</w:t>
      </w:r>
      <w:r w:rsidR="008F2667" w:rsidRPr="008F2667">
        <w:rPr>
          <w:rFonts w:eastAsia="Times New Roman"/>
        </w:rPr>
        <w:t xml:space="preserve">t from the </w:t>
      </w:r>
      <w:r w:rsidR="00F51D19">
        <w:rPr>
          <w:rFonts w:eastAsia="Times New Roman"/>
        </w:rPr>
        <w:t xml:space="preserve">Pakistan </w:t>
      </w:r>
      <w:r w:rsidR="008F2667" w:rsidRPr="008F2667">
        <w:rPr>
          <w:rFonts w:eastAsia="Times New Roman"/>
        </w:rPr>
        <w:t>Ministry of Commerce</w:t>
      </w:r>
      <w:r w:rsidR="00CA2694" w:rsidRPr="008F2667">
        <w:rPr>
          <w:rFonts w:eastAsia="Times New Roman"/>
        </w:rPr>
        <w:t xml:space="preserve"> and has developed a range of policy </w:t>
      </w:r>
      <w:r w:rsidR="008F2667" w:rsidRPr="008F2667">
        <w:rPr>
          <w:rFonts w:eastAsia="Times New Roman"/>
        </w:rPr>
        <w:t>products</w:t>
      </w:r>
      <w:r w:rsidR="00F7717D">
        <w:rPr>
          <w:rFonts w:eastAsia="Times New Roman"/>
        </w:rPr>
        <w:t xml:space="preserve"> and analytics</w:t>
      </w:r>
      <w:r w:rsidR="00FF3DEA">
        <w:rPr>
          <w:rFonts w:eastAsia="Times New Roman"/>
        </w:rPr>
        <w:t xml:space="preserve">, </w:t>
      </w:r>
      <w:r w:rsidR="00CA2694" w:rsidRPr="008F2667">
        <w:rPr>
          <w:rFonts w:eastAsia="Times New Roman"/>
        </w:rPr>
        <w:t xml:space="preserve">there is </w:t>
      </w:r>
      <w:r w:rsidR="00B32EAD">
        <w:rPr>
          <w:rFonts w:eastAsia="Times New Roman"/>
        </w:rPr>
        <w:t>limited</w:t>
      </w:r>
      <w:r w:rsidR="00CA2694" w:rsidRPr="008F2667">
        <w:rPr>
          <w:rFonts w:eastAsia="Times New Roman"/>
        </w:rPr>
        <w:t xml:space="preserve"> evidence of </w:t>
      </w:r>
      <w:r w:rsidR="00B32EAD">
        <w:rPr>
          <w:rFonts w:eastAsia="Times New Roman"/>
        </w:rPr>
        <w:t xml:space="preserve">progress towards </w:t>
      </w:r>
      <w:r w:rsidR="00CA2694" w:rsidRPr="008F2667">
        <w:rPr>
          <w:rFonts w:eastAsia="Times New Roman"/>
        </w:rPr>
        <w:t xml:space="preserve">outcomes </w:t>
      </w:r>
      <w:r w:rsidR="004E69A3">
        <w:rPr>
          <w:rFonts w:eastAsia="Times New Roman"/>
        </w:rPr>
        <w:t>as defined in the Results Framework</w:t>
      </w:r>
      <w:r w:rsidR="005164CC">
        <w:rPr>
          <w:rFonts w:eastAsia="Times New Roman"/>
        </w:rPr>
        <w:t>. As a result the project</w:t>
      </w:r>
      <w:r w:rsidR="00CA2694" w:rsidRPr="008F2667">
        <w:rPr>
          <w:rFonts w:eastAsia="Times New Roman"/>
        </w:rPr>
        <w:t xml:space="preserve"> has been classified as an underperforming investment</w:t>
      </w:r>
      <w:r w:rsidR="00CA2694" w:rsidRPr="00FF3DEA">
        <w:rPr>
          <w:rFonts w:eastAsia="Times New Roman"/>
        </w:rPr>
        <w:t xml:space="preserve">. </w:t>
      </w:r>
      <w:r w:rsidR="00FF3DEA" w:rsidRPr="00FF3DEA">
        <w:t xml:space="preserve">The </w:t>
      </w:r>
      <w:r w:rsidR="00FF3DEA">
        <w:t xml:space="preserve">Pakistan </w:t>
      </w:r>
      <w:r w:rsidR="00FF3DEA" w:rsidRPr="00FF3DEA">
        <w:t xml:space="preserve">Ministry of Commerce is now committed to finalising the draft of the next Strategic Trade Policy Framework by April 2018 and </w:t>
      </w:r>
      <w:r w:rsidR="00C1005B">
        <w:t xml:space="preserve">PTIPP inputs are expected to underpin </w:t>
      </w:r>
      <w:r w:rsidR="00FF3DEA" w:rsidRPr="00FF3DEA">
        <w:t>the new Strategy.</w:t>
      </w:r>
      <w:r w:rsidR="00FF3DEA">
        <w:t xml:space="preserve"> This</w:t>
      </w:r>
      <w:r w:rsidR="00C1005B">
        <w:t xml:space="preserve"> expected</w:t>
      </w:r>
      <w:r w:rsidR="00FF3DEA">
        <w:t xml:space="preserve"> outcome has been included as a performance benchmark for next year. </w:t>
      </w:r>
      <w:r w:rsidR="00C46097" w:rsidRPr="008F2667">
        <w:rPr>
          <w:rFonts w:eastAsia="Times New Roman"/>
        </w:rPr>
        <w:t xml:space="preserve">There is </w:t>
      </w:r>
      <w:r w:rsidR="008F2667" w:rsidRPr="008F2667">
        <w:rPr>
          <w:rFonts w:eastAsia="Times New Roman"/>
        </w:rPr>
        <w:t xml:space="preserve">also </w:t>
      </w:r>
      <w:r w:rsidR="00C46097" w:rsidRPr="008F2667">
        <w:rPr>
          <w:rFonts w:eastAsia="Times New Roman"/>
        </w:rPr>
        <w:t xml:space="preserve">a strong rationale for Australia to invest in agricultural research in Pakistan through </w:t>
      </w:r>
      <w:r w:rsidR="00B13C41">
        <w:rPr>
          <w:rFonts w:eastAsia="Times New Roman"/>
        </w:rPr>
        <w:t xml:space="preserve">the </w:t>
      </w:r>
      <w:r w:rsidR="00C46097" w:rsidRPr="008F2667">
        <w:rPr>
          <w:rFonts w:eastAsia="Times New Roman"/>
        </w:rPr>
        <w:t>A</w:t>
      </w:r>
      <w:r w:rsidR="00B13C41">
        <w:rPr>
          <w:rFonts w:eastAsia="Times New Roman"/>
        </w:rPr>
        <w:t xml:space="preserve">ustralian </w:t>
      </w:r>
      <w:r w:rsidR="00C46097" w:rsidRPr="008F2667">
        <w:rPr>
          <w:rFonts w:eastAsia="Times New Roman"/>
        </w:rPr>
        <w:t>C</w:t>
      </w:r>
      <w:r w:rsidR="00B13C41">
        <w:rPr>
          <w:rFonts w:eastAsia="Times New Roman"/>
        </w:rPr>
        <w:t xml:space="preserve">entre for </w:t>
      </w:r>
      <w:r w:rsidR="00C46097" w:rsidRPr="008F2667">
        <w:rPr>
          <w:rFonts w:eastAsia="Times New Roman"/>
        </w:rPr>
        <w:t>I</w:t>
      </w:r>
      <w:r w:rsidR="00B13C41">
        <w:rPr>
          <w:rFonts w:eastAsia="Times New Roman"/>
        </w:rPr>
        <w:t xml:space="preserve">nternational </w:t>
      </w:r>
      <w:r w:rsidR="00C46097" w:rsidRPr="008F2667">
        <w:rPr>
          <w:rFonts w:eastAsia="Times New Roman"/>
        </w:rPr>
        <w:t>A</w:t>
      </w:r>
      <w:r w:rsidR="00B13C41">
        <w:rPr>
          <w:rFonts w:eastAsia="Times New Roman"/>
        </w:rPr>
        <w:t xml:space="preserve">gricultural </w:t>
      </w:r>
      <w:r w:rsidR="00C46097" w:rsidRPr="008F2667">
        <w:rPr>
          <w:rFonts w:eastAsia="Times New Roman"/>
        </w:rPr>
        <w:t>R</w:t>
      </w:r>
      <w:r w:rsidR="00B13C41">
        <w:rPr>
          <w:rFonts w:eastAsia="Times New Roman"/>
        </w:rPr>
        <w:t>esearch (ACIAR)</w:t>
      </w:r>
      <w:r w:rsidR="00F51D19">
        <w:rPr>
          <w:rFonts w:eastAsia="Times New Roman"/>
        </w:rPr>
        <w:t xml:space="preserve"> (</w:t>
      </w:r>
      <w:r w:rsidR="00F51D19" w:rsidRPr="00471F7F">
        <w:rPr>
          <w:rFonts w:eastAsia="Times New Roman"/>
        </w:rPr>
        <w:t>Agricultural Value Chain Collaborative Research</w:t>
      </w:r>
      <w:r w:rsidR="009B02C4">
        <w:rPr>
          <w:rFonts w:eastAsia="Times New Roman"/>
        </w:rPr>
        <w:t xml:space="preserve"> (AVCCR)</w:t>
      </w:r>
      <w:r w:rsidR="00F7717D" w:rsidRPr="00471F7F">
        <w:rPr>
          <w:rFonts w:eastAsia="Times New Roman"/>
        </w:rPr>
        <w:t xml:space="preserve"> </w:t>
      </w:r>
      <w:r w:rsidR="00B13C41" w:rsidRPr="00471F7F">
        <w:rPr>
          <w:rFonts w:eastAsia="Times New Roman"/>
        </w:rPr>
        <w:t>P</w:t>
      </w:r>
      <w:r w:rsidR="00F7717D" w:rsidRPr="00471F7F">
        <w:rPr>
          <w:rFonts w:eastAsia="Times New Roman"/>
        </w:rPr>
        <w:t>rogram</w:t>
      </w:r>
      <w:r w:rsidR="00C46097" w:rsidRPr="008F2667">
        <w:rPr>
          <w:rFonts w:eastAsia="Times New Roman"/>
        </w:rPr>
        <w:t xml:space="preserve">, but </w:t>
      </w:r>
      <w:r w:rsidR="00CC57E3" w:rsidRPr="008F2667">
        <w:rPr>
          <w:rFonts w:eastAsia="Times New Roman"/>
        </w:rPr>
        <w:t>progress in the first year</w:t>
      </w:r>
      <w:r w:rsidR="006F6F59">
        <w:rPr>
          <w:rFonts w:eastAsia="Times New Roman"/>
        </w:rPr>
        <w:t xml:space="preserve"> of this program</w:t>
      </w:r>
      <w:r w:rsidR="00CC57E3" w:rsidRPr="008F2667">
        <w:rPr>
          <w:rFonts w:eastAsia="Times New Roman"/>
        </w:rPr>
        <w:t xml:space="preserve"> has not been in line with expectations</w:t>
      </w:r>
      <w:r w:rsidR="00CA2694" w:rsidRPr="008F2667">
        <w:rPr>
          <w:rFonts w:eastAsia="Times New Roman"/>
        </w:rPr>
        <w:t>, leading to performance concerns. For both these IRIs,</w:t>
      </w:r>
      <w:r w:rsidR="00CC57E3" w:rsidRPr="008F2667">
        <w:rPr>
          <w:rFonts w:eastAsia="Times New Roman"/>
        </w:rPr>
        <w:t xml:space="preserve"> remediation </w:t>
      </w:r>
      <w:r w:rsidR="00CC57E3" w:rsidRPr="00650E22">
        <w:rPr>
          <w:rFonts w:eastAsia="Times New Roman"/>
        </w:rPr>
        <w:t>plan</w:t>
      </w:r>
      <w:r w:rsidR="00CA2694" w:rsidRPr="00650E22">
        <w:rPr>
          <w:rFonts w:eastAsia="Times New Roman"/>
        </w:rPr>
        <w:t>s</w:t>
      </w:r>
      <w:r w:rsidR="008F2667" w:rsidRPr="00650E22">
        <w:rPr>
          <w:rFonts w:eastAsia="Times New Roman"/>
        </w:rPr>
        <w:t xml:space="preserve"> hav</w:t>
      </w:r>
      <w:r w:rsidR="006F6F59" w:rsidRPr="00650E22">
        <w:rPr>
          <w:rFonts w:eastAsia="Times New Roman"/>
        </w:rPr>
        <w:t>e been agreed at</w:t>
      </w:r>
      <w:r w:rsidR="008F2667" w:rsidRPr="00650E22">
        <w:rPr>
          <w:rFonts w:eastAsia="Times New Roman"/>
        </w:rPr>
        <w:t xml:space="preserve"> senior level</w:t>
      </w:r>
      <w:r w:rsidR="006F6F59" w:rsidRPr="00650E22">
        <w:rPr>
          <w:rFonts w:eastAsia="Times New Roman"/>
        </w:rPr>
        <w:t>s</w:t>
      </w:r>
      <w:r w:rsidR="00CA2694" w:rsidRPr="00650E22">
        <w:rPr>
          <w:rFonts w:eastAsia="Times New Roman"/>
        </w:rPr>
        <w:t xml:space="preserve"> </w:t>
      </w:r>
      <w:r w:rsidR="00CC57E3" w:rsidRPr="00650E22">
        <w:rPr>
          <w:rFonts w:eastAsia="Times New Roman"/>
        </w:rPr>
        <w:t>to ensure performance improves during the next reporting period.</w:t>
      </w:r>
      <w:r w:rsidR="009E2975" w:rsidRPr="00650E22">
        <w:rPr>
          <w:rFonts w:eastAsia="Times New Roman"/>
        </w:rPr>
        <w:t xml:space="preserve"> </w:t>
      </w:r>
      <w:r w:rsidR="00EC1011" w:rsidRPr="00650E22">
        <w:rPr>
          <w:rFonts w:eastAsia="Times New Roman"/>
        </w:rPr>
        <w:t>Both cases</w:t>
      </w:r>
      <w:r w:rsidR="00EC1011">
        <w:rPr>
          <w:rFonts w:eastAsia="Times New Roman"/>
        </w:rPr>
        <w:t xml:space="preserve"> of underperformance highlight the need to better articulate and test the links between activities and outcomes in designs and investment-level performance frameworks to ensure outcomes are realistic</w:t>
      </w:r>
      <w:r w:rsidR="00C1005B">
        <w:rPr>
          <w:rFonts w:eastAsia="Times New Roman"/>
        </w:rPr>
        <w:t xml:space="preserve"> and achievable</w:t>
      </w:r>
      <w:r w:rsidR="00EC1011">
        <w:rPr>
          <w:rFonts w:eastAsia="Times New Roman"/>
        </w:rPr>
        <w:t xml:space="preserve"> in the operating context. </w:t>
      </w:r>
    </w:p>
    <w:p w14:paraId="08F8BCE3" w14:textId="7E658615" w:rsidR="00257BB4" w:rsidRDefault="00257BB4" w:rsidP="00D24CF8">
      <w:pPr>
        <w:rPr>
          <w:rFonts w:asciiTheme="majorHAnsi" w:eastAsiaTheme="majorEastAsia" w:hAnsiTheme="majorHAnsi" w:cstheme="majorBidi"/>
          <w:caps/>
          <w:sz w:val="38"/>
          <w:szCs w:val="26"/>
        </w:rPr>
      </w:pPr>
    </w:p>
    <w:p w14:paraId="3690BAEA" w14:textId="6D8B02D6" w:rsidR="00D24CF8" w:rsidRDefault="0051121D" w:rsidP="00D24CF8">
      <w:pPr>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Objective 2: Investing in pakistan’s people, with a focus on women and girls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D24CF8" w:rsidRPr="00695730" w14:paraId="74B3EC87" w14:textId="77777777" w:rsidTr="00C953C2">
        <w:tc>
          <w:tcPr>
            <w:tcW w:w="2016" w:type="dxa"/>
          </w:tcPr>
          <w:p w14:paraId="695F65EB" w14:textId="77777777" w:rsidR="00D24CF8" w:rsidRPr="00695730" w:rsidRDefault="00D24CF8" w:rsidP="00C953C2">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01DBB506" wp14:editId="64BC5422">
                  <wp:extent cx="1137600" cy="720000"/>
                  <wp:effectExtent l="0" t="0" r="571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0BD5CA15" w14:textId="77777777" w:rsidR="00D24CF8" w:rsidRPr="00695730" w:rsidRDefault="00D24CF8" w:rsidP="00C953C2">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27F49BF5" wp14:editId="6E0FDD4B">
                  <wp:extent cx="609600" cy="609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23B635B6" w14:textId="77777777" w:rsidR="00D24CF8" w:rsidRPr="00695730" w:rsidRDefault="00D24CF8" w:rsidP="00C953C2">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71A97789" wp14:editId="0D5BB530">
                  <wp:extent cx="612000" cy="612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203755CB" w14:textId="77777777" w:rsidR="00D24CF8" w:rsidRPr="00695730" w:rsidRDefault="008869E6" w:rsidP="00C953C2">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1242B401" wp14:editId="24003B5E">
                  <wp:extent cx="612000" cy="612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05E31BF3" w14:textId="77777777" w:rsidR="00D24CF8" w:rsidRPr="00695730" w:rsidRDefault="008869E6" w:rsidP="00C953C2">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37F2570C" wp14:editId="67022F4A">
                  <wp:extent cx="612000" cy="612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3585DA2D" w14:textId="08D96D76" w:rsidR="00E8003B" w:rsidRDefault="00C1005B">
      <w:pPr>
        <w:rPr>
          <w:rFonts w:eastAsia="Times New Roman"/>
        </w:rPr>
      </w:pPr>
      <w:r>
        <w:rPr>
          <w:rFonts w:eastAsia="Times New Roman"/>
        </w:rPr>
        <w:t>Our</w:t>
      </w:r>
      <w:r w:rsidR="001469E2" w:rsidRPr="000228D0">
        <w:rPr>
          <w:rFonts w:eastAsia="Times New Roman"/>
        </w:rPr>
        <w:t xml:space="preserve"> human development objective is now squarely focussed on improving outcomes for women and girls. This objective was rated green because significant progress has been achieved, especially in terms of provincial level policy outcomes. </w:t>
      </w:r>
      <w:r w:rsidR="005164CC">
        <w:rPr>
          <w:rFonts w:eastAsia="Times New Roman"/>
        </w:rPr>
        <w:t xml:space="preserve">The </w:t>
      </w:r>
      <w:r w:rsidR="009C7A64">
        <w:t xml:space="preserve">World Bank </w:t>
      </w:r>
      <w:r w:rsidR="005164CC">
        <w:t>Multi-Donor Trust Fund on Nutrition (MDTF-N)</w:t>
      </w:r>
      <w:r w:rsidR="00B33233">
        <w:t xml:space="preserve"> </w:t>
      </w:r>
      <w:r w:rsidR="001469E2" w:rsidRPr="000228D0">
        <w:rPr>
          <w:rFonts w:eastAsia="Times New Roman"/>
        </w:rPr>
        <w:t xml:space="preserve">was off-track </w:t>
      </w:r>
      <w:r>
        <w:rPr>
          <w:rFonts w:eastAsia="Times New Roman"/>
        </w:rPr>
        <w:t xml:space="preserve">in </w:t>
      </w:r>
      <w:r w:rsidR="00B33233">
        <w:t>Khyber Pakhtunkhwa</w:t>
      </w:r>
      <w:r>
        <w:rPr>
          <w:rFonts w:eastAsia="Times New Roman"/>
        </w:rPr>
        <w:t xml:space="preserve"> (one of the two target provinces) </w:t>
      </w:r>
      <w:r w:rsidR="001469E2" w:rsidRPr="000228D0">
        <w:rPr>
          <w:rFonts w:eastAsia="Times New Roman"/>
        </w:rPr>
        <w:t xml:space="preserve">during the last reporting period, but there is now </w:t>
      </w:r>
      <w:r w:rsidR="002F01BD">
        <w:rPr>
          <w:rFonts w:eastAsia="Times New Roman"/>
        </w:rPr>
        <w:t>an approved project document</w:t>
      </w:r>
      <w:r w:rsidR="001469E2" w:rsidRPr="000228D0">
        <w:rPr>
          <w:rFonts w:eastAsia="Times New Roman"/>
        </w:rPr>
        <w:t xml:space="preserve"> to </w:t>
      </w:r>
      <w:r w:rsidR="00E8003B" w:rsidRPr="000228D0">
        <w:rPr>
          <w:rFonts w:eastAsia="Times New Roman"/>
        </w:rPr>
        <w:t xml:space="preserve">commence the inception phase, with </w:t>
      </w:r>
      <w:r w:rsidR="00EE2801">
        <w:rPr>
          <w:rFonts w:eastAsia="Times New Roman"/>
        </w:rPr>
        <w:t xml:space="preserve">the </w:t>
      </w:r>
      <w:r w:rsidR="0085596D">
        <w:rPr>
          <w:rFonts w:eastAsia="Times New Roman"/>
        </w:rPr>
        <w:t xml:space="preserve">first stage of </w:t>
      </w:r>
      <w:r w:rsidR="00E8003B" w:rsidRPr="000228D0">
        <w:rPr>
          <w:rFonts w:eastAsia="Times New Roman"/>
        </w:rPr>
        <w:t xml:space="preserve">delivery of services expected in </w:t>
      </w:r>
      <w:r w:rsidR="00255880">
        <w:rPr>
          <w:rFonts w:eastAsia="Times New Roman"/>
        </w:rPr>
        <w:t>2018</w:t>
      </w:r>
      <w:r w:rsidR="00B13C41">
        <w:rPr>
          <w:rFonts w:eastAsia="Times New Roman"/>
        </w:rPr>
        <w:t>-</w:t>
      </w:r>
      <w:r w:rsidR="00255880">
        <w:rPr>
          <w:rFonts w:eastAsia="Times New Roman"/>
        </w:rPr>
        <w:t>19</w:t>
      </w:r>
      <w:r w:rsidR="00911C1B">
        <w:rPr>
          <w:rFonts w:eastAsia="Times New Roman"/>
        </w:rPr>
        <w:t xml:space="preserve">. Progress is slow as this investment is working through Government of </w:t>
      </w:r>
      <w:r w:rsidR="00836B8C">
        <w:t>Khyber Pakhtunkhwa</w:t>
      </w:r>
      <w:r w:rsidR="00836B8C">
        <w:rPr>
          <w:rFonts w:eastAsia="Times New Roman"/>
        </w:rPr>
        <w:t xml:space="preserve"> </w:t>
      </w:r>
      <w:r w:rsidR="00911C1B">
        <w:rPr>
          <w:rFonts w:eastAsia="Times New Roman"/>
        </w:rPr>
        <w:t>systems, but outcomes are likely to be more sustainable. The</w:t>
      </w:r>
      <w:r w:rsidR="00E8003B" w:rsidRPr="000228D0">
        <w:rPr>
          <w:rFonts w:eastAsia="Times New Roman"/>
        </w:rPr>
        <w:t xml:space="preserve"> evidence </w:t>
      </w:r>
      <w:r w:rsidR="0085596D">
        <w:rPr>
          <w:rFonts w:eastAsia="Times New Roman"/>
        </w:rPr>
        <w:t>suggests</w:t>
      </w:r>
      <w:r w:rsidR="00E8003B" w:rsidRPr="000228D0">
        <w:rPr>
          <w:rFonts w:eastAsia="Times New Roman"/>
        </w:rPr>
        <w:t xml:space="preserve"> the program has turned a corner</w:t>
      </w:r>
      <w:r w:rsidR="00EE2801">
        <w:rPr>
          <w:rFonts w:eastAsia="Times New Roman"/>
        </w:rPr>
        <w:t xml:space="preserve"> in </w:t>
      </w:r>
      <w:r w:rsidR="004F638A">
        <w:t>Khyber Pakhtunkhwa</w:t>
      </w:r>
      <w:r w:rsidR="00EE2801">
        <w:rPr>
          <w:rFonts w:eastAsia="Times New Roman"/>
        </w:rPr>
        <w:t>, and</w:t>
      </w:r>
      <w:r w:rsidR="00911C1B">
        <w:rPr>
          <w:rFonts w:eastAsia="Times New Roman"/>
        </w:rPr>
        <w:t xml:space="preserve"> this, together with good performance in Balochistan, justifies</w:t>
      </w:r>
      <w:r w:rsidR="00E8003B" w:rsidRPr="000228D0">
        <w:rPr>
          <w:rFonts w:eastAsia="Times New Roman"/>
        </w:rPr>
        <w:t xml:space="preserve"> a green rating overall.</w:t>
      </w:r>
    </w:p>
    <w:p w14:paraId="7DAB8C79" w14:textId="77777777" w:rsidR="0063265E" w:rsidRPr="000228D0" w:rsidRDefault="0063265E">
      <w:pPr>
        <w:rPr>
          <w:rFonts w:eastAsia="Times New Roman"/>
        </w:rPr>
      </w:pPr>
    </w:p>
    <w:p w14:paraId="0EE64606" w14:textId="673A79B9" w:rsidR="004F638A" w:rsidRDefault="00E8003B" w:rsidP="004F638A">
      <w:pPr>
        <w:rPr>
          <w:rFonts w:eastAsia="Times New Roman"/>
          <w:highlight w:val="yellow"/>
        </w:rPr>
      </w:pPr>
      <w:r w:rsidRPr="000228D0">
        <w:rPr>
          <w:rFonts w:eastAsia="Times New Roman"/>
        </w:rPr>
        <w:lastRenderedPageBreak/>
        <w:t xml:space="preserve">Under </w:t>
      </w:r>
      <w:r w:rsidR="001469E2" w:rsidRPr="00946D45">
        <w:rPr>
          <w:rFonts w:eastAsia="Times New Roman"/>
          <w:b/>
        </w:rPr>
        <w:t>Outcome</w:t>
      </w:r>
      <w:r w:rsidR="00820158" w:rsidRPr="00946D45">
        <w:rPr>
          <w:rFonts w:eastAsia="Times New Roman"/>
          <w:b/>
        </w:rPr>
        <w:t xml:space="preserve"> 3</w:t>
      </w:r>
      <w:r w:rsidR="00DB23E8">
        <w:rPr>
          <w:rFonts w:eastAsia="Times New Roman"/>
          <w:b/>
        </w:rPr>
        <w:t>:</w:t>
      </w:r>
      <w:r w:rsidR="00DB23E8" w:rsidRPr="00946D45">
        <w:rPr>
          <w:rFonts w:eastAsia="Times New Roman"/>
          <w:b/>
        </w:rPr>
        <w:t xml:space="preserve"> </w:t>
      </w:r>
      <w:r w:rsidR="00820158" w:rsidRPr="00946D45">
        <w:rPr>
          <w:rFonts w:eastAsia="Times New Roman"/>
          <w:b/>
        </w:rPr>
        <w:t xml:space="preserve">Women and Girls have </w:t>
      </w:r>
      <w:r w:rsidR="0085596D">
        <w:rPr>
          <w:rFonts w:eastAsia="Times New Roman"/>
          <w:b/>
        </w:rPr>
        <w:t xml:space="preserve">better </w:t>
      </w:r>
      <w:r w:rsidR="00820158" w:rsidRPr="00946D45">
        <w:rPr>
          <w:rFonts w:eastAsia="Times New Roman"/>
          <w:b/>
        </w:rPr>
        <w:t>access to education, nutrition, co</w:t>
      </w:r>
      <w:r w:rsidRPr="00946D45">
        <w:rPr>
          <w:rFonts w:eastAsia="Times New Roman"/>
          <w:b/>
        </w:rPr>
        <w:t>unselling and support services</w:t>
      </w:r>
      <w:r w:rsidR="00C1005B">
        <w:rPr>
          <w:rFonts w:eastAsia="Times New Roman"/>
        </w:rPr>
        <w:t xml:space="preserve">, </w:t>
      </w:r>
      <w:r w:rsidR="004F638A" w:rsidRPr="0063265E">
        <w:rPr>
          <w:rFonts w:eastAsia="Times New Roman"/>
        </w:rPr>
        <w:t xml:space="preserve">the </w:t>
      </w:r>
      <w:r w:rsidR="004F638A">
        <w:t>Khyber Pakhtunkhwa</w:t>
      </w:r>
      <w:r w:rsidR="004F638A" w:rsidRPr="0063265E">
        <w:rPr>
          <w:rFonts w:eastAsia="Times New Roman"/>
        </w:rPr>
        <w:t xml:space="preserve"> </w:t>
      </w:r>
      <w:r w:rsidR="004F638A">
        <w:rPr>
          <w:rFonts w:eastAsia="Times New Roman"/>
        </w:rPr>
        <w:t>E</w:t>
      </w:r>
      <w:r w:rsidR="004F638A" w:rsidRPr="0063265E">
        <w:rPr>
          <w:rFonts w:eastAsia="Times New Roman"/>
        </w:rPr>
        <w:t xml:space="preserve">ducation </w:t>
      </w:r>
      <w:r w:rsidR="004F638A">
        <w:rPr>
          <w:rFonts w:eastAsia="Times New Roman"/>
        </w:rPr>
        <w:t xml:space="preserve">Sector </w:t>
      </w:r>
      <w:r w:rsidR="004F638A" w:rsidRPr="0063265E">
        <w:rPr>
          <w:rFonts w:eastAsia="Times New Roman"/>
        </w:rPr>
        <w:t>Progra</w:t>
      </w:r>
      <w:r w:rsidR="004F638A" w:rsidRPr="00967FAB">
        <w:rPr>
          <w:rFonts w:eastAsia="Times New Roman"/>
        </w:rPr>
        <w:t>m</w:t>
      </w:r>
      <w:r w:rsidR="004F638A">
        <w:rPr>
          <w:rFonts w:eastAsia="Times New Roman"/>
        </w:rPr>
        <w:t xml:space="preserve"> (KESP), implemented through </w:t>
      </w:r>
      <w:r w:rsidR="00836B8C">
        <w:rPr>
          <w:rFonts w:eastAsia="Times New Roman"/>
        </w:rPr>
        <w:t xml:space="preserve">a </w:t>
      </w:r>
      <w:r w:rsidR="004F638A">
        <w:rPr>
          <w:rFonts w:eastAsia="Times New Roman"/>
        </w:rPr>
        <w:t xml:space="preserve">delegated cooperation </w:t>
      </w:r>
      <w:r w:rsidR="00836B8C">
        <w:rPr>
          <w:rFonts w:eastAsia="Times New Roman"/>
        </w:rPr>
        <w:t xml:space="preserve">arrangement </w:t>
      </w:r>
      <w:r w:rsidR="004F638A">
        <w:rPr>
          <w:rFonts w:eastAsia="Times New Roman"/>
        </w:rPr>
        <w:t xml:space="preserve">with DFID, met its target of </w:t>
      </w:r>
      <w:r w:rsidR="00836B8C">
        <w:rPr>
          <w:rFonts w:eastAsia="Times New Roman"/>
        </w:rPr>
        <w:t xml:space="preserve">improving education services for </w:t>
      </w:r>
      <w:r w:rsidR="004F638A">
        <w:rPr>
          <w:rFonts w:eastAsia="Times New Roman"/>
        </w:rPr>
        <w:t xml:space="preserve">4.4m children (including 1.95m girls) during the reporting period. </w:t>
      </w:r>
      <w:r w:rsidR="004F638A">
        <w:t xml:space="preserve">The infrastructure component of this investment has also achieved strong progress, with 246 classrooms completed, well beyond the target of </w:t>
      </w:r>
      <w:r w:rsidR="004F638A" w:rsidRPr="00967FAB">
        <w:t xml:space="preserve">212. </w:t>
      </w:r>
      <w:r w:rsidR="004F638A" w:rsidRPr="004F638A">
        <w:rPr>
          <w:rFonts w:eastAsia="Times New Roman"/>
        </w:rPr>
        <w:t>T</w:t>
      </w:r>
      <w:r w:rsidR="00B42DE4" w:rsidRPr="004F638A">
        <w:rPr>
          <w:rFonts w:eastAsia="Times New Roman"/>
        </w:rPr>
        <w:t>he performance benchmark target for nutrition services under</w:t>
      </w:r>
      <w:r w:rsidR="00B42DE4" w:rsidRPr="004F638A">
        <w:t xml:space="preserve"> the </w:t>
      </w:r>
      <w:r w:rsidR="009C7A64" w:rsidRPr="004F638A">
        <w:t>MDTF-</w:t>
      </w:r>
      <w:r w:rsidR="00B42DE4" w:rsidRPr="004F638A">
        <w:t>N</w:t>
      </w:r>
      <w:r w:rsidR="00B42DE4" w:rsidRPr="004F638A">
        <w:rPr>
          <w:rFonts w:eastAsia="Times New Roman"/>
        </w:rPr>
        <w:t xml:space="preserve"> was </w:t>
      </w:r>
      <w:r w:rsidR="004F638A" w:rsidRPr="0063265E">
        <w:rPr>
          <w:rFonts w:eastAsia="Times New Roman"/>
        </w:rPr>
        <w:t xml:space="preserve">also </w:t>
      </w:r>
      <w:r w:rsidR="00B42DE4" w:rsidRPr="00967FAB">
        <w:rPr>
          <w:rFonts w:eastAsia="Times New Roman"/>
        </w:rPr>
        <w:t>far exceeded, with almost 130,000 wom</w:t>
      </w:r>
      <w:r w:rsidR="00B42DE4" w:rsidRPr="00214581">
        <w:rPr>
          <w:rFonts w:eastAsia="Times New Roman"/>
        </w:rPr>
        <w:t xml:space="preserve">en and children in selected districts in Balochistan receiving nutrition-related services, against the target of 77,970. </w:t>
      </w:r>
    </w:p>
    <w:p w14:paraId="6B0FAFCF" w14:textId="6DE702D0" w:rsidR="00820158" w:rsidRPr="000228D0" w:rsidRDefault="004F638A" w:rsidP="00836B8C">
      <w:pPr>
        <w:rPr>
          <w:rFonts w:eastAsia="Times New Roman"/>
        </w:rPr>
      </w:pPr>
      <w:r>
        <w:rPr>
          <w:rFonts w:eastAsia="Times New Roman"/>
        </w:rPr>
        <w:t>An</w:t>
      </w:r>
      <w:r w:rsidRPr="000228D0">
        <w:rPr>
          <w:rFonts w:eastAsia="Times New Roman"/>
        </w:rPr>
        <w:t xml:space="preserve"> evaluation </w:t>
      </w:r>
      <w:r>
        <w:rPr>
          <w:rFonts w:eastAsia="Times New Roman"/>
        </w:rPr>
        <w:t xml:space="preserve">of Australia’s </w:t>
      </w:r>
      <w:r w:rsidR="00836B8C">
        <w:rPr>
          <w:rFonts w:eastAsia="Times New Roman"/>
        </w:rPr>
        <w:t xml:space="preserve">Challenging </w:t>
      </w:r>
      <w:r>
        <w:rPr>
          <w:rFonts w:eastAsia="Times New Roman"/>
        </w:rPr>
        <w:t xml:space="preserve">Gender-based Violence Program </w:t>
      </w:r>
      <w:r w:rsidRPr="000228D0">
        <w:rPr>
          <w:rFonts w:eastAsia="Times New Roman"/>
        </w:rPr>
        <w:t>(May 2017) verified that the investment is making strong progress towards objectiv</w:t>
      </w:r>
      <w:r>
        <w:rPr>
          <w:rFonts w:eastAsia="Times New Roman"/>
        </w:rPr>
        <w:t>es</w:t>
      </w:r>
      <w:r w:rsidRPr="004F638A">
        <w:rPr>
          <w:rFonts w:eastAsia="Times New Roman"/>
        </w:rPr>
        <w:t xml:space="preserve"> </w:t>
      </w:r>
      <w:r>
        <w:rPr>
          <w:rFonts w:eastAsia="Times New Roman"/>
        </w:rPr>
        <w:t xml:space="preserve">in Sindh and </w:t>
      </w:r>
      <w:r>
        <w:t>Khyber Pakhtunkhwa</w:t>
      </w:r>
      <w:r>
        <w:rPr>
          <w:rFonts w:eastAsia="Times New Roman"/>
        </w:rPr>
        <w:t xml:space="preserve"> provinces</w:t>
      </w:r>
      <w:r w:rsidRPr="000228D0">
        <w:rPr>
          <w:rFonts w:eastAsia="Times New Roman"/>
        </w:rPr>
        <w:t>, concluding that it is ‘highly relevant, is delivering results, and has significant pot</w:t>
      </w:r>
      <w:r>
        <w:rPr>
          <w:rFonts w:eastAsia="Times New Roman"/>
        </w:rPr>
        <w:t>ential for impact and scale-up.’</w:t>
      </w:r>
      <w:r w:rsidRPr="000228D0">
        <w:rPr>
          <w:rFonts w:eastAsia="Times New Roman"/>
        </w:rPr>
        <w:t xml:space="preserve"> </w:t>
      </w:r>
      <w:r>
        <w:rPr>
          <w:rFonts w:eastAsia="Times New Roman"/>
        </w:rPr>
        <w:t xml:space="preserve">This Program </w:t>
      </w:r>
      <w:r w:rsidRPr="000228D0">
        <w:rPr>
          <w:rFonts w:eastAsia="Times New Roman"/>
        </w:rPr>
        <w:t>remains the best performing investment in the Pakistan aid program</w:t>
      </w:r>
      <w:r>
        <w:rPr>
          <w:rFonts w:eastAsia="Times New Roman"/>
        </w:rPr>
        <w:t xml:space="preserve">, based on Aid Quality Check (AQC) ratings. </w:t>
      </w:r>
      <w:r w:rsidR="00836B8C">
        <w:t>During the reporting period, 2330 female survivors of violence accessed program services, well above the target of 1800 and 700 more than during the last reporting period.</w:t>
      </w:r>
    </w:p>
    <w:p w14:paraId="53D892A2" w14:textId="42459040" w:rsidR="00D649A7" w:rsidRPr="00D81D89" w:rsidRDefault="009C7A64" w:rsidP="00946D45">
      <w:r>
        <w:t xml:space="preserve">Demonstrable progress was made against </w:t>
      </w:r>
      <w:r w:rsidR="00CA7522" w:rsidRPr="00946D45">
        <w:rPr>
          <w:b/>
        </w:rPr>
        <w:t>Outcome 4</w:t>
      </w:r>
      <w:r w:rsidR="00DB23E8">
        <w:rPr>
          <w:b/>
        </w:rPr>
        <w:t>:</w:t>
      </w:r>
      <w:r w:rsidR="00DB23E8" w:rsidRPr="00946D45">
        <w:rPr>
          <w:rFonts w:eastAsia="Times New Roman"/>
          <w:b/>
        </w:rPr>
        <w:t xml:space="preserve"> </w:t>
      </w:r>
      <w:r w:rsidR="00CA7522" w:rsidRPr="00946D45">
        <w:rPr>
          <w:b/>
        </w:rPr>
        <w:t>Governments are adopting policy reform around inclusive education, nutrition and EVAW as a result of Australian engagement</w:t>
      </w:r>
      <w:r w:rsidR="00CA7522">
        <w:t xml:space="preserve"> </w:t>
      </w:r>
      <w:r>
        <w:t>over the reporting period</w:t>
      </w:r>
      <w:r w:rsidR="00CA7522">
        <w:t>. For example, KESP contributed to the</w:t>
      </w:r>
      <w:r w:rsidR="00A66FEE">
        <w:t xml:space="preserve"> </w:t>
      </w:r>
      <w:r w:rsidR="00A66FEE" w:rsidRPr="00F84C3A">
        <w:rPr>
          <w:i/>
        </w:rPr>
        <w:t>Khyber Pakhtunkhwa Education Section Plan (2015-20)</w:t>
      </w:r>
      <w:r w:rsidR="00A66FEE">
        <w:t xml:space="preserve"> </w:t>
      </w:r>
      <w:r w:rsidR="00CA7522">
        <w:t>being</w:t>
      </w:r>
      <w:r w:rsidR="00A66FEE">
        <w:t xml:space="preserve"> passed by the provincial cabinet in early 2017, </w:t>
      </w:r>
      <w:r w:rsidR="00CA7522">
        <w:t>which reinforced</w:t>
      </w:r>
      <w:r w:rsidR="00A66FEE">
        <w:t xml:space="preserve"> the</w:t>
      </w:r>
      <w:r w:rsidR="009B02C4">
        <w:t xml:space="preserve"> Government of Khyber </w:t>
      </w:r>
      <w:r w:rsidR="009B02C4" w:rsidRPr="00F84C3A">
        <w:t>Pakhtunkhwa</w:t>
      </w:r>
      <w:r w:rsidR="009B02C4">
        <w:t>’s</w:t>
      </w:r>
      <w:r w:rsidR="00A66FEE">
        <w:t xml:space="preserve"> commitment to education</w:t>
      </w:r>
      <w:r w:rsidR="00E95783">
        <w:t xml:space="preserve">, </w:t>
      </w:r>
      <w:r w:rsidR="000F729F">
        <w:t>and</w:t>
      </w:r>
      <w:r w:rsidR="00A66FEE">
        <w:t xml:space="preserve"> guaran</w:t>
      </w:r>
      <w:r w:rsidR="007A715C">
        <w:t>tees budget allocation to 2020</w:t>
      </w:r>
      <w:r w:rsidR="00A66FEE">
        <w:t>.</w:t>
      </w:r>
      <w:r w:rsidR="000F729F">
        <w:t xml:space="preserve"> </w:t>
      </w:r>
      <w:r w:rsidR="000F729F" w:rsidRPr="00CC231A">
        <w:t>The</w:t>
      </w:r>
      <w:r w:rsidR="00E51091">
        <w:t xml:space="preserve"> </w:t>
      </w:r>
      <w:r w:rsidR="00836B8C">
        <w:t xml:space="preserve">Khyber </w:t>
      </w:r>
      <w:r w:rsidR="00836B8C" w:rsidRPr="00F84C3A">
        <w:t>Pakhtunkhwa</w:t>
      </w:r>
      <w:r w:rsidR="00BD4597">
        <w:t xml:space="preserve"> </w:t>
      </w:r>
      <w:r w:rsidR="00836B8C">
        <w:t xml:space="preserve">Education </w:t>
      </w:r>
      <w:r w:rsidR="000F729F" w:rsidRPr="00BE5760">
        <w:t>Independent Monitoring Unit</w:t>
      </w:r>
      <w:r w:rsidR="000F729F">
        <w:t xml:space="preserve"> (</w:t>
      </w:r>
      <w:r w:rsidR="000F729F" w:rsidRPr="00CC231A">
        <w:t>IMU</w:t>
      </w:r>
      <w:r w:rsidR="000F729F">
        <w:t>)</w:t>
      </w:r>
      <w:r w:rsidR="007A715C">
        <w:t>, established through KESP,</w:t>
      </w:r>
      <w:r w:rsidR="000F729F" w:rsidRPr="00CC231A">
        <w:t xml:space="preserve"> has had a transformational impact on the </w:t>
      </w:r>
      <w:r w:rsidR="000F729F">
        <w:t xml:space="preserve">education </w:t>
      </w:r>
      <w:r w:rsidR="000F729F" w:rsidRPr="00CC231A">
        <w:t xml:space="preserve">sector's ability to monitor progress and plan. </w:t>
      </w:r>
      <w:r w:rsidR="000F729F" w:rsidRPr="00CC231A">
        <w:rPr>
          <w:rFonts w:cs="Times New Roman"/>
        </w:rPr>
        <w:t xml:space="preserve">As a result of the IMU, </w:t>
      </w:r>
      <w:r w:rsidR="00BD4597">
        <w:rPr>
          <w:rFonts w:cs="Times New Roman"/>
        </w:rPr>
        <w:t xml:space="preserve">education </w:t>
      </w:r>
      <w:r w:rsidR="000F729F" w:rsidRPr="00CC231A">
        <w:rPr>
          <w:rFonts w:cs="Times New Roman"/>
        </w:rPr>
        <w:t xml:space="preserve">reforms </w:t>
      </w:r>
      <w:r w:rsidR="00BD4597">
        <w:rPr>
          <w:rFonts w:cs="Times New Roman"/>
        </w:rPr>
        <w:t xml:space="preserve">in </w:t>
      </w:r>
      <w:r w:rsidR="00836B8C">
        <w:rPr>
          <w:rFonts w:cs="Times New Roman"/>
        </w:rPr>
        <w:t>the province</w:t>
      </w:r>
      <w:r w:rsidR="00836B8C" w:rsidRPr="00CC231A">
        <w:rPr>
          <w:rFonts w:cs="Times New Roman"/>
        </w:rPr>
        <w:t xml:space="preserve"> </w:t>
      </w:r>
      <w:r w:rsidR="000F729F" w:rsidRPr="00CC231A">
        <w:rPr>
          <w:rFonts w:cs="Times New Roman"/>
        </w:rPr>
        <w:t>are based on intensive monitoring and are data-driven</w:t>
      </w:r>
      <w:r w:rsidR="000F729F">
        <w:rPr>
          <w:rFonts w:cs="Times New Roman"/>
        </w:rPr>
        <w:t>. A</w:t>
      </w:r>
      <w:r w:rsidR="000F729F" w:rsidRPr="00CC231A">
        <w:rPr>
          <w:rFonts w:cs="Times New Roman"/>
        </w:rPr>
        <w:t xml:space="preserve"> </w:t>
      </w:r>
      <w:r w:rsidR="007A715C">
        <w:rPr>
          <w:rFonts w:cs="Times New Roman"/>
        </w:rPr>
        <w:t>team</w:t>
      </w:r>
      <w:r w:rsidR="000F729F" w:rsidRPr="00CC231A">
        <w:rPr>
          <w:rFonts w:cs="Times New Roman"/>
        </w:rPr>
        <w:t xml:space="preserve"> of </w:t>
      </w:r>
      <w:r w:rsidR="000F729F">
        <w:rPr>
          <w:rFonts w:cs="Times New Roman"/>
        </w:rPr>
        <w:t>m</w:t>
      </w:r>
      <w:r w:rsidR="000F729F" w:rsidRPr="00CC231A">
        <w:rPr>
          <w:rFonts w:cs="Times New Roman"/>
        </w:rPr>
        <w:t xml:space="preserve">onitors visit </w:t>
      </w:r>
      <w:r w:rsidR="000F729F">
        <w:rPr>
          <w:rFonts w:cs="Times New Roman"/>
        </w:rPr>
        <w:t>sc</w:t>
      </w:r>
      <w:r w:rsidR="000F729F" w:rsidRPr="00CC231A">
        <w:rPr>
          <w:rFonts w:cs="Times New Roman"/>
        </w:rPr>
        <w:t>hools monthly and upload</w:t>
      </w:r>
      <w:r w:rsidR="00B13C41">
        <w:rPr>
          <w:rFonts w:cs="Times New Roman"/>
        </w:rPr>
        <w:t>s</w:t>
      </w:r>
      <w:r w:rsidR="000F729F" w:rsidRPr="00CC231A">
        <w:rPr>
          <w:rFonts w:cs="Times New Roman"/>
        </w:rPr>
        <w:t xml:space="preserve"> live data on key indicators</w:t>
      </w:r>
      <w:r w:rsidR="000F729F">
        <w:rPr>
          <w:rFonts w:cs="Times New Roman"/>
        </w:rPr>
        <w:t xml:space="preserve"> </w:t>
      </w:r>
      <w:r w:rsidR="000F729F" w:rsidRPr="00CC231A">
        <w:rPr>
          <w:rFonts w:cs="Times New Roman"/>
        </w:rPr>
        <w:t>used by district education officers</w:t>
      </w:r>
      <w:r w:rsidR="00B13C41">
        <w:rPr>
          <w:rFonts w:cs="Times New Roman"/>
        </w:rPr>
        <w:t>,</w:t>
      </w:r>
      <w:r w:rsidR="000F729F" w:rsidRPr="00CC231A">
        <w:rPr>
          <w:rFonts w:cs="Times New Roman"/>
        </w:rPr>
        <w:t xml:space="preserve"> and seeks immediate action through the Online Action Management System. </w:t>
      </w:r>
      <w:r>
        <w:rPr>
          <w:rFonts w:cs="Times New Roman"/>
        </w:rPr>
        <w:t xml:space="preserve">This has driven an improvement in </w:t>
      </w:r>
      <w:r w:rsidR="000F729F" w:rsidRPr="00CC231A">
        <w:rPr>
          <w:rFonts w:cs="Times New Roman"/>
        </w:rPr>
        <w:t>teacher attendance rate</w:t>
      </w:r>
      <w:r>
        <w:rPr>
          <w:rFonts w:cs="Times New Roman"/>
        </w:rPr>
        <w:t>s</w:t>
      </w:r>
      <w:r w:rsidR="000F729F" w:rsidRPr="00CC231A">
        <w:rPr>
          <w:rFonts w:cs="Times New Roman"/>
        </w:rPr>
        <w:t xml:space="preserve"> from 85 per cent in 2015-16 to 90 per cent in 2016-17. </w:t>
      </w:r>
      <w:r w:rsidR="00A66FEE">
        <w:t>The Elementary a</w:t>
      </w:r>
      <w:r w:rsidR="00CA7522">
        <w:t xml:space="preserve">nd Secondary Education Department </w:t>
      </w:r>
      <w:r w:rsidR="000F729F">
        <w:t xml:space="preserve">also </w:t>
      </w:r>
      <w:r w:rsidR="00A66FEE">
        <w:t xml:space="preserve">conducted an Out of School Children Census </w:t>
      </w:r>
      <w:r w:rsidR="00B53544">
        <w:t>(</w:t>
      </w:r>
      <w:r w:rsidR="00DB23E8">
        <w:t xml:space="preserve">estimated </w:t>
      </w:r>
      <w:r w:rsidR="006E68FD">
        <w:t>1.5</w:t>
      </w:r>
      <w:r w:rsidR="00DB23E8">
        <w:t xml:space="preserve"> </w:t>
      </w:r>
      <w:r w:rsidR="00B53544">
        <w:t>m</w:t>
      </w:r>
      <w:r w:rsidR="00DB23E8">
        <w:t>illion</w:t>
      </w:r>
      <w:r w:rsidR="00B53544">
        <w:t xml:space="preserve"> </w:t>
      </w:r>
      <w:r w:rsidR="006E68FD">
        <w:t xml:space="preserve">children </w:t>
      </w:r>
      <w:r w:rsidR="00B53544">
        <w:t>out of school</w:t>
      </w:r>
      <w:r w:rsidR="00BD4597">
        <w:t xml:space="preserve"> of which 1 m</w:t>
      </w:r>
      <w:r w:rsidR="00DB23E8">
        <w:t>illion</w:t>
      </w:r>
      <w:r w:rsidR="00BD4597">
        <w:t xml:space="preserve"> are girls</w:t>
      </w:r>
      <w:r w:rsidR="00B53544">
        <w:t xml:space="preserve">) </w:t>
      </w:r>
      <w:r w:rsidR="00A66FEE">
        <w:t xml:space="preserve">and the data will </w:t>
      </w:r>
      <w:r w:rsidR="00270C75">
        <w:t>inform</w:t>
      </w:r>
      <w:r w:rsidR="00A66FEE">
        <w:t xml:space="preserve"> future planning to ensure provision of education for all children. It will also inform</w:t>
      </w:r>
      <w:r w:rsidR="004E2CF0">
        <w:t xml:space="preserve"> implementation of new inclusive education initiatives under</w:t>
      </w:r>
      <w:r w:rsidR="00A66FEE">
        <w:t xml:space="preserve"> the KESP Equity Strategy </w:t>
      </w:r>
      <w:r w:rsidR="004E2CF0">
        <w:t xml:space="preserve">developed </w:t>
      </w:r>
      <w:r>
        <w:t xml:space="preserve">with the provincial government </w:t>
      </w:r>
      <w:r w:rsidR="00A66FEE">
        <w:t>during the reporti</w:t>
      </w:r>
      <w:r w:rsidR="00B53544">
        <w:t>ng period.</w:t>
      </w:r>
      <w:r w:rsidR="00CA7522">
        <w:t xml:space="preserve"> </w:t>
      </w:r>
      <w:r w:rsidR="00A66FEE">
        <w:t>This Str</w:t>
      </w:r>
      <w:r w:rsidR="00CA7522">
        <w:t xml:space="preserve">ategy will be crucial to ensuring </w:t>
      </w:r>
      <w:r w:rsidR="00A66FEE">
        <w:t>that marginalised children, especially girls</w:t>
      </w:r>
      <w:r w:rsidR="00946D45">
        <w:t xml:space="preserve"> and children with </w:t>
      </w:r>
      <w:r w:rsidR="00270C75">
        <w:t>disability</w:t>
      </w:r>
      <w:r w:rsidR="00A66FEE">
        <w:t xml:space="preserve"> have acc</w:t>
      </w:r>
      <w:r w:rsidR="00946D45">
        <w:t xml:space="preserve">ess to education. </w:t>
      </w:r>
    </w:p>
    <w:p w14:paraId="367E2333" w14:textId="2DC37DB6" w:rsidR="007A715C" w:rsidRDefault="000F729F" w:rsidP="005F78EC">
      <w:pPr>
        <w:rPr>
          <w:rFonts w:eastAsia="Times New Roman"/>
        </w:rPr>
      </w:pPr>
      <w:r>
        <w:rPr>
          <w:rFonts w:eastAsia="Times New Roman"/>
        </w:rPr>
        <w:t>T</w:t>
      </w:r>
      <w:r w:rsidRPr="00D25A54">
        <w:rPr>
          <w:rFonts w:eastAsia="Times New Roman"/>
        </w:rPr>
        <w:t>he passage of Anti-Honour Killing</w:t>
      </w:r>
      <w:r>
        <w:rPr>
          <w:rFonts w:eastAsia="Times New Roman"/>
        </w:rPr>
        <w:t xml:space="preserve"> and</w:t>
      </w:r>
      <w:r w:rsidRPr="00D25A54">
        <w:rPr>
          <w:rFonts w:eastAsia="Times New Roman"/>
        </w:rPr>
        <w:t xml:space="preserve"> Anti-Rape legislation </w:t>
      </w:r>
      <w:r>
        <w:rPr>
          <w:rFonts w:eastAsia="Times New Roman"/>
        </w:rPr>
        <w:t>also took place during</w:t>
      </w:r>
      <w:r w:rsidRPr="00D25A54">
        <w:rPr>
          <w:rFonts w:eastAsia="Times New Roman"/>
        </w:rPr>
        <w:t xml:space="preserve"> this reporting period. Efforts to pass this legislation were led by the Women's Parliamentary Caucus (WPC), </w:t>
      </w:r>
      <w:r>
        <w:rPr>
          <w:rFonts w:eastAsia="Times New Roman"/>
        </w:rPr>
        <w:t xml:space="preserve">the </w:t>
      </w:r>
      <w:r w:rsidR="004F638A">
        <w:rPr>
          <w:rFonts w:eastAsia="Times New Roman"/>
        </w:rPr>
        <w:t xml:space="preserve">Gender-based Violence </w:t>
      </w:r>
      <w:r w:rsidR="00270C75">
        <w:rPr>
          <w:rFonts w:eastAsia="Times New Roman"/>
        </w:rPr>
        <w:t>P</w:t>
      </w:r>
      <w:r w:rsidRPr="00D25A54">
        <w:rPr>
          <w:rFonts w:eastAsia="Times New Roman"/>
        </w:rPr>
        <w:t>rogram's strategic partner</w:t>
      </w:r>
      <w:r>
        <w:rPr>
          <w:rFonts w:eastAsia="Times New Roman"/>
        </w:rPr>
        <w:t xml:space="preserve"> at the federal level</w:t>
      </w:r>
      <w:r w:rsidR="008C3D5A">
        <w:rPr>
          <w:rFonts w:eastAsia="Times New Roman"/>
        </w:rPr>
        <w:t xml:space="preserve">. </w:t>
      </w:r>
      <w:r w:rsidR="004F638A">
        <w:rPr>
          <w:rFonts w:eastAsia="Times New Roman"/>
        </w:rPr>
        <w:t xml:space="preserve">The Caucus </w:t>
      </w:r>
      <w:r w:rsidR="008C3D5A">
        <w:rPr>
          <w:rFonts w:eastAsia="Times New Roman"/>
        </w:rPr>
        <w:t xml:space="preserve">was assisted in what had been a lengthy campaign by </w:t>
      </w:r>
      <w:r w:rsidR="0007725A">
        <w:rPr>
          <w:rFonts w:eastAsia="Times New Roman"/>
        </w:rPr>
        <w:t>their members and by civil society</w:t>
      </w:r>
      <w:r w:rsidR="008C3D5A">
        <w:rPr>
          <w:rFonts w:eastAsia="Times New Roman"/>
        </w:rPr>
        <w:t xml:space="preserve"> to achieve these legislative milestones</w:t>
      </w:r>
      <w:r>
        <w:rPr>
          <w:rFonts w:eastAsia="Times New Roman"/>
        </w:rPr>
        <w:t>,</w:t>
      </w:r>
      <w:r w:rsidRPr="00D25A54">
        <w:rPr>
          <w:rFonts w:eastAsia="Times New Roman"/>
        </w:rPr>
        <w:t xml:space="preserve"> </w:t>
      </w:r>
      <w:r w:rsidR="008C3D5A">
        <w:rPr>
          <w:rFonts w:eastAsia="Times New Roman"/>
        </w:rPr>
        <w:t>by</w:t>
      </w:r>
      <w:r>
        <w:rPr>
          <w:rFonts w:eastAsia="Times New Roman"/>
        </w:rPr>
        <w:t xml:space="preserve"> the findings of Australian-</w:t>
      </w:r>
      <w:r w:rsidRPr="00D25A54">
        <w:rPr>
          <w:rFonts w:eastAsia="Times New Roman"/>
        </w:rPr>
        <w:t xml:space="preserve">supported research on gaps and challenges in </w:t>
      </w:r>
      <w:r>
        <w:rPr>
          <w:rFonts w:eastAsia="Times New Roman"/>
        </w:rPr>
        <w:t>Pakistan’s</w:t>
      </w:r>
      <w:r w:rsidRPr="00D25A54">
        <w:rPr>
          <w:rFonts w:eastAsia="Times New Roman"/>
        </w:rPr>
        <w:t xml:space="preserve"> medico-legal services.</w:t>
      </w:r>
      <w:r>
        <w:rPr>
          <w:rFonts w:eastAsia="Times New Roman"/>
        </w:rPr>
        <w:t xml:space="preserve"> </w:t>
      </w:r>
      <w:r w:rsidR="00C65D83">
        <w:rPr>
          <w:rFonts w:eastAsia="Times New Roman"/>
        </w:rPr>
        <w:t xml:space="preserve">As the result of provincial level partnership and advocacy under the </w:t>
      </w:r>
      <w:r w:rsidR="00270C75">
        <w:rPr>
          <w:rFonts w:eastAsia="Times New Roman"/>
        </w:rPr>
        <w:t>GBV P</w:t>
      </w:r>
      <w:r w:rsidR="00C65D83">
        <w:rPr>
          <w:rFonts w:eastAsia="Times New Roman"/>
        </w:rPr>
        <w:t xml:space="preserve">rogram, funding for hotline services for survivors of violence has been secured with formal support from the Sindh Police Department and the </w:t>
      </w:r>
      <w:r w:rsidR="004F638A">
        <w:t>Khyber Pakhtunkhwa</w:t>
      </w:r>
      <w:r w:rsidR="00C65D83">
        <w:rPr>
          <w:rFonts w:eastAsia="Times New Roman"/>
        </w:rPr>
        <w:t xml:space="preserve"> Directorate of Social Welfare, Women’s Empowerment and Special Education. </w:t>
      </w:r>
    </w:p>
    <w:p w14:paraId="201926E8" w14:textId="01BBBBA0" w:rsidR="00C65D83" w:rsidRPr="005F78EC" w:rsidRDefault="00D649A7" w:rsidP="005F78EC">
      <w:r w:rsidRPr="005F78EC">
        <w:t xml:space="preserve">Australia’s policy investment supporting the National and Provincial Fortification Alliances (NFA/PFA) has </w:t>
      </w:r>
      <w:r w:rsidR="00D86C26" w:rsidRPr="005F78EC">
        <w:t xml:space="preserve">also </w:t>
      </w:r>
      <w:r w:rsidRPr="005F78EC">
        <w:t>contribute</w:t>
      </w:r>
      <w:r w:rsidR="00D86C26" w:rsidRPr="005F78EC">
        <w:t xml:space="preserve">d </w:t>
      </w:r>
      <w:r w:rsidR="000F729F">
        <w:t>to significant policy reforms, including</w:t>
      </w:r>
      <w:r w:rsidR="00D86C26" w:rsidRPr="005F78EC">
        <w:t xml:space="preserve"> the Launch of </w:t>
      </w:r>
      <w:r w:rsidR="000F729F">
        <w:t xml:space="preserve">the </w:t>
      </w:r>
      <w:r w:rsidR="00D86C26" w:rsidRPr="005F78EC">
        <w:t xml:space="preserve">National Food Fortification Strategy by </w:t>
      </w:r>
      <w:r w:rsidR="004F638A">
        <w:t xml:space="preserve">the </w:t>
      </w:r>
      <w:r w:rsidR="004F638A" w:rsidRPr="005F78EC">
        <w:t xml:space="preserve">National </w:t>
      </w:r>
      <w:r w:rsidR="004F638A">
        <w:t>Fortification Alliance and the</w:t>
      </w:r>
      <w:r w:rsidR="00D86C26" w:rsidRPr="005F78EC">
        <w:t xml:space="preserve"> Ministry of National Health Services, R</w:t>
      </w:r>
      <w:r w:rsidR="000F729F">
        <w:t>egulation and Coordination in</w:t>
      </w:r>
      <w:r w:rsidR="00D86C26" w:rsidRPr="005F78EC">
        <w:t xml:space="preserve"> April 2017. </w:t>
      </w:r>
      <w:r w:rsidR="000F729F">
        <w:t xml:space="preserve">With Australian funds, </w:t>
      </w:r>
      <w:r w:rsidR="000F729F" w:rsidRPr="00255880">
        <w:t>the World Food Program</w:t>
      </w:r>
      <w:r w:rsidR="00270C75">
        <w:t xml:space="preserve"> (WFP)</w:t>
      </w:r>
      <w:r w:rsidR="000F729F">
        <w:t xml:space="preserve"> organised</w:t>
      </w:r>
      <w:r w:rsidRPr="005F78EC">
        <w:t xml:space="preserve"> meeti</w:t>
      </w:r>
      <w:r w:rsidR="00DA79CD">
        <w:t>ngs with provincial governments</w:t>
      </w:r>
      <w:r w:rsidRPr="005F78EC">
        <w:t xml:space="preserve"> to </w:t>
      </w:r>
      <w:r w:rsidR="00DA79CD">
        <w:t>advocate for</w:t>
      </w:r>
      <w:r w:rsidRPr="005F78EC">
        <w:t xml:space="preserve"> the need for universal food fortification, aimed at reducing the prevalence of micronutrient deficiencies in the population. As a result</w:t>
      </w:r>
      <w:r w:rsidR="000F729F">
        <w:t>,</w:t>
      </w:r>
      <w:r w:rsidRPr="005F78EC">
        <w:t xml:space="preserve"> </w:t>
      </w:r>
      <w:r w:rsidR="000F729F">
        <w:t xml:space="preserve">the </w:t>
      </w:r>
      <w:r w:rsidRPr="005F78EC">
        <w:t xml:space="preserve">Punjab Government has a draft Food Fortification Act, </w:t>
      </w:r>
      <w:r w:rsidR="000F729F">
        <w:t>and</w:t>
      </w:r>
      <w:r w:rsidRPr="005F78EC">
        <w:t xml:space="preserve"> other provinces are </w:t>
      </w:r>
      <w:r w:rsidR="00C1005B">
        <w:t>moving in the same direction.</w:t>
      </w:r>
      <w:r w:rsidR="009A42BF">
        <w:t xml:space="preserve"> </w:t>
      </w:r>
    </w:p>
    <w:p w14:paraId="2008945A" w14:textId="77777777" w:rsidR="00257BB4" w:rsidRDefault="00257BB4" w:rsidP="0051121D">
      <w:pPr>
        <w:rPr>
          <w:rFonts w:asciiTheme="majorHAnsi" w:eastAsiaTheme="majorEastAsia" w:hAnsiTheme="majorHAnsi" w:cstheme="majorBidi"/>
          <w:caps/>
          <w:sz w:val="38"/>
          <w:szCs w:val="26"/>
        </w:rPr>
      </w:pPr>
    </w:p>
    <w:p w14:paraId="7FF661C7" w14:textId="49730EBB" w:rsidR="0051121D" w:rsidRDefault="0051121D" w:rsidP="0051121D">
      <w:pPr>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lastRenderedPageBreak/>
        <w:t>objective 3: supporting stabilisation and resilience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51121D" w:rsidRPr="00695730" w14:paraId="69A831F5" w14:textId="77777777" w:rsidTr="00C953C2">
        <w:tc>
          <w:tcPr>
            <w:tcW w:w="2016" w:type="dxa"/>
          </w:tcPr>
          <w:p w14:paraId="2A1204C8" w14:textId="77777777" w:rsidR="0051121D" w:rsidRPr="00695730" w:rsidRDefault="0051121D" w:rsidP="00C953C2">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59DD121B" wp14:editId="110C890D">
                  <wp:extent cx="1137600" cy="720000"/>
                  <wp:effectExtent l="0" t="0" r="5715" b="444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104E3F4E" w14:textId="77777777" w:rsidR="0051121D" w:rsidRPr="00695730" w:rsidRDefault="0051121D" w:rsidP="00C953C2">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28F27923" wp14:editId="791DFD24">
                  <wp:extent cx="609600" cy="609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24DF543A" w14:textId="77777777" w:rsidR="0051121D" w:rsidRPr="00695730" w:rsidRDefault="008869E6" w:rsidP="00C953C2">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0E854E95" wp14:editId="2B247163">
                  <wp:extent cx="612000" cy="612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26AEF416" w14:textId="77777777" w:rsidR="0051121D" w:rsidRPr="00695730" w:rsidRDefault="008869E6" w:rsidP="00C953C2">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301EB2D7" wp14:editId="24BFADB6">
                  <wp:extent cx="608400" cy="612000"/>
                  <wp:effectExtent l="0" t="0" r="127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1906" w:type="dxa"/>
          </w:tcPr>
          <w:p w14:paraId="20D6C09E" w14:textId="77777777" w:rsidR="0051121D" w:rsidRPr="00695730" w:rsidRDefault="0051121D" w:rsidP="00C953C2">
            <w:pPr>
              <w:suppressAutoHyphens w:val="0"/>
              <w:spacing w:before="160" w:after="80" w:line="240" w:lineRule="auto"/>
              <w:jc w:val="center"/>
              <w:rPr>
                <w:rFonts w:asciiTheme="majorHAnsi" w:eastAsiaTheme="majorEastAsia" w:hAnsiTheme="majorHAnsi" w:cstheme="majorBidi"/>
                <w:caps/>
                <w:sz w:val="38"/>
                <w:szCs w:val="26"/>
              </w:rPr>
            </w:pPr>
          </w:p>
        </w:tc>
      </w:tr>
    </w:tbl>
    <w:p w14:paraId="726068AA" w14:textId="779C2689" w:rsidR="0063265E" w:rsidRDefault="00BD4597" w:rsidP="00BD4597">
      <w:r>
        <w:t>Ensuring s</w:t>
      </w:r>
      <w:r w:rsidR="005F5BC6">
        <w:t xml:space="preserve">tability </w:t>
      </w:r>
      <w:r w:rsidR="00F674ED">
        <w:t>i</w:t>
      </w:r>
      <w:r w:rsidR="005F5BC6">
        <w:t xml:space="preserve">s </w:t>
      </w:r>
      <w:r w:rsidR="006437E0">
        <w:t xml:space="preserve">a </w:t>
      </w:r>
      <w:r w:rsidR="005F5BC6">
        <w:t xml:space="preserve">vital interest </w:t>
      </w:r>
      <w:r w:rsidR="006437E0">
        <w:t xml:space="preserve">and foundation for </w:t>
      </w:r>
      <w:r w:rsidR="00F674ED">
        <w:t>Pakistan’s Vision 2025 and</w:t>
      </w:r>
      <w:r w:rsidR="006437E0">
        <w:t xml:space="preserve"> </w:t>
      </w:r>
      <w:r w:rsidR="00F674ED" w:rsidRPr="00F674ED">
        <w:t>long-term</w:t>
      </w:r>
      <w:r w:rsidR="006437E0" w:rsidRPr="005864EC">
        <w:t xml:space="preserve"> development </w:t>
      </w:r>
      <w:r w:rsidR="00F674ED">
        <w:t>goals</w:t>
      </w:r>
      <w:r w:rsidR="005F5BC6">
        <w:t xml:space="preserve">. </w:t>
      </w:r>
      <w:r w:rsidR="000F729F">
        <w:t xml:space="preserve">Much of Australia’s aid program in Pakistan contributes to this </w:t>
      </w:r>
      <w:r w:rsidR="00F674ED">
        <w:t>agenda</w:t>
      </w:r>
      <w:r w:rsidR="000F729F">
        <w:t xml:space="preserve"> in a cross-cutting way, but there are also targeted investments supporting stabilisation and resilience</w:t>
      </w:r>
      <w:r w:rsidR="00F674ED">
        <w:t xml:space="preserve"> that </w:t>
      </w:r>
      <w:r>
        <w:t xml:space="preserve">led to a decision to establish </w:t>
      </w:r>
      <w:r w:rsidR="00F674ED">
        <w:t>a new objective to emphasise these efforts and results</w:t>
      </w:r>
      <w:r w:rsidR="000F729F">
        <w:t xml:space="preserve">. </w:t>
      </w:r>
      <w:r w:rsidR="005F78EC" w:rsidRPr="00E95783">
        <w:t>This new objective was rated green</w:t>
      </w:r>
      <w:r w:rsidR="000F729F">
        <w:t xml:space="preserve"> </w:t>
      </w:r>
      <w:r w:rsidR="005F78EC" w:rsidRPr="00E95783">
        <w:t xml:space="preserve">because progress is in line with expectations for the key investments, despite delays in implementation of Round II projects under the </w:t>
      </w:r>
      <w:r w:rsidR="002219B4" w:rsidRPr="00E95783">
        <w:t xml:space="preserve">World Bank managed </w:t>
      </w:r>
      <w:r w:rsidR="00270C75">
        <w:t>MDTF</w:t>
      </w:r>
      <w:r w:rsidR="002219B4" w:rsidRPr="00E95783">
        <w:t xml:space="preserve"> for </w:t>
      </w:r>
      <w:r w:rsidR="00836B8C">
        <w:t>Khyber Pakhtunkhwa</w:t>
      </w:r>
      <w:r w:rsidR="002219B4" w:rsidRPr="00E95783">
        <w:t xml:space="preserve">, </w:t>
      </w:r>
      <w:r w:rsidR="00836B8C">
        <w:t xml:space="preserve">the Federally Administered Tribal Areas </w:t>
      </w:r>
      <w:r w:rsidR="002219B4" w:rsidRPr="00E95783">
        <w:t>and Balochistan (</w:t>
      </w:r>
      <w:r w:rsidR="0035122F">
        <w:t>MDTF-</w:t>
      </w:r>
      <w:r w:rsidR="002219B4" w:rsidRPr="00E95783">
        <w:t>Border Areas)</w:t>
      </w:r>
      <w:r w:rsidR="005F78EC" w:rsidRPr="00E95783">
        <w:t>.</w:t>
      </w:r>
    </w:p>
    <w:p w14:paraId="53DF31B9" w14:textId="1A198A79" w:rsidR="009C7A64" w:rsidRDefault="005F78EC" w:rsidP="00BD4597">
      <w:r w:rsidRPr="00E95783">
        <w:t>Th</w:t>
      </w:r>
      <w:r w:rsidR="0035122F">
        <w:t>e MDTF-Border Areas</w:t>
      </w:r>
      <w:r w:rsidRPr="00E95783">
        <w:t>, which contributes to</w:t>
      </w:r>
      <w:r w:rsidR="002219B4">
        <w:t xml:space="preserve"> </w:t>
      </w:r>
      <w:r w:rsidRPr="005F78EC">
        <w:rPr>
          <w:b/>
        </w:rPr>
        <w:t>Outcome 5</w:t>
      </w:r>
      <w:r w:rsidR="00DB23E8">
        <w:rPr>
          <w:b/>
        </w:rPr>
        <w:t>:</w:t>
      </w:r>
      <w:r w:rsidR="00DB23E8">
        <w:rPr>
          <w:rFonts w:eastAsia="Times New Roman"/>
          <w:b/>
        </w:rPr>
        <w:t xml:space="preserve"> </w:t>
      </w:r>
      <w:r w:rsidRPr="00E95783">
        <w:rPr>
          <w:b/>
        </w:rPr>
        <w:t>Enhanced Stability</w:t>
      </w:r>
      <w:r w:rsidR="00E8153A">
        <w:rPr>
          <w:b/>
        </w:rPr>
        <w:t xml:space="preserve"> in Pakistan’s Border Areas</w:t>
      </w:r>
      <w:r w:rsidRPr="00E95783">
        <w:t xml:space="preserve">, </w:t>
      </w:r>
      <w:r w:rsidR="007C7CED">
        <w:t>provides</w:t>
      </w:r>
      <w:r w:rsidRPr="00E95783">
        <w:t xml:space="preserve"> budget</w:t>
      </w:r>
      <w:r w:rsidR="007C7CED">
        <w:t xml:space="preserve"> and technical</w:t>
      </w:r>
      <w:r w:rsidRPr="00E95783">
        <w:t xml:space="preserve"> support to </w:t>
      </w:r>
      <w:r w:rsidR="007A715C">
        <w:t xml:space="preserve">local </w:t>
      </w:r>
      <w:r w:rsidRPr="00E95783">
        <w:t>Governments</w:t>
      </w:r>
      <w:r w:rsidR="00050293" w:rsidRPr="00E95783">
        <w:t xml:space="preserve"> in </w:t>
      </w:r>
      <w:r w:rsidRPr="00E95783">
        <w:t xml:space="preserve">the </w:t>
      </w:r>
      <w:r w:rsidR="005C7EB0">
        <w:t xml:space="preserve">fragile </w:t>
      </w:r>
      <w:r w:rsidR="007C7CED">
        <w:t>and</w:t>
      </w:r>
      <w:r w:rsidR="00050293" w:rsidRPr="00E95783">
        <w:t xml:space="preserve"> confl</w:t>
      </w:r>
      <w:r w:rsidR="007C7CED">
        <w:t>ict-</w:t>
      </w:r>
      <w:r w:rsidRPr="00E95783">
        <w:t xml:space="preserve">affected </w:t>
      </w:r>
      <w:r w:rsidR="007C7CED">
        <w:t>border</w:t>
      </w:r>
      <w:r w:rsidR="00050293" w:rsidRPr="00E95783">
        <w:t xml:space="preserve"> regions. </w:t>
      </w:r>
      <w:r w:rsidRPr="00E95783">
        <w:t>The</w:t>
      </w:r>
      <w:r w:rsidR="00D649A7" w:rsidRPr="00E95783">
        <w:t xml:space="preserve"> 2017 DFID Review found that the progr</w:t>
      </w:r>
      <w:r w:rsidR="0034503A" w:rsidRPr="00E95783">
        <w:t xml:space="preserve">am has largely met expectations, </w:t>
      </w:r>
      <w:r w:rsidR="00BD4597">
        <w:t xml:space="preserve">delivering </w:t>
      </w:r>
      <w:r w:rsidR="001654FE">
        <w:t>improved services</w:t>
      </w:r>
      <w:r w:rsidR="00B63C1F">
        <w:t>, livelihoods skills development</w:t>
      </w:r>
      <w:r w:rsidR="001654FE">
        <w:t xml:space="preserve"> and community </w:t>
      </w:r>
      <w:r w:rsidR="00B63C1F">
        <w:t>infrastructure to over 7.5 million people since 2010</w:t>
      </w:r>
      <w:r w:rsidR="00BD4597">
        <w:t>.</w:t>
      </w:r>
      <w:r w:rsidR="00BD4597">
        <w:rPr>
          <w:color w:val="auto"/>
          <w:lang w:val="en-AU"/>
        </w:rPr>
        <w:t xml:space="preserve"> </w:t>
      </w:r>
      <w:r w:rsidR="00BD4597" w:rsidRPr="005864EC">
        <w:t xml:space="preserve">Despite this, the program </w:t>
      </w:r>
      <w:r w:rsidR="0034503A" w:rsidRPr="00E95783">
        <w:t>was unable to provide</w:t>
      </w:r>
      <w:r w:rsidRPr="00E95783">
        <w:t xml:space="preserve"> strong</w:t>
      </w:r>
      <w:r w:rsidR="0034503A" w:rsidRPr="00E95783">
        <w:t xml:space="preserve"> evidence of</w:t>
      </w:r>
      <w:r w:rsidRPr="00E95783">
        <w:t xml:space="preserve"> outcomes or impact of Round </w:t>
      </w:r>
      <w:r w:rsidR="005C7EB0">
        <w:t>I</w:t>
      </w:r>
      <w:r w:rsidRPr="00E95783">
        <w:t xml:space="preserve">. </w:t>
      </w:r>
      <w:r w:rsidR="009C7A64">
        <w:t xml:space="preserve">The </w:t>
      </w:r>
      <w:r w:rsidRPr="00E95783">
        <w:t>MDTF-</w:t>
      </w:r>
      <w:r w:rsidR="009C7A64">
        <w:t>Border Areas</w:t>
      </w:r>
      <w:r w:rsidRPr="00E95783">
        <w:t xml:space="preserve"> transitioned to </w:t>
      </w:r>
      <w:r w:rsidR="005C7EB0">
        <w:t>Round</w:t>
      </w:r>
      <w:r w:rsidR="005C7EB0" w:rsidRPr="00E95783">
        <w:t xml:space="preserve"> </w:t>
      </w:r>
      <w:r w:rsidRPr="00E95783">
        <w:t xml:space="preserve">II </w:t>
      </w:r>
      <w:r w:rsidR="003278FF">
        <w:t>extending</w:t>
      </w:r>
      <w:r w:rsidR="007A715C">
        <w:t xml:space="preserve"> some</w:t>
      </w:r>
      <w:r w:rsidR="003278FF">
        <w:t xml:space="preserve"> </w:t>
      </w:r>
      <w:r w:rsidR="005C7EB0">
        <w:t xml:space="preserve">Round </w:t>
      </w:r>
      <w:r w:rsidR="003278FF">
        <w:t xml:space="preserve">I projects while </w:t>
      </w:r>
      <w:r w:rsidR="005C7EB0">
        <w:t xml:space="preserve">Round </w:t>
      </w:r>
      <w:r w:rsidR="003278FF">
        <w:t xml:space="preserve">II </w:t>
      </w:r>
      <w:r w:rsidR="009C7A64">
        <w:t>was established</w:t>
      </w:r>
      <w:r w:rsidR="003278FF">
        <w:t>.</w:t>
      </w:r>
      <w:r w:rsidRPr="00E95783">
        <w:t xml:space="preserve"> </w:t>
      </w:r>
      <w:r w:rsidR="003278FF">
        <w:t>C</w:t>
      </w:r>
      <w:r w:rsidR="0034503A" w:rsidRPr="00E95783">
        <w:t xml:space="preserve">hallenges </w:t>
      </w:r>
      <w:r w:rsidR="009C7A64">
        <w:t xml:space="preserve">with Round II </w:t>
      </w:r>
      <w:r w:rsidR="003278FF">
        <w:t>included</w:t>
      </w:r>
      <w:r w:rsidR="0034503A" w:rsidRPr="00E95783">
        <w:t xml:space="preserve"> reduced donor funding, drawn out program negotiation and approval process</w:t>
      </w:r>
      <w:r w:rsidRPr="00E95783">
        <w:t>,</w:t>
      </w:r>
      <w:r w:rsidR="007A715C">
        <w:t xml:space="preserve"> and low awareness and skills in relation to gender equality. S</w:t>
      </w:r>
      <w:r w:rsidR="007C7CED">
        <w:t>ix</w:t>
      </w:r>
      <w:r w:rsidRPr="00E95783">
        <w:t xml:space="preserve"> new projects were established in 2016</w:t>
      </w:r>
      <w:r w:rsidR="00270C75">
        <w:t>-</w:t>
      </w:r>
      <w:r w:rsidRPr="00E95783">
        <w:t>17</w:t>
      </w:r>
      <w:r w:rsidR="009C7A64">
        <w:t>,</w:t>
      </w:r>
      <w:r w:rsidR="005C7EB0">
        <w:t xml:space="preserve"> with the merging of two regional </w:t>
      </w:r>
      <w:r w:rsidR="005C7EB0">
        <w:rPr>
          <w:rFonts w:eastAsia="Times New Roman"/>
        </w:rPr>
        <w:t xml:space="preserve">economic and job creation </w:t>
      </w:r>
      <w:r w:rsidR="005C7EB0">
        <w:t xml:space="preserve">projects for </w:t>
      </w:r>
      <w:r w:rsidR="00836B8C">
        <w:t>Khyber Pakhtunkhwa</w:t>
      </w:r>
      <w:r w:rsidR="005C7EB0">
        <w:t xml:space="preserve"> and </w:t>
      </w:r>
      <w:r w:rsidR="00836B8C">
        <w:t xml:space="preserve">the </w:t>
      </w:r>
      <w:r w:rsidR="00270C75" w:rsidRPr="00E95783">
        <w:t>Federally Administered</w:t>
      </w:r>
      <w:r w:rsidR="00270C75">
        <w:t xml:space="preserve"> </w:t>
      </w:r>
      <w:r w:rsidR="005F35C6">
        <w:t xml:space="preserve">Tribal Areas </w:t>
      </w:r>
      <w:r w:rsidR="005C7EB0">
        <w:t>under one project framework</w:t>
      </w:r>
      <w:r w:rsidR="008E035F">
        <w:t>.</w:t>
      </w:r>
    </w:p>
    <w:p w14:paraId="7491658F" w14:textId="2DAA0D9F" w:rsidR="007C7CED" w:rsidRPr="005864EC" w:rsidRDefault="00A66FEE" w:rsidP="00BD4597">
      <w:pPr>
        <w:rPr>
          <w:color w:val="auto"/>
          <w:lang w:val="en-AU"/>
        </w:rPr>
      </w:pPr>
      <w:r w:rsidRPr="00E95783">
        <w:t xml:space="preserve">During the reporting period, </w:t>
      </w:r>
      <w:r w:rsidR="00967FAB">
        <w:t>the Australian</w:t>
      </w:r>
      <w:r w:rsidR="00836B8C">
        <w:t xml:space="preserve"> </w:t>
      </w:r>
      <w:r w:rsidR="009C7A64">
        <w:t>High Commission</w:t>
      </w:r>
      <w:r w:rsidR="00270C75">
        <w:t xml:space="preserve"> </w:t>
      </w:r>
      <w:r w:rsidR="00836B8C">
        <w:t xml:space="preserve">in Islamabad </w:t>
      </w:r>
      <w:r w:rsidRPr="00E95783">
        <w:t xml:space="preserve">engaged </w:t>
      </w:r>
      <w:r w:rsidR="0035122F">
        <w:t xml:space="preserve">extensively </w:t>
      </w:r>
      <w:r w:rsidRPr="00E95783">
        <w:t xml:space="preserve">on </w:t>
      </w:r>
      <w:r w:rsidR="00747794">
        <w:t xml:space="preserve">the need for safe, sustainable and dignified </w:t>
      </w:r>
      <w:r w:rsidR="008C3D5A">
        <w:t xml:space="preserve">voluntary </w:t>
      </w:r>
      <w:r w:rsidR="00747794">
        <w:t>return of docu</w:t>
      </w:r>
      <w:r w:rsidR="007C7CED">
        <w:t>mented and undocumented Afghans</w:t>
      </w:r>
      <w:r w:rsidR="008C3D5A">
        <w:t>, and for support for displaced Afghans sheltering in Pakistan</w:t>
      </w:r>
      <w:r w:rsidR="00747794">
        <w:t xml:space="preserve">. </w:t>
      </w:r>
      <w:r w:rsidR="00BE6469">
        <w:t xml:space="preserve">An agreement with </w:t>
      </w:r>
      <w:r w:rsidR="007C7CED">
        <w:t>International Organisation for Migration (</w:t>
      </w:r>
      <w:r w:rsidR="00BE6469">
        <w:t>IOM</w:t>
      </w:r>
      <w:r w:rsidR="007C7CED">
        <w:t>)</w:t>
      </w:r>
      <w:r w:rsidR="00BE6469">
        <w:t xml:space="preserve"> </w:t>
      </w:r>
      <w:r w:rsidR="007C7CED">
        <w:t xml:space="preserve">to provide humanitarian support </w:t>
      </w:r>
      <w:r w:rsidR="00BE6469">
        <w:t xml:space="preserve">was signed </w:t>
      </w:r>
      <w:r w:rsidR="00E8153A">
        <w:t>at end of reporting period.</w:t>
      </w:r>
      <w:r w:rsidR="005B3945">
        <w:t xml:space="preserve"> </w:t>
      </w:r>
      <w:r w:rsidR="00FF3DEA" w:rsidRPr="00FF3DEA">
        <w:t>DFAT</w:t>
      </w:r>
      <w:r w:rsidR="00FF3DEA">
        <w:t xml:space="preserve"> also</w:t>
      </w:r>
      <w:r w:rsidR="002B26EA">
        <w:t xml:space="preserve"> supported</w:t>
      </w:r>
      <w:r w:rsidR="00FF3DEA" w:rsidRPr="00FF3DEA">
        <w:t xml:space="preserve"> local civil society organisations to counter violent extremism</w:t>
      </w:r>
      <w:r w:rsidR="00FD4934">
        <w:t xml:space="preserve"> (CVE)</w:t>
      </w:r>
      <w:r w:rsidR="00FF3DEA" w:rsidRPr="00FF3DEA">
        <w:t>, with a focus on w</w:t>
      </w:r>
      <w:r w:rsidR="00FD4934">
        <w:t xml:space="preserve">omen and youth, and facilitated a panel discussion on CVE </w:t>
      </w:r>
      <w:r w:rsidR="00257BB4">
        <w:t>as an Inter-Agency Gender and Development Group event</w:t>
      </w:r>
      <w:r w:rsidR="00270C75">
        <w:rPr>
          <w:rFonts w:eastAsia="Times New Roman"/>
        </w:rPr>
        <w:t>.</w:t>
      </w:r>
    </w:p>
    <w:p w14:paraId="7E59F61A" w14:textId="60E1F0EA" w:rsidR="0035122F" w:rsidRDefault="00B42CD2" w:rsidP="002B26EA">
      <w:r w:rsidRPr="00E95783">
        <w:t xml:space="preserve">Under </w:t>
      </w:r>
      <w:r w:rsidR="00730E90" w:rsidRPr="00FC33FA">
        <w:rPr>
          <w:b/>
        </w:rPr>
        <w:t>O</w:t>
      </w:r>
      <w:r w:rsidRPr="00FC33FA">
        <w:rPr>
          <w:b/>
        </w:rPr>
        <w:t>utcome 6</w:t>
      </w:r>
      <w:r w:rsidR="00DB23E8">
        <w:rPr>
          <w:b/>
        </w:rPr>
        <w:t xml:space="preserve">: </w:t>
      </w:r>
      <w:r w:rsidRPr="00FC33FA">
        <w:rPr>
          <w:b/>
        </w:rPr>
        <w:t>Enhanced Resilience</w:t>
      </w:r>
      <w:r w:rsidR="00E8153A">
        <w:rPr>
          <w:b/>
        </w:rPr>
        <w:t xml:space="preserve"> in Pakistan’s Border Areas</w:t>
      </w:r>
      <w:r w:rsidRPr="00E95783">
        <w:t xml:space="preserve">, </w:t>
      </w:r>
      <w:r w:rsidR="0056404B" w:rsidRPr="00E95783">
        <w:t>Australia’s</w:t>
      </w:r>
      <w:r w:rsidR="00117E2A">
        <w:t xml:space="preserve"> multi</w:t>
      </w:r>
      <w:r w:rsidR="002B26EA">
        <w:t>-</w:t>
      </w:r>
      <w:r w:rsidR="00117E2A">
        <w:t xml:space="preserve">year </w:t>
      </w:r>
      <w:r w:rsidR="0056404B" w:rsidRPr="00E95783">
        <w:t xml:space="preserve">contribution to the World Food Program </w:t>
      </w:r>
      <w:r w:rsidR="007C7CED">
        <w:t>funded</w:t>
      </w:r>
      <w:r w:rsidR="0056404B" w:rsidRPr="00E95783">
        <w:t xml:space="preserve"> the school feeding program in </w:t>
      </w:r>
      <w:r w:rsidRPr="00E95783">
        <w:t>FATA</w:t>
      </w:r>
      <w:r w:rsidR="0056404B" w:rsidRPr="00E95783">
        <w:t xml:space="preserve"> to help stabilise enrolment and encourage resumption and attendance in schools.</w:t>
      </w:r>
      <w:r w:rsidR="005F78EC" w:rsidRPr="002B26EA">
        <w:rPr>
          <w:rStyle w:val="FootnoteReference"/>
        </w:rPr>
        <w:footnoteReference w:id="3"/>
      </w:r>
      <w:r w:rsidRPr="00E95783">
        <w:t xml:space="preserve"> </w:t>
      </w:r>
      <w:r w:rsidR="0056404B" w:rsidRPr="00E95783">
        <w:t xml:space="preserve">One of WFP's main achievements in 2016 was support to the program design of the government-led school feeding initiatives in </w:t>
      </w:r>
      <w:r w:rsidR="00257BB4">
        <w:t xml:space="preserve">Khyber </w:t>
      </w:r>
      <w:r w:rsidR="00257BB4" w:rsidRPr="00F84C3A">
        <w:t>Pakhtunkhwa</w:t>
      </w:r>
      <w:r w:rsidR="0056404B" w:rsidRPr="00E95783">
        <w:t xml:space="preserve"> and Punjab. The provincial government in both provinces adopt</w:t>
      </w:r>
      <w:r w:rsidR="0063265E">
        <w:t>ed</w:t>
      </w:r>
      <w:r w:rsidR="0056404B" w:rsidRPr="00E95783">
        <w:t xml:space="preserve"> a program structure similar to WFP's ongoing intervention in FATA. Furthermore, coordination continued on the incorporation of school feeding into the draft </w:t>
      </w:r>
      <w:r w:rsidR="005C7EB0">
        <w:t>N</w:t>
      </w:r>
      <w:r w:rsidR="0056404B" w:rsidRPr="00E95783">
        <w:t xml:space="preserve">ational </w:t>
      </w:r>
      <w:r w:rsidR="005C7EB0">
        <w:t>E</w:t>
      </w:r>
      <w:r w:rsidR="005C7EB0" w:rsidRPr="00E95783">
        <w:t xml:space="preserve">ducation </w:t>
      </w:r>
      <w:r w:rsidR="00270C75">
        <w:t>P</w:t>
      </w:r>
      <w:r w:rsidR="0056404B" w:rsidRPr="00E95783">
        <w:t>olicy in 2017.</w:t>
      </w:r>
      <w:r w:rsidR="008D6632" w:rsidRPr="00E95783">
        <w:t xml:space="preserve"> All </w:t>
      </w:r>
      <w:r w:rsidR="00DA79CD">
        <w:t>activities</w:t>
      </w:r>
      <w:r w:rsidR="008D6632" w:rsidRPr="00E95783">
        <w:t xml:space="preserve"> under this operation are supplemented by policy work to achieve greater results in improving food security and nutrition, preparedness, disaster mitigation and resilience-building</w:t>
      </w:r>
      <w:r w:rsidR="002F04BF">
        <w:t xml:space="preserve"> in vulnerable areas</w:t>
      </w:r>
      <w:r w:rsidRPr="00E95783">
        <w:t>.</w:t>
      </w:r>
      <w:r w:rsidR="00FF72C8">
        <w:t xml:space="preserve"> </w:t>
      </w:r>
      <w:r w:rsidR="00DA79CD">
        <w:t xml:space="preserve">In the next reporting period we will </w:t>
      </w:r>
      <w:r w:rsidR="00FF72C8">
        <w:t xml:space="preserve">explore opportunities to enhance our contribution to climate sensitive and </w:t>
      </w:r>
      <w:r w:rsidR="00DA79CD">
        <w:t>disaster risk reduction (</w:t>
      </w:r>
      <w:r w:rsidR="00FF72C8">
        <w:t>DRR</w:t>
      </w:r>
      <w:r w:rsidR="00DA79CD">
        <w:t>) work</w:t>
      </w:r>
      <w:r w:rsidR="00FF72C8">
        <w:t xml:space="preserve"> through WFP</w:t>
      </w:r>
      <w:r w:rsidR="00DB0593">
        <w:t xml:space="preserve">. </w:t>
      </w:r>
    </w:p>
    <w:p w14:paraId="08F20BD3" w14:textId="01D79868" w:rsidR="000D1357" w:rsidRDefault="005B3945" w:rsidP="002B26EA">
      <w:r>
        <w:t>Australia’s support for the Asian Development Bank’s</w:t>
      </w:r>
      <w:r w:rsidR="00270C75">
        <w:t xml:space="preserve"> (ADB)</w:t>
      </w:r>
      <w:r>
        <w:t xml:space="preserve"> Natural Disaster Fund, </w:t>
      </w:r>
      <w:r w:rsidR="004F638A">
        <w:t xml:space="preserve">while </w:t>
      </w:r>
      <w:r>
        <w:t>at an early stage, is a significant pioneering investment and key connection for the program with the ADB in Pakistan. It will provide a sustainable financing mechanism to respond to specific natural disaster events and enhance Pakistan’s resilience in the future.</w:t>
      </w:r>
      <w:r w:rsidR="002B26EA">
        <w:t xml:space="preserve"> Australia is also supporting the Asia Disaster Preparedness Centre to develop</w:t>
      </w:r>
      <w:r w:rsidR="002B26EA" w:rsidRPr="00DB0593">
        <w:t xml:space="preserve"> Pakistan Host Nation Support Guidelines to improve coordination and decision making in large-scale national and international disaster responses.</w:t>
      </w:r>
    </w:p>
    <w:p w14:paraId="48BC4E48" w14:textId="77777777" w:rsidR="00052AB9" w:rsidRPr="00AB069C" w:rsidRDefault="00052AB9" w:rsidP="005864EC">
      <w:pPr>
        <w:pStyle w:val="ListBullet"/>
        <w:tabs>
          <w:tab w:val="clear" w:pos="284"/>
        </w:tabs>
        <w:spacing w:before="400"/>
        <w:rPr>
          <w:rFonts w:asciiTheme="majorHAnsi" w:eastAsiaTheme="majorEastAsia" w:hAnsiTheme="majorHAnsi" w:cstheme="majorBidi"/>
          <w:caps/>
          <w:sz w:val="38"/>
          <w:szCs w:val="26"/>
        </w:rPr>
      </w:pPr>
      <w:r w:rsidRPr="00AB069C">
        <w:rPr>
          <w:rFonts w:asciiTheme="majorHAnsi" w:eastAsiaTheme="majorEastAsia" w:hAnsiTheme="majorHAnsi" w:cstheme="majorBidi"/>
          <w:caps/>
          <w:color w:val="495965" w:themeColor="text2"/>
          <w:sz w:val="38"/>
          <w:szCs w:val="26"/>
          <w:lang w:val="en-GB" w:eastAsia="en-US"/>
        </w:rPr>
        <w:lastRenderedPageBreak/>
        <w:t>cross cutting policy priorities</w:t>
      </w:r>
    </w:p>
    <w:p w14:paraId="7B13F592" w14:textId="0FD4D684" w:rsidR="00730E90" w:rsidRDefault="00730E90" w:rsidP="007C4111">
      <w:r w:rsidRPr="00ED797E">
        <w:rPr>
          <w:b/>
        </w:rPr>
        <w:t>Outcome 7: Australia Awards alumni are using their skills, knowledge and networks to contribute to sustainable development in Pakistan</w:t>
      </w:r>
      <w:r w:rsidR="001B2A40" w:rsidRPr="00ED797E">
        <w:rPr>
          <w:b/>
        </w:rPr>
        <w:t>.</w:t>
      </w:r>
      <w:r w:rsidR="001B2A40">
        <w:t xml:space="preserve"> Australia Awards </w:t>
      </w:r>
      <w:r w:rsidR="002F04BF">
        <w:t xml:space="preserve">short and long term scholarships </w:t>
      </w:r>
      <w:r w:rsidR="004F638A">
        <w:t>are a</w:t>
      </w:r>
      <w:r w:rsidR="001B2A40">
        <w:t xml:space="preserve"> key means to support Australia’s development, economic and public diplomacy efforts is Pakistan. </w:t>
      </w:r>
      <w:r w:rsidR="00402F55">
        <w:t>The Australia Awards program awarded 40 scholarships (50</w:t>
      </w:r>
      <w:r w:rsidR="00270C75">
        <w:t xml:space="preserve"> per cent</w:t>
      </w:r>
      <w:r w:rsidR="00402F55">
        <w:t xml:space="preserve"> women) during the reporting period. Several </w:t>
      </w:r>
      <w:r w:rsidR="004F638A">
        <w:t xml:space="preserve">short courses </w:t>
      </w:r>
      <w:r w:rsidR="00402F55">
        <w:t xml:space="preserve">and </w:t>
      </w:r>
      <w:r w:rsidR="004F638A">
        <w:t xml:space="preserve">informal learning opportunities </w:t>
      </w:r>
      <w:r w:rsidR="00402F55">
        <w:t xml:space="preserve">were </w:t>
      </w:r>
      <w:r w:rsidR="00F3263B">
        <w:t>delivered</w:t>
      </w:r>
      <w:r w:rsidR="00402F55">
        <w:t xml:space="preserve">, including a short course in January 2017 for </w:t>
      </w:r>
      <w:r w:rsidR="00F3263B">
        <w:t xml:space="preserve">women </w:t>
      </w:r>
      <w:r w:rsidR="00402F55">
        <w:t xml:space="preserve">Pakistani police officers on leadership and responding to gender-based violence. This course was </w:t>
      </w:r>
      <w:r w:rsidR="00F3263B">
        <w:t xml:space="preserve">designed in consultation with the Australian Federal Police and was </w:t>
      </w:r>
      <w:r w:rsidR="00402F55">
        <w:t xml:space="preserve">held in Pakistan to make it more accessible to </w:t>
      </w:r>
      <w:r w:rsidR="00F3263B">
        <w:t>women</w:t>
      </w:r>
      <w:r w:rsidR="00D73E3E">
        <w:t>, following analysis that this would improve women’s access</w:t>
      </w:r>
      <w:r w:rsidR="0063787A">
        <w:t>.</w:t>
      </w:r>
      <w:r w:rsidR="00402F55">
        <w:t xml:space="preserve"> </w:t>
      </w:r>
      <w:r w:rsidR="006301F3">
        <w:t xml:space="preserve">The </w:t>
      </w:r>
      <w:r w:rsidR="00BD4597">
        <w:t xml:space="preserve">DFAT Aid </w:t>
      </w:r>
      <w:r w:rsidR="006301F3">
        <w:t xml:space="preserve">Health Check </w:t>
      </w:r>
      <w:r w:rsidR="00BD4597">
        <w:t xml:space="preserve">for Pakistan </w:t>
      </w:r>
      <w:r w:rsidR="006301F3">
        <w:t xml:space="preserve">will look at the use of </w:t>
      </w:r>
      <w:r w:rsidR="00B16B12">
        <w:t xml:space="preserve">informal learning opportunities </w:t>
      </w:r>
      <w:r w:rsidR="006301F3">
        <w:t xml:space="preserve">and short courses to ensure ongoing alignment with policy priorities. </w:t>
      </w:r>
      <w:r w:rsidR="008C70AF">
        <w:t xml:space="preserve">In one of a number of public and economic diplomacy initiatives </w:t>
      </w:r>
      <w:r w:rsidR="008C3D5A">
        <w:t>linked</w:t>
      </w:r>
      <w:r w:rsidR="008C70AF">
        <w:t xml:space="preserve"> to</w:t>
      </w:r>
      <w:r w:rsidR="008C3D5A">
        <w:t xml:space="preserve"> or focused on</w:t>
      </w:r>
      <w:r w:rsidR="008C70AF">
        <w:t xml:space="preserve"> gender equality</w:t>
      </w:r>
      <w:r w:rsidR="008C3D5A">
        <w:t xml:space="preserve">, </w:t>
      </w:r>
      <w:r w:rsidR="008C70AF">
        <w:t>t</w:t>
      </w:r>
      <w:r w:rsidR="00402F55">
        <w:t>he Pakistan chapter of</w:t>
      </w:r>
      <w:r w:rsidR="008C3D5A">
        <w:t xml:space="preserve"> the</w:t>
      </w:r>
      <w:r w:rsidR="00402F55">
        <w:t xml:space="preserve"> </w:t>
      </w:r>
      <w:r w:rsidR="007A715C">
        <w:t>South Asia Women in L</w:t>
      </w:r>
      <w:r w:rsidR="00402F55">
        <w:t xml:space="preserve">eadership alumni network was launched by the </w:t>
      </w:r>
      <w:r w:rsidR="00B16B12">
        <w:t xml:space="preserve">Australian </w:t>
      </w:r>
      <w:r w:rsidR="00402F55">
        <w:t xml:space="preserve">High Commissioner </w:t>
      </w:r>
      <w:r w:rsidR="00F3263B">
        <w:t xml:space="preserve">in December 2016. </w:t>
      </w:r>
    </w:p>
    <w:p w14:paraId="47C0E4F0" w14:textId="5E3C47DB" w:rsidR="00A9767F" w:rsidRDefault="003A53E6" w:rsidP="00402F55">
      <w:r w:rsidRPr="00402F55">
        <w:rPr>
          <w:b/>
        </w:rPr>
        <w:t>Outcome 8: Improved integration of gender equality into aid investments</w:t>
      </w:r>
      <w:r>
        <w:t xml:space="preserve">. </w:t>
      </w:r>
      <w:r w:rsidRPr="00402F55">
        <w:t>Ratings for gender equality increased from 55</w:t>
      </w:r>
      <w:r w:rsidR="00270C75">
        <w:t xml:space="preserve"> per cent</w:t>
      </w:r>
      <w:r w:rsidRPr="00402F55">
        <w:t xml:space="preserve"> satisfactory (out of 11 investments subject to Aid Quality Checks) to 75</w:t>
      </w:r>
      <w:r w:rsidR="00270C75">
        <w:t xml:space="preserve"> per cent</w:t>
      </w:r>
      <w:r w:rsidRPr="00402F55">
        <w:t xml:space="preserve"> (out of 12 investments). This outcome is the result of a concerted effort over the past 12 months to better integrate gender equality into our aid investments, including </w:t>
      </w:r>
      <w:r w:rsidR="00B16B12" w:rsidRPr="00402F55">
        <w:t>s</w:t>
      </w:r>
      <w:r w:rsidR="00B16B12">
        <w:t>ubstantial</w:t>
      </w:r>
      <w:r w:rsidR="00B16B12" w:rsidRPr="00402F55">
        <w:t xml:space="preserve"> </w:t>
      </w:r>
      <w:r w:rsidRPr="00402F55">
        <w:t xml:space="preserve">policy advocacy efforts and technical assistance. </w:t>
      </w:r>
      <w:r w:rsidR="00471793" w:rsidRPr="00402F55">
        <w:t xml:space="preserve">The Pakistan program’s success in obtaining </w:t>
      </w:r>
      <w:r w:rsidR="00B16B12">
        <w:t xml:space="preserve">DFAT </w:t>
      </w:r>
      <w:r w:rsidR="00471793" w:rsidRPr="00402F55">
        <w:t xml:space="preserve">Gender Equality Fund </w:t>
      </w:r>
      <w:r w:rsidR="00471793">
        <w:t>activities</w:t>
      </w:r>
      <w:r w:rsidR="00471793" w:rsidRPr="00402F55">
        <w:t xml:space="preserve"> has </w:t>
      </w:r>
      <w:r w:rsidR="00B16B12">
        <w:t>helped to</w:t>
      </w:r>
      <w:r w:rsidR="00471793" w:rsidRPr="00402F55">
        <w:t xml:space="preserve"> </w:t>
      </w:r>
      <w:r w:rsidR="00B16B12" w:rsidRPr="00402F55">
        <w:t>improv</w:t>
      </w:r>
      <w:r w:rsidR="00B16B12">
        <w:t xml:space="preserve">e </w:t>
      </w:r>
      <w:r w:rsidR="00471793" w:rsidRPr="00402F55">
        <w:t>gender outcomes, especially in our aid for trade investments.</w:t>
      </w:r>
      <w:r w:rsidR="00471793">
        <w:t xml:space="preserve"> </w:t>
      </w:r>
      <w:r w:rsidR="00B16B12">
        <w:t>O</w:t>
      </w:r>
      <w:r w:rsidRPr="00402F55">
        <w:t>ngoing effort will be required to maintain and improve ratings in the challenging Pakistan context</w:t>
      </w:r>
      <w:r w:rsidR="002B26EA">
        <w:t>, in an effort to meet our 80</w:t>
      </w:r>
      <w:r w:rsidR="00270C75">
        <w:t xml:space="preserve"> per cent</w:t>
      </w:r>
      <w:r w:rsidR="002B26EA">
        <w:t xml:space="preserve"> target</w:t>
      </w:r>
      <w:r w:rsidR="008A124F" w:rsidRPr="00402F55">
        <w:t>.</w:t>
      </w:r>
      <w:r w:rsidR="00B53544" w:rsidRPr="00402F55">
        <w:t xml:space="preserve"> </w:t>
      </w:r>
      <w:r w:rsidR="00230324">
        <w:t xml:space="preserve">During the next reporting period, </w:t>
      </w:r>
      <w:r w:rsidR="00B16B12">
        <w:t>we</w:t>
      </w:r>
      <w:r w:rsidR="00471793">
        <w:t xml:space="preserve"> will focus on deepening </w:t>
      </w:r>
      <w:r w:rsidR="00B16B12">
        <w:t xml:space="preserve">our </w:t>
      </w:r>
      <w:r w:rsidR="00471793">
        <w:t>g</w:t>
      </w:r>
      <w:r w:rsidR="00230324">
        <w:t xml:space="preserve">ender equality focus to ensure we are moving </w:t>
      </w:r>
      <w:r w:rsidR="00471793">
        <w:t>from participation to</w:t>
      </w:r>
      <w:r w:rsidR="00230324">
        <w:t>wards</w:t>
      </w:r>
      <w:r w:rsidR="00471793">
        <w:t xml:space="preserve"> empowerment</w:t>
      </w:r>
      <w:r w:rsidR="00230324">
        <w:t>,</w:t>
      </w:r>
      <w:r w:rsidR="00471793">
        <w:t xml:space="preserve"> and </w:t>
      </w:r>
      <w:r w:rsidR="00230324">
        <w:t>ensuring there is a</w:t>
      </w:r>
      <w:r w:rsidR="00471793">
        <w:t xml:space="preserve"> strong emphas</w:t>
      </w:r>
      <w:r w:rsidR="00230324">
        <w:t xml:space="preserve">is on Do No Harm and monitoring for </w:t>
      </w:r>
      <w:r w:rsidR="00471793">
        <w:t xml:space="preserve">unintended consequences. </w:t>
      </w:r>
    </w:p>
    <w:p w14:paraId="4E1BB19D" w14:textId="52A587F6" w:rsidR="00612897" w:rsidRDefault="00CB436B" w:rsidP="006B6B73">
      <w:r w:rsidRPr="00CB436B">
        <w:rPr>
          <w:b/>
        </w:rPr>
        <w:t>Outcome 9: Improved integration of disability in Australian aid investments.</w:t>
      </w:r>
      <w:r w:rsidRPr="00CB436B">
        <w:t xml:space="preserve"> </w:t>
      </w:r>
      <w:r w:rsidR="0035122F">
        <w:rPr>
          <w:rFonts w:eastAsia="Times New Roman"/>
        </w:rPr>
        <w:t>P</w:t>
      </w:r>
      <w:r w:rsidRPr="003A53E6">
        <w:rPr>
          <w:rFonts w:eastAsia="Times New Roman"/>
        </w:rPr>
        <w:t xml:space="preserve">rogress has been made in the reporting period to better integrate disability inclusiveness into the Australian </w:t>
      </w:r>
      <w:r w:rsidR="00B16B12">
        <w:rPr>
          <w:rFonts w:eastAsia="Times New Roman"/>
        </w:rPr>
        <w:t>a</w:t>
      </w:r>
      <w:r w:rsidR="00B16B12" w:rsidRPr="003A53E6">
        <w:rPr>
          <w:rFonts w:eastAsia="Times New Roman"/>
        </w:rPr>
        <w:t xml:space="preserve">id </w:t>
      </w:r>
      <w:r w:rsidR="00B16B12">
        <w:rPr>
          <w:rFonts w:eastAsia="Times New Roman"/>
        </w:rPr>
        <w:t>p</w:t>
      </w:r>
      <w:r w:rsidR="00B16B12" w:rsidRPr="003A53E6">
        <w:rPr>
          <w:rFonts w:eastAsia="Times New Roman"/>
        </w:rPr>
        <w:t xml:space="preserve">rogram </w:t>
      </w:r>
      <w:r w:rsidRPr="003A53E6">
        <w:rPr>
          <w:rFonts w:eastAsia="Times New Roman"/>
        </w:rPr>
        <w:t xml:space="preserve">in Pakistan. </w:t>
      </w:r>
      <w:r w:rsidR="00B16B12">
        <w:rPr>
          <w:rFonts w:eastAsia="Times New Roman"/>
        </w:rPr>
        <w:t>With</w:t>
      </w:r>
      <w:r w:rsidR="006B6B73">
        <w:rPr>
          <w:rFonts w:eastAsia="Times New Roman"/>
        </w:rPr>
        <w:t xml:space="preserve"> CBM Australia</w:t>
      </w:r>
      <w:r w:rsidR="00B16B12">
        <w:rPr>
          <w:rFonts w:eastAsia="Times New Roman"/>
        </w:rPr>
        <w:t>, we</w:t>
      </w:r>
      <w:r w:rsidR="006B6B73">
        <w:rPr>
          <w:rFonts w:eastAsia="Times New Roman"/>
        </w:rPr>
        <w:t xml:space="preserve"> </w:t>
      </w:r>
      <w:r w:rsidR="00E2354D">
        <w:rPr>
          <w:rFonts w:eastAsia="Times New Roman"/>
        </w:rPr>
        <w:t>delivered t</w:t>
      </w:r>
      <w:r w:rsidR="00E2354D" w:rsidRPr="003A53E6">
        <w:rPr>
          <w:rFonts w:eastAsia="Times New Roman"/>
        </w:rPr>
        <w:t xml:space="preserve">raining </w:t>
      </w:r>
      <w:r w:rsidRPr="003A53E6">
        <w:rPr>
          <w:rFonts w:eastAsia="Times New Roman"/>
        </w:rPr>
        <w:t>for High Commission staff and program implementing partners in December 2016</w:t>
      </w:r>
      <w:r w:rsidR="006B6B73">
        <w:rPr>
          <w:rFonts w:eastAsia="Times New Roman"/>
        </w:rPr>
        <w:t>. W</w:t>
      </w:r>
      <w:r w:rsidRPr="003A53E6">
        <w:rPr>
          <w:rFonts w:eastAsia="Times New Roman"/>
        </w:rPr>
        <w:t xml:space="preserve">hile it is early days, there are already a significant number of outputs to report. For example, local NGOs engaged in our </w:t>
      </w:r>
      <w:r w:rsidR="00270C75">
        <w:rPr>
          <w:rFonts w:eastAsia="Times New Roman"/>
        </w:rPr>
        <w:t>GBV</w:t>
      </w:r>
      <w:r w:rsidR="00270C75" w:rsidRPr="003A53E6">
        <w:rPr>
          <w:rFonts w:eastAsia="Times New Roman"/>
        </w:rPr>
        <w:t xml:space="preserve"> </w:t>
      </w:r>
      <w:r w:rsidRPr="003A53E6">
        <w:rPr>
          <w:rFonts w:eastAsia="Times New Roman"/>
        </w:rPr>
        <w:t xml:space="preserve">investment are working with </w:t>
      </w:r>
      <w:r w:rsidR="00B16B12">
        <w:rPr>
          <w:rFonts w:eastAsia="Times New Roman"/>
        </w:rPr>
        <w:t>d</w:t>
      </w:r>
      <w:r w:rsidR="00B16B12" w:rsidRPr="003A53E6">
        <w:rPr>
          <w:rFonts w:eastAsia="Times New Roman"/>
        </w:rPr>
        <w:t xml:space="preserve">isabled </w:t>
      </w:r>
      <w:r w:rsidR="00B16B12">
        <w:rPr>
          <w:rFonts w:eastAsia="Times New Roman"/>
        </w:rPr>
        <w:t>p</w:t>
      </w:r>
      <w:r w:rsidR="00B16B12" w:rsidRPr="003A53E6">
        <w:rPr>
          <w:rFonts w:eastAsia="Times New Roman"/>
        </w:rPr>
        <w:t xml:space="preserve">eople’s </w:t>
      </w:r>
      <w:r w:rsidR="00B16B12">
        <w:rPr>
          <w:rFonts w:eastAsia="Times New Roman"/>
        </w:rPr>
        <w:t>o</w:t>
      </w:r>
      <w:r w:rsidR="00B16B12" w:rsidRPr="003A53E6">
        <w:rPr>
          <w:rFonts w:eastAsia="Times New Roman"/>
        </w:rPr>
        <w:t>rganisations</w:t>
      </w:r>
      <w:r w:rsidR="00B16B12">
        <w:rPr>
          <w:rFonts w:eastAsia="Times New Roman"/>
        </w:rPr>
        <w:t xml:space="preserve"> </w:t>
      </w:r>
      <w:r w:rsidR="006B6B73">
        <w:rPr>
          <w:rFonts w:eastAsia="Times New Roman"/>
        </w:rPr>
        <w:t>(DPOs)</w:t>
      </w:r>
      <w:r w:rsidRPr="003A53E6">
        <w:rPr>
          <w:rFonts w:eastAsia="Times New Roman"/>
        </w:rPr>
        <w:t xml:space="preserve"> to</w:t>
      </w:r>
      <w:r w:rsidR="00A1352F">
        <w:rPr>
          <w:rFonts w:eastAsia="Times New Roman"/>
        </w:rPr>
        <w:t xml:space="preserve"> develop and</w:t>
      </w:r>
      <w:r w:rsidRPr="003A53E6">
        <w:rPr>
          <w:rFonts w:eastAsia="Times New Roman"/>
        </w:rPr>
        <w:t xml:space="preserve"> implement their </w:t>
      </w:r>
      <w:r w:rsidR="00B16B12">
        <w:rPr>
          <w:rFonts w:eastAsia="Times New Roman"/>
        </w:rPr>
        <w:t>d</w:t>
      </w:r>
      <w:r w:rsidR="00B16B12" w:rsidRPr="003A53E6">
        <w:rPr>
          <w:rFonts w:eastAsia="Times New Roman"/>
        </w:rPr>
        <w:t xml:space="preserve">isability </w:t>
      </w:r>
      <w:r w:rsidR="00B16B12">
        <w:rPr>
          <w:rFonts w:eastAsia="Times New Roman"/>
        </w:rPr>
        <w:t>a</w:t>
      </w:r>
      <w:r w:rsidR="00B16B12" w:rsidRPr="003A53E6">
        <w:rPr>
          <w:rFonts w:eastAsia="Times New Roman"/>
        </w:rPr>
        <w:t xml:space="preserve">ction </w:t>
      </w:r>
      <w:r w:rsidR="00B16B12">
        <w:rPr>
          <w:rFonts w:eastAsia="Times New Roman"/>
        </w:rPr>
        <w:t>p</w:t>
      </w:r>
      <w:r w:rsidR="00B16B12" w:rsidRPr="003A53E6">
        <w:rPr>
          <w:rFonts w:eastAsia="Times New Roman"/>
        </w:rPr>
        <w:t>lans</w:t>
      </w:r>
      <w:r w:rsidRPr="003A53E6">
        <w:rPr>
          <w:rFonts w:eastAsia="Times New Roman"/>
        </w:rPr>
        <w:t xml:space="preserve">, including </w:t>
      </w:r>
      <w:r w:rsidR="00557281">
        <w:rPr>
          <w:rFonts w:eastAsia="Times New Roman"/>
        </w:rPr>
        <w:t xml:space="preserve">inviting </w:t>
      </w:r>
      <w:r w:rsidRPr="003A53E6">
        <w:rPr>
          <w:rFonts w:eastAsia="Times New Roman"/>
        </w:rPr>
        <w:t xml:space="preserve">women with disability as guest speakers at events. </w:t>
      </w:r>
      <w:r w:rsidR="00B16B12">
        <w:rPr>
          <w:rFonts w:eastAsia="Times New Roman"/>
        </w:rPr>
        <w:t>Our High Commission in Islamabad</w:t>
      </w:r>
      <w:r w:rsidRPr="003A53E6">
        <w:rPr>
          <w:rFonts w:eastAsia="Times New Roman"/>
        </w:rPr>
        <w:t xml:space="preserve"> also organised a session for Australia Awards alumni living with disability and alumni working with people with a disability, which was the first gathering of its kind in Pakistan. Efforts have also been made to promote Australia Award scholarships to people with disability through </w:t>
      </w:r>
      <w:r w:rsidR="006B6B73">
        <w:rPr>
          <w:rFonts w:eastAsia="Times New Roman"/>
        </w:rPr>
        <w:t>DPOs</w:t>
      </w:r>
      <w:r w:rsidRPr="003A53E6">
        <w:rPr>
          <w:rFonts w:eastAsia="Times New Roman"/>
        </w:rPr>
        <w:t xml:space="preserve"> and to modify selection criteria with the aim of encouraging more people with disability to apply.</w:t>
      </w:r>
    </w:p>
    <w:p w14:paraId="1779B97E" w14:textId="09E185E2" w:rsidR="006301F3" w:rsidRDefault="00730E90" w:rsidP="00930B44">
      <w:r w:rsidRPr="00CB436B">
        <w:rPr>
          <w:b/>
        </w:rPr>
        <w:t>Outcome 10: Pakistan aid Program is more consolidated over time.</w:t>
      </w:r>
      <w:r>
        <w:t xml:space="preserve"> While </w:t>
      </w:r>
      <w:r w:rsidR="00AC39E0">
        <w:t xml:space="preserve">the </w:t>
      </w:r>
      <w:r>
        <w:t xml:space="preserve">Pakistan </w:t>
      </w:r>
      <w:r w:rsidR="00AC39E0">
        <w:t xml:space="preserve">aid </w:t>
      </w:r>
      <w:r w:rsidR="0035122F">
        <w:t>p</w:t>
      </w:r>
      <w:r w:rsidR="00AC39E0">
        <w:t xml:space="preserve">rogram </w:t>
      </w:r>
      <w:r>
        <w:t>has met the Department-wide target of reducing the number of investment by 20</w:t>
      </w:r>
      <w:r w:rsidR="00270C75">
        <w:t xml:space="preserve"> per cent</w:t>
      </w:r>
      <w:r>
        <w:t xml:space="preserve">, it still has </w:t>
      </w:r>
      <w:r w:rsidR="00AC39E0">
        <w:t>1</w:t>
      </w:r>
      <w:r w:rsidR="00060033">
        <w:t xml:space="preserve">5 </w:t>
      </w:r>
      <w:r w:rsidR="00AC39E0">
        <w:t xml:space="preserve">investments </w:t>
      </w:r>
      <w:r w:rsidR="00060033">
        <w:t xml:space="preserve">against </w:t>
      </w:r>
      <w:r w:rsidR="0035122F">
        <w:t>a</w:t>
      </w:r>
      <w:r w:rsidR="00060033">
        <w:t xml:space="preserve"> target of 14</w:t>
      </w:r>
      <w:r>
        <w:t>, and the number of investments</w:t>
      </w:r>
      <w:r w:rsidR="009B02C4">
        <w:t xml:space="preserve"> capable of being monitored</w:t>
      </w:r>
      <w:r>
        <w:t xml:space="preserve"> (subject to </w:t>
      </w:r>
      <w:r w:rsidR="00270C75">
        <w:t>AQCs</w:t>
      </w:r>
      <w:r>
        <w:t xml:space="preserve">) increased during the reporting period. </w:t>
      </w:r>
      <w:r w:rsidR="00CB436B">
        <w:t xml:space="preserve">This will be considered as part of the upcoming </w:t>
      </w:r>
      <w:r w:rsidR="002974E2">
        <w:t xml:space="preserve">Aid </w:t>
      </w:r>
      <w:r w:rsidR="00CB436B">
        <w:t>Health Check and AIP Review.</w:t>
      </w:r>
    </w:p>
    <w:p w14:paraId="75C02855" w14:textId="77777777" w:rsidR="0063265E" w:rsidRDefault="0063265E"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br w:type="page"/>
      </w:r>
    </w:p>
    <w:p w14:paraId="33CDC801" w14:textId="053FA596"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lastRenderedPageBreak/>
        <w:t>Mutual Obligations</w:t>
      </w:r>
    </w:p>
    <w:p w14:paraId="26624587" w14:textId="59CB9039" w:rsidR="0063265E" w:rsidRDefault="008E1138" w:rsidP="00E65105">
      <w:pPr>
        <w:rPr>
          <w:rFonts w:eastAsia="Times New Roman"/>
        </w:rPr>
      </w:pPr>
      <w:r>
        <w:rPr>
          <w:rFonts w:eastAsia="Times New Roman"/>
        </w:rPr>
        <w:t xml:space="preserve">Australia’s aid program in Pakistan is delivered in line with the </w:t>
      </w:r>
      <w:r w:rsidRPr="00F84C3A">
        <w:rPr>
          <w:rFonts w:eastAsia="Times New Roman"/>
          <w:i/>
        </w:rPr>
        <w:t>Pakistan Aid Investment Plan 2015-2019,</w:t>
      </w:r>
      <w:r>
        <w:rPr>
          <w:rFonts w:eastAsia="Times New Roman"/>
        </w:rPr>
        <w:t xml:space="preserve"> which aligns with the Government of Pakistan’s development priorities (</w:t>
      </w:r>
      <w:r w:rsidR="00CC57E3" w:rsidRPr="008E1138">
        <w:rPr>
          <w:rFonts w:eastAsia="Times New Roman"/>
          <w:i/>
        </w:rPr>
        <w:t>Vision 2025</w:t>
      </w:r>
      <w:r>
        <w:rPr>
          <w:rFonts w:eastAsia="Times New Roman"/>
        </w:rPr>
        <w:t>)</w:t>
      </w:r>
      <w:r w:rsidR="0035122F">
        <w:rPr>
          <w:rFonts w:eastAsia="Times New Roman"/>
        </w:rPr>
        <w:t xml:space="preserve"> as reflected in the </w:t>
      </w:r>
      <w:r>
        <w:rPr>
          <w:rFonts w:eastAsia="Times New Roman"/>
        </w:rPr>
        <w:t xml:space="preserve">renewed </w:t>
      </w:r>
      <w:r w:rsidR="00333888">
        <w:rPr>
          <w:rFonts w:eastAsia="Times New Roman"/>
        </w:rPr>
        <w:t xml:space="preserve">Australia and Pakistan </w:t>
      </w:r>
      <w:r>
        <w:rPr>
          <w:rFonts w:eastAsia="Times New Roman"/>
        </w:rPr>
        <w:t xml:space="preserve">Development Cooperation Memorandum of Understanding </w:t>
      </w:r>
      <w:r w:rsidR="0035122F">
        <w:rPr>
          <w:rFonts w:eastAsia="Times New Roman"/>
        </w:rPr>
        <w:t xml:space="preserve">(MoU) </w:t>
      </w:r>
      <w:r>
        <w:rPr>
          <w:rFonts w:eastAsia="Times New Roman"/>
        </w:rPr>
        <w:t xml:space="preserve">signed in </w:t>
      </w:r>
      <w:r w:rsidR="00E2354D">
        <w:rPr>
          <w:rFonts w:eastAsia="Times New Roman"/>
        </w:rPr>
        <w:t>December</w:t>
      </w:r>
      <w:r w:rsidR="000041ED">
        <w:rPr>
          <w:rFonts w:eastAsia="Times New Roman"/>
        </w:rPr>
        <w:t xml:space="preserve"> 2016. </w:t>
      </w:r>
      <w:r>
        <w:rPr>
          <w:rFonts w:eastAsia="Times New Roman"/>
        </w:rPr>
        <w:t xml:space="preserve">Australia continued efforts to </w:t>
      </w:r>
      <w:r w:rsidR="007A715C">
        <w:rPr>
          <w:rFonts w:eastAsia="Times New Roman"/>
        </w:rPr>
        <w:t>support</w:t>
      </w:r>
      <w:r>
        <w:rPr>
          <w:rFonts w:eastAsia="Times New Roman"/>
        </w:rPr>
        <w:t xml:space="preserve"> policy reform in areas such as gender equality, </w:t>
      </w:r>
      <w:r w:rsidR="00402F55">
        <w:rPr>
          <w:rFonts w:eastAsia="Times New Roman"/>
        </w:rPr>
        <w:t>disability,</w:t>
      </w:r>
      <w:r>
        <w:rPr>
          <w:rFonts w:eastAsia="Times New Roman"/>
        </w:rPr>
        <w:t xml:space="preserve"> nutrition, </w:t>
      </w:r>
      <w:r w:rsidR="00402F55">
        <w:rPr>
          <w:rFonts w:eastAsia="Times New Roman"/>
        </w:rPr>
        <w:t>girls</w:t>
      </w:r>
      <w:r w:rsidR="001251C4">
        <w:rPr>
          <w:rFonts w:eastAsia="Times New Roman"/>
        </w:rPr>
        <w:t>’</w:t>
      </w:r>
      <w:r w:rsidR="00402F55">
        <w:rPr>
          <w:rFonts w:eastAsia="Times New Roman"/>
        </w:rPr>
        <w:t xml:space="preserve"> </w:t>
      </w:r>
      <w:r>
        <w:rPr>
          <w:rFonts w:eastAsia="Times New Roman"/>
        </w:rPr>
        <w:t>education</w:t>
      </w:r>
      <w:r w:rsidR="00471793">
        <w:rPr>
          <w:rFonts w:eastAsia="Times New Roman"/>
        </w:rPr>
        <w:t>, water resource management</w:t>
      </w:r>
      <w:r w:rsidR="001251C4" w:rsidRPr="001251C4">
        <w:rPr>
          <w:rFonts w:eastAsia="Times New Roman"/>
        </w:rPr>
        <w:t xml:space="preserve"> </w:t>
      </w:r>
      <w:r w:rsidR="001251C4">
        <w:rPr>
          <w:rFonts w:eastAsia="Times New Roman"/>
        </w:rPr>
        <w:t>and trade</w:t>
      </w:r>
      <w:r w:rsidR="00D25A54">
        <w:rPr>
          <w:rFonts w:eastAsia="Times New Roman"/>
        </w:rPr>
        <w:t xml:space="preserve">, in line with Pakistan’s 2025 </w:t>
      </w:r>
      <w:r w:rsidR="00270C75">
        <w:rPr>
          <w:rFonts w:eastAsia="Times New Roman"/>
        </w:rPr>
        <w:t>d</w:t>
      </w:r>
      <w:r w:rsidR="00D25A54">
        <w:rPr>
          <w:rFonts w:eastAsia="Times New Roman"/>
        </w:rPr>
        <w:t>evelopment commitments</w:t>
      </w:r>
      <w:r w:rsidR="000041ED">
        <w:rPr>
          <w:rFonts w:eastAsia="Times New Roman"/>
        </w:rPr>
        <w:t xml:space="preserve">, </w:t>
      </w:r>
      <w:r w:rsidR="00BD4597">
        <w:rPr>
          <w:rFonts w:eastAsia="Times New Roman"/>
        </w:rPr>
        <w:t>including focussed policy engagement with provincial governments</w:t>
      </w:r>
      <w:r w:rsidR="00C65D83">
        <w:rPr>
          <w:rFonts w:eastAsia="Times New Roman"/>
        </w:rPr>
        <w:t>.</w:t>
      </w:r>
    </w:p>
    <w:p w14:paraId="2A393068" w14:textId="23120CB5" w:rsidR="00C65D83" w:rsidRDefault="00C65D83" w:rsidP="00E65105">
      <w:r>
        <w:rPr>
          <w:rFonts w:eastAsia="Times New Roman"/>
        </w:rPr>
        <w:t xml:space="preserve">In trade policy, under </w:t>
      </w:r>
      <w:r w:rsidR="00CC57E3">
        <w:rPr>
          <w:rFonts w:eastAsia="Times New Roman"/>
        </w:rPr>
        <w:t xml:space="preserve">PTIPP </w:t>
      </w:r>
      <w:r>
        <w:rPr>
          <w:rFonts w:eastAsia="Times New Roman"/>
        </w:rPr>
        <w:t xml:space="preserve">the World Bank </w:t>
      </w:r>
      <w:r w:rsidR="00D25A54">
        <w:rPr>
          <w:rFonts w:eastAsia="Times New Roman"/>
        </w:rPr>
        <w:t xml:space="preserve">is </w:t>
      </w:r>
      <w:r w:rsidR="00CC57E3">
        <w:rPr>
          <w:rFonts w:eastAsia="Times New Roman"/>
        </w:rPr>
        <w:t>work</w:t>
      </w:r>
      <w:r w:rsidR="0018675B">
        <w:rPr>
          <w:rFonts w:eastAsia="Times New Roman"/>
        </w:rPr>
        <w:t xml:space="preserve">ing with </w:t>
      </w:r>
      <w:r>
        <w:rPr>
          <w:rFonts w:eastAsia="Times New Roman"/>
        </w:rPr>
        <w:t xml:space="preserve">the Pakistan </w:t>
      </w:r>
      <w:r w:rsidR="0018675B">
        <w:rPr>
          <w:rFonts w:eastAsia="Times New Roman"/>
        </w:rPr>
        <w:t>Ministry of Commerce</w:t>
      </w:r>
      <w:r w:rsidR="00CC57E3">
        <w:rPr>
          <w:rFonts w:eastAsia="Times New Roman"/>
        </w:rPr>
        <w:t xml:space="preserve"> </w:t>
      </w:r>
      <w:r w:rsidR="00C53776">
        <w:rPr>
          <w:rFonts w:eastAsia="Times New Roman"/>
        </w:rPr>
        <w:t xml:space="preserve">to generate evidence that </w:t>
      </w:r>
      <w:r w:rsidR="000041ED">
        <w:rPr>
          <w:rFonts w:eastAsia="Times New Roman"/>
        </w:rPr>
        <w:t>will inform</w:t>
      </w:r>
      <w:r w:rsidR="00C53776">
        <w:rPr>
          <w:rFonts w:eastAsia="Times New Roman"/>
        </w:rPr>
        <w:t xml:space="preserve"> </w:t>
      </w:r>
      <w:r w:rsidR="000041ED">
        <w:rPr>
          <w:rFonts w:eastAsia="Times New Roman"/>
        </w:rPr>
        <w:t>Pakistan’s</w:t>
      </w:r>
      <w:r>
        <w:rPr>
          <w:rFonts w:eastAsia="Times New Roman"/>
        </w:rPr>
        <w:t xml:space="preserve"> next T</w:t>
      </w:r>
      <w:r w:rsidR="002B3771">
        <w:rPr>
          <w:rFonts w:eastAsia="Times New Roman"/>
        </w:rPr>
        <w:t>rade Strategy</w:t>
      </w:r>
      <w:r w:rsidR="00C53776">
        <w:rPr>
          <w:rFonts w:eastAsia="Times New Roman"/>
        </w:rPr>
        <w:t xml:space="preserve"> </w:t>
      </w:r>
      <w:r>
        <w:rPr>
          <w:rFonts w:eastAsia="Times New Roman"/>
        </w:rPr>
        <w:t>Framework. In a positive sustainability story, the Ministry has taken over the contracts of advisors who had been engaged to work in the</w:t>
      </w:r>
      <w:r w:rsidR="002B3771">
        <w:t xml:space="preserve"> Regional Trade Office established by the World Bank.</w:t>
      </w:r>
    </w:p>
    <w:p w14:paraId="6F02C8D7" w14:textId="4F9259E0" w:rsidR="00D25A54" w:rsidRDefault="00C65D83" w:rsidP="00E65105">
      <w:pPr>
        <w:rPr>
          <w:rFonts w:eastAsia="Times New Roman"/>
        </w:rPr>
      </w:pPr>
      <w:r>
        <w:rPr>
          <w:rFonts w:eastAsia="Times New Roman"/>
        </w:rPr>
        <w:t xml:space="preserve">In the areas of gender and </w:t>
      </w:r>
      <w:r w:rsidR="000041ED">
        <w:rPr>
          <w:rFonts w:eastAsia="Times New Roman"/>
        </w:rPr>
        <w:t>social</w:t>
      </w:r>
      <w:r>
        <w:rPr>
          <w:rFonts w:eastAsia="Times New Roman"/>
        </w:rPr>
        <w:t xml:space="preserve"> inclusion, </w:t>
      </w:r>
      <w:r w:rsidR="00842CFF">
        <w:rPr>
          <w:rFonts w:eastAsia="Times New Roman"/>
        </w:rPr>
        <w:t xml:space="preserve">during the reporting period </w:t>
      </w:r>
      <w:r w:rsidR="000041ED">
        <w:rPr>
          <w:rFonts w:eastAsia="Times New Roman"/>
        </w:rPr>
        <w:t xml:space="preserve">Australia </w:t>
      </w:r>
      <w:r w:rsidR="008C70AF">
        <w:rPr>
          <w:rFonts w:eastAsia="Times New Roman"/>
        </w:rPr>
        <w:t>maintained active advocacy</w:t>
      </w:r>
      <w:r w:rsidR="00B63C1F">
        <w:rPr>
          <w:rFonts w:eastAsia="Times New Roman"/>
        </w:rPr>
        <w:t>,</w:t>
      </w:r>
      <w:r w:rsidR="008C70AF">
        <w:rPr>
          <w:rFonts w:eastAsia="Times New Roman"/>
        </w:rPr>
        <w:t xml:space="preserve"> </w:t>
      </w:r>
      <w:r w:rsidR="00B63C1F">
        <w:rPr>
          <w:rFonts w:eastAsia="Times New Roman"/>
        </w:rPr>
        <w:t xml:space="preserve">with government and on public platforms, </w:t>
      </w:r>
      <w:r w:rsidR="008C70AF">
        <w:rPr>
          <w:rFonts w:eastAsia="Times New Roman"/>
        </w:rPr>
        <w:t>for gender equality and ending violence against women</w:t>
      </w:r>
      <w:r w:rsidR="00930B44">
        <w:rPr>
          <w:rFonts w:eastAsia="Times New Roman"/>
        </w:rPr>
        <w:t xml:space="preserve">. Australia </w:t>
      </w:r>
      <w:r w:rsidR="00842CFF">
        <w:rPr>
          <w:rFonts w:eastAsia="Times New Roman"/>
        </w:rPr>
        <w:t>was r</w:t>
      </w:r>
      <w:r w:rsidR="00471793">
        <w:rPr>
          <w:rFonts w:eastAsia="Times New Roman"/>
        </w:rPr>
        <w:t>e-</w:t>
      </w:r>
      <w:r w:rsidR="00842CFF">
        <w:rPr>
          <w:rFonts w:eastAsia="Times New Roman"/>
        </w:rPr>
        <w:t>elected</w:t>
      </w:r>
      <w:r w:rsidR="000041ED">
        <w:rPr>
          <w:rFonts w:eastAsia="Times New Roman"/>
        </w:rPr>
        <w:t xml:space="preserve"> as co-Chair of the</w:t>
      </w:r>
      <w:r>
        <w:rPr>
          <w:rFonts w:eastAsia="Times New Roman"/>
        </w:rPr>
        <w:t xml:space="preserve"> </w:t>
      </w:r>
      <w:r w:rsidR="00257BB4">
        <w:t>Inter-Agency Gender and Development Group</w:t>
      </w:r>
      <w:r w:rsidR="00257BB4" w:rsidRPr="008F2667">
        <w:rPr>
          <w:rFonts w:eastAsia="Times New Roman"/>
        </w:rPr>
        <w:t xml:space="preserve"> </w:t>
      </w:r>
      <w:r w:rsidR="00257BB4">
        <w:rPr>
          <w:rFonts w:eastAsia="Times New Roman"/>
        </w:rPr>
        <w:t xml:space="preserve">- </w:t>
      </w:r>
      <w:r>
        <w:rPr>
          <w:rFonts w:eastAsia="Times New Roman"/>
        </w:rPr>
        <w:t>INGAD</w:t>
      </w:r>
      <w:r w:rsidR="000041ED">
        <w:rPr>
          <w:rFonts w:eastAsia="Times New Roman"/>
        </w:rPr>
        <w:t xml:space="preserve">, </w:t>
      </w:r>
      <w:r w:rsidR="008C70AF">
        <w:rPr>
          <w:rFonts w:eastAsia="Times New Roman"/>
        </w:rPr>
        <w:t>hosting</w:t>
      </w:r>
      <w:r w:rsidR="000041ED">
        <w:rPr>
          <w:rFonts w:eastAsia="Times New Roman"/>
        </w:rPr>
        <w:t xml:space="preserve"> events such as a panel discussion on p</w:t>
      </w:r>
      <w:r>
        <w:rPr>
          <w:rFonts w:eastAsia="Times New Roman"/>
        </w:rPr>
        <w:t xml:space="preserve">rogress towards gender equality in Punjab province in July 2016, </w:t>
      </w:r>
      <w:r w:rsidR="000041ED">
        <w:rPr>
          <w:rFonts w:eastAsia="Times New Roman"/>
        </w:rPr>
        <w:t>which discussed the</w:t>
      </w:r>
      <w:r>
        <w:rPr>
          <w:rFonts w:eastAsia="Times New Roman"/>
        </w:rPr>
        <w:t xml:space="preserve"> </w:t>
      </w:r>
      <w:r w:rsidRPr="00F84C3A">
        <w:rPr>
          <w:rFonts w:eastAsia="Times New Roman"/>
          <w:i/>
        </w:rPr>
        <w:t>Punjab Protection of Women Against Violence Act</w:t>
      </w:r>
      <w:r>
        <w:rPr>
          <w:rFonts w:eastAsia="Times New Roman"/>
        </w:rPr>
        <w:t xml:space="preserve"> passed in 2016.</w:t>
      </w:r>
      <w:r w:rsidR="000041ED">
        <w:rPr>
          <w:rFonts w:eastAsia="Times New Roman"/>
        </w:rPr>
        <w:t xml:space="preserve"> Australia</w:t>
      </w:r>
      <w:r w:rsidR="00C53776">
        <w:rPr>
          <w:rFonts w:eastAsia="Times New Roman"/>
        </w:rPr>
        <w:t xml:space="preserve"> </w:t>
      </w:r>
      <w:r w:rsidR="001251C4">
        <w:rPr>
          <w:rFonts w:eastAsia="Times New Roman"/>
        </w:rPr>
        <w:t xml:space="preserve">supported </w:t>
      </w:r>
      <w:r w:rsidR="00D25A54">
        <w:rPr>
          <w:rFonts w:eastAsia="Times New Roman"/>
        </w:rPr>
        <w:t>the U</w:t>
      </w:r>
      <w:r w:rsidR="00270C75">
        <w:rPr>
          <w:rFonts w:eastAsia="Times New Roman"/>
        </w:rPr>
        <w:t xml:space="preserve">nited Nations </w:t>
      </w:r>
      <w:r w:rsidR="005F7738">
        <w:rPr>
          <w:rFonts w:eastAsia="Times New Roman"/>
        </w:rPr>
        <w:t xml:space="preserve">Population Fund (UNFPA) </w:t>
      </w:r>
      <w:r w:rsidR="00D25A54">
        <w:rPr>
          <w:rFonts w:eastAsia="Times New Roman"/>
        </w:rPr>
        <w:t>to work with the Government of Pakistan to undertake the 201</w:t>
      </w:r>
      <w:r w:rsidR="001251C4">
        <w:rPr>
          <w:rFonts w:eastAsia="Times New Roman"/>
        </w:rPr>
        <w:t>7</w:t>
      </w:r>
      <w:r w:rsidR="00D25A54">
        <w:rPr>
          <w:rFonts w:eastAsia="Times New Roman"/>
        </w:rPr>
        <w:t xml:space="preserve"> Census – the first national census since 1998</w:t>
      </w:r>
      <w:r w:rsidR="00930B44">
        <w:rPr>
          <w:rFonts w:eastAsia="Times New Roman"/>
        </w:rPr>
        <w:t>. We</w:t>
      </w:r>
      <w:r w:rsidR="008C70AF">
        <w:rPr>
          <w:rFonts w:eastAsia="Times New Roman"/>
        </w:rPr>
        <w:t xml:space="preserve"> also supported UN</w:t>
      </w:r>
      <w:r w:rsidR="0035122F">
        <w:rPr>
          <w:rFonts w:eastAsia="Times New Roman"/>
        </w:rPr>
        <w:t xml:space="preserve"> </w:t>
      </w:r>
      <w:r w:rsidR="008C70AF">
        <w:rPr>
          <w:rFonts w:eastAsia="Times New Roman"/>
        </w:rPr>
        <w:t xml:space="preserve">Habitat to work with federal and provincial governments to prepare a </w:t>
      </w:r>
      <w:r w:rsidR="008C70AF" w:rsidRPr="00F84C3A">
        <w:rPr>
          <w:rFonts w:eastAsia="Times New Roman"/>
          <w:i/>
        </w:rPr>
        <w:t>State of Pakistan Cities Report</w:t>
      </w:r>
      <w:r w:rsidR="008C70AF">
        <w:rPr>
          <w:rFonts w:eastAsia="Times New Roman"/>
        </w:rPr>
        <w:t xml:space="preserve">, connecting with SDG Goal </w:t>
      </w:r>
      <w:r w:rsidR="008D75A3">
        <w:rPr>
          <w:rFonts w:eastAsia="Times New Roman"/>
        </w:rPr>
        <w:t>11 Sustainable Cities and Communities</w:t>
      </w:r>
      <w:r w:rsidR="00D25A54">
        <w:rPr>
          <w:rFonts w:eastAsia="Times New Roman"/>
        </w:rPr>
        <w:t>.</w:t>
      </w:r>
    </w:p>
    <w:p w14:paraId="58DFCFBF" w14:textId="77777777" w:rsidR="00C65D83" w:rsidRDefault="00C65D83" w:rsidP="00E65105">
      <w:pPr>
        <w:rPr>
          <w:rFonts w:eastAsia="Times New Roman"/>
        </w:rPr>
      </w:pPr>
      <w:r>
        <w:rPr>
          <w:rFonts w:eastAsia="Times New Roman"/>
        </w:rPr>
        <w:t>Australia hosted an NGO partners meeting in April 2017, to promote collaboration and dialogue with and betwee</w:t>
      </w:r>
      <w:r w:rsidR="00060033">
        <w:rPr>
          <w:rFonts w:eastAsia="Times New Roman"/>
        </w:rPr>
        <w:t xml:space="preserve">n our Australian NGO partners. </w:t>
      </w:r>
      <w:r>
        <w:rPr>
          <w:rFonts w:eastAsia="Times New Roman"/>
        </w:rPr>
        <w:t xml:space="preserve">We will continue to advocate for the Government of Pakistan to resolve international and local NGO registration issues, through our membership of the donor group that jointly represents NGO and donor interests on NGO re-registration. This issue remains a significant one for </w:t>
      </w:r>
      <w:r w:rsidR="00AC39E0">
        <w:rPr>
          <w:rFonts w:eastAsia="Times New Roman"/>
        </w:rPr>
        <w:t>A</w:t>
      </w:r>
      <w:r>
        <w:rPr>
          <w:rFonts w:eastAsia="Times New Roman"/>
        </w:rPr>
        <w:t>ustralian NGOs</w:t>
      </w:r>
      <w:r w:rsidR="00AC39E0">
        <w:rPr>
          <w:rFonts w:eastAsia="Times New Roman"/>
        </w:rPr>
        <w:t>,</w:t>
      </w:r>
      <w:r>
        <w:rPr>
          <w:rFonts w:eastAsia="Times New Roman"/>
        </w:rPr>
        <w:t xml:space="preserve"> Australian funded national and international NGOs</w:t>
      </w:r>
      <w:r w:rsidR="00AC39E0">
        <w:rPr>
          <w:rFonts w:eastAsia="Times New Roman"/>
        </w:rPr>
        <w:t>, and impacts on the effectiveness of our aid program’s implementation</w:t>
      </w:r>
      <w:r>
        <w:rPr>
          <w:rFonts w:eastAsia="Times New Roman"/>
        </w:rPr>
        <w:t xml:space="preserve">. </w:t>
      </w:r>
    </w:p>
    <w:p w14:paraId="1D31C51B" w14:textId="77777777"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Program Quality</w:t>
      </w:r>
    </w:p>
    <w:p w14:paraId="196353CF" w14:textId="2CE01508" w:rsidR="00856C55" w:rsidRDefault="0051121D" w:rsidP="00AD0558">
      <w:pPr>
        <w:rPr>
          <w:rFonts w:eastAsia="Times New Roman"/>
        </w:rPr>
      </w:pPr>
      <w:r w:rsidRPr="00AD0558">
        <w:rPr>
          <w:rFonts w:eastAsia="Times New Roman"/>
        </w:rPr>
        <w:t>The most striking change in this year’s performance was the improvement in ratings for gender equality</w:t>
      </w:r>
      <w:r w:rsidR="003A53E6" w:rsidRPr="00AD0558">
        <w:rPr>
          <w:rFonts w:eastAsia="Times New Roman"/>
        </w:rPr>
        <w:t xml:space="preserve">, which is discussed above under Outcome </w:t>
      </w:r>
      <w:r w:rsidR="009B02C4">
        <w:rPr>
          <w:rFonts w:eastAsia="Times New Roman"/>
        </w:rPr>
        <w:t>8</w:t>
      </w:r>
      <w:r w:rsidR="003A53E6" w:rsidRPr="00AD0558">
        <w:rPr>
          <w:rFonts w:eastAsia="Times New Roman"/>
        </w:rPr>
        <w:t xml:space="preserve">. </w:t>
      </w:r>
      <w:r w:rsidR="00052AB9" w:rsidRPr="00AD0558">
        <w:rPr>
          <w:rFonts w:eastAsia="Times New Roman"/>
        </w:rPr>
        <w:t>The other marked change in scores was the decrease in efficiency ratin</w:t>
      </w:r>
      <w:r w:rsidR="001E0CF5">
        <w:rPr>
          <w:rFonts w:eastAsia="Times New Roman"/>
        </w:rPr>
        <w:t>gs from 82</w:t>
      </w:r>
      <w:r w:rsidR="005F7738">
        <w:rPr>
          <w:rFonts w:eastAsia="Times New Roman"/>
        </w:rPr>
        <w:t xml:space="preserve"> per cent</w:t>
      </w:r>
      <w:r w:rsidR="001E0CF5">
        <w:rPr>
          <w:rFonts w:eastAsia="Times New Roman"/>
        </w:rPr>
        <w:t xml:space="preserve"> satisfactory </w:t>
      </w:r>
      <w:r w:rsidR="00471793">
        <w:rPr>
          <w:rFonts w:eastAsia="Times New Roman"/>
        </w:rPr>
        <w:t xml:space="preserve">overall </w:t>
      </w:r>
      <w:r w:rsidR="001E0CF5">
        <w:rPr>
          <w:rFonts w:eastAsia="Times New Roman"/>
        </w:rPr>
        <w:t>to 67</w:t>
      </w:r>
      <w:r w:rsidR="005F7738">
        <w:rPr>
          <w:rFonts w:eastAsia="Times New Roman"/>
        </w:rPr>
        <w:t xml:space="preserve"> per cent</w:t>
      </w:r>
      <w:r w:rsidR="00052AB9" w:rsidRPr="00AD0558">
        <w:rPr>
          <w:rFonts w:eastAsia="Times New Roman"/>
        </w:rPr>
        <w:t xml:space="preserve">. </w:t>
      </w:r>
      <w:r w:rsidR="001E0CF5">
        <w:t xml:space="preserve">This decrease largely represents the significant challenges in implementing a </w:t>
      </w:r>
      <w:r w:rsidR="000E5414">
        <w:t xml:space="preserve">complex, </w:t>
      </w:r>
      <w:r w:rsidR="001E0CF5">
        <w:t>multi-partner aid program in the Pakistan context</w:t>
      </w:r>
      <w:r w:rsidR="00856C55">
        <w:t xml:space="preserve">, with several investments operating through </w:t>
      </w:r>
      <w:r w:rsidR="0063265E">
        <w:t>government</w:t>
      </w:r>
      <w:r w:rsidR="00856C55">
        <w:t xml:space="preserve"> systems</w:t>
      </w:r>
      <w:r w:rsidR="00471793">
        <w:t xml:space="preserve">. </w:t>
      </w:r>
      <w:r w:rsidR="00856C55">
        <w:rPr>
          <w:rFonts w:eastAsia="Times New Roman"/>
        </w:rPr>
        <w:t xml:space="preserve">The </w:t>
      </w:r>
      <w:r w:rsidR="00BB3E8F" w:rsidRPr="00AD0558">
        <w:rPr>
          <w:rFonts w:eastAsia="Times New Roman"/>
        </w:rPr>
        <w:t xml:space="preserve">Pakistan aid program did not meet the Department-wide value for money strategic target this year </w:t>
      </w:r>
      <w:r w:rsidR="00AC39E0">
        <w:rPr>
          <w:rFonts w:eastAsia="Times New Roman"/>
        </w:rPr>
        <w:t>owing to</w:t>
      </w:r>
      <w:r w:rsidR="00052AB9" w:rsidRPr="00AD0558">
        <w:rPr>
          <w:rFonts w:eastAsia="Times New Roman"/>
        </w:rPr>
        <w:t xml:space="preserve"> </w:t>
      </w:r>
      <w:r w:rsidR="001E0CF5">
        <w:rPr>
          <w:rFonts w:eastAsia="Times New Roman"/>
        </w:rPr>
        <w:t xml:space="preserve">two </w:t>
      </w:r>
      <w:r w:rsidR="00C953C2" w:rsidRPr="00AD0558">
        <w:rPr>
          <w:rFonts w:eastAsia="Times New Roman"/>
        </w:rPr>
        <w:t xml:space="preserve">investments </w:t>
      </w:r>
      <w:r w:rsidR="00AC39E0">
        <w:rPr>
          <w:rFonts w:eastAsia="Times New Roman"/>
        </w:rPr>
        <w:t>scoring</w:t>
      </w:r>
      <w:r w:rsidR="00C953C2" w:rsidRPr="00AD0558">
        <w:rPr>
          <w:rFonts w:eastAsia="Times New Roman"/>
        </w:rPr>
        <w:t xml:space="preserve"> unsatisfactory ratings for b</w:t>
      </w:r>
      <w:r w:rsidR="00856C55">
        <w:rPr>
          <w:rFonts w:eastAsia="Times New Roman"/>
        </w:rPr>
        <w:t>oth effectiveness and efficiency</w:t>
      </w:r>
      <w:r w:rsidR="00060033">
        <w:rPr>
          <w:rFonts w:eastAsia="Times New Roman"/>
        </w:rPr>
        <w:t xml:space="preserve">. As outlined above, </w:t>
      </w:r>
      <w:r w:rsidR="00B16B12">
        <w:rPr>
          <w:rFonts w:eastAsia="Times New Roman"/>
        </w:rPr>
        <w:t>we</w:t>
      </w:r>
      <w:r w:rsidR="00C953C2" w:rsidRPr="00AD0558">
        <w:rPr>
          <w:rFonts w:eastAsia="Times New Roman"/>
        </w:rPr>
        <w:t xml:space="preserve"> have developed remediation plans</w:t>
      </w:r>
      <w:r w:rsidR="00B16B12">
        <w:rPr>
          <w:rFonts w:eastAsia="Times New Roman"/>
        </w:rPr>
        <w:t xml:space="preserve"> for both investments</w:t>
      </w:r>
      <w:r w:rsidR="00C953C2" w:rsidRPr="00AD0558">
        <w:rPr>
          <w:rFonts w:eastAsia="Times New Roman"/>
        </w:rPr>
        <w:t xml:space="preserve"> in close collaboration with implementing partners to ensure quality improves.</w:t>
      </w:r>
      <w:r w:rsidR="00052AB9" w:rsidRPr="00AD0558">
        <w:rPr>
          <w:rFonts w:eastAsia="Times New Roman"/>
        </w:rPr>
        <w:t xml:space="preserve"> </w:t>
      </w:r>
    </w:p>
    <w:p w14:paraId="1292EC1E" w14:textId="5FF45679" w:rsidR="00060033" w:rsidRDefault="0035122F" w:rsidP="00060033">
      <w:pPr>
        <w:rPr>
          <w:rFonts w:eastAsia="Times New Roman"/>
        </w:rPr>
      </w:pPr>
      <w:r>
        <w:rPr>
          <w:rFonts w:eastAsia="Times New Roman"/>
        </w:rPr>
        <w:t>E</w:t>
      </w:r>
      <w:r w:rsidR="007C4111" w:rsidRPr="000E5414">
        <w:rPr>
          <w:rFonts w:eastAsia="Times New Roman"/>
        </w:rPr>
        <w:t xml:space="preserve">ffectiveness, </w:t>
      </w:r>
      <w:r w:rsidR="0063265E">
        <w:rPr>
          <w:rFonts w:eastAsia="Times New Roman"/>
        </w:rPr>
        <w:t>R</w:t>
      </w:r>
      <w:r w:rsidR="0063265E" w:rsidRPr="000E5414">
        <w:rPr>
          <w:rFonts w:eastAsia="Times New Roman"/>
        </w:rPr>
        <w:t xml:space="preserve">elevance </w:t>
      </w:r>
      <w:r w:rsidR="007C4111" w:rsidRPr="000E5414">
        <w:rPr>
          <w:rFonts w:eastAsia="Times New Roman"/>
        </w:rPr>
        <w:t>and M</w:t>
      </w:r>
      <w:r w:rsidR="005F7738">
        <w:rPr>
          <w:rFonts w:eastAsia="Times New Roman"/>
        </w:rPr>
        <w:t xml:space="preserve">onitoring and Evaluation </w:t>
      </w:r>
      <w:r w:rsidR="007C4111" w:rsidRPr="000E5414">
        <w:rPr>
          <w:rFonts w:eastAsia="Times New Roman"/>
        </w:rPr>
        <w:t xml:space="preserve">ratings remained largely unchanged. </w:t>
      </w:r>
      <w:r w:rsidR="00ED797E" w:rsidRPr="000E5414">
        <w:rPr>
          <w:rFonts w:eastAsia="Times New Roman"/>
        </w:rPr>
        <w:t xml:space="preserve">Addressing </w:t>
      </w:r>
      <w:r w:rsidR="007C4111" w:rsidRPr="000E5414">
        <w:rPr>
          <w:rFonts w:eastAsia="Times New Roman"/>
        </w:rPr>
        <w:t xml:space="preserve">low M&amp;E ratings </w:t>
      </w:r>
      <w:r w:rsidR="00ED797E" w:rsidRPr="000E5414">
        <w:rPr>
          <w:rFonts w:eastAsia="Times New Roman"/>
        </w:rPr>
        <w:t xml:space="preserve">and lack of outcome level reporting </w:t>
      </w:r>
      <w:r w:rsidR="007C4111" w:rsidRPr="000E5414">
        <w:rPr>
          <w:rFonts w:eastAsia="Times New Roman"/>
        </w:rPr>
        <w:t>will be a foc</w:t>
      </w:r>
      <w:r w:rsidR="00C16074" w:rsidRPr="000E5414">
        <w:rPr>
          <w:rFonts w:eastAsia="Times New Roman"/>
        </w:rPr>
        <w:t xml:space="preserve">us of the next reporting period. </w:t>
      </w:r>
      <w:r w:rsidR="001E0CF5" w:rsidRPr="000E5414">
        <w:rPr>
          <w:rFonts w:eastAsia="Times New Roman"/>
        </w:rPr>
        <w:t xml:space="preserve">We will continue to draw on technical expertise to support improvements in performance, particular in the areas of gender equality, disability inclusion and monitoring and evaluation. </w:t>
      </w:r>
    </w:p>
    <w:p w14:paraId="4E67BEF1" w14:textId="26488CDE" w:rsidR="00BD4597" w:rsidRDefault="00060033" w:rsidP="005864EC">
      <w:r>
        <w:rPr>
          <w:rFonts w:eastAsia="Times New Roman"/>
        </w:rPr>
        <w:t>There is a</w:t>
      </w:r>
      <w:r w:rsidRPr="00AD0558">
        <w:rPr>
          <w:rFonts w:eastAsia="Times New Roman"/>
        </w:rPr>
        <w:t xml:space="preserve"> need to carefully consider reducing the number of </w:t>
      </w:r>
      <w:r w:rsidR="0035122F">
        <w:rPr>
          <w:rFonts w:eastAsia="Times New Roman"/>
        </w:rPr>
        <w:t xml:space="preserve">aid </w:t>
      </w:r>
      <w:r w:rsidRPr="00AD0558">
        <w:rPr>
          <w:rFonts w:eastAsia="Times New Roman"/>
        </w:rPr>
        <w:t xml:space="preserve">investments further to ensure quality ratings </w:t>
      </w:r>
      <w:r>
        <w:rPr>
          <w:rFonts w:eastAsia="Times New Roman"/>
        </w:rPr>
        <w:t xml:space="preserve">are maintained and improved </w:t>
      </w:r>
      <w:r w:rsidRPr="00AD0558">
        <w:rPr>
          <w:rFonts w:eastAsia="Times New Roman"/>
        </w:rPr>
        <w:t>in coming years</w:t>
      </w:r>
      <w:r>
        <w:rPr>
          <w:rFonts w:eastAsia="Times New Roman"/>
        </w:rPr>
        <w:t>, and to meet our consolidation target</w:t>
      </w:r>
      <w:r w:rsidRPr="00AD0558">
        <w:rPr>
          <w:rFonts w:eastAsia="Times New Roman"/>
        </w:rPr>
        <w:t xml:space="preserve">. </w:t>
      </w:r>
      <w:r>
        <w:rPr>
          <w:rFonts w:eastAsia="Times New Roman"/>
        </w:rPr>
        <w:t xml:space="preserve">Another trend that has been identified as affecting program quality is </w:t>
      </w:r>
      <w:r w:rsidR="0035122F">
        <w:rPr>
          <w:rFonts w:eastAsia="Times New Roman"/>
        </w:rPr>
        <w:t xml:space="preserve">the </w:t>
      </w:r>
      <w:r>
        <w:rPr>
          <w:rFonts w:eastAsia="Times New Roman"/>
        </w:rPr>
        <w:t xml:space="preserve">performance </w:t>
      </w:r>
      <w:r w:rsidR="0035122F">
        <w:rPr>
          <w:rFonts w:eastAsia="Times New Roman"/>
        </w:rPr>
        <w:t xml:space="preserve">of </w:t>
      </w:r>
      <w:r>
        <w:rPr>
          <w:rFonts w:eastAsia="Times New Roman"/>
        </w:rPr>
        <w:t xml:space="preserve">World Bank investments, </w:t>
      </w:r>
      <w:r w:rsidR="008D75A3">
        <w:rPr>
          <w:rFonts w:eastAsia="Times New Roman"/>
        </w:rPr>
        <w:t xml:space="preserve">particularly in relation to approaches to gender and </w:t>
      </w:r>
      <w:r w:rsidR="00930B44">
        <w:rPr>
          <w:rFonts w:eastAsia="Times New Roman"/>
        </w:rPr>
        <w:t>outcome-</w:t>
      </w:r>
      <w:r w:rsidR="008D75A3">
        <w:rPr>
          <w:rFonts w:eastAsia="Times New Roman"/>
        </w:rPr>
        <w:t xml:space="preserve">level </w:t>
      </w:r>
      <w:r w:rsidR="00930B44">
        <w:rPr>
          <w:rFonts w:eastAsia="Times New Roman"/>
        </w:rPr>
        <w:t>reporting</w:t>
      </w:r>
      <w:r>
        <w:rPr>
          <w:rFonts w:eastAsia="Times New Roman"/>
        </w:rPr>
        <w:t xml:space="preserve">. </w:t>
      </w:r>
      <w:r w:rsidR="00333888">
        <w:rPr>
          <w:rFonts w:eastAsia="Times New Roman"/>
        </w:rPr>
        <w:t>These issues and other r</w:t>
      </w:r>
      <w:r>
        <w:rPr>
          <w:rFonts w:eastAsia="Times New Roman"/>
        </w:rPr>
        <w:t>isks to program performance, such as changes to the security situation limit</w:t>
      </w:r>
      <w:r w:rsidR="00B16B12">
        <w:rPr>
          <w:rFonts w:eastAsia="Times New Roman"/>
        </w:rPr>
        <w:t>ing</w:t>
      </w:r>
      <w:r>
        <w:rPr>
          <w:rFonts w:eastAsia="Times New Roman"/>
        </w:rPr>
        <w:t xml:space="preserve"> our ability to implement and monitor investments, </w:t>
      </w:r>
      <w:r w:rsidRPr="00AD0558">
        <w:rPr>
          <w:rFonts w:eastAsia="Times New Roman"/>
        </w:rPr>
        <w:t xml:space="preserve">will be </w:t>
      </w:r>
      <w:r>
        <w:rPr>
          <w:rFonts w:eastAsia="Times New Roman"/>
        </w:rPr>
        <w:t xml:space="preserve">considered </w:t>
      </w:r>
      <w:r w:rsidR="00B16B12">
        <w:rPr>
          <w:rFonts w:eastAsia="Times New Roman"/>
        </w:rPr>
        <w:t xml:space="preserve">in late 2017 </w:t>
      </w:r>
      <w:r>
        <w:rPr>
          <w:rFonts w:eastAsia="Times New Roman"/>
        </w:rPr>
        <w:t xml:space="preserve">as part of </w:t>
      </w:r>
      <w:r w:rsidR="00B16B12">
        <w:rPr>
          <w:rFonts w:eastAsia="Times New Roman"/>
        </w:rPr>
        <w:t>our</w:t>
      </w:r>
      <w:r w:rsidR="00B16B12" w:rsidRPr="00AD0558">
        <w:rPr>
          <w:rFonts w:eastAsia="Times New Roman"/>
        </w:rPr>
        <w:t xml:space="preserve"> </w:t>
      </w:r>
      <w:r w:rsidRPr="00AD0558">
        <w:rPr>
          <w:rFonts w:eastAsia="Times New Roman"/>
        </w:rPr>
        <w:t xml:space="preserve">upcoming </w:t>
      </w:r>
      <w:r w:rsidR="00930B44">
        <w:rPr>
          <w:rFonts w:eastAsia="Times New Roman"/>
        </w:rPr>
        <w:t xml:space="preserve">Aid </w:t>
      </w:r>
      <w:r>
        <w:rPr>
          <w:rFonts w:eastAsia="Times New Roman"/>
        </w:rPr>
        <w:t>Health Check.</w:t>
      </w:r>
    </w:p>
    <w:p w14:paraId="1F048E8F" w14:textId="011BDBF9" w:rsidR="005B5769"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lastRenderedPageBreak/>
        <w:t xml:space="preserve">Management </w:t>
      </w:r>
      <w:r w:rsidR="00E65105">
        <w:rPr>
          <w:rFonts w:asciiTheme="majorHAnsi" w:eastAsiaTheme="majorEastAsia" w:hAnsiTheme="majorHAnsi" w:cstheme="majorBidi"/>
          <w:caps/>
          <w:color w:val="495965" w:themeColor="text2"/>
          <w:sz w:val="38"/>
          <w:szCs w:val="26"/>
          <w:lang w:val="en-GB" w:eastAsia="en-US"/>
        </w:rPr>
        <w:t>actions</w:t>
      </w:r>
    </w:p>
    <w:p w14:paraId="3256635E" w14:textId="3688945C" w:rsidR="00046F98" w:rsidRPr="005864EC" w:rsidRDefault="00046F98" w:rsidP="005864EC">
      <w:pPr>
        <w:pStyle w:val="BodyText"/>
        <w:rPr>
          <w:rFonts w:asciiTheme="minorHAnsi" w:hAnsiTheme="minorHAnsi" w:cstheme="minorBidi"/>
          <w:color w:val="495965" w:themeColor="text2"/>
          <w:sz w:val="22"/>
          <w:szCs w:val="22"/>
          <w:lang w:val="en-GB" w:eastAsia="en-US"/>
        </w:rPr>
      </w:pPr>
      <w:r w:rsidRPr="005864EC">
        <w:rPr>
          <w:rFonts w:asciiTheme="minorHAnsi" w:hAnsiTheme="minorHAnsi" w:cstheme="minorBidi"/>
          <w:color w:val="495965" w:themeColor="text2"/>
          <w:sz w:val="22"/>
          <w:szCs w:val="22"/>
          <w:lang w:val="en-GB" w:eastAsia="en-US"/>
        </w:rPr>
        <w:t>This section outlines the priority management actions over the next</w:t>
      </w:r>
      <w:r w:rsidR="00BD4597" w:rsidRPr="005864EC">
        <w:rPr>
          <w:rFonts w:asciiTheme="minorHAnsi" w:hAnsiTheme="minorHAnsi" w:cstheme="minorBidi"/>
          <w:color w:val="495965" w:themeColor="text2"/>
          <w:sz w:val="22"/>
          <w:szCs w:val="22"/>
          <w:lang w:val="en-GB" w:eastAsia="en-US"/>
        </w:rPr>
        <w:t xml:space="preserve"> reporting period.</w:t>
      </w:r>
      <w:r w:rsidRPr="005864EC">
        <w:rPr>
          <w:rFonts w:asciiTheme="minorHAnsi" w:hAnsiTheme="minorHAnsi" w:cstheme="minorBidi"/>
          <w:color w:val="495965" w:themeColor="text2"/>
          <w:sz w:val="22"/>
          <w:szCs w:val="22"/>
          <w:lang w:val="en-GB" w:eastAsia="en-US"/>
        </w:rPr>
        <w:t xml:space="preserve"> </w:t>
      </w:r>
    </w:p>
    <w:p w14:paraId="35673F00" w14:textId="52F327D7" w:rsidR="00B16B12" w:rsidRPr="00333888" w:rsidRDefault="00023A08" w:rsidP="00333888">
      <w:pPr>
        <w:pStyle w:val="ListParagraph"/>
        <w:numPr>
          <w:ilvl w:val="0"/>
          <w:numId w:val="38"/>
        </w:numPr>
      </w:pPr>
      <w:r w:rsidRPr="00967FAB">
        <w:rPr>
          <w:b/>
        </w:rPr>
        <w:t xml:space="preserve">Undertake </w:t>
      </w:r>
      <w:r w:rsidR="0037717D" w:rsidRPr="00967FAB">
        <w:rPr>
          <w:b/>
        </w:rPr>
        <w:t>strategic</w:t>
      </w:r>
      <w:r w:rsidRPr="00967FAB">
        <w:rPr>
          <w:b/>
        </w:rPr>
        <w:t xml:space="preserve"> </w:t>
      </w:r>
      <w:r w:rsidR="0037717D" w:rsidRPr="00967FAB">
        <w:rPr>
          <w:b/>
        </w:rPr>
        <w:t xml:space="preserve">program </w:t>
      </w:r>
      <w:r w:rsidRPr="00967FAB">
        <w:rPr>
          <w:b/>
        </w:rPr>
        <w:t>r</w:t>
      </w:r>
      <w:r w:rsidR="00BD4597" w:rsidRPr="00967FAB">
        <w:rPr>
          <w:b/>
        </w:rPr>
        <w:t xml:space="preserve">eview and </w:t>
      </w:r>
      <w:r w:rsidR="00BB0641" w:rsidRPr="00967FAB">
        <w:rPr>
          <w:b/>
        </w:rPr>
        <w:t xml:space="preserve">pipeline </w:t>
      </w:r>
      <w:r w:rsidR="00BD4597" w:rsidRPr="00967FAB">
        <w:rPr>
          <w:b/>
        </w:rPr>
        <w:t>planning</w:t>
      </w:r>
      <w:r w:rsidR="00BB0641" w:rsidRPr="00967FAB">
        <w:rPr>
          <w:b/>
        </w:rPr>
        <w:t xml:space="preserve"> </w:t>
      </w:r>
      <w:r w:rsidRPr="00967FAB">
        <w:rPr>
          <w:b/>
        </w:rPr>
        <w:t xml:space="preserve">processes </w:t>
      </w:r>
      <w:r w:rsidR="00BB0641" w:rsidRPr="00967FAB">
        <w:rPr>
          <w:b/>
        </w:rPr>
        <w:t xml:space="preserve">to feed </w:t>
      </w:r>
      <w:r w:rsidRPr="00967FAB">
        <w:rPr>
          <w:b/>
        </w:rPr>
        <w:t>into Australia’s</w:t>
      </w:r>
      <w:r w:rsidR="00BB0641" w:rsidRPr="00967FAB">
        <w:rPr>
          <w:b/>
        </w:rPr>
        <w:t xml:space="preserve"> next Aid Investment Plan</w:t>
      </w:r>
      <w:r w:rsidRPr="00967FAB">
        <w:rPr>
          <w:b/>
        </w:rPr>
        <w:t xml:space="preserve"> for Pakistan</w:t>
      </w:r>
      <w:r w:rsidR="00BD4597" w:rsidRPr="00967FAB">
        <w:rPr>
          <w:b/>
        </w:rPr>
        <w:t xml:space="preserve">: </w:t>
      </w:r>
      <w:r w:rsidR="00BD4597">
        <w:t xml:space="preserve"> W</w:t>
      </w:r>
      <w:r w:rsidR="000E5414" w:rsidRPr="009A7142">
        <w:t xml:space="preserve">e will </w:t>
      </w:r>
      <w:r w:rsidR="00F15003" w:rsidRPr="009A7142">
        <w:t>u</w:t>
      </w:r>
      <w:r w:rsidR="00877B0E" w:rsidRPr="009A7142">
        <w:t xml:space="preserve">ndertake a series of review processes to </w:t>
      </w:r>
      <w:r w:rsidR="00BB0641" w:rsidRPr="009A7142">
        <w:t xml:space="preserve">inform future strategic priorities, consolidation options and pipeline planning </w:t>
      </w:r>
      <w:r w:rsidR="00BB0641">
        <w:t xml:space="preserve">for </w:t>
      </w:r>
      <w:r w:rsidR="00877B0E" w:rsidRPr="009A7142">
        <w:t xml:space="preserve">the next </w:t>
      </w:r>
      <w:r w:rsidR="005F7738">
        <w:t>AIP</w:t>
      </w:r>
      <w:r w:rsidR="0037717D">
        <w:t>, which is</w:t>
      </w:r>
      <w:r w:rsidR="00BB0641" w:rsidRPr="00967FAB">
        <w:rPr>
          <w:b/>
        </w:rPr>
        <w:t xml:space="preserve"> </w:t>
      </w:r>
      <w:r w:rsidR="00BB0641" w:rsidRPr="005864EC">
        <w:t>due to commence in 2019-20</w:t>
      </w:r>
      <w:r>
        <w:t>.  This will</w:t>
      </w:r>
      <w:r w:rsidR="00877B0E" w:rsidRPr="009A7142">
        <w:t xml:space="preserve"> </w:t>
      </w:r>
      <w:r w:rsidRPr="009A7142">
        <w:t>includ</w:t>
      </w:r>
      <w:r>
        <w:t>e</w:t>
      </w:r>
      <w:r w:rsidR="00877B0E" w:rsidRPr="009A7142">
        <w:t xml:space="preserve"> </w:t>
      </w:r>
      <w:r w:rsidR="00BB0641">
        <w:t xml:space="preserve">a </w:t>
      </w:r>
      <w:r w:rsidR="00B24FBD" w:rsidRPr="009A7142">
        <w:t>Pakistan Program Gender Strategy Review</w:t>
      </w:r>
      <w:r w:rsidR="00F15003" w:rsidRPr="009A7142">
        <w:t xml:space="preserve"> (Oct</w:t>
      </w:r>
      <w:r w:rsidR="00BB0641">
        <w:t>ober 20</w:t>
      </w:r>
      <w:r w:rsidR="00F15003" w:rsidRPr="009A7142">
        <w:t>17)</w:t>
      </w:r>
      <w:r w:rsidR="00B24FBD" w:rsidRPr="009A7142">
        <w:t>;</w:t>
      </w:r>
      <w:r w:rsidR="00F15003" w:rsidRPr="009A7142">
        <w:t xml:space="preserve"> </w:t>
      </w:r>
      <w:r w:rsidR="00BB0641">
        <w:t xml:space="preserve">DFAT </w:t>
      </w:r>
      <w:r w:rsidR="00F15003" w:rsidRPr="009A7142">
        <w:t>Aid Health Check (Nov</w:t>
      </w:r>
      <w:r w:rsidR="00BB0641">
        <w:t>ember</w:t>
      </w:r>
      <w:r w:rsidR="00F15003" w:rsidRPr="009A7142">
        <w:t xml:space="preserve"> </w:t>
      </w:r>
      <w:r w:rsidR="00BB0641">
        <w:t>20</w:t>
      </w:r>
      <w:r w:rsidR="00F15003" w:rsidRPr="009A7142">
        <w:t xml:space="preserve">17); and </w:t>
      </w:r>
      <w:r w:rsidR="005F7738">
        <w:t>AIP</w:t>
      </w:r>
      <w:r w:rsidR="00F15003" w:rsidRPr="009A7142">
        <w:t xml:space="preserve"> </w:t>
      </w:r>
      <w:r w:rsidR="00B24FBD" w:rsidRPr="009A7142">
        <w:t>review</w:t>
      </w:r>
      <w:r w:rsidR="00F15003" w:rsidRPr="009A7142">
        <w:t xml:space="preserve"> </w:t>
      </w:r>
      <w:r w:rsidR="007C7CED" w:rsidRPr="005864EC">
        <w:t>(</w:t>
      </w:r>
      <w:r w:rsidR="000C698B">
        <w:t xml:space="preserve">by </w:t>
      </w:r>
      <w:r w:rsidR="00BB0641" w:rsidRPr="005864EC">
        <w:t>early 2018</w:t>
      </w:r>
      <w:r w:rsidR="007C7CED" w:rsidRPr="005864EC">
        <w:t>)</w:t>
      </w:r>
      <w:r w:rsidR="00967FAB">
        <w:t>, and will take into account the</w:t>
      </w:r>
      <w:r w:rsidR="00967FAB" w:rsidRPr="009A7142">
        <w:t xml:space="preserve"> </w:t>
      </w:r>
      <w:r w:rsidR="00967FAB">
        <w:t>Pakistan</w:t>
      </w:r>
      <w:r w:rsidR="00967FAB" w:rsidRPr="009A7142">
        <w:t xml:space="preserve"> </w:t>
      </w:r>
      <w:r w:rsidR="00967FAB">
        <w:t xml:space="preserve">context </w:t>
      </w:r>
      <w:r w:rsidR="00967FAB" w:rsidRPr="009A7142">
        <w:t>and complexity of Australia’s aid program in Pakistan</w:t>
      </w:r>
      <w:r w:rsidR="00967FAB">
        <w:t xml:space="preserve">. [These processes </w:t>
      </w:r>
      <w:r w:rsidR="00BB0641">
        <w:t>will</w:t>
      </w:r>
      <w:r w:rsidR="000C698B">
        <w:t xml:space="preserve"> be primarily </w:t>
      </w:r>
      <w:r w:rsidR="00967FAB">
        <w:t xml:space="preserve">led </w:t>
      </w:r>
      <w:r w:rsidR="0037717D">
        <w:t xml:space="preserve">from </w:t>
      </w:r>
      <w:r w:rsidR="00B16B12">
        <w:t xml:space="preserve">DFAT </w:t>
      </w:r>
      <w:r w:rsidR="000C698B">
        <w:t>Canberra</w:t>
      </w:r>
      <w:r w:rsidR="0037717D">
        <w:t xml:space="preserve"> </w:t>
      </w:r>
      <w:r w:rsidR="00967FAB">
        <w:t>(SWD</w:t>
      </w:r>
      <w:r w:rsidR="00214581">
        <w:t>/PAB</w:t>
      </w:r>
      <w:r w:rsidR="00DB23E8">
        <w:t xml:space="preserve">, </w:t>
      </w:r>
      <w:r w:rsidR="0037717D">
        <w:t>ACD)</w:t>
      </w:r>
      <w:r w:rsidR="00967FAB">
        <w:t xml:space="preserve"> in close consultation with Post.]</w:t>
      </w:r>
    </w:p>
    <w:p w14:paraId="20E92D24" w14:textId="77777777" w:rsidR="00682360" w:rsidRDefault="00682360" w:rsidP="00967FAB">
      <w:pPr>
        <w:pStyle w:val="ListParagraph"/>
      </w:pPr>
    </w:p>
    <w:p w14:paraId="4F02D7C4" w14:textId="7F2DF97B" w:rsidR="00023A08" w:rsidRPr="005864EC" w:rsidRDefault="00BB0641">
      <w:pPr>
        <w:pStyle w:val="ListParagraph"/>
        <w:numPr>
          <w:ilvl w:val="0"/>
          <w:numId w:val="38"/>
        </w:numPr>
      </w:pPr>
      <w:r w:rsidRPr="00023A08">
        <w:rPr>
          <w:b/>
        </w:rPr>
        <w:t>Define a</w:t>
      </w:r>
      <w:r w:rsidRPr="005864EC">
        <w:rPr>
          <w:b/>
        </w:rPr>
        <w:t>nnual policy priorities</w:t>
      </w:r>
      <w:r w:rsidRPr="00023A08">
        <w:rPr>
          <w:b/>
        </w:rPr>
        <w:t xml:space="preserve"> for inclusion </w:t>
      </w:r>
      <w:r w:rsidR="0037717D">
        <w:rPr>
          <w:b/>
        </w:rPr>
        <w:t xml:space="preserve">in </w:t>
      </w:r>
      <w:r w:rsidRPr="00023A08">
        <w:rPr>
          <w:b/>
        </w:rPr>
        <w:t>the Pakistan Performance Assessment Framework</w:t>
      </w:r>
      <w:r w:rsidRPr="005864EC">
        <w:rPr>
          <w:b/>
        </w:rPr>
        <w:t xml:space="preserve">:  </w:t>
      </w:r>
      <w:r w:rsidR="005305DD" w:rsidRPr="009A7142">
        <w:t xml:space="preserve">We will </w:t>
      </w:r>
      <w:r w:rsidR="0037717D">
        <w:t>r</w:t>
      </w:r>
      <w:r w:rsidR="005305DD" w:rsidRPr="009A7142">
        <w:t xml:space="preserve">efine our annual policy priorities </w:t>
      </w:r>
      <w:r w:rsidR="005305DD">
        <w:t>(particularly</w:t>
      </w:r>
      <w:r w:rsidR="005305DD" w:rsidRPr="009A7142">
        <w:t xml:space="preserve"> in gender equality, agriculture, water, </w:t>
      </w:r>
      <w:r w:rsidR="005305DD">
        <w:t xml:space="preserve">trade and economic improvements </w:t>
      </w:r>
      <w:r w:rsidR="005305DD" w:rsidRPr="009A7142">
        <w:t xml:space="preserve">and nutrition) and articulate annual benchmarks in these areas under Outcomes </w:t>
      </w:r>
      <w:r w:rsidR="009B02C4">
        <w:t>2</w:t>
      </w:r>
      <w:r w:rsidR="005305DD" w:rsidRPr="009A7142">
        <w:t xml:space="preserve"> and </w:t>
      </w:r>
      <w:r w:rsidR="009B02C4">
        <w:t>4</w:t>
      </w:r>
      <w:r w:rsidR="005305DD" w:rsidRPr="009A7142">
        <w:t xml:space="preserve"> of the PAF</w:t>
      </w:r>
      <w:r w:rsidR="005305DD">
        <w:t xml:space="preserve"> (by Dec</w:t>
      </w:r>
      <w:r>
        <w:t>ember</w:t>
      </w:r>
      <w:r w:rsidR="005305DD">
        <w:t xml:space="preserve"> </w:t>
      </w:r>
      <w:r>
        <w:t>20</w:t>
      </w:r>
      <w:r w:rsidR="005305DD">
        <w:t>17)</w:t>
      </w:r>
      <w:r w:rsidR="00967FAB">
        <w:t>. [This process will be led from DFAT Canberra (SWD</w:t>
      </w:r>
      <w:r w:rsidR="00214581">
        <w:t>/PAB</w:t>
      </w:r>
      <w:r w:rsidR="00967FAB">
        <w:t>) in close consultation with Post.]</w:t>
      </w:r>
      <w:r w:rsidRPr="00023A08">
        <w:rPr>
          <w:rFonts w:eastAsia="Times New Roman"/>
        </w:rPr>
        <w:t xml:space="preserve"> </w:t>
      </w:r>
    </w:p>
    <w:p w14:paraId="326B79B1" w14:textId="77777777" w:rsidR="00023A08" w:rsidRPr="009A7142" w:rsidRDefault="00023A08" w:rsidP="005864EC">
      <w:pPr>
        <w:pStyle w:val="ListParagraph"/>
      </w:pPr>
    </w:p>
    <w:p w14:paraId="527D76A2" w14:textId="6640F511" w:rsidR="00F4275A" w:rsidRDefault="00BB0641" w:rsidP="00CB436B">
      <w:pPr>
        <w:pStyle w:val="ListParagraph"/>
        <w:numPr>
          <w:ilvl w:val="0"/>
          <w:numId w:val="38"/>
        </w:numPr>
      </w:pPr>
      <w:r w:rsidRPr="005864EC">
        <w:rPr>
          <w:b/>
        </w:rPr>
        <w:t xml:space="preserve">Progress nutrition-sensitive programming:  </w:t>
      </w:r>
      <w:r w:rsidR="000E5414" w:rsidRPr="009A7142">
        <w:t xml:space="preserve">We will </w:t>
      </w:r>
      <w:r w:rsidR="00333888">
        <w:t xml:space="preserve">progress efforts to </w:t>
      </w:r>
      <w:r w:rsidR="00CB436B" w:rsidRPr="009A7142">
        <w:t>integrate a nutrition-</w:t>
      </w:r>
      <w:r w:rsidR="00F4275A" w:rsidRPr="009A7142">
        <w:t xml:space="preserve">sensitive </w:t>
      </w:r>
      <w:r w:rsidR="00CB436B" w:rsidRPr="009A7142">
        <w:t>approach, including</w:t>
      </w:r>
      <w:r w:rsidR="00F4275A" w:rsidRPr="009A7142">
        <w:t xml:space="preserve"> through conducting nutrition clinics </w:t>
      </w:r>
      <w:r w:rsidR="008D75A3">
        <w:t>(</w:t>
      </w:r>
      <w:r>
        <w:t>by early 2018</w:t>
      </w:r>
      <w:r w:rsidR="008D75A3">
        <w:t xml:space="preserve">) </w:t>
      </w:r>
      <w:r w:rsidR="00F4275A" w:rsidRPr="009A7142">
        <w:t xml:space="preserve">with </w:t>
      </w:r>
      <w:r w:rsidR="008D75A3">
        <w:t>selected</w:t>
      </w:r>
      <w:r w:rsidR="008D75A3" w:rsidRPr="009A7142">
        <w:t xml:space="preserve"> </w:t>
      </w:r>
      <w:r w:rsidR="00CB436B" w:rsidRPr="009A7142">
        <w:t>development partners</w:t>
      </w:r>
      <w:r w:rsidR="00967FAB">
        <w:t xml:space="preserve">. </w:t>
      </w:r>
      <w:r>
        <w:t xml:space="preserve">This will include ensuring consistent messaging around nutrition, including integrating </w:t>
      </w:r>
      <w:r w:rsidR="0068278B" w:rsidRPr="009A7142">
        <w:t>the economic argument for nutrition in</w:t>
      </w:r>
      <w:r>
        <w:t>to</w:t>
      </w:r>
      <w:r w:rsidR="0068278B" w:rsidRPr="009A7142">
        <w:t xml:space="preserve"> policy </w:t>
      </w:r>
      <w:r w:rsidR="00E95783" w:rsidRPr="009A7142">
        <w:t>discussions</w:t>
      </w:r>
      <w:r w:rsidR="00CB436B" w:rsidRPr="009A7142">
        <w:t>.</w:t>
      </w:r>
      <w:r w:rsidR="00333888" w:rsidRPr="00333888">
        <w:t xml:space="preserve"> </w:t>
      </w:r>
      <w:r w:rsidR="00333888">
        <w:t xml:space="preserve">[This process will be led by Post with support from DFAT Canberra (SWD/PAB, MDD/AFS)].  </w:t>
      </w:r>
    </w:p>
    <w:p w14:paraId="31F89ECD" w14:textId="77777777" w:rsidR="00023A08" w:rsidRPr="009A7142" w:rsidRDefault="00023A08" w:rsidP="005864EC">
      <w:pPr>
        <w:pStyle w:val="ListParagraph"/>
      </w:pPr>
    </w:p>
    <w:p w14:paraId="6AAD0AD5" w14:textId="0B4241D7" w:rsidR="005621ED" w:rsidRPr="009A7142" w:rsidRDefault="00BB0641">
      <w:pPr>
        <w:pStyle w:val="ListParagraph"/>
        <w:numPr>
          <w:ilvl w:val="0"/>
          <w:numId w:val="38"/>
        </w:numPr>
      </w:pPr>
      <w:r w:rsidRPr="00BB0641">
        <w:rPr>
          <w:b/>
        </w:rPr>
        <w:t>Sustain</w:t>
      </w:r>
      <w:r w:rsidR="00DB23E8">
        <w:rPr>
          <w:b/>
        </w:rPr>
        <w:t xml:space="preserve"> </w:t>
      </w:r>
      <w:r w:rsidRPr="00BB0641">
        <w:rPr>
          <w:b/>
        </w:rPr>
        <w:t xml:space="preserve">and </w:t>
      </w:r>
      <w:r w:rsidR="00DB23E8" w:rsidRPr="00BB0641">
        <w:rPr>
          <w:b/>
        </w:rPr>
        <w:t>enhanc</w:t>
      </w:r>
      <w:r w:rsidR="00DB23E8">
        <w:rPr>
          <w:b/>
        </w:rPr>
        <w:t>e</w:t>
      </w:r>
      <w:r w:rsidR="00DB23E8" w:rsidRPr="00BB0641">
        <w:rPr>
          <w:b/>
        </w:rPr>
        <w:t xml:space="preserve"> </w:t>
      </w:r>
      <w:r>
        <w:rPr>
          <w:b/>
        </w:rPr>
        <w:t xml:space="preserve">the Pakistan program’s </w:t>
      </w:r>
      <w:r w:rsidRPr="002A0975">
        <w:rPr>
          <w:b/>
        </w:rPr>
        <w:t>performance</w:t>
      </w:r>
      <w:r w:rsidRPr="005864EC">
        <w:rPr>
          <w:b/>
        </w:rPr>
        <w:t xml:space="preserve"> in the area of gender equality</w:t>
      </w:r>
      <w:r>
        <w:rPr>
          <w:b/>
        </w:rPr>
        <w:t>:</w:t>
      </w:r>
      <w:r>
        <w:t xml:space="preserve">  </w:t>
      </w:r>
      <w:r w:rsidR="005621ED" w:rsidRPr="009A7142">
        <w:t xml:space="preserve">We will continue to focus on improving </w:t>
      </w:r>
      <w:r w:rsidR="00043DD7" w:rsidRPr="009A7142">
        <w:t>gender equality performance</w:t>
      </w:r>
      <w:r w:rsidR="00504A11" w:rsidRPr="009A7142">
        <w:t xml:space="preserve"> and meeting the </w:t>
      </w:r>
      <w:r w:rsidR="00060033">
        <w:t>target</w:t>
      </w:r>
      <w:r w:rsidR="00C145E6">
        <w:t xml:space="preserve"> of 80</w:t>
      </w:r>
      <w:r w:rsidR="005F7738">
        <w:t xml:space="preserve"> per cent</w:t>
      </w:r>
      <w:r w:rsidR="00C145E6">
        <w:t xml:space="preserve"> satisfactory gender ratings. </w:t>
      </w:r>
      <w:r w:rsidR="0037717D">
        <w:t>This</w:t>
      </w:r>
      <w:r w:rsidR="000C698B">
        <w:t xml:space="preserve"> will include defining gender resource requirements for the program and </w:t>
      </w:r>
      <w:r w:rsidR="000C698B" w:rsidRPr="009A7142">
        <w:t xml:space="preserve">ensuring technical expertise on </w:t>
      </w:r>
      <w:r w:rsidR="000C698B">
        <w:t xml:space="preserve">selected review </w:t>
      </w:r>
      <w:r w:rsidR="000C698B" w:rsidRPr="009A7142">
        <w:t>teams (</w:t>
      </w:r>
      <w:r w:rsidR="000C698B">
        <w:t>for example</w:t>
      </w:r>
      <w:r w:rsidR="000C698B" w:rsidRPr="009A7142">
        <w:t xml:space="preserve"> </w:t>
      </w:r>
      <w:r w:rsidR="000C698B">
        <w:t xml:space="preserve">on </w:t>
      </w:r>
      <w:r w:rsidR="000C698B" w:rsidRPr="009A7142">
        <w:t xml:space="preserve">the </w:t>
      </w:r>
      <w:r w:rsidR="000C698B">
        <w:t xml:space="preserve">annual </w:t>
      </w:r>
      <w:r w:rsidR="000C698B" w:rsidRPr="009A7142">
        <w:t>review of MDTF-B</w:t>
      </w:r>
      <w:r w:rsidR="0037717D">
        <w:t>order Areas</w:t>
      </w:r>
      <w:r w:rsidR="000C698B" w:rsidRPr="009A7142">
        <w:t>)</w:t>
      </w:r>
      <w:r w:rsidR="000C698B">
        <w:t>;</w:t>
      </w:r>
      <w:r w:rsidR="00504A11" w:rsidRPr="009A7142">
        <w:t xml:space="preserve"> implementing recommendations from the Gender Strategy Review</w:t>
      </w:r>
      <w:r w:rsidR="00EB402D" w:rsidRPr="00EB402D">
        <w:t xml:space="preserve"> </w:t>
      </w:r>
      <w:r w:rsidR="00EB402D">
        <w:t>(scheduled for Sept</w:t>
      </w:r>
      <w:r w:rsidR="00023A08">
        <w:t>ember</w:t>
      </w:r>
      <w:r w:rsidR="00EB402D">
        <w:t xml:space="preserve"> </w:t>
      </w:r>
      <w:r w:rsidR="00023A08">
        <w:t>20</w:t>
      </w:r>
      <w:r w:rsidR="00EB402D">
        <w:t>17)</w:t>
      </w:r>
      <w:r w:rsidR="000C698B">
        <w:t>; and</w:t>
      </w:r>
      <w:r w:rsidR="009A42BF">
        <w:t xml:space="preserve"> </w:t>
      </w:r>
      <w:r w:rsidR="000C698B">
        <w:t xml:space="preserve">defining our approach to gender through our World Bank investments (by December 2017). </w:t>
      </w:r>
      <w:r w:rsidR="00046F98">
        <w:t>In addition, t</w:t>
      </w:r>
      <w:r w:rsidR="009A42BF">
        <w:t xml:space="preserve">wo of the three programs with less than satisfactory performance on gender have been deemed </w:t>
      </w:r>
      <w:r w:rsidR="005F7738">
        <w:t xml:space="preserve">IRIs </w:t>
      </w:r>
      <w:r w:rsidR="009A42BF">
        <w:t>and will receive close oversight from senior management</w:t>
      </w:r>
      <w:r w:rsidR="00682360">
        <w:t>, including through quarterly program meetings for the duration of the financial year</w:t>
      </w:r>
      <w:r w:rsidR="009A42BF">
        <w:t xml:space="preserve">. </w:t>
      </w:r>
      <w:r w:rsidR="00214581">
        <w:t>[</w:t>
      </w:r>
      <w:r w:rsidR="000C698B">
        <w:t xml:space="preserve">This process will be jointly </w:t>
      </w:r>
      <w:r w:rsidR="0037717D">
        <w:t>undertaken from</w:t>
      </w:r>
      <w:r w:rsidR="000C698B">
        <w:t xml:space="preserve"> Canberra </w:t>
      </w:r>
      <w:r w:rsidR="0037717D">
        <w:t>(</w:t>
      </w:r>
      <w:r w:rsidR="00214581">
        <w:t>SWD/</w:t>
      </w:r>
      <w:r w:rsidR="0037717D">
        <w:t xml:space="preserve">PAB, </w:t>
      </w:r>
      <w:r w:rsidR="005864EC">
        <w:t>GEB</w:t>
      </w:r>
      <w:r w:rsidR="0037717D">
        <w:t xml:space="preserve">) </w:t>
      </w:r>
      <w:r w:rsidR="000C698B">
        <w:t xml:space="preserve">and </w:t>
      </w:r>
      <w:r w:rsidR="00214581">
        <w:t>Post]</w:t>
      </w:r>
      <w:r w:rsidR="000C698B">
        <w:t xml:space="preserve">.  </w:t>
      </w:r>
    </w:p>
    <w:p w14:paraId="1C7B8659" w14:textId="77777777" w:rsidR="00023A08" w:rsidRPr="005864EC" w:rsidRDefault="00023A08" w:rsidP="005864EC">
      <w:pPr>
        <w:pStyle w:val="ListParagraph"/>
      </w:pPr>
    </w:p>
    <w:p w14:paraId="1859DB12" w14:textId="07E48391" w:rsidR="00944CB1" w:rsidRDefault="00023A08">
      <w:pPr>
        <w:pStyle w:val="ListParagraph"/>
        <w:numPr>
          <w:ilvl w:val="0"/>
          <w:numId w:val="38"/>
        </w:numPr>
        <w:sectPr w:rsidR="00944CB1" w:rsidSect="00D2653F">
          <w:headerReference w:type="default" r:id="rId25"/>
          <w:footerReference w:type="default" r:id="rId26"/>
          <w:pgSz w:w="11906" w:h="16838" w:code="9"/>
          <w:pgMar w:top="1811" w:right="1134" w:bottom="851" w:left="1134" w:header="1565" w:footer="342" w:gutter="0"/>
          <w:cols w:space="397"/>
          <w:docGrid w:linePitch="360"/>
        </w:sectPr>
      </w:pPr>
      <w:r w:rsidRPr="005864EC">
        <w:rPr>
          <w:b/>
        </w:rPr>
        <w:t xml:space="preserve">Progress </w:t>
      </w:r>
      <w:r w:rsidR="00C145E6">
        <w:rPr>
          <w:b/>
        </w:rPr>
        <w:t xml:space="preserve">the integration of </w:t>
      </w:r>
      <w:r w:rsidRPr="005864EC">
        <w:rPr>
          <w:b/>
        </w:rPr>
        <w:t xml:space="preserve">disability inclusive development </w:t>
      </w:r>
      <w:r w:rsidR="00C145E6">
        <w:rPr>
          <w:b/>
        </w:rPr>
        <w:t>approaches</w:t>
      </w:r>
      <w:r w:rsidRPr="005864EC">
        <w:rPr>
          <w:b/>
        </w:rPr>
        <w:t>:</w:t>
      </w:r>
      <w:r>
        <w:t xml:space="preserve">  </w:t>
      </w:r>
      <w:r w:rsidR="005621ED" w:rsidRPr="009A7142">
        <w:t xml:space="preserve">We will </w:t>
      </w:r>
      <w:r w:rsidR="0037717D">
        <w:t xml:space="preserve">build on </w:t>
      </w:r>
      <w:r w:rsidR="00C145E6">
        <w:t xml:space="preserve">the </w:t>
      </w:r>
      <w:r w:rsidR="005621ED" w:rsidRPr="009A7142">
        <w:t>integration of disability inclusiveness</w:t>
      </w:r>
      <w:r w:rsidR="00043DD7" w:rsidRPr="009A7142">
        <w:t xml:space="preserve"> and advocacy efforts</w:t>
      </w:r>
      <w:r w:rsidR="005864EC" w:rsidRPr="009A7142">
        <w:t xml:space="preserve">, </w:t>
      </w:r>
      <w:r w:rsidR="005621ED" w:rsidRPr="009A7142">
        <w:t xml:space="preserve">with an emphasis on </w:t>
      </w:r>
      <w:r w:rsidR="00EB402D">
        <w:t>ensuring integrat</w:t>
      </w:r>
      <w:r w:rsidR="0037717D">
        <w:t>ion of</w:t>
      </w:r>
      <w:r w:rsidR="00EB402D">
        <w:t xml:space="preserve"> disability inclusiveness </w:t>
      </w:r>
      <w:r w:rsidR="0037717D">
        <w:t xml:space="preserve">in </w:t>
      </w:r>
      <w:r w:rsidR="00B16B12">
        <w:t xml:space="preserve">Gender-based violence </w:t>
      </w:r>
      <w:r w:rsidR="005621ED" w:rsidRPr="009A7142">
        <w:t xml:space="preserve">and education </w:t>
      </w:r>
      <w:r w:rsidR="00B16B12">
        <w:t>programs</w:t>
      </w:r>
      <w:r w:rsidR="005621ED" w:rsidRPr="009A7142">
        <w:t>.</w:t>
      </w:r>
      <w:r>
        <w:t xml:space="preserve"> </w:t>
      </w:r>
      <w:r w:rsidR="00214581">
        <w:t>[This process will be led by Post with support from DFAT Canberra (DPD/DIS)]</w:t>
      </w:r>
    </w:p>
    <w:p w14:paraId="4A35F6D0" w14:textId="77777777" w:rsidR="00A9434E" w:rsidRPr="00A9434E" w:rsidRDefault="00AF1B85" w:rsidP="00A9434E">
      <w:pPr>
        <w:pStyle w:val="Subtitle"/>
      </w:pPr>
      <w:r w:rsidRPr="00A8197B">
        <w:lastRenderedPageBreak/>
        <w:t>Annex A - Progress in Addressing Management Responses</w:t>
      </w:r>
    </w:p>
    <w:tbl>
      <w:tblPr>
        <w:tblStyle w:val="APPR"/>
        <w:tblpPr w:leftFromText="180" w:rightFromText="180" w:vertAnchor="text" w:tblpY="1"/>
        <w:tblW w:w="5074" w:type="pct"/>
        <w:tblLayout w:type="fixed"/>
        <w:tblLook w:val="0000" w:firstRow="0" w:lastRow="0" w:firstColumn="0" w:lastColumn="0" w:noHBand="0" w:noVBand="0"/>
      </w:tblPr>
      <w:tblGrid>
        <w:gridCol w:w="6326"/>
        <w:gridCol w:w="1179"/>
        <w:gridCol w:w="6738"/>
      </w:tblGrid>
      <w:tr w:rsidR="00A9434E" w:rsidRPr="00812509" w14:paraId="0D8A23D3" w14:textId="77777777" w:rsidTr="00AC39E0">
        <w:trPr>
          <w:cnfStyle w:val="000000010000" w:firstRow="0" w:lastRow="0" w:firstColumn="0" w:lastColumn="0" w:oddVBand="0" w:evenVBand="0" w:oddHBand="0" w:evenHBand="1" w:firstRowFirstColumn="0" w:firstRowLastColumn="0" w:lastRowFirstColumn="0" w:lastRowLastColumn="0"/>
        </w:trPr>
        <w:tc>
          <w:tcPr>
            <w:tcW w:w="6409" w:type="dxa"/>
          </w:tcPr>
          <w:p w14:paraId="134A6906" w14:textId="77777777" w:rsidR="00A9434E" w:rsidRPr="00812509" w:rsidRDefault="00A9434E" w:rsidP="00AC39E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201</w:t>
            </w:r>
            <w:r>
              <w:rPr>
                <w:rFonts w:asciiTheme="minorHAnsi" w:eastAsia="Times New Roman" w:hAnsiTheme="minorHAnsi"/>
                <w:b/>
                <w:iCs/>
                <w:szCs w:val="17"/>
                <w:lang w:eastAsia="en-US"/>
              </w:rPr>
              <w:t>5</w:t>
            </w:r>
            <w:r w:rsidRPr="00812509">
              <w:rPr>
                <w:rFonts w:asciiTheme="minorHAnsi" w:eastAsia="Times New Roman" w:hAnsiTheme="minorHAnsi"/>
                <w:b/>
                <w:iCs/>
                <w:szCs w:val="17"/>
                <w:lang w:eastAsia="en-US"/>
              </w:rPr>
              <w:t>-1</w:t>
            </w:r>
            <w:r>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70" w:type="dxa"/>
          </w:tcPr>
          <w:p w14:paraId="28ABCE64" w14:textId="77777777" w:rsidR="00A9434E" w:rsidRPr="00812509" w:rsidRDefault="00A9434E" w:rsidP="00AC39E0">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829" w:type="dxa"/>
          </w:tcPr>
          <w:p w14:paraId="6219A98B" w14:textId="77777777" w:rsidR="00A9434E" w:rsidRPr="00812509" w:rsidRDefault="00A9434E" w:rsidP="00AC39E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-1</w:t>
            </w:r>
            <w:r>
              <w:rPr>
                <w:rFonts w:asciiTheme="minorHAnsi" w:eastAsia="Times New Roman" w:hAnsiTheme="minorHAnsi"/>
                <w:b/>
                <w:iCs/>
                <w:szCs w:val="17"/>
                <w:lang w:eastAsia="en-US"/>
              </w:rPr>
              <w:t>7</w:t>
            </w:r>
          </w:p>
        </w:tc>
      </w:tr>
      <w:tr w:rsidR="00A9434E" w:rsidRPr="00812509" w14:paraId="13CEC717" w14:textId="77777777" w:rsidTr="00AC39E0">
        <w:trPr>
          <w:cnfStyle w:val="000000010000" w:firstRow="0" w:lastRow="0" w:firstColumn="0" w:lastColumn="0" w:oddVBand="0" w:evenVBand="0" w:oddHBand="0" w:evenHBand="1" w:firstRowFirstColumn="0" w:firstRowLastColumn="0" w:lastRowFirstColumn="0" w:lastRowLastColumn="0"/>
        </w:trPr>
        <w:tc>
          <w:tcPr>
            <w:tcW w:w="6409" w:type="dxa"/>
          </w:tcPr>
          <w:p w14:paraId="078CFF77" w14:textId="63B17BE4" w:rsidR="00A9434E" w:rsidRPr="000E5414" w:rsidRDefault="00A9434E" w:rsidP="00AC39E0">
            <w:pPr>
              <w:pStyle w:val="ListParagraph"/>
              <w:keepLines/>
              <w:numPr>
                <w:ilvl w:val="0"/>
                <w:numId w:val="37"/>
              </w:numPr>
              <w:spacing w:before="40" w:after="40" w:line="200" w:lineRule="atLeast"/>
              <w:rPr>
                <w:rFonts w:asciiTheme="minorHAnsi" w:eastAsia="Times New Roman" w:hAnsiTheme="minorHAnsi"/>
                <w:iCs/>
                <w:szCs w:val="17"/>
                <w:lang w:eastAsia="en-US"/>
              </w:rPr>
            </w:pPr>
            <w:r w:rsidRPr="000E5414">
              <w:rPr>
                <w:rFonts w:asciiTheme="minorHAnsi" w:eastAsia="Times New Roman" w:hAnsiTheme="minorHAnsi"/>
                <w:iCs/>
                <w:szCs w:val="17"/>
                <w:lang w:eastAsia="en-US"/>
              </w:rPr>
              <w:t>Finalise a Development Cooperation MOU and maintain high level consultations with the Ministry of Finance Economic Affairs Division to consult on and guide the aid program, including continued advocacy for INGOs’ important role as development partners in Pakistan</w:t>
            </w:r>
            <w:r w:rsidR="00DB23E8">
              <w:rPr>
                <w:rFonts w:asciiTheme="minorHAnsi" w:eastAsia="Times New Roman" w:hAnsiTheme="minorHAnsi"/>
                <w:iCs/>
                <w:szCs w:val="17"/>
                <w:lang w:eastAsia="en-US"/>
              </w:rPr>
              <w:t>.</w:t>
            </w:r>
          </w:p>
        </w:tc>
        <w:tc>
          <w:tcPr>
            <w:tcW w:w="1170" w:type="dxa"/>
            <w:shd w:val="clear" w:color="auto" w:fill="72AF2F"/>
          </w:tcPr>
          <w:p w14:paraId="47313958" w14:textId="77777777" w:rsidR="00A9434E" w:rsidRPr="00812509" w:rsidRDefault="00A9434E" w:rsidP="00AC39E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829" w:type="dxa"/>
          </w:tcPr>
          <w:p w14:paraId="4671B8E3" w14:textId="77777777" w:rsidR="00A9434E" w:rsidRPr="000E5414" w:rsidRDefault="00A9434E" w:rsidP="00AC39E0">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The </w:t>
            </w:r>
            <w:r w:rsidRPr="00F84C3A">
              <w:rPr>
                <w:rFonts w:eastAsia="Times New Roman"/>
                <w:i/>
                <w:iCs/>
                <w:color w:val="auto"/>
                <w:szCs w:val="17"/>
              </w:rPr>
              <w:t>Australia Pakistan Development Partnership MOU</w:t>
            </w:r>
            <w:r w:rsidRPr="000E5414">
              <w:rPr>
                <w:rFonts w:asciiTheme="minorHAnsi" w:eastAsia="Times New Roman" w:hAnsiTheme="minorHAnsi"/>
                <w:iCs/>
                <w:color w:val="auto"/>
                <w:szCs w:val="17"/>
                <w:lang w:eastAsia="en-US"/>
              </w:rPr>
              <w:t xml:space="preserve"> </w:t>
            </w:r>
            <w:r>
              <w:rPr>
                <w:rFonts w:asciiTheme="minorHAnsi" w:eastAsia="Times New Roman" w:hAnsiTheme="minorHAnsi"/>
                <w:iCs/>
                <w:color w:val="auto"/>
                <w:szCs w:val="17"/>
                <w:lang w:eastAsia="en-US"/>
              </w:rPr>
              <w:t xml:space="preserve">was </w:t>
            </w:r>
            <w:r w:rsidRPr="000E5414">
              <w:rPr>
                <w:rFonts w:asciiTheme="minorHAnsi" w:eastAsia="Times New Roman" w:hAnsiTheme="minorHAnsi"/>
                <w:iCs/>
                <w:color w:val="auto"/>
                <w:szCs w:val="17"/>
                <w:lang w:eastAsia="en-US"/>
              </w:rPr>
              <w:t xml:space="preserve">signed in December 2016. Australia </w:t>
            </w:r>
            <w:r>
              <w:rPr>
                <w:rFonts w:asciiTheme="minorHAnsi" w:eastAsia="Times New Roman" w:hAnsiTheme="minorHAnsi"/>
                <w:iCs/>
                <w:color w:val="auto"/>
                <w:szCs w:val="17"/>
                <w:lang w:eastAsia="en-US"/>
              </w:rPr>
              <w:t xml:space="preserve">holds annual portfolio review meetings with the Economic Affairs Division, and there are regular meetings at the investment level. Australia </w:t>
            </w:r>
            <w:r w:rsidRPr="000E5414">
              <w:rPr>
                <w:rFonts w:asciiTheme="minorHAnsi" w:eastAsia="Times New Roman" w:hAnsiTheme="minorHAnsi"/>
                <w:iCs/>
                <w:color w:val="auto"/>
                <w:szCs w:val="17"/>
                <w:lang w:eastAsia="en-US"/>
              </w:rPr>
              <w:t>continues to advocate for re-registration of INGOs in Pakistan, in collaboration with other donors.</w:t>
            </w:r>
          </w:p>
        </w:tc>
      </w:tr>
      <w:tr w:rsidR="00A9434E" w:rsidRPr="00812509" w14:paraId="04EFD8E8" w14:textId="77777777" w:rsidTr="00AC39E0">
        <w:trPr>
          <w:cnfStyle w:val="000000010000" w:firstRow="0" w:lastRow="0" w:firstColumn="0" w:lastColumn="0" w:oddVBand="0" w:evenVBand="0" w:oddHBand="0" w:evenHBand="1" w:firstRowFirstColumn="0" w:firstRowLastColumn="0" w:lastRowFirstColumn="0" w:lastRowLastColumn="0"/>
        </w:trPr>
        <w:tc>
          <w:tcPr>
            <w:tcW w:w="6409" w:type="dxa"/>
          </w:tcPr>
          <w:p w14:paraId="7EB88309" w14:textId="2AEACC05" w:rsidR="00A9434E" w:rsidRPr="000E5414" w:rsidRDefault="00A9434E" w:rsidP="00AC39E0">
            <w:pPr>
              <w:pStyle w:val="ListParagraph"/>
              <w:keepLines/>
              <w:numPr>
                <w:ilvl w:val="0"/>
                <w:numId w:val="37"/>
              </w:numPr>
              <w:spacing w:before="40" w:after="40" w:line="200" w:lineRule="atLeast"/>
              <w:rPr>
                <w:rFonts w:asciiTheme="minorHAnsi" w:eastAsia="Times New Roman" w:hAnsiTheme="minorHAnsi"/>
                <w:iCs/>
                <w:szCs w:val="17"/>
                <w:lang w:eastAsia="en-US"/>
              </w:rPr>
            </w:pPr>
            <w:r w:rsidRPr="000E5414">
              <w:rPr>
                <w:rFonts w:asciiTheme="minorHAnsi" w:eastAsia="Times New Roman" w:hAnsiTheme="minorHAnsi"/>
                <w:iCs/>
                <w:szCs w:val="17"/>
                <w:lang w:eastAsia="en-US"/>
              </w:rPr>
              <w:t>Continue to strengthen cross program performance and gender equality, including: conducting select investment clinics, identifying practical actions to strengthen investments’ performance in collaboration with partners and Australian specialists; and ensure designs, monitoring missions and reviews utilise appropriate gender expertise</w:t>
            </w:r>
            <w:r w:rsidR="00DB23E8">
              <w:rPr>
                <w:rFonts w:asciiTheme="minorHAnsi" w:eastAsia="Times New Roman" w:hAnsiTheme="minorHAnsi"/>
                <w:iCs/>
                <w:szCs w:val="17"/>
                <w:lang w:eastAsia="en-US"/>
              </w:rPr>
              <w:t>.</w:t>
            </w:r>
          </w:p>
        </w:tc>
        <w:tc>
          <w:tcPr>
            <w:tcW w:w="1170" w:type="dxa"/>
            <w:shd w:val="clear" w:color="auto" w:fill="72AF2F"/>
          </w:tcPr>
          <w:p w14:paraId="0787EDA1" w14:textId="77777777" w:rsidR="00A9434E" w:rsidRPr="00812509" w:rsidRDefault="00A9434E" w:rsidP="00AC39E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r w:rsidRPr="00812509">
              <w:rPr>
                <w:rFonts w:eastAsia="Times New Roman"/>
                <w:iCs/>
                <w:color w:val="FFFFFF" w:themeColor="background1"/>
                <w:szCs w:val="17"/>
              </w:rPr>
              <w:fldChar w:fldCharType="begin"/>
            </w:r>
            <w:r w:rsidRPr="00812509">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12509">
              <w:rPr>
                <w:rFonts w:eastAsia="Times New Roman"/>
                <w:iCs/>
                <w:color w:val="FFFFFF" w:themeColor="background1"/>
                <w:szCs w:val="17"/>
              </w:rPr>
              <w:fldChar w:fldCharType="end"/>
            </w:r>
          </w:p>
        </w:tc>
        <w:tc>
          <w:tcPr>
            <w:tcW w:w="6829" w:type="dxa"/>
          </w:tcPr>
          <w:p w14:paraId="04B3E89F" w14:textId="77777777" w:rsidR="00A9434E" w:rsidRPr="000E5414" w:rsidRDefault="00A9434E" w:rsidP="00AC39E0">
            <w:pPr>
              <w:keepLines/>
              <w:spacing w:before="40" w:after="40" w:line="200" w:lineRule="atLeast"/>
              <w:rPr>
                <w:rFonts w:asciiTheme="minorHAnsi" w:eastAsia="Times New Roman" w:hAnsiTheme="minorHAnsi"/>
                <w:iCs/>
                <w:color w:val="auto"/>
                <w:szCs w:val="17"/>
                <w:lang w:eastAsia="en-US"/>
              </w:rPr>
            </w:pPr>
            <w:r w:rsidRPr="000E5414">
              <w:rPr>
                <w:rFonts w:asciiTheme="minorHAnsi" w:eastAsia="Times New Roman" w:hAnsiTheme="minorHAnsi"/>
                <w:iCs/>
                <w:color w:val="auto"/>
                <w:szCs w:val="17"/>
                <w:lang w:eastAsia="en-US"/>
              </w:rPr>
              <w:t xml:space="preserve">Major efforts were made across the portfolio to improve gender equality performance, following low Aid Quality Check ratings last year. Clinics were held and scorecards were developed to ensure practical actions were identified and implemented. EVAW, BA, PTIPP and Nutrition reviews all included gender expertise, and AusABBA </w:t>
            </w:r>
            <w:r>
              <w:rPr>
                <w:rFonts w:asciiTheme="minorHAnsi" w:eastAsia="Times New Roman" w:hAnsiTheme="minorHAnsi"/>
                <w:iCs/>
                <w:color w:val="auto"/>
                <w:szCs w:val="17"/>
                <w:lang w:eastAsia="en-US"/>
              </w:rPr>
              <w:t>Phase II</w:t>
            </w:r>
            <w:r w:rsidRPr="000E5414">
              <w:rPr>
                <w:rFonts w:asciiTheme="minorHAnsi" w:eastAsia="Times New Roman" w:hAnsiTheme="minorHAnsi"/>
                <w:iCs/>
                <w:color w:val="auto"/>
                <w:szCs w:val="17"/>
                <w:lang w:eastAsia="en-US"/>
              </w:rPr>
              <w:t xml:space="preserve"> has an increased focus on gender equality outcomes. </w:t>
            </w:r>
          </w:p>
        </w:tc>
      </w:tr>
      <w:tr w:rsidR="00A9434E" w:rsidRPr="00812509" w14:paraId="39AA9F7C" w14:textId="77777777" w:rsidTr="00AC39E0">
        <w:trPr>
          <w:cnfStyle w:val="000000010000" w:firstRow="0" w:lastRow="0" w:firstColumn="0" w:lastColumn="0" w:oddVBand="0" w:evenVBand="0" w:oddHBand="0" w:evenHBand="1" w:firstRowFirstColumn="0" w:firstRowLastColumn="0" w:lastRowFirstColumn="0" w:lastRowLastColumn="0"/>
        </w:trPr>
        <w:tc>
          <w:tcPr>
            <w:tcW w:w="6409" w:type="dxa"/>
          </w:tcPr>
          <w:p w14:paraId="0060F827" w14:textId="0CA1AEC4" w:rsidR="00A9434E" w:rsidRPr="000E5414" w:rsidRDefault="00A9434E" w:rsidP="00AC39E0">
            <w:pPr>
              <w:pStyle w:val="ListParagraph"/>
              <w:keepLines/>
              <w:numPr>
                <w:ilvl w:val="0"/>
                <w:numId w:val="37"/>
              </w:numPr>
              <w:spacing w:before="40" w:after="40" w:line="200" w:lineRule="atLeast"/>
              <w:rPr>
                <w:rFonts w:asciiTheme="minorHAnsi" w:eastAsia="Times New Roman" w:hAnsiTheme="minorHAnsi"/>
                <w:iCs/>
                <w:szCs w:val="17"/>
                <w:lang w:eastAsia="en-US"/>
              </w:rPr>
            </w:pPr>
            <w:r w:rsidRPr="000E5414">
              <w:rPr>
                <w:rFonts w:asciiTheme="minorHAnsi" w:eastAsia="Times New Roman" w:hAnsiTheme="minorHAnsi"/>
                <w:iCs/>
                <w:szCs w:val="17"/>
                <w:lang w:eastAsia="en-US"/>
              </w:rPr>
              <w:t>Further strengthen coordination and collaboration between partners and investments within the economic growth objective, in close alignment with Australian economic diplomacy priorities</w:t>
            </w:r>
            <w:r w:rsidR="00DB23E8">
              <w:rPr>
                <w:rFonts w:asciiTheme="minorHAnsi" w:eastAsia="Times New Roman" w:hAnsiTheme="minorHAnsi"/>
                <w:iCs/>
                <w:szCs w:val="17"/>
                <w:lang w:eastAsia="en-US"/>
              </w:rPr>
              <w:t>.</w:t>
            </w:r>
          </w:p>
        </w:tc>
        <w:tc>
          <w:tcPr>
            <w:tcW w:w="1170" w:type="dxa"/>
            <w:shd w:val="clear" w:color="auto" w:fill="72AF2F"/>
          </w:tcPr>
          <w:p w14:paraId="231CA8AA" w14:textId="77777777" w:rsidR="00A9434E" w:rsidRPr="00812509" w:rsidRDefault="00A9434E" w:rsidP="00AC39E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829" w:type="dxa"/>
          </w:tcPr>
          <w:p w14:paraId="1D7F59F4" w14:textId="77777777" w:rsidR="00A9434E" w:rsidRPr="00860B2C" w:rsidRDefault="00A9434E" w:rsidP="00A9434E">
            <w:pPr>
              <w:rPr>
                <w:color w:val="1F497D"/>
                <w:lang w:val="en-AU"/>
              </w:rPr>
            </w:pPr>
            <w:r w:rsidRPr="000E5414">
              <w:rPr>
                <w:rFonts w:asciiTheme="minorHAnsi" w:eastAsia="Times New Roman" w:hAnsiTheme="minorHAnsi"/>
                <w:iCs/>
                <w:color w:val="auto"/>
                <w:szCs w:val="17"/>
                <w:lang w:eastAsia="en-US"/>
              </w:rPr>
              <w:t xml:space="preserve">Significant efforts have been made to build cohesion between the various economic growth investments. For example, </w:t>
            </w:r>
            <w:r>
              <w:rPr>
                <w:rFonts w:asciiTheme="minorHAnsi" w:eastAsia="Times New Roman" w:hAnsiTheme="minorHAnsi"/>
                <w:iCs/>
                <w:color w:val="auto"/>
                <w:szCs w:val="17"/>
                <w:lang w:eastAsia="en-US"/>
              </w:rPr>
              <w:t xml:space="preserve">a </w:t>
            </w:r>
            <w:r w:rsidRPr="000E5414">
              <w:rPr>
                <w:rFonts w:asciiTheme="minorHAnsi" w:eastAsia="Times New Roman" w:hAnsiTheme="minorHAnsi"/>
                <w:iCs/>
                <w:color w:val="auto"/>
                <w:szCs w:val="17"/>
                <w:lang w:eastAsia="en-US"/>
              </w:rPr>
              <w:t xml:space="preserve">strong working relationship </w:t>
            </w:r>
            <w:r>
              <w:rPr>
                <w:rFonts w:asciiTheme="minorHAnsi" w:eastAsia="Times New Roman" w:hAnsiTheme="minorHAnsi"/>
                <w:iCs/>
                <w:color w:val="auto"/>
                <w:szCs w:val="17"/>
                <w:lang w:eastAsia="en-US"/>
              </w:rPr>
              <w:t xml:space="preserve">has been developed </w:t>
            </w:r>
            <w:r w:rsidRPr="000E5414">
              <w:rPr>
                <w:rFonts w:asciiTheme="minorHAnsi" w:eastAsia="Times New Roman" w:hAnsiTheme="minorHAnsi"/>
                <w:iCs/>
                <w:color w:val="auto"/>
                <w:szCs w:val="17"/>
                <w:lang w:eastAsia="en-US"/>
              </w:rPr>
              <w:t>between FAO and MDF which has led to the partnership on Baloch dates. MDF and ACIAR are working together to identify synergies and opportunities to assist with private sector involvement in the implementation of research findings. ACIAR and FAO are collaborating on small ruminants, a key focus on the FAO program in Balochistan. We also plan to bring FAO, MDF and SRSP into the high-level Agriculture reference committee meeting</w:t>
            </w:r>
            <w:r>
              <w:rPr>
                <w:rFonts w:asciiTheme="minorHAnsi" w:eastAsia="Times New Roman" w:hAnsiTheme="minorHAnsi"/>
                <w:iCs/>
                <w:color w:val="auto"/>
                <w:szCs w:val="17"/>
                <w:lang w:eastAsia="en-US"/>
              </w:rPr>
              <w:t>s with Government to provide</w:t>
            </w:r>
            <w:r w:rsidRPr="00860B2C">
              <w:rPr>
                <w:rFonts w:asciiTheme="minorHAnsi" w:eastAsia="Times New Roman" w:hAnsiTheme="minorHAnsi"/>
                <w:iCs/>
                <w:color w:val="auto"/>
                <w:szCs w:val="17"/>
                <w:lang w:eastAsia="en-US"/>
              </w:rPr>
              <w:t xml:space="preserve"> a more comprehensive overview of our agriculture and market development focussed investments.</w:t>
            </w:r>
          </w:p>
        </w:tc>
      </w:tr>
      <w:tr w:rsidR="00A9434E" w:rsidRPr="00812509" w14:paraId="0E5DE48F" w14:textId="77777777" w:rsidTr="00AC39E0">
        <w:trPr>
          <w:cnfStyle w:val="000000010000" w:firstRow="0" w:lastRow="0" w:firstColumn="0" w:lastColumn="0" w:oddVBand="0" w:evenVBand="0" w:oddHBand="0" w:evenHBand="1" w:firstRowFirstColumn="0" w:firstRowLastColumn="0" w:lastRowFirstColumn="0" w:lastRowLastColumn="0"/>
        </w:trPr>
        <w:tc>
          <w:tcPr>
            <w:tcW w:w="6409" w:type="dxa"/>
          </w:tcPr>
          <w:p w14:paraId="61B53A93" w14:textId="77777777" w:rsidR="00A9434E" w:rsidRPr="000E5414" w:rsidRDefault="00A9434E" w:rsidP="00AC39E0">
            <w:pPr>
              <w:pStyle w:val="ListParagraph"/>
              <w:keepLines/>
              <w:numPr>
                <w:ilvl w:val="0"/>
                <w:numId w:val="37"/>
              </w:numPr>
              <w:spacing w:before="40" w:after="40" w:line="200" w:lineRule="atLeast"/>
              <w:rPr>
                <w:rFonts w:asciiTheme="minorHAnsi" w:eastAsia="Times New Roman" w:hAnsiTheme="minorHAnsi"/>
                <w:iCs/>
                <w:szCs w:val="17"/>
                <w:lang w:eastAsia="en-US"/>
              </w:rPr>
            </w:pPr>
            <w:r w:rsidRPr="000E5414">
              <w:rPr>
                <w:rFonts w:asciiTheme="minorHAnsi" w:eastAsia="Times New Roman" w:hAnsiTheme="minorHAnsi"/>
                <w:iCs/>
                <w:szCs w:val="17"/>
                <w:lang w:eastAsia="en-US"/>
              </w:rPr>
              <w:t>Review, with the World Bank, the scope of our nutrition investment in light of delayed progress, and develop options for the integration of nutrition sensitive programming across the wider portfolio.</w:t>
            </w:r>
          </w:p>
        </w:tc>
        <w:tc>
          <w:tcPr>
            <w:tcW w:w="1170" w:type="dxa"/>
            <w:shd w:val="clear" w:color="auto" w:fill="7FB64D" w:themeFill="accent3" w:themeFillShade="BF"/>
          </w:tcPr>
          <w:p w14:paraId="00951424" w14:textId="77777777" w:rsidR="00A9434E" w:rsidRPr="00812509" w:rsidRDefault="00A9434E" w:rsidP="00AC39E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829" w:type="dxa"/>
          </w:tcPr>
          <w:p w14:paraId="72324A6B" w14:textId="77777777" w:rsidR="00A9434E" w:rsidRPr="000E5414" w:rsidRDefault="00A9434E" w:rsidP="00AC39E0">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Through extensive policy engagement, the necessary approvals have been obtained and the World Bank has </w:t>
            </w:r>
            <w:r w:rsidRPr="000E5414">
              <w:rPr>
                <w:rFonts w:asciiTheme="minorHAnsi" w:eastAsia="Times New Roman" w:hAnsiTheme="minorHAnsi"/>
                <w:iCs/>
                <w:color w:val="auto"/>
                <w:szCs w:val="17"/>
                <w:lang w:eastAsia="en-US"/>
              </w:rPr>
              <w:t>progressed project preparation</w:t>
            </w:r>
            <w:r>
              <w:rPr>
                <w:rFonts w:asciiTheme="minorHAnsi" w:eastAsia="Times New Roman" w:hAnsiTheme="minorHAnsi"/>
                <w:iCs/>
                <w:color w:val="auto"/>
                <w:szCs w:val="17"/>
                <w:lang w:eastAsia="en-US"/>
              </w:rPr>
              <w:t xml:space="preserve"> in KP, with implementation expected to start in 2018-19</w:t>
            </w:r>
            <w:r w:rsidRPr="000E5414">
              <w:rPr>
                <w:rFonts w:asciiTheme="minorHAnsi" w:eastAsia="Times New Roman" w:hAnsiTheme="minorHAnsi"/>
                <w:iCs/>
                <w:color w:val="auto"/>
                <w:szCs w:val="17"/>
                <w:lang w:eastAsia="en-US"/>
              </w:rPr>
              <w:t xml:space="preserve">. Implementation is progressing well in Balochistan. A discussion paper </w:t>
            </w:r>
            <w:r>
              <w:rPr>
                <w:rFonts w:asciiTheme="minorHAnsi" w:eastAsia="Times New Roman" w:hAnsiTheme="minorHAnsi"/>
                <w:iCs/>
                <w:color w:val="auto"/>
                <w:szCs w:val="17"/>
                <w:lang w:eastAsia="en-US"/>
              </w:rPr>
              <w:t>entitled</w:t>
            </w:r>
            <w:r w:rsidRPr="000E5414">
              <w:rPr>
                <w:rFonts w:asciiTheme="minorHAnsi" w:eastAsia="Times New Roman" w:hAnsiTheme="minorHAnsi"/>
                <w:iCs/>
                <w:color w:val="auto"/>
                <w:szCs w:val="17"/>
                <w:lang w:eastAsia="en-US"/>
              </w:rPr>
              <w:t xml:space="preserve"> </w:t>
            </w:r>
            <w:r w:rsidRPr="00255BE6">
              <w:rPr>
                <w:rFonts w:asciiTheme="minorHAnsi" w:eastAsia="Times New Roman" w:hAnsiTheme="minorHAnsi"/>
                <w:i/>
                <w:iCs/>
                <w:color w:val="auto"/>
                <w:szCs w:val="17"/>
                <w:lang w:eastAsia="en-US"/>
              </w:rPr>
              <w:t>Opportunities for Australian-funded programs to tackle malnutrition in Pakistan</w:t>
            </w:r>
            <w:r>
              <w:rPr>
                <w:rFonts w:asciiTheme="minorHAnsi" w:eastAsia="Times New Roman" w:hAnsiTheme="minorHAnsi"/>
                <w:i/>
                <w:iCs/>
                <w:color w:val="auto"/>
                <w:szCs w:val="17"/>
                <w:lang w:eastAsia="en-US"/>
              </w:rPr>
              <w:t xml:space="preserve"> </w:t>
            </w:r>
            <w:r w:rsidRPr="00255BE6">
              <w:rPr>
                <w:rFonts w:asciiTheme="minorHAnsi" w:eastAsia="Times New Roman" w:hAnsiTheme="minorHAnsi"/>
                <w:iCs/>
                <w:color w:val="auto"/>
                <w:szCs w:val="17"/>
                <w:lang w:eastAsia="en-US"/>
              </w:rPr>
              <w:t>was developed in 2016.</w:t>
            </w:r>
            <w:r w:rsidRPr="000E5414">
              <w:rPr>
                <w:rFonts w:asciiTheme="minorHAnsi" w:eastAsia="Times New Roman" w:hAnsiTheme="minorHAnsi"/>
                <w:iCs/>
                <w:color w:val="auto"/>
                <w:szCs w:val="17"/>
                <w:lang w:eastAsia="en-US"/>
              </w:rPr>
              <w:t xml:space="preserve"> Nutrition clinics will be held with implementing partners in November 2017. AusABBA Phase II has identified improving nutrition outcomes as one of its objectives and will engage a nutrition-sensitive agric</w:t>
            </w:r>
            <w:r>
              <w:rPr>
                <w:rFonts w:asciiTheme="minorHAnsi" w:eastAsia="Times New Roman" w:hAnsiTheme="minorHAnsi"/>
                <w:iCs/>
                <w:color w:val="auto"/>
                <w:szCs w:val="17"/>
                <w:lang w:eastAsia="en-US"/>
              </w:rPr>
              <w:t xml:space="preserve">ulture advisor. </w:t>
            </w:r>
            <w:r w:rsidRPr="000E5414">
              <w:rPr>
                <w:rFonts w:asciiTheme="minorHAnsi" w:eastAsia="Times New Roman" w:hAnsiTheme="minorHAnsi"/>
                <w:iCs/>
                <w:color w:val="auto"/>
                <w:szCs w:val="17"/>
                <w:lang w:eastAsia="en-US"/>
              </w:rPr>
              <w:t xml:space="preserve">We are also engaging with MDF to integrate nutrition into their work and partnerships. There is </w:t>
            </w:r>
            <w:r>
              <w:rPr>
                <w:rFonts w:asciiTheme="minorHAnsi" w:eastAsia="Times New Roman" w:hAnsiTheme="minorHAnsi"/>
                <w:iCs/>
                <w:color w:val="auto"/>
                <w:szCs w:val="17"/>
                <w:lang w:eastAsia="en-US"/>
              </w:rPr>
              <w:t xml:space="preserve">the </w:t>
            </w:r>
            <w:r w:rsidRPr="000E5414">
              <w:rPr>
                <w:rFonts w:asciiTheme="minorHAnsi" w:eastAsia="Times New Roman" w:hAnsiTheme="minorHAnsi"/>
                <w:iCs/>
                <w:color w:val="auto"/>
                <w:szCs w:val="17"/>
                <w:lang w:eastAsia="en-US"/>
              </w:rPr>
              <w:t xml:space="preserve">possibility of a partnership between Telenor and MDF to deliver </w:t>
            </w:r>
            <w:r>
              <w:rPr>
                <w:rFonts w:asciiTheme="minorHAnsi" w:eastAsia="Times New Roman" w:hAnsiTheme="minorHAnsi"/>
                <w:iCs/>
                <w:color w:val="auto"/>
                <w:szCs w:val="17"/>
                <w:lang w:eastAsia="en-US"/>
              </w:rPr>
              <w:t xml:space="preserve">innovative </w:t>
            </w:r>
            <w:r w:rsidRPr="000E5414">
              <w:rPr>
                <w:rFonts w:asciiTheme="minorHAnsi" w:eastAsia="Times New Roman" w:hAnsiTheme="minorHAnsi"/>
                <w:iCs/>
                <w:color w:val="auto"/>
                <w:szCs w:val="17"/>
                <w:lang w:eastAsia="en-US"/>
              </w:rPr>
              <w:t xml:space="preserve">agriculture and nutrition messaging to farmers in Balochistan and </w:t>
            </w:r>
            <w:r>
              <w:rPr>
                <w:rFonts w:asciiTheme="minorHAnsi" w:eastAsia="Times New Roman" w:hAnsiTheme="minorHAnsi"/>
                <w:iCs/>
                <w:color w:val="auto"/>
                <w:szCs w:val="17"/>
                <w:lang w:eastAsia="en-US"/>
              </w:rPr>
              <w:t>KP</w:t>
            </w:r>
            <w:r w:rsidRPr="000E5414">
              <w:rPr>
                <w:rFonts w:asciiTheme="minorHAnsi" w:eastAsia="Times New Roman" w:hAnsiTheme="minorHAnsi"/>
                <w:iCs/>
                <w:color w:val="auto"/>
                <w:szCs w:val="17"/>
                <w:lang w:eastAsia="en-US"/>
              </w:rPr>
              <w:t xml:space="preserve">, complementing our primary investment in nutrition under </w:t>
            </w:r>
            <w:r>
              <w:rPr>
                <w:rFonts w:asciiTheme="minorHAnsi" w:eastAsia="Times New Roman" w:hAnsiTheme="minorHAnsi"/>
                <w:iCs/>
                <w:color w:val="auto"/>
                <w:szCs w:val="17"/>
                <w:lang w:eastAsia="en-US"/>
              </w:rPr>
              <w:t>MDTF-N</w:t>
            </w:r>
            <w:r w:rsidRPr="000E5414">
              <w:rPr>
                <w:rFonts w:asciiTheme="minorHAnsi" w:eastAsia="Times New Roman" w:hAnsiTheme="minorHAnsi"/>
                <w:iCs/>
                <w:color w:val="auto"/>
                <w:szCs w:val="17"/>
                <w:lang w:eastAsia="en-US"/>
              </w:rPr>
              <w:t xml:space="preserve">. </w:t>
            </w:r>
          </w:p>
        </w:tc>
      </w:tr>
      <w:tr w:rsidR="00A9434E" w:rsidRPr="00812509" w14:paraId="13B4EC56" w14:textId="77777777" w:rsidTr="00AC39E0">
        <w:trPr>
          <w:cnfStyle w:val="000000010000" w:firstRow="0" w:lastRow="0" w:firstColumn="0" w:lastColumn="0" w:oddVBand="0" w:evenVBand="0" w:oddHBand="0" w:evenHBand="1" w:firstRowFirstColumn="0" w:firstRowLastColumn="0" w:lastRowFirstColumn="0" w:lastRowLastColumn="0"/>
        </w:trPr>
        <w:tc>
          <w:tcPr>
            <w:tcW w:w="6409" w:type="dxa"/>
          </w:tcPr>
          <w:p w14:paraId="4316005D" w14:textId="00BF8FC8" w:rsidR="00A9434E" w:rsidRPr="000E5414" w:rsidRDefault="00A9434E" w:rsidP="00CC07D8">
            <w:pPr>
              <w:pStyle w:val="ListParagraph"/>
              <w:keepLines/>
              <w:numPr>
                <w:ilvl w:val="0"/>
                <w:numId w:val="37"/>
              </w:numPr>
              <w:spacing w:before="40" w:after="40" w:line="200" w:lineRule="atLeast"/>
              <w:rPr>
                <w:rFonts w:asciiTheme="minorHAnsi" w:eastAsia="Times New Roman" w:hAnsiTheme="minorHAnsi"/>
                <w:iCs/>
                <w:szCs w:val="17"/>
                <w:lang w:eastAsia="en-US"/>
              </w:rPr>
            </w:pPr>
            <w:r w:rsidRPr="000E5414">
              <w:rPr>
                <w:rFonts w:asciiTheme="minorHAnsi" w:eastAsia="Times New Roman" w:hAnsiTheme="minorHAnsi"/>
                <w:iCs/>
                <w:szCs w:val="17"/>
                <w:lang w:eastAsia="en-US"/>
              </w:rPr>
              <w:t>Review and update the PAF, setting appropriate benchmarks, progress targets and indicators to serve the evolving portfolio.</w:t>
            </w:r>
          </w:p>
        </w:tc>
        <w:tc>
          <w:tcPr>
            <w:tcW w:w="1170" w:type="dxa"/>
            <w:shd w:val="clear" w:color="auto" w:fill="7FB64D" w:themeFill="accent3" w:themeFillShade="BF"/>
          </w:tcPr>
          <w:p w14:paraId="3E18D563" w14:textId="77777777" w:rsidR="00A9434E" w:rsidRPr="00812509" w:rsidRDefault="00A9434E" w:rsidP="00AC39E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829" w:type="dxa"/>
          </w:tcPr>
          <w:p w14:paraId="59BF1C7E" w14:textId="77777777" w:rsidR="00A9434E" w:rsidRPr="000E5414" w:rsidRDefault="00A9434E" w:rsidP="00AC39E0">
            <w:pPr>
              <w:keepLines/>
              <w:spacing w:before="40" w:after="40" w:line="200" w:lineRule="atLeast"/>
              <w:rPr>
                <w:rFonts w:asciiTheme="minorHAnsi" w:eastAsia="Times New Roman" w:hAnsiTheme="minorHAnsi"/>
                <w:iCs/>
                <w:color w:val="auto"/>
                <w:szCs w:val="17"/>
                <w:lang w:eastAsia="en-US"/>
              </w:rPr>
            </w:pPr>
            <w:r w:rsidRPr="000E5414">
              <w:rPr>
                <w:rFonts w:asciiTheme="minorHAnsi" w:eastAsia="Times New Roman" w:hAnsiTheme="minorHAnsi"/>
                <w:iCs/>
                <w:color w:val="auto"/>
                <w:szCs w:val="17"/>
                <w:lang w:eastAsia="en-US"/>
              </w:rPr>
              <w:t>The PAF has been revised and used to report a</w:t>
            </w:r>
            <w:r>
              <w:rPr>
                <w:rFonts w:asciiTheme="minorHAnsi" w:eastAsia="Times New Roman" w:hAnsiTheme="minorHAnsi"/>
                <w:iCs/>
                <w:color w:val="auto"/>
                <w:szCs w:val="17"/>
                <w:lang w:eastAsia="en-US"/>
              </w:rPr>
              <w:t>gainst progress in this report</w:t>
            </w:r>
            <w:r w:rsidRPr="000E5414">
              <w:rPr>
                <w:rFonts w:asciiTheme="minorHAnsi" w:eastAsia="Times New Roman" w:hAnsiTheme="minorHAnsi"/>
                <w:iCs/>
                <w:color w:val="auto"/>
                <w:szCs w:val="17"/>
                <w:lang w:eastAsia="en-US"/>
              </w:rPr>
              <w:t>.</w:t>
            </w:r>
            <w:r>
              <w:rPr>
                <w:rFonts w:asciiTheme="minorHAnsi" w:eastAsia="Times New Roman" w:hAnsiTheme="minorHAnsi"/>
                <w:iCs/>
                <w:color w:val="auto"/>
                <w:szCs w:val="17"/>
                <w:lang w:eastAsia="en-US"/>
              </w:rPr>
              <w:t xml:space="preserve"> Outcomes, indicators and benchmarks have been updated, with a greater focus on policy reform efforts.</w:t>
            </w:r>
          </w:p>
        </w:tc>
      </w:tr>
      <w:tr w:rsidR="00A9434E" w:rsidRPr="00812509" w14:paraId="1BEA911F" w14:textId="77777777" w:rsidTr="00AC39E0">
        <w:trPr>
          <w:cnfStyle w:val="000000010000" w:firstRow="0" w:lastRow="0" w:firstColumn="0" w:lastColumn="0" w:oddVBand="0" w:evenVBand="0" w:oddHBand="0" w:evenHBand="1" w:firstRowFirstColumn="0" w:firstRowLastColumn="0" w:lastRowFirstColumn="0" w:lastRowLastColumn="0"/>
        </w:trPr>
        <w:tc>
          <w:tcPr>
            <w:tcW w:w="6409" w:type="dxa"/>
          </w:tcPr>
          <w:p w14:paraId="1EDB5B90" w14:textId="4FFB8CC6" w:rsidR="00A9434E" w:rsidRPr="000E5414" w:rsidRDefault="00A9434E" w:rsidP="00CC07D8">
            <w:pPr>
              <w:pStyle w:val="ListParagraph"/>
              <w:keepLines/>
              <w:numPr>
                <w:ilvl w:val="0"/>
                <w:numId w:val="37"/>
              </w:numPr>
              <w:spacing w:before="40" w:after="40" w:line="200" w:lineRule="atLeast"/>
              <w:rPr>
                <w:rFonts w:asciiTheme="minorHAnsi" w:eastAsia="Times New Roman" w:hAnsiTheme="minorHAnsi"/>
                <w:iCs/>
                <w:szCs w:val="17"/>
              </w:rPr>
            </w:pPr>
            <w:r w:rsidRPr="000E5414">
              <w:rPr>
                <w:rFonts w:asciiTheme="minorHAnsi" w:eastAsia="Times New Roman" w:hAnsiTheme="minorHAnsi"/>
                <w:iCs/>
                <w:szCs w:val="17"/>
              </w:rPr>
              <w:t xml:space="preserve">Prepare for a mid-term review of the Pakistan </w:t>
            </w:r>
            <w:r w:rsidR="005F7738">
              <w:rPr>
                <w:rFonts w:asciiTheme="minorHAnsi" w:eastAsia="Times New Roman" w:hAnsiTheme="minorHAnsi"/>
                <w:iCs/>
                <w:szCs w:val="17"/>
              </w:rPr>
              <w:t>AIP</w:t>
            </w:r>
            <w:r w:rsidRPr="000E5414">
              <w:rPr>
                <w:rFonts w:asciiTheme="minorHAnsi" w:eastAsia="Times New Roman" w:hAnsiTheme="minorHAnsi"/>
                <w:iCs/>
                <w:szCs w:val="17"/>
              </w:rPr>
              <w:t xml:space="preserve"> in 2017 including: Review the scope and outcomes of ‘Objective 2 – Investing in People’ in light of program consolidation in the health and education sectors; and Examine options for an additional program strategic objective for stability and resilience, incorporating existing and potential future investments.</w:t>
            </w:r>
          </w:p>
        </w:tc>
        <w:tc>
          <w:tcPr>
            <w:tcW w:w="1170" w:type="dxa"/>
            <w:shd w:val="clear" w:color="auto" w:fill="7FB64D" w:themeFill="accent3" w:themeFillShade="BF"/>
          </w:tcPr>
          <w:p w14:paraId="60545F41" w14:textId="77777777" w:rsidR="00A9434E" w:rsidRPr="00DD1038" w:rsidRDefault="00A9434E" w:rsidP="00AC39E0">
            <w:pPr>
              <w:keepLines/>
              <w:spacing w:before="40" w:after="40" w:line="200" w:lineRule="atLeast"/>
              <w:jc w:val="center"/>
              <w:rPr>
                <w:rFonts w:asciiTheme="minorHAnsi" w:eastAsia="Times New Roman" w:hAnsiTheme="minorHAnsi"/>
                <w:iCs/>
                <w:color w:val="FFFFFF" w:themeColor="background1"/>
                <w:szCs w:val="17"/>
                <w:lang w:eastAsia="en-US"/>
              </w:rPr>
            </w:pPr>
            <w:r w:rsidRPr="00DD1038">
              <w:rPr>
                <w:rFonts w:asciiTheme="minorHAnsi" w:eastAsia="Times New Roman" w:hAnsiTheme="minorHAnsi"/>
                <w:iCs/>
                <w:color w:val="FFFFFF" w:themeColor="background1"/>
                <w:szCs w:val="17"/>
                <w:lang w:eastAsia="en-US"/>
              </w:rPr>
              <w:t>Achieved</w:t>
            </w:r>
          </w:p>
        </w:tc>
        <w:tc>
          <w:tcPr>
            <w:tcW w:w="6829" w:type="dxa"/>
          </w:tcPr>
          <w:p w14:paraId="1FD72671" w14:textId="77777777" w:rsidR="00A9434E" w:rsidRPr="000E5414" w:rsidRDefault="00A9434E" w:rsidP="00060033">
            <w:pPr>
              <w:keepLines/>
              <w:spacing w:before="40" w:after="40" w:line="200" w:lineRule="atLeast"/>
              <w:rPr>
                <w:rFonts w:eastAsia="Times New Roman"/>
                <w:iCs/>
                <w:color w:val="auto"/>
                <w:szCs w:val="17"/>
              </w:rPr>
            </w:pPr>
            <w:r w:rsidRPr="000E5414">
              <w:rPr>
                <w:rFonts w:asciiTheme="minorHAnsi" w:eastAsia="Times New Roman" w:hAnsiTheme="minorHAnsi"/>
                <w:iCs/>
                <w:color w:val="auto"/>
                <w:szCs w:val="17"/>
                <w:lang w:eastAsia="en-US"/>
              </w:rPr>
              <w:t xml:space="preserve">The scope of Objective 2 has been reviewed and now has a greater focus on women and girls. An additional Strategic Objective on Supporting Stabilisation and Resilience has been included in the revised PAF, to better capture the makeup of the Australian aid portfolio in Pakistan. A series of reviews </w:t>
            </w:r>
            <w:r>
              <w:rPr>
                <w:rFonts w:asciiTheme="minorHAnsi" w:eastAsia="Times New Roman" w:hAnsiTheme="minorHAnsi"/>
                <w:iCs/>
                <w:color w:val="auto"/>
                <w:szCs w:val="17"/>
                <w:lang w:eastAsia="en-US"/>
              </w:rPr>
              <w:t>will</w:t>
            </w:r>
            <w:r w:rsidRPr="000E5414">
              <w:rPr>
                <w:rFonts w:asciiTheme="minorHAnsi" w:eastAsia="Times New Roman" w:hAnsiTheme="minorHAnsi"/>
                <w:iCs/>
                <w:color w:val="auto"/>
                <w:szCs w:val="17"/>
                <w:lang w:eastAsia="en-US"/>
              </w:rPr>
              <w:t xml:space="preserve"> be undertaken in 2017 as groundwork ahead of the </w:t>
            </w:r>
            <w:r w:rsidR="00060033">
              <w:rPr>
                <w:rFonts w:asciiTheme="minorHAnsi" w:eastAsia="Times New Roman" w:hAnsiTheme="minorHAnsi"/>
                <w:iCs/>
                <w:color w:val="auto"/>
                <w:szCs w:val="17"/>
                <w:lang w:eastAsia="en-US"/>
              </w:rPr>
              <w:t>AIP Review</w:t>
            </w:r>
            <w:r w:rsidRPr="000E5414">
              <w:rPr>
                <w:rFonts w:asciiTheme="minorHAnsi" w:eastAsia="Times New Roman" w:hAnsiTheme="minorHAnsi"/>
                <w:iCs/>
                <w:color w:val="auto"/>
                <w:szCs w:val="17"/>
                <w:lang w:eastAsia="en-US"/>
              </w:rPr>
              <w:t>.</w:t>
            </w:r>
          </w:p>
        </w:tc>
      </w:tr>
    </w:tbl>
    <w:p w14:paraId="10CE2476" w14:textId="77777777" w:rsidR="00A9434E" w:rsidRDefault="00A9434E" w:rsidP="005B5769">
      <w:pPr>
        <w:pStyle w:val="ListBullet"/>
        <w:tabs>
          <w:tab w:val="clear" w:pos="284"/>
        </w:tabs>
        <w:sectPr w:rsidR="00A9434E" w:rsidSect="00D00802">
          <w:headerReference w:type="first" r:id="rId27"/>
          <w:pgSz w:w="16838" w:h="11906" w:orient="landscape" w:code="9"/>
          <w:pgMar w:top="1134" w:right="1952" w:bottom="1134" w:left="851" w:header="1107" w:footer="567" w:gutter="0"/>
          <w:cols w:space="397"/>
          <w:titlePg/>
          <w:docGrid w:linePitch="360"/>
        </w:sectPr>
      </w:pPr>
    </w:p>
    <w:p w14:paraId="4F59804F" w14:textId="77777777" w:rsidR="00184F1E" w:rsidRDefault="00184F1E" w:rsidP="00184F1E">
      <w:pPr>
        <w:pStyle w:val="Subtitle"/>
        <w:numPr>
          <w:ilvl w:val="0"/>
          <w:numId w:val="0"/>
        </w:numPr>
      </w:pPr>
      <w:r w:rsidRPr="00400B0F">
        <w:lastRenderedPageBreak/>
        <w:t xml:space="preserve">Annex B </w:t>
      </w:r>
      <w:r>
        <w:t>–</w:t>
      </w:r>
      <w:r w:rsidRPr="00400B0F">
        <w:t xml:space="preserve"> </w:t>
      </w:r>
      <w:r>
        <w:t>PERFORMANCE BENCHMARKS</w:t>
      </w:r>
    </w:p>
    <w:p w14:paraId="379C2E71" w14:textId="77777777" w:rsidR="00184F1E" w:rsidRPr="00320251" w:rsidRDefault="00184F1E" w:rsidP="00184F1E">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2016-17</w:t>
      </w:r>
    </w:p>
    <w:p w14:paraId="7DAE736C" w14:textId="77777777" w:rsidR="00184F1E" w:rsidRDefault="00184F1E" w:rsidP="00184F1E">
      <w:r>
        <w:rPr>
          <w:rFonts w:ascii="Franklin Gothic Book" w:eastAsia="Times New Roman" w:hAnsi="Franklin Gothic Book"/>
          <w:sz w:val="21"/>
        </w:rPr>
        <w:t xml:space="preserve">Discussion on progress against specific </w:t>
      </w:r>
      <w:r w:rsidRPr="00C61187">
        <w:rPr>
          <w:rFonts w:ascii="Franklin Gothic Book" w:eastAsia="Times New Roman" w:hAnsi="Franklin Gothic Book"/>
          <w:sz w:val="21"/>
        </w:rPr>
        <w:t xml:space="preserve">performance benchmarks </w:t>
      </w:r>
      <w:r>
        <w:rPr>
          <w:rFonts w:ascii="Franklin Gothic Book" w:eastAsia="Times New Roman" w:hAnsi="Franklin Gothic Book"/>
          <w:sz w:val="21"/>
        </w:rPr>
        <w:t>in 2016-17 should also be included as part of the text assessing progress against individual program objectives in the main body of the APPR.</w:t>
      </w:r>
    </w:p>
    <w:p w14:paraId="288EF64A" w14:textId="77777777" w:rsidR="00184F1E" w:rsidRPr="00CE5DF0" w:rsidRDefault="00184F1E" w:rsidP="00184F1E"/>
    <w:tbl>
      <w:tblPr>
        <w:tblStyle w:val="DFATTable"/>
        <w:tblW w:w="5000" w:type="pct"/>
        <w:tblLook w:val="04A0" w:firstRow="1" w:lastRow="0" w:firstColumn="1" w:lastColumn="0" w:noHBand="0" w:noVBand="1"/>
      </w:tblPr>
      <w:tblGrid>
        <w:gridCol w:w="2190"/>
        <w:gridCol w:w="2189"/>
        <w:gridCol w:w="1319"/>
        <w:gridCol w:w="8337"/>
      </w:tblGrid>
      <w:tr w:rsidR="00184F1E" w:rsidRPr="00C61187" w14:paraId="4CA78C1E" w14:textId="77777777" w:rsidTr="0043662C">
        <w:trPr>
          <w:tblHeader/>
        </w:trPr>
        <w:tc>
          <w:tcPr>
            <w:tcW w:w="780" w:type="pct"/>
            <w:tcBorders>
              <w:top w:val="single" w:sz="12" w:space="0" w:color="auto"/>
            </w:tcBorders>
            <w:tcMar>
              <w:top w:w="57" w:type="dxa"/>
              <w:bottom w:w="57" w:type="dxa"/>
            </w:tcMar>
          </w:tcPr>
          <w:p w14:paraId="0F8B38B2" w14:textId="77777777" w:rsidR="00184F1E" w:rsidRPr="00880004" w:rsidRDefault="00184F1E" w:rsidP="00C953C2">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780" w:type="pct"/>
            <w:tcBorders>
              <w:top w:val="single" w:sz="12" w:space="0" w:color="auto"/>
            </w:tcBorders>
          </w:tcPr>
          <w:p w14:paraId="6B0AC6E6" w14:textId="34D71430" w:rsidR="00184F1E" w:rsidRPr="00880004" w:rsidRDefault="00184F1E" w:rsidP="007F35DD">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 xml:space="preserve">Performance </w:t>
            </w:r>
            <w:r w:rsidR="00DB23E8">
              <w:rPr>
                <w:rFonts w:asciiTheme="minorHAnsi" w:eastAsia="Times New Roman" w:hAnsiTheme="minorHAnsi"/>
                <w:b/>
                <w:iCs/>
                <w:szCs w:val="17"/>
                <w:lang w:eastAsia="en-US"/>
              </w:rPr>
              <w:t>b</w:t>
            </w:r>
            <w:r w:rsidR="00DB23E8" w:rsidRPr="00880004">
              <w:rPr>
                <w:rFonts w:asciiTheme="minorHAnsi" w:eastAsia="Times New Roman" w:hAnsiTheme="minorHAnsi"/>
                <w:b/>
                <w:iCs/>
                <w:szCs w:val="17"/>
                <w:lang w:eastAsia="en-US"/>
              </w:rPr>
              <w:t xml:space="preserve">enchmark </w:t>
            </w:r>
          </w:p>
        </w:tc>
        <w:tc>
          <w:tcPr>
            <w:tcW w:w="470" w:type="pct"/>
            <w:tcBorders>
              <w:top w:val="single" w:sz="12" w:space="0" w:color="auto"/>
              <w:bottom w:val="nil"/>
            </w:tcBorders>
          </w:tcPr>
          <w:p w14:paraId="177D5547" w14:textId="77777777" w:rsidR="00184F1E" w:rsidRPr="00880004" w:rsidRDefault="00184F1E" w:rsidP="00C953C2">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970" w:type="pct"/>
            <w:tcBorders>
              <w:top w:val="single" w:sz="12" w:space="0" w:color="auto"/>
            </w:tcBorders>
          </w:tcPr>
          <w:p w14:paraId="3E3D31AD" w14:textId="77777777" w:rsidR="00184F1E" w:rsidRPr="00880004" w:rsidRDefault="00184F1E" w:rsidP="00C953C2">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-1</w:t>
            </w:r>
            <w:r>
              <w:rPr>
                <w:rFonts w:asciiTheme="minorHAnsi" w:eastAsia="Times New Roman" w:hAnsiTheme="minorHAnsi"/>
                <w:b/>
                <w:iCs/>
                <w:szCs w:val="17"/>
                <w:lang w:eastAsia="en-US"/>
              </w:rPr>
              <w:t>7</w:t>
            </w:r>
          </w:p>
        </w:tc>
      </w:tr>
      <w:tr w:rsidR="00184F1E" w:rsidRPr="00C61187" w14:paraId="663C898A" w14:textId="77777777" w:rsidTr="0043662C">
        <w:tc>
          <w:tcPr>
            <w:tcW w:w="780" w:type="pct"/>
            <w:tcMar>
              <w:top w:w="57" w:type="dxa"/>
              <w:bottom w:w="57" w:type="dxa"/>
            </w:tcMar>
          </w:tcPr>
          <w:p w14:paraId="52B745AC" w14:textId="77777777" w:rsidR="00184F1E" w:rsidRPr="00880004" w:rsidRDefault="0033503A" w:rsidP="00C953C2">
            <w:pPr>
              <w:keepLines/>
              <w:spacing w:before="40" w:after="40" w:line="200" w:lineRule="atLeast"/>
              <w:rPr>
                <w:rFonts w:asciiTheme="minorHAnsi" w:eastAsia="Times New Roman" w:hAnsiTheme="minorHAnsi"/>
                <w:iCs/>
                <w:szCs w:val="17"/>
                <w:lang w:eastAsia="en-US"/>
              </w:rPr>
            </w:pPr>
            <w:r w:rsidRPr="00812509">
              <w:rPr>
                <w:rFonts w:asciiTheme="minorHAnsi" w:hAnsiTheme="minorHAnsi"/>
              </w:rPr>
              <w:t>Objective 1</w:t>
            </w:r>
            <w:r>
              <w:rPr>
                <w:rFonts w:asciiTheme="minorHAnsi" w:hAnsiTheme="minorHAnsi"/>
              </w:rPr>
              <w:t>: Generating sustainable inclusive growth and employment</w:t>
            </w:r>
          </w:p>
        </w:tc>
        <w:tc>
          <w:tcPr>
            <w:tcW w:w="780" w:type="pct"/>
            <w:tcBorders>
              <w:right w:val="single" w:sz="4" w:space="0" w:color="FFFFFF" w:themeColor="background1"/>
            </w:tcBorders>
          </w:tcPr>
          <w:p w14:paraId="5BF8AB1A" w14:textId="3A2E50ED" w:rsidR="00184F1E" w:rsidRPr="00880004" w:rsidRDefault="0033503A" w:rsidP="00933F76">
            <w:pPr>
              <w:keepLines/>
              <w:spacing w:before="40" w:after="40" w:line="200" w:lineRule="atLeast"/>
              <w:rPr>
                <w:rFonts w:asciiTheme="minorHAnsi" w:eastAsia="Times New Roman" w:hAnsiTheme="minorHAnsi"/>
                <w:iCs/>
                <w:szCs w:val="17"/>
                <w:lang w:eastAsia="en-US"/>
              </w:rPr>
            </w:pPr>
            <w:r w:rsidRPr="006E5733">
              <w:rPr>
                <w:rFonts w:asciiTheme="minorHAnsi" w:hAnsiTheme="minorHAnsi"/>
              </w:rPr>
              <w:t>Number (</w:t>
            </w:r>
            <w:r w:rsidR="005F7738">
              <w:rPr>
                <w:rFonts w:asciiTheme="minorHAnsi" w:hAnsiTheme="minorHAnsi"/>
              </w:rPr>
              <w:t>per cent</w:t>
            </w:r>
            <w:r w:rsidRPr="006E5733">
              <w:rPr>
                <w:rFonts w:asciiTheme="minorHAnsi" w:hAnsiTheme="minorHAnsi"/>
              </w:rPr>
              <w:t xml:space="preserve"> women) of poor farmers and small business owners who have increased their income</w:t>
            </w:r>
            <w:r w:rsidR="00DB23E8">
              <w:rPr>
                <w:rFonts w:asciiTheme="minorHAnsi" w:hAnsiTheme="minorHAnsi"/>
              </w:rPr>
              <w:t>.</w:t>
            </w:r>
          </w:p>
        </w:tc>
        <w:tc>
          <w:tcPr>
            <w:tcW w:w="470" w:type="pct"/>
            <w:tcBorders>
              <w:top w:val="nil"/>
              <w:left w:val="single" w:sz="4" w:space="0" w:color="FFFFFF" w:themeColor="background1"/>
              <w:bottom w:val="single" w:sz="4" w:space="0" w:color="FFFFFF" w:themeColor="background1"/>
            </w:tcBorders>
            <w:shd w:val="clear" w:color="auto" w:fill="7FB64D" w:themeFill="accent3" w:themeFillShade="BF"/>
          </w:tcPr>
          <w:p w14:paraId="6DC8F98E" w14:textId="77777777" w:rsidR="00184F1E" w:rsidRPr="00880004" w:rsidRDefault="008E7AFA" w:rsidP="008E7AFA">
            <w:pPr>
              <w:keepLines/>
              <w:spacing w:before="40" w:after="40" w:line="200" w:lineRule="atLeast"/>
              <w:jc w:val="center"/>
              <w:rPr>
                <w:rFonts w:asciiTheme="minorHAnsi" w:eastAsia="Times New Roman" w:hAnsiTheme="minorHAnsi"/>
                <w:iCs/>
                <w:color w:val="FFFFFF" w:themeColor="background1"/>
                <w:szCs w:val="17"/>
                <w:lang w:eastAsia="en-US"/>
              </w:rPr>
            </w:pPr>
            <w:r w:rsidRPr="008E7AFA">
              <w:rPr>
                <w:rFonts w:asciiTheme="minorHAnsi" w:eastAsia="Times New Roman" w:hAnsiTheme="minorHAnsi"/>
                <w:iCs/>
                <w:color w:val="FFFFFF" w:themeColor="background1"/>
                <w:szCs w:val="17"/>
                <w:lang w:eastAsia="en-US"/>
              </w:rPr>
              <w:t>Achieved</w:t>
            </w:r>
          </w:p>
        </w:tc>
        <w:tc>
          <w:tcPr>
            <w:tcW w:w="2970" w:type="pct"/>
          </w:tcPr>
          <w:p w14:paraId="521AB91E" w14:textId="3CD36CBD" w:rsidR="00184F1E" w:rsidRPr="008E7AFA" w:rsidRDefault="00FA6293" w:rsidP="00650E22">
            <w:pPr>
              <w:keepLines/>
              <w:spacing w:before="40" w:after="40" w:line="200" w:lineRule="atLeast"/>
              <w:rPr>
                <w:color w:val="auto"/>
                <w:lang w:val="en-AU"/>
              </w:rPr>
            </w:pPr>
            <w:r>
              <w:rPr>
                <w:rFonts w:asciiTheme="minorHAnsi" w:hAnsiTheme="minorHAnsi"/>
              </w:rPr>
              <w:t>32,688</w:t>
            </w:r>
            <w:r w:rsidRPr="006E5733">
              <w:rPr>
                <w:rFonts w:asciiTheme="minorHAnsi" w:hAnsiTheme="minorHAnsi"/>
              </w:rPr>
              <w:t xml:space="preserve"> </w:t>
            </w:r>
            <w:r w:rsidR="008E7AFA" w:rsidRPr="006E5733">
              <w:rPr>
                <w:rFonts w:asciiTheme="minorHAnsi" w:hAnsiTheme="minorHAnsi"/>
              </w:rPr>
              <w:t>people (</w:t>
            </w:r>
            <w:r>
              <w:rPr>
                <w:rFonts w:asciiTheme="minorHAnsi" w:hAnsiTheme="minorHAnsi"/>
              </w:rPr>
              <w:t>4</w:t>
            </w:r>
            <w:r w:rsidRPr="006E5733">
              <w:rPr>
                <w:rFonts w:asciiTheme="minorHAnsi" w:hAnsiTheme="minorHAnsi"/>
              </w:rPr>
              <w:t>0</w:t>
            </w:r>
            <w:r>
              <w:rPr>
                <w:rFonts w:asciiTheme="minorHAnsi" w:hAnsiTheme="minorHAnsi"/>
              </w:rPr>
              <w:t>.8</w:t>
            </w:r>
            <w:r w:rsidR="005F7738">
              <w:rPr>
                <w:rFonts w:asciiTheme="minorHAnsi" w:hAnsiTheme="minorHAnsi"/>
              </w:rPr>
              <w:t xml:space="preserve"> per cent</w:t>
            </w:r>
            <w:r w:rsidR="008E7AFA" w:rsidRPr="006E5733">
              <w:rPr>
                <w:rFonts w:asciiTheme="minorHAnsi" w:hAnsiTheme="minorHAnsi"/>
              </w:rPr>
              <w:t xml:space="preserve"> women) increased their incomes in the reporting period, which is </w:t>
            </w:r>
            <w:r>
              <w:rPr>
                <w:rFonts w:asciiTheme="minorHAnsi" w:hAnsiTheme="minorHAnsi"/>
              </w:rPr>
              <w:t xml:space="preserve">well </w:t>
            </w:r>
            <w:r w:rsidR="008E7AFA" w:rsidRPr="006E5733">
              <w:rPr>
                <w:rFonts w:asciiTheme="minorHAnsi" w:hAnsiTheme="minorHAnsi"/>
              </w:rPr>
              <w:t xml:space="preserve">above the </w:t>
            </w:r>
            <w:r w:rsidRPr="006E5733">
              <w:rPr>
                <w:rFonts w:asciiTheme="minorHAnsi" w:hAnsiTheme="minorHAnsi"/>
              </w:rPr>
              <w:t>t</w:t>
            </w:r>
            <w:r>
              <w:rPr>
                <w:rFonts w:asciiTheme="minorHAnsi" w:hAnsiTheme="minorHAnsi"/>
              </w:rPr>
              <w:t>otal t</w:t>
            </w:r>
            <w:r w:rsidR="008E7AFA" w:rsidRPr="006E5733">
              <w:rPr>
                <w:rFonts w:asciiTheme="minorHAnsi" w:hAnsiTheme="minorHAnsi"/>
              </w:rPr>
              <w:t xml:space="preserve">arget of 6480 </w:t>
            </w:r>
            <w:r>
              <w:rPr>
                <w:rFonts w:asciiTheme="minorHAnsi" w:hAnsiTheme="minorHAnsi"/>
              </w:rPr>
              <w:t xml:space="preserve">people, and better in absolute terms (though proportionately lower) than the </w:t>
            </w:r>
            <w:r w:rsidR="008E7AFA" w:rsidRPr="006E5733">
              <w:rPr>
                <w:rFonts w:asciiTheme="minorHAnsi" w:hAnsiTheme="minorHAnsi"/>
              </w:rPr>
              <w:t xml:space="preserve">48% </w:t>
            </w:r>
            <w:r>
              <w:rPr>
                <w:rFonts w:asciiTheme="minorHAnsi" w:hAnsiTheme="minorHAnsi"/>
              </w:rPr>
              <w:t xml:space="preserve">target for </w:t>
            </w:r>
            <w:r w:rsidRPr="006E5733">
              <w:rPr>
                <w:rFonts w:asciiTheme="minorHAnsi" w:hAnsiTheme="minorHAnsi"/>
              </w:rPr>
              <w:t>women</w:t>
            </w:r>
            <w:r w:rsidR="008E7AFA" w:rsidRPr="006E5733">
              <w:rPr>
                <w:rFonts w:asciiTheme="minorHAnsi" w:hAnsiTheme="minorHAnsi"/>
              </w:rPr>
              <w:t>. This reporting data comes from SRSP (173 men; 285 women)</w:t>
            </w:r>
            <w:r>
              <w:rPr>
                <w:rFonts w:asciiTheme="minorHAnsi" w:hAnsiTheme="minorHAnsi"/>
              </w:rPr>
              <w:t xml:space="preserve">, </w:t>
            </w:r>
            <w:r w:rsidR="008E7AFA" w:rsidRPr="006E5733">
              <w:rPr>
                <w:rFonts w:asciiTheme="minorHAnsi" w:hAnsiTheme="minorHAnsi"/>
              </w:rPr>
              <w:t>AusABBA 1 (4428 men; 4402 women)</w:t>
            </w:r>
            <w:r>
              <w:rPr>
                <w:rFonts w:asciiTheme="minorHAnsi" w:hAnsiTheme="minorHAnsi"/>
              </w:rPr>
              <w:t xml:space="preserve"> and MDF </w:t>
            </w:r>
            <w:r w:rsidRPr="00650E22">
              <w:rPr>
                <w:rFonts w:asciiTheme="minorHAnsi" w:hAnsiTheme="minorHAnsi"/>
              </w:rPr>
              <w:t>23,400 (14</w:t>
            </w:r>
            <w:r w:rsidR="00DB23E8">
              <w:rPr>
                <w:rFonts w:asciiTheme="minorHAnsi" w:hAnsiTheme="minorHAnsi"/>
              </w:rPr>
              <w:t>,</w:t>
            </w:r>
            <w:r w:rsidRPr="00650E22">
              <w:rPr>
                <w:rFonts w:asciiTheme="minorHAnsi" w:hAnsiTheme="minorHAnsi"/>
              </w:rPr>
              <w:t>742 men, 8658 women)</w:t>
            </w:r>
            <w:r w:rsidR="008E7AFA" w:rsidRPr="006E5733">
              <w:rPr>
                <w:rFonts w:asciiTheme="minorHAnsi" w:hAnsiTheme="minorHAnsi"/>
              </w:rPr>
              <w:t>.</w:t>
            </w:r>
            <w:r w:rsidR="005865AD">
              <w:rPr>
                <w:rFonts w:asciiTheme="minorHAnsi" w:hAnsiTheme="minorHAnsi"/>
              </w:rPr>
              <w:t xml:space="preserve"> </w:t>
            </w:r>
          </w:p>
        </w:tc>
      </w:tr>
      <w:tr w:rsidR="00184F1E" w:rsidRPr="00C61187" w14:paraId="271CFB7B" w14:textId="77777777" w:rsidTr="0043662C">
        <w:tc>
          <w:tcPr>
            <w:tcW w:w="780" w:type="pct"/>
            <w:tcMar>
              <w:top w:w="57" w:type="dxa"/>
              <w:bottom w:w="57" w:type="dxa"/>
            </w:tcMar>
          </w:tcPr>
          <w:p w14:paraId="3B756493" w14:textId="77777777" w:rsidR="00184F1E" w:rsidRPr="00880004" w:rsidRDefault="00184F1E" w:rsidP="00C953C2">
            <w:pPr>
              <w:keepLines/>
              <w:spacing w:before="40" w:after="40" w:line="200" w:lineRule="atLeast"/>
              <w:rPr>
                <w:rFonts w:asciiTheme="minorHAnsi" w:eastAsia="Times New Roman" w:hAnsiTheme="minorHAnsi"/>
                <w:iCs/>
                <w:szCs w:val="17"/>
                <w:lang w:eastAsia="en-US"/>
              </w:rPr>
            </w:pPr>
          </w:p>
        </w:tc>
        <w:tc>
          <w:tcPr>
            <w:tcW w:w="780" w:type="pct"/>
            <w:tcBorders>
              <w:right w:val="single" w:sz="4" w:space="0" w:color="FFFFFF" w:themeColor="background1"/>
            </w:tcBorders>
          </w:tcPr>
          <w:p w14:paraId="21A03565" w14:textId="77777777" w:rsidR="00184F1E" w:rsidRPr="00880004" w:rsidRDefault="0033503A" w:rsidP="009C3D59">
            <w:pPr>
              <w:keepLines/>
              <w:spacing w:before="40" w:after="40" w:line="200" w:lineRule="atLeast"/>
              <w:rPr>
                <w:rFonts w:asciiTheme="minorHAnsi" w:eastAsia="Times New Roman" w:hAnsiTheme="minorHAnsi"/>
                <w:iCs/>
                <w:szCs w:val="17"/>
                <w:lang w:eastAsia="en-US"/>
              </w:rPr>
            </w:pPr>
            <w:r w:rsidRPr="006E5733">
              <w:rPr>
                <w:rFonts w:asciiTheme="minorHAnsi" w:hAnsiTheme="minorHAnsi"/>
              </w:rPr>
              <w:t>Community or Farmers’ Organisations, including women’s organisations, are effectively supported to build community cohesion to advocate for their needs or to gain contr</w:t>
            </w:r>
            <w:r w:rsidR="009C3D59">
              <w:rPr>
                <w:rFonts w:asciiTheme="minorHAnsi" w:hAnsiTheme="minorHAnsi"/>
              </w:rPr>
              <w:t>ol in marketing their products.</w:t>
            </w:r>
          </w:p>
        </w:tc>
        <w:tc>
          <w:tcPr>
            <w:tcW w:w="470" w:type="pct"/>
            <w:tcBorders>
              <w:top w:val="single" w:sz="4" w:space="0" w:color="FFFFFF" w:themeColor="background1"/>
              <w:left w:val="single" w:sz="4" w:space="0" w:color="FFFFFF" w:themeColor="background1"/>
              <w:bottom w:val="single" w:sz="4" w:space="0" w:color="FFFFFF" w:themeColor="background1"/>
            </w:tcBorders>
            <w:shd w:val="clear" w:color="auto" w:fill="7FB64D" w:themeFill="accent3" w:themeFillShade="BF"/>
          </w:tcPr>
          <w:p w14:paraId="1A2D1CF0" w14:textId="77777777" w:rsidR="00FF1A9D" w:rsidRDefault="00AE1BDB" w:rsidP="00C953C2">
            <w:pPr>
              <w:keepLines/>
              <w:spacing w:before="40" w:after="40" w:line="200" w:lineRule="atLeast"/>
              <w:jc w:val="center"/>
              <w:rPr>
                <w:rFonts w:asciiTheme="minorHAnsi" w:eastAsia="Times New Roman" w:hAnsiTheme="minorHAnsi"/>
                <w:iCs/>
                <w:color w:val="000000" w:themeColor="text1"/>
                <w:szCs w:val="17"/>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7AFA">
              <w:rPr>
                <w:rFonts w:asciiTheme="minorHAnsi" w:eastAsia="Times New Roman" w:hAnsiTheme="minorHAnsi"/>
                <w:iCs/>
                <w:color w:val="FFFFFF" w:themeColor="background1"/>
                <w:szCs w:val="17"/>
                <w:lang w:eastAsia="en-US"/>
              </w:rPr>
              <w:t>Achieved</w:t>
            </w:r>
          </w:p>
          <w:p w14:paraId="4FBBF456" w14:textId="77777777" w:rsidR="00FF1A9D" w:rsidRDefault="00FF1A9D" w:rsidP="00FF1A9D">
            <w:pPr>
              <w:rPr>
                <w:rFonts w:asciiTheme="minorHAnsi" w:eastAsia="Times New Roman" w:hAnsiTheme="minorHAnsi"/>
                <w:szCs w:val="17"/>
              </w:rPr>
            </w:pPr>
          </w:p>
          <w:p w14:paraId="78995637" w14:textId="77777777" w:rsidR="00184F1E" w:rsidRPr="00930B44" w:rsidRDefault="00184F1E" w:rsidP="00930B44">
            <w:pPr>
              <w:jc w:val="center"/>
              <w:rPr>
                <w:rFonts w:asciiTheme="minorHAnsi" w:eastAsia="Times New Roman" w:hAnsiTheme="minorHAnsi"/>
                <w:szCs w:val="17"/>
              </w:rPr>
            </w:pPr>
          </w:p>
        </w:tc>
        <w:tc>
          <w:tcPr>
            <w:tcW w:w="2970" w:type="pct"/>
          </w:tcPr>
          <w:p w14:paraId="2D8D670E" w14:textId="1DE3659F" w:rsidR="00AE1BDB" w:rsidRPr="00AE1BDB" w:rsidRDefault="00AE1BDB" w:rsidP="00AE1BDB">
            <w:pPr>
              <w:keepLines/>
              <w:spacing w:before="40" w:after="40" w:line="200" w:lineRule="atLeast"/>
              <w:rPr>
                <w:rFonts w:asciiTheme="minorHAnsi" w:hAnsiTheme="minorHAnsi"/>
              </w:rPr>
            </w:pPr>
            <w:r w:rsidRPr="00AE1BDB">
              <w:rPr>
                <w:rFonts w:asciiTheme="minorHAnsi" w:hAnsiTheme="minorHAnsi"/>
              </w:rPr>
              <w:t>1601</w:t>
            </w:r>
            <w:r w:rsidR="00933F76">
              <w:rPr>
                <w:rFonts w:asciiTheme="minorHAnsi" w:hAnsiTheme="minorHAnsi"/>
              </w:rPr>
              <w:t xml:space="preserve"> community organisations (COs), </w:t>
            </w:r>
            <w:r w:rsidRPr="00AE1BDB">
              <w:rPr>
                <w:rFonts w:asciiTheme="minorHAnsi" w:hAnsiTheme="minorHAnsi"/>
              </w:rPr>
              <w:t>including 728</w:t>
            </w:r>
            <w:r w:rsidR="00F152FE">
              <w:rPr>
                <w:rFonts w:asciiTheme="minorHAnsi" w:hAnsiTheme="minorHAnsi"/>
              </w:rPr>
              <w:t xml:space="preserve"> women</w:t>
            </w:r>
            <w:r w:rsidR="00933F76">
              <w:rPr>
                <w:rFonts w:asciiTheme="minorHAnsi" w:hAnsiTheme="minorHAnsi"/>
              </w:rPr>
              <w:t>’s organisations (WOs)</w:t>
            </w:r>
            <w:r w:rsidR="00F152FE">
              <w:rPr>
                <w:rFonts w:asciiTheme="minorHAnsi" w:hAnsiTheme="minorHAnsi"/>
              </w:rPr>
              <w:t xml:space="preserve"> or</w:t>
            </w:r>
            <w:r w:rsidR="00933F76">
              <w:rPr>
                <w:rFonts w:asciiTheme="minorHAnsi" w:hAnsiTheme="minorHAnsi"/>
              </w:rPr>
              <w:t xml:space="preserve"> 45</w:t>
            </w:r>
            <w:r w:rsidR="005F7738">
              <w:rPr>
                <w:rFonts w:asciiTheme="minorHAnsi" w:hAnsiTheme="minorHAnsi"/>
              </w:rPr>
              <w:t xml:space="preserve"> per cent</w:t>
            </w:r>
            <w:r w:rsidR="00933F76">
              <w:rPr>
                <w:rFonts w:asciiTheme="minorHAnsi" w:hAnsiTheme="minorHAnsi"/>
              </w:rPr>
              <w:t>, were supported,</w:t>
            </w:r>
            <w:r w:rsidR="009C3D59">
              <w:rPr>
                <w:rFonts w:asciiTheme="minorHAnsi" w:hAnsiTheme="minorHAnsi"/>
              </w:rPr>
              <w:t xml:space="preserve"> against a target of </w:t>
            </w:r>
            <w:r w:rsidR="00933F76">
              <w:rPr>
                <w:rFonts w:asciiTheme="minorHAnsi" w:hAnsiTheme="minorHAnsi"/>
              </w:rPr>
              <w:t>1210 (44</w:t>
            </w:r>
            <w:r w:rsidR="005F7738">
              <w:rPr>
                <w:rFonts w:asciiTheme="minorHAnsi" w:hAnsiTheme="minorHAnsi"/>
              </w:rPr>
              <w:t xml:space="preserve"> per cent</w:t>
            </w:r>
            <w:r w:rsidR="00933F76">
              <w:rPr>
                <w:rFonts w:asciiTheme="minorHAnsi" w:hAnsiTheme="minorHAnsi"/>
              </w:rPr>
              <w:t xml:space="preserve"> WOs)</w:t>
            </w:r>
            <w:r w:rsidRPr="00AE1BDB">
              <w:rPr>
                <w:rFonts w:asciiTheme="minorHAnsi" w:hAnsiTheme="minorHAnsi"/>
              </w:rPr>
              <w:t>. This</w:t>
            </w:r>
            <w:r w:rsidR="00F152FE">
              <w:rPr>
                <w:rFonts w:asciiTheme="minorHAnsi" w:hAnsiTheme="minorHAnsi"/>
              </w:rPr>
              <w:t xml:space="preserve"> figure</w:t>
            </w:r>
            <w:r w:rsidRPr="00AE1BDB">
              <w:rPr>
                <w:rFonts w:asciiTheme="minorHAnsi" w:hAnsiTheme="minorHAnsi"/>
              </w:rPr>
              <w:t xml:space="preserve"> has been derived from SRSP WEEMD </w:t>
            </w:r>
            <w:r w:rsidR="00933F76">
              <w:rPr>
                <w:rFonts w:asciiTheme="minorHAnsi" w:hAnsiTheme="minorHAnsi"/>
              </w:rPr>
              <w:t>(512 Men’s COs; 493 W</w:t>
            </w:r>
            <w:r w:rsidRPr="00AE1BDB">
              <w:rPr>
                <w:rFonts w:asciiTheme="minorHAnsi" w:hAnsiTheme="minorHAnsi"/>
              </w:rPr>
              <w:t>Os</w:t>
            </w:r>
            <w:r w:rsidR="00933F76">
              <w:rPr>
                <w:rFonts w:asciiTheme="minorHAnsi" w:hAnsiTheme="minorHAnsi"/>
              </w:rPr>
              <w:t>)</w:t>
            </w:r>
            <w:r w:rsidRPr="00AE1BDB">
              <w:rPr>
                <w:rFonts w:asciiTheme="minorHAnsi" w:hAnsiTheme="minorHAnsi"/>
              </w:rPr>
              <w:t xml:space="preserve"> and AusABBA Ph I </w:t>
            </w:r>
            <w:r w:rsidR="00933F76">
              <w:rPr>
                <w:rFonts w:asciiTheme="minorHAnsi" w:hAnsiTheme="minorHAnsi"/>
              </w:rPr>
              <w:t>(</w:t>
            </w:r>
            <w:r w:rsidRPr="00AE1BDB">
              <w:rPr>
                <w:rFonts w:asciiTheme="minorHAnsi" w:hAnsiTheme="minorHAnsi"/>
              </w:rPr>
              <w:t>MCOs 361; WCOs 235</w:t>
            </w:r>
            <w:r w:rsidR="00933F76">
              <w:rPr>
                <w:rFonts w:asciiTheme="minorHAnsi" w:hAnsiTheme="minorHAnsi"/>
              </w:rPr>
              <w:t>)</w:t>
            </w:r>
            <w:r w:rsidR="00DB23E8" w:rsidRPr="00AE1BDB">
              <w:rPr>
                <w:rFonts w:asciiTheme="minorHAnsi" w:hAnsiTheme="minorHAnsi"/>
              </w:rPr>
              <w:t xml:space="preserve"> .</w:t>
            </w:r>
          </w:p>
          <w:p w14:paraId="24B74D4B" w14:textId="77777777" w:rsidR="00184F1E" w:rsidRPr="00AE1BDB" w:rsidRDefault="00184F1E" w:rsidP="00AE1BDB">
            <w:pPr>
              <w:keepLines/>
              <w:spacing w:before="40" w:after="40" w:line="200" w:lineRule="atLeast"/>
              <w:rPr>
                <w:rFonts w:asciiTheme="minorHAnsi" w:hAnsiTheme="minorHAnsi"/>
              </w:rPr>
            </w:pPr>
          </w:p>
        </w:tc>
      </w:tr>
      <w:tr w:rsidR="00184F1E" w:rsidRPr="00C61187" w14:paraId="2A3101F9" w14:textId="77777777" w:rsidTr="0043662C">
        <w:tc>
          <w:tcPr>
            <w:tcW w:w="780" w:type="pct"/>
            <w:tcMar>
              <w:top w:w="57" w:type="dxa"/>
              <w:bottom w:w="57" w:type="dxa"/>
            </w:tcMar>
          </w:tcPr>
          <w:p w14:paraId="1DE8713B" w14:textId="77777777" w:rsidR="00184F1E" w:rsidRPr="00880004" w:rsidRDefault="00E07E0B" w:rsidP="00C953C2">
            <w:pPr>
              <w:keepLines/>
              <w:spacing w:before="40" w:after="40" w:line="200" w:lineRule="atLeast"/>
              <w:rPr>
                <w:rFonts w:asciiTheme="minorHAnsi" w:eastAsia="Times New Roman" w:hAnsiTheme="minorHAnsi"/>
                <w:iCs/>
                <w:szCs w:val="17"/>
                <w:lang w:eastAsia="en-US"/>
              </w:rPr>
            </w:pPr>
            <w:r w:rsidRPr="00812509">
              <w:rPr>
                <w:rFonts w:asciiTheme="minorHAnsi" w:hAnsiTheme="minorHAnsi"/>
              </w:rPr>
              <w:t>Objective 2</w:t>
            </w:r>
            <w:r>
              <w:rPr>
                <w:rFonts w:asciiTheme="minorHAnsi" w:hAnsiTheme="minorHAnsi"/>
              </w:rPr>
              <w:t>: Investing in Pakistan’s people</w:t>
            </w:r>
          </w:p>
        </w:tc>
        <w:tc>
          <w:tcPr>
            <w:tcW w:w="780" w:type="pct"/>
            <w:tcBorders>
              <w:right w:val="single" w:sz="4" w:space="0" w:color="FFFFFF" w:themeColor="background1"/>
            </w:tcBorders>
          </w:tcPr>
          <w:p w14:paraId="794CAC36" w14:textId="37BE5037" w:rsidR="00184F1E" w:rsidRPr="002231C7" w:rsidRDefault="0033503A" w:rsidP="0033503A">
            <w:pPr>
              <w:keepLines/>
              <w:spacing w:before="40" w:after="40" w:line="200" w:lineRule="atLeast"/>
              <w:rPr>
                <w:rFonts w:asciiTheme="minorHAnsi" w:eastAsia="Times New Roman" w:hAnsiTheme="minorHAnsi"/>
                <w:iCs/>
                <w:szCs w:val="17"/>
                <w:lang w:eastAsia="en-US"/>
              </w:rPr>
            </w:pPr>
            <w:r w:rsidRPr="006E5733">
              <w:rPr>
                <w:rFonts w:asciiTheme="minorHAnsi" w:eastAsia="Times New Roman" w:hAnsiTheme="minorHAnsi"/>
                <w:iCs/>
                <w:szCs w:val="17"/>
                <w:lang w:eastAsia="en-US"/>
              </w:rPr>
              <w:t>Eligible women and children in target districts receive nutrition</w:t>
            </w:r>
            <w:r w:rsidR="006E5733">
              <w:rPr>
                <w:rFonts w:asciiTheme="minorHAnsi" w:eastAsia="Times New Roman" w:hAnsiTheme="minorHAnsi"/>
                <w:iCs/>
                <w:szCs w:val="17"/>
                <w:lang w:eastAsia="en-US"/>
              </w:rPr>
              <w:t xml:space="preserve"> related services</w:t>
            </w:r>
            <w:r w:rsidR="00DB23E8">
              <w:rPr>
                <w:rFonts w:asciiTheme="minorHAnsi" w:eastAsia="Times New Roman" w:hAnsiTheme="minorHAnsi"/>
                <w:iCs/>
                <w:szCs w:val="17"/>
                <w:lang w:eastAsia="en-US"/>
              </w:rPr>
              <w:t>.</w:t>
            </w:r>
          </w:p>
        </w:tc>
        <w:tc>
          <w:tcPr>
            <w:tcW w:w="470" w:type="pct"/>
            <w:tcBorders>
              <w:top w:val="single" w:sz="4" w:space="0" w:color="FFFFFF" w:themeColor="background1"/>
              <w:left w:val="single" w:sz="4" w:space="0" w:color="FFFFFF" w:themeColor="background1"/>
              <w:bottom w:val="single" w:sz="4" w:space="0" w:color="FFFFFF" w:themeColor="background1"/>
            </w:tcBorders>
            <w:shd w:val="clear" w:color="auto" w:fill="7FB64D" w:themeFill="accent3" w:themeFillShade="BF"/>
          </w:tcPr>
          <w:p w14:paraId="0D779446" w14:textId="77777777" w:rsidR="00184F1E" w:rsidRPr="00880004" w:rsidRDefault="002231C7" w:rsidP="008E7A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color w:val="FFFFFF" w:themeColor="background1"/>
                <w:szCs w:val="17"/>
                <w:lang w:eastAsia="en-US"/>
              </w:rPr>
              <w:t>A</w:t>
            </w:r>
            <w:r w:rsidR="00184F1E" w:rsidRPr="00880004">
              <w:rPr>
                <w:rFonts w:asciiTheme="minorHAnsi" w:eastAsia="Times New Roman" w:hAnsiTheme="minorHAnsi"/>
                <w:iCs/>
                <w:color w:val="FFFFFF" w:themeColor="background1"/>
                <w:szCs w:val="17"/>
                <w:lang w:eastAsia="en-US"/>
              </w:rPr>
              <w:t xml:space="preserve">chieved </w:t>
            </w:r>
          </w:p>
        </w:tc>
        <w:tc>
          <w:tcPr>
            <w:tcW w:w="2970" w:type="pct"/>
          </w:tcPr>
          <w:p w14:paraId="3F7FF043" w14:textId="526DF994" w:rsidR="00184F1E" w:rsidRPr="00880004" w:rsidRDefault="004763A2" w:rsidP="007F35DD">
            <w:pPr>
              <w:keepLines/>
              <w:spacing w:before="40" w:after="40" w:line="200" w:lineRule="atLeast"/>
              <w:rPr>
                <w:rFonts w:asciiTheme="minorHAnsi" w:eastAsia="Times New Roman" w:hAnsiTheme="minorHAnsi"/>
                <w:iCs/>
                <w:szCs w:val="17"/>
                <w:lang w:eastAsia="en-US"/>
              </w:rPr>
            </w:pPr>
            <w:r w:rsidRPr="0068278B">
              <w:rPr>
                <w:rFonts w:asciiTheme="minorHAnsi" w:eastAsia="Times New Roman" w:hAnsiTheme="minorHAnsi"/>
                <w:iCs/>
                <w:szCs w:val="17"/>
                <w:lang w:eastAsia="en-US"/>
              </w:rPr>
              <w:t xml:space="preserve">129,558 </w:t>
            </w:r>
            <w:r w:rsidR="008E7AFA">
              <w:rPr>
                <w:rFonts w:asciiTheme="minorHAnsi" w:eastAsia="Times New Roman" w:hAnsiTheme="minorHAnsi"/>
                <w:iCs/>
                <w:szCs w:val="17"/>
                <w:lang w:eastAsia="en-US"/>
              </w:rPr>
              <w:t>e</w:t>
            </w:r>
            <w:r w:rsidR="008E7AFA" w:rsidRPr="008E7AFA">
              <w:rPr>
                <w:rFonts w:asciiTheme="minorHAnsi" w:eastAsia="Times New Roman" w:hAnsiTheme="minorHAnsi"/>
                <w:iCs/>
                <w:szCs w:val="17"/>
                <w:lang w:eastAsia="en-US"/>
              </w:rPr>
              <w:t>ligible women and children in target districts receive</w:t>
            </w:r>
            <w:r w:rsidR="00933F76">
              <w:rPr>
                <w:rFonts w:asciiTheme="minorHAnsi" w:eastAsia="Times New Roman" w:hAnsiTheme="minorHAnsi"/>
                <w:iCs/>
                <w:szCs w:val="17"/>
                <w:lang w:eastAsia="en-US"/>
              </w:rPr>
              <w:t>d</w:t>
            </w:r>
            <w:r w:rsidR="008E7AFA" w:rsidRPr="008E7AFA">
              <w:rPr>
                <w:rFonts w:asciiTheme="minorHAnsi" w:eastAsia="Times New Roman" w:hAnsiTheme="minorHAnsi"/>
                <w:iCs/>
                <w:szCs w:val="17"/>
                <w:lang w:eastAsia="en-US"/>
              </w:rPr>
              <w:t xml:space="preserve"> nutrition related services</w:t>
            </w:r>
            <w:r w:rsidR="008E7AFA">
              <w:rPr>
                <w:rFonts w:asciiTheme="minorHAnsi" w:eastAsia="Times New Roman" w:hAnsiTheme="minorHAnsi"/>
                <w:iCs/>
                <w:szCs w:val="17"/>
                <w:lang w:eastAsia="en-US"/>
              </w:rPr>
              <w:t>, well above the target of 77</w:t>
            </w:r>
            <w:r w:rsidR="00DB23E8">
              <w:rPr>
                <w:rFonts w:asciiTheme="minorHAnsi" w:eastAsia="Times New Roman" w:hAnsiTheme="minorHAnsi"/>
                <w:iCs/>
                <w:szCs w:val="17"/>
                <w:lang w:eastAsia="en-US"/>
              </w:rPr>
              <w:t>,</w:t>
            </w:r>
            <w:r w:rsidR="008E7AFA">
              <w:rPr>
                <w:rFonts w:asciiTheme="minorHAnsi" w:eastAsia="Times New Roman" w:hAnsiTheme="minorHAnsi"/>
                <w:iCs/>
                <w:szCs w:val="17"/>
                <w:lang w:eastAsia="en-US"/>
              </w:rPr>
              <w:t xml:space="preserve">970. </w:t>
            </w:r>
            <w:r w:rsidR="00DB23E8">
              <w:rPr>
                <w:rFonts w:asciiTheme="minorHAnsi" w:eastAsia="Times New Roman" w:hAnsiTheme="minorHAnsi"/>
                <w:iCs/>
                <w:szCs w:val="17"/>
                <w:lang w:eastAsia="en-US"/>
              </w:rPr>
              <w:t>Th</w:t>
            </w:r>
            <w:r w:rsidR="007F35DD">
              <w:rPr>
                <w:rFonts w:asciiTheme="minorHAnsi" w:eastAsia="Times New Roman" w:hAnsiTheme="minorHAnsi"/>
                <w:iCs/>
                <w:szCs w:val="17"/>
                <w:lang w:eastAsia="en-US"/>
              </w:rPr>
              <w:t>i</w:t>
            </w:r>
            <w:r w:rsidR="00DB23E8">
              <w:rPr>
                <w:rFonts w:asciiTheme="minorHAnsi" w:eastAsia="Times New Roman" w:hAnsiTheme="minorHAnsi"/>
                <w:iCs/>
                <w:szCs w:val="17"/>
                <w:lang w:eastAsia="en-US"/>
              </w:rPr>
              <w:t xml:space="preserve">s </w:t>
            </w:r>
            <w:r w:rsidR="008E7AFA">
              <w:rPr>
                <w:rFonts w:asciiTheme="minorHAnsi" w:eastAsia="Times New Roman" w:hAnsiTheme="minorHAnsi"/>
                <w:iCs/>
                <w:szCs w:val="17"/>
                <w:lang w:eastAsia="en-US"/>
              </w:rPr>
              <w:t>figure include</w:t>
            </w:r>
            <w:r w:rsidR="007F35DD">
              <w:rPr>
                <w:rFonts w:asciiTheme="minorHAnsi" w:eastAsia="Times New Roman" w:hAnsiTheme="minorHAnsi"/>
                <w:iCs/>
                <w:szCs w:val="17"/>
                <w:lang w:eastAsia="en-US"/>
              </w:rPr>
              <w:t>s</w:t>
            </w:r>
            <w:r w:rsidR="008E7AFA">
              <w:rPr>
                <w:rFonts w:asciiTheme="minorHAnsi" w:eastAsia="Times New Roman" w:hAnsiTheme="minorHAnsi"/>
                <w:iCs/>
                <w:szCs w:val="17"/>
                <w:lang w:eastAsia="en-US"/>
              </w:rPr>
              <w:t xml:space="preserve"> </w:t>
            </w:r>
            <w:r w:rsidR="00933F76">
              <w:rPr>
                <w:rFonts w:asciiTheme="minorHAnsi" w:eastAsia="Times New Roman" w:hAnsiTheme="minorHAnsi"/>
                <w:iCs/>
                <w:szCs w:val="17"/>
                <w:lang w:eastAsia="en-US"/>
              </w:rPr>
              <w:t>39,</w:t>
            </w:r>
            <w:r w:rsidRPr="0068278B">
              <w:rPr>
                <w:rFonts w:asciiTheme="minorHAnsi" w:eastAsia="Times New Roman" w:hAnsiTheme="minorHAnsi"/>
                <w:iCs/>
                <w:szCs w:val="17"/>
                <w:lang w:eastAsia="en-US"/>
              </w:rPr>
              <w:t>723 women, 8695 adolescent girls and 81,140 children including 40,613 boys and 40,527 gi</w:t>
            </w:r>
            <w:r w:rsidR="006E5733">
              <w:rPr>
                <w:rFonts w:asciiTheme="minorHAnsi" w:eastAsia="Times New Roman" w:hAnsiTheme="minorHAnsi"/>
                <w:iCs/>
                <w:szCs w:val="17"/>
                <w:lang w:eastAsia="en-US"/>
              </w:rPr>
              <w:t>rls.</w:t>
            </w:r>
          </w:p>
        </w:tc>
      </w:tr>
      <w:tr w:rsidR="002231C7" w:rsidRPr="00C61187" w14:paraId="687D6518" w14:textId="77777777" w:rsidTr="0043662C">
        <w:tc>
          <w:tcPr>
            <w:tcW w:w="780" w:type="pct"/>
            <w:tcMar>
              <w:top w:w="57" w:type="dxa"/>
              <w:bottom w:w="57" w:type="dxa"/>
            </w:tcMar>
          </w:tcPr>
          <w:p w14:paraId="352579CF" w14:textId="77777777" w:rsidR="002231C7" w:rsidRPr="00812509" w:rsidRDefault="002231C7" w:rsidP="00C953C2">
            <w:pPr>
              <w:keepLines/>
              <w:spacing w:before="40" w:after="40" w:line="200" w:lineRule="atLeast"/>
            </w:pPr>
          </w:p>
        </w:tc>
        <w:tc>
          <w:tcPr>
            <w:tcW w:w="780" w:type="pct"/>
            <w:tcBorders>
              <w:right w:val="single" w:sz="4" w:space="0" w:color="FFFFFF" w:themeColor="background1"/>
            </w:tcBorders>
          </w:tcPr>
          <w:p w14:paraId="79BED78F" w14:textId="600C7389" w:rsidR="002231C7" w:rsidRPr="002231C7" w:rsidRDefault="002231C7" w:rsidP="0033503A">
            <w:pPr>
              <w:keepLines/>
              <w:spacing w:before="40" w:after="40" w:line="200" w:lineRule="atLeast"/>
              <w:rPr>
                <w:iCs/>
                <w:sz w:val="16"/>
                <w:szCs w:val="16"/>
              </w:rPr>
            </w:pPr>
            <w:r w:rsidRPr="006E5733">
              <w:rPr>
                <w:rFonts w:asciiTheme="minorHAnsi" w:eastAsia="Times New Roman" w:hAnsiTheme="minorHAnsi"/>
                <w:iCs/>
                <w:szCs w:val="17"/>
                <w:lang w:eastAsia="en-US"/>
              </w:rPr>
              <w:t>Number of boys and girls directly supported by the program, enrolled in basic education</w:t>
            </w:r>
            <w:r w:rsidR="00DB23E8">
              <w:rPr>
                <w:iCs/>
                <w:sz w:val="16"/>
                <w:szCs w:val="16"/>
              </w:rPr>
              <w:t>.</w:t>
            </w:r>
          </w:p>
        </w:tc>
        <w:tc>
          <w:tcPr>
            <w:tcW w:w="470" w:type="pct"/>
            <w:tcBorders>
              <w:top w:val="single" w:sz="4" w:space="0" w:color="FFFFFF" w:themeColor="background1"/>
              <w:left w:val="single" w:sz="4" w:space="0" w:color="FFFFFF" w:themeColor="background1"/>
              <w:bottom w:val="single" w:sz="4" w:space="0" w:color="FFFFFF" w:themeColor="background1"/>
            </w:tcBorders>
            <w:shd w:val="clear" w:color="auto" w:fill="7FB64D" w:themeFill="accent3" w:themeFillShade="BF"/>
          </w:tcPr>
          <w:p w14:paraId="29606F3A" w14:textId="77777777" w:rsidR="002231C7" w:rsidRPr="00880004" w:rsidRDefault="002231C7" w:rsidP="008E7AFA">
            <w:pPr>
              <w:keepLines/>
              <w:spacing w:before="40" w:after="40" w:line="200" w:lineRule="atLeast"/>
              <w:jc w:val="center"/>
              <w:rPr>
                <w:rFonts w:eastAsia="Times New Roman"/>
                <w:iCs/>
                <w:color w:val="FFFFFF" w:themeColor="background1"/>
                <w:szCs w:val="17"/>
              </w:rPr>
            </w:pPr>
            <w:r w:rsidRPr="008E7AFA">
              <w:rPr>
                <w:rFonts w:asciiTheme="minorHAnsi" w:eastAsia="Times New Roman" w:hAnsiTheme="minorHAnsi"/>
                <w:iCs/>
                <w:color w:val="FFFFFF" w:themeColor="background1"/>
                <w:szCs w:val="17"/>
                <w:lang w:eastAsia="en-US"/>
              </w:rPr>
              <w:t>Achieved</w:t>
            </w:r>
          </w:p>
        </w:tc>
        <w:tc>
          <w:tcPr>
            <w:tcW w:w="2970" w:type="pct"/>
          </w:tcPr>
          <w:p w14:paraId="7397DBA9" w14:textId="77777777" w:rsidR="00373AF5" w:rsidRPr="0068278B" w:rsidRDefault="002231C7" w:rsidP="0068278B">
            <w:pPr>
              <w:keepLines/>
              <w:spacing w:before="40" w:after="40" w:line="200" w:lineRule="atLeast"/>
              <w:rPr>
                <w:rFonts w:asciiTheme="minorHAnsi" w:eastAsia="Times New Roman" w:hAnsiTheme="minorHAnsi"/>
                <w:iCs/>
                <w:szCs w:val="17"/>
                <w:lang w:eastAsia="en-US"/>
              </w:rPr>
            </w:pPr>
            <w:r w:rsidRPr="0068278B">
              <w:rPr>
                <w:rFonts w:asciiTheme="minorHAnsi" w:eastAsia="Times New Roman" w:hAnsiTheme="minorHAnsi"/>
                <w:iCs/>
                <w:szCs w:val="17"/>
                <w:lang w:eastAsia="en-US"/>
              </w:rPr>
              <w:t>T</w:t>
            </w:r>
            <w:r w:rsidR="006E5733">
              <w:rPr>
                <w:rFonts w:asciiTheme="minorHAnsi" w:eastAsia="Times New Roman" w:hAnsiTheme="minorHAnsi"/>
                <w:iCs/>
                <w:szCs w:val="17"/>
                <w:lang w:eastAsia="en-US"/>
              </w:rPr>
              <w:t>he t</w:t>
            </w:r>
            <w:r w:rsidRPr="0068278B">
              <w:rPr>
                <w:rFonts w:asciiTheme="minorHAnsi" w:eastAsia="Times New Roman" w:hAnsiTheme="minorHAnsi"/>
                <w:iCs/>
                <w:szCs w:val="17"/>
                <w:lang w:eastAsia="en-US"/>
              </w:rPr>
              <w:t xml:space="preserve">arget </w:t>
            </w:r>
            <w:r w:rsidR="006E5733">
              <w:rPr>
                <w:rFonts w:asciiTheme="minorHAnsi" w:eastAsia="Times New Roman" w:hAnsiTheme="minorHAnsi"/>
                <w:iCs/>
                <w:szCs w:val="17"/>
                <w:lang w:eastAsia="en-US"/>
              </w:rPr>
              <w:t>of</w:t>
            </w:r>
            <w:r w:rsidRPr="0068278B">
              <w:rPr>
                <w:rFonts w:asciiTheme="minorHAnsi" w:eastAsia="Times New Roman" w:hAnsiTheme="minorHAnsi"/>
                <w:iCs/>
                <w:szCs w:val="17"/>
                <w:lang w:eastAsia="en-US"/>
              </w:rPr>
              <w:t xml:space="preserve"> 4.4m</w:t>
            </w:r>
            <w:r w:rsidR="006E5733">
              <w:rPr>
                <w:rFonts w:asciiTheme="minorHAnsi" w:eastAsia="Times New Roman" w:hAnsiTheme="minorHAnsi"/>
                <w:iCs/>
                <w:szCs w:val="17"/>
                <w:lang w:eastAsia="en-US"/>
              </w:rPr>
              <w:t xml:space="preserve"> was achieved with 4.4m children being supported, including 1.95m girls (against a target of</w:t>
            </w:r>
            <w:r w:rsidRPr="0068278B">
              <w:rPr>
                <w:rFonts w:asciiTheme="minorHAnsi" w:eastAsia="Times New Roman" w:hAnsiTheme="minorHAnsi"/>
                <w:iCs/>
                <w:szCs w:val="17"/>
                <w:lang w:eastAsia="en-US"/>
              </w:rPr>
              <w:t xml:space="preserve"> 1.91m</w:t>
            </w:r>
            <w:r w:rsidR="006E5733">
              <w:rPr>
                <w:rFonts w:asciiTheme="minorHAnsi" w:eastAsia="Times New Roman" w:hAnsiTheme="minorHAnsi"/>
                <w:iCs/>
                <w:szCs w:val="17"/>
                <w:lang w:eastAsia="en-US"/>
              </w:rPr>
              <w:t>)</w:t>
            </w:r>
            <w:r w:rsidR="00373AF5" w:rsidRPr="0068278B">
              <w:rPr>
                <w:rFonts w:asciiTheme="minorHAnsi" w:eastAsia="Times New Roman" w:hAnsiTheme="minorHAnsi"/>
                <w:iCs/>
                <w:szCs w:val="17"/>
                <w:lang w:eastAsia="en-US"/>
              </w:rPr>
              <w:t xml:space="preserve">. </w:t>
            </w:r>
          </w:p>
          <w:p w14:paraId="23D2C933" w14:textId="77777777" w:rsidR="002231C7" w:rsidRPr="00880004" w:rsidRDefault="002231C7" w:rsidP="00C953C2">
            <w:pPr>
              <w:pStyle w:val="TableTextEntries"/>
              <w:keepNext/>
              <w:rPr>
                <w:rFonts w:asciiTheme="minorHAnsi" w:hAnsiTheme="minorHAnsi" w:cstheme="minorBidi"/>
                <w:color w:val="495965" w:themeColor="text2"/>
                <w:lang w:val="en-GB"/>
              </w:rPr>
            </w:pPr>
          </w:p>
        </w:tc>
      </w:tr>
      <w:tr w:rsidR="00120BB1" w:rsidRPr="00C61187" w14:paraId="2C8A04D4" w14:textId="77777777" w:rsidTr="0043662C">
        <w:tc>
          <w:tcPr>
            <w:tcW w:w="780" w:type="pct"/>
            <w:tcMar>
              <w:top w:w="57" w:type="dxa"/>
              <w:bottom w:w="57" w:type="dxa"/>
            </w:tcMar>
          </w:tcPr>
          <w:p w14:paraId="2D9C3312" w14:textId="77777777" w:rsidR="00120BB1" w:rsidRPr="00812509" w:rsidRDefault="00120BB1" w:rsidP="00120BB1">
            <w:pPr>
              <w:keepLines/>
              <w:spacing w:before="40" w:after="40" w:line="200" w:lineRule="atLeast"/>
            </w:pPr>
          </w:p>
        </w:tc>
        <w:tc>
          <w:tcPr>
            <w:tcW w:w="780" w:type="pct"/>
          </w:tcPr>
          <w:p w14:paraId="5C5FFBD9" w14:textId="40E606C5" w:rsidR="00120BB1" w:rsidRPr="006E5733" w:rsidRDefault="00120BB1" w:rsidP="00120BB1">
            <w:pPr>
              <w:keepLines/>
              <w:spacing w:before="40" w:after="40" w:line="200" w:lineRule="atLeast"/>
              <w:rPr>
                <w:rFonts w:asciiTheme="minorHAnsi" w:eastAsia="Times New Roman" w:hAnsiTheme="minorHAnsi"/>
                <w:iCs/>
                <w:szCs w:val="17"/>
                <w:lang w:eastAsia="en-US"/>
              </w:rPr>
            </w:pPr>
            <w:r w:rsidRPr="006E5733">
              <w:rPr>
                <w:rFonts w:asciiTheme="minorHAnsi" w:eastAsia="Times New Roman" w:hAnsiTheme="minorHAnsi"/>
                <w:iCs/>
                <w:szCs w:val="17"/>
                <w:lang w:eastAsia="en-US"/>
              </w:rPr>
              <w:t>Number of women survivors of violence accessing quality suppor</w:t>
            </w:r>
            <w:r w:rsidR="006E5733">
              <w:rPr>
                <w:rFonts w:asciiTheme="minorHAnsi" w:eastAsia="Times New Roman" w:hAnsiTheme="minorHAnsi"/>
                <w:iCs/>
                <w:szCs w:val="17"/>
                <w:lang w:eastAsia="en-US"/>
              </w:rPr>
              <w:t>t services in target districts</w:t>
            </w:r>
            <w:r w:rsidR="00DB23E8">
              <w:rPr>
                <w:rFonts w:asciiTheme="minorHAnsi" w:eastAsia="Times New Roman" w:hAnsiTheme="minorHAnsi"/>
                <w:iCs/>
                <w:szCs w:val="17"/>
                <w:lang w:eastAsia="en-US"/>
              </w:rPr>
              <w:t>.</w:t>
            </w:r>
          </w:p>
        </w:tc>
        <w:tc>
          <w:tcPr>
            <w:tcW w:w="470" w:type="pct"/>
            <w:tcBorders>
              <w:top w:val="single" w:sz="4" w:space="0" w:color="FFFFFF" w:themeColor="background1"/>
            </w:tcBorders>
            <w:shd w:val="clear" w:color="auto" w:fill="7FB64D" w:themeFill="accent3" w:themeFillShade="BF"/>
          </w:tcPr>
          <w:p w14:paraId="694DAA84" w14:textId="77777777" w:rsidR="00120BB1" w:rsidRPr="00880004" w:rsidRDefault="002231C7" w:rsidP="008E7AFA">
            <w:pPr>
              <w:keepLines/>
              <w:spacing w:before="40" w:after="40" w:line="200" w:lineRule="atLeast"/>
              <w:jc w:val="center"/>
              <w:rPr>
                <w:rFonts w:eastAsia="Times New Roman"/>
                <w:iCs/>
                <w:color w:val="FFFFFF" w:themeColor="background1"/>
                <w:szCs w:val="17"/>
              </w:rPr>
            </w:pPr>
            <w:r w:rsidRPr="008E7AFA">
              <w:rPr>
                <w:rFonts w:asciiTheme="minorHAnsi" w:eastAsia="Times New Roman" w:hAnsiTheme="minorHAnsi"/>
                <w:iCs/>
                <w:color w:val="FFFFFF" w:themeColor="background1"/>
                <w:szCs w:val="17"/>
                <w:lang w:eastAsia="en-US"/>
              </w:rPr>
              <w:t>Achieved</w:t>
            </w:r>
          </w:p>
        </w:tc>
        <w:tc>
          <w:tcPr>
            <w:tcW w:w="2970" w:type="pct"/>
          </w:tcPr>
          <w:p w14:paraId="63937F5D" w14:textId="58B947A1" w:rsidR="00120BB1" w:rsidRPr="00880004" w:rsidRDefault="00373AF5" w:rsidP="006E5733">
            <w:pPr>
              <w:keepLines/>
              <w:spacing w:before="40" w:after="40" w:line="200" w:lineRule="atLeast"/>
              <w:rPr>
                <w:rFonts w:asciiTheme="minorHAnsi" w:hAnsiTheme="minorHAnsi"/>
              </w:rPr>
            </w:pPr>
            <w:r w:rsidRPr="0068278B">
              <w:rPr>
                <w:rFonts w:asciiTheme="minorHAnsi" w:eastAsia="Times New Roman" w:hAnsiTheme="minorHAnsi"/>
                <w:iCs/>
                <w:szCs w:val="17"/>
                <w:lang w:eastAsia="en-US"/>
              </w:rPr>
              <w:t>A total of 2330 survivors acces</w:t>
            </w:r>
            <w:r w:rsidR="006E5733">
              <w:rPr>
                <w:rFonts w:asciiTheme="minorHAnsi" w:eastAsia="Times New Roman" w:hAnsiTheme="minorHAnsi"/>
                <w:iCs/>
                <w:szCs w:val="17"/>
                <w:lang w:eastAsia="en-US"/>
              </w:rPr>
              <w:t xml:space="preserve">sed program services in </w:t>
            </w:r>
            <w:r w:rsidR="007F35DD">
              <w:rPr>
                <w:rFonts w:asciiTheme="minorHAnsi" w:eastAsia="Times New Roman" w:hAnsiTheme="minorHAnsi"/>
                <w:iCs/>
                <w:szCs w:val="17"/>
                <w:lang w:eastAsia="en-US"/>
              </w:rPr>
              <w:t>20</w:t>
            </w:r>
            <w:r w:rsidR="006E5733">
              <w:rPr>
                <w:rFonts w:asciiTheme="minorHAnsi" w:eastAsia="Times New Roman" w:hAnsiTheme="minorHAnsi"/>
                <w:iCs/>
                <w:szCs w:val="17"/>
                <w:lang w:eastAsia="en-US"/>
              </w:rPr>
              <w:t>16</w:t>
            </w:r>
            <w:r w:rsidR="005F7738">
              <w:rPr>
                <w:rFonts w:asciiTheme="minorHAnsi" w:eastAsia="Times New Roman" w:hAnsiTheme="minorHAnsi"/>
                <w:iCs/>
                <w:szCs w:val="17"/>
                <w:lang w:eastAsia="en-US"/>
              </w:rPr>
              <w:t>-</w:t>
            </w:r>
            <w:r w:rsidR="006E5733">
              <w:rPr>
                <w:rFonts w:asciiTheme="minorHAnsi" w:eastAsia="Times New Roman" w:hAnsiTheme="minorHAnsi"/>
                <w:iCs/>
                <w:szCs w:val="17"/>
                <w:lang w:eastAsia="en-US"/>
              </w:rPr>
              <w:t>17, surpassing the target of 1800.</w:t>
            </w:r>
          </w:p>
        </w:tc>
      </w:tr>
      <w:tr w:rsidR="00FF1A9D" w:rsidRPr="00C61187" w14:paraId="309ACFC8" w14:textId="77777777" w:rsidTr="0043662C">
        <w:tc>
          <w:tcPr>
            <w:tcW w:w="780" w:type="pct"/>
            <w:tcBorders>
              <w:bottom w:val="nil"/>
            </w:tcBorders>
            <w:tcMar>
              <w:top w:w="57" w:type="dxa"/>
              <w:bottom w:w="57" w:type="dxa"/>
            </w:tcMar>
          </w:tcPr>
          <w:p w14:paraId="45E7FE06" w14:textId="77777777" w:rsidR="00FF1A9D" w:rsidRDefault="00FF1A9D" w:rsidP="00FF1A9D">
            <w:pPr>
              <w:keepLines/>
              <w:spacing w:before="40" w:after="40" w:line="200" w:lineRule="atLeast"/>
              <w:rPr>
                <w:rFonts w:eastAsia="Times New Roman"/>
                <w:iCs/>
                <w:szCs w:val="17"/>
              </w:rPr>
            </w:pPr>
            <w:r w:rsidRPr="00812509">
              <w:rPr>
                <w:rFonts w:asciiTheme="minorHAnsi" w:hAnsiTheme="minorHAnsi"/>
              </w:rPr>
              <w:lastRenderedPageBreak/>
              <w:t>Objective 3</w:t>
            </w:r>
            <w:r>
              <w:rPr>
                <w:rFonts w:asciiTheme="minorHAnsi" w:hAnsiTheme="minorHAnsi"/>
              </w:rPr>
              <w:t>: Supporting stabilisation and resilience</w:t>
            </w:r>
          </w:p>
        </w:tc>
        <w:tc>
          <w:tcPr>
            <w:tcW w:w="780" w:type="pct"/>
            <w:tcBorders>
              <w:bottom w:val="nil"/>
            </w:tcBorders>
          </w:tcPr>
          <w:p w14:paraId="7009112E" w14:textId="116F6F31" w:rsidR="00FF1A9D" w:rsidRPr="0068278B" w:rsidRDefault="00FF1A9D">
            <w:pPr>
              <w:keepLines/>
              <w:spacing w:before="40" w:after="40" w:line="200" w:lineRule="atLeast"/>
              <w:rPr>
                <w:iCs/>
                <w:sz w:val="16"/>
                <w:szCs w:val="16"/>
              </w:rPr>
            </w:pPr>
            <w:r w:rsidRPr="006E5733">
              <w:rPr>
                <w:rFonts w:asciiTheme="minorHAnsi" w:eastAsia="Times New Roman" w:hAnsiTheme="minorHAnsi"/>
                <w:iCs/>
                <w:szCs w:val="17"/>
                <w:lang w:eastAsia="en-US"/>
              </w:rPr>
              <w:t xml:space="preserve">Number of Round-II programs initiated in Balochistan, </w:t>
            </w:r>
            <w:r w:rsidR="005F7738">
              <w:rPr>
                <w:rFonts w:asciiTheme="minorHAnsi" w:eastAsia="Times New Roman" w:hAnsiTheme="minorHAnsi"/>
                <w:iCs/>
                <w:szCs w:val="17"/>
                <w:lang w:eastAsia="en-US"/>
              </w:rPr>
              <w:t xml:space="preserve">KP </w:t>
            </w:r>
            <w:r w:rsidRPr="006E5733">
              <w:rPr>
                <w:rFonts w:asciiTheme="minorHAnsi" w:eastAsia="Times New Roman" w:hAnsiTheme="minorHAnsi"/>
                <w:iCs/>
                <w:szCs w:val="17"/>
                <w:lang w:eastAsia="en-US"/>
              </w:rPr>
              <w:t>and FATA (the three border areas).</w:t>
            </w:r>
            <w:r w:rsidRPr="0068278B">
              <w:rPr>
                <w:iCs/>
                <w:sz w:val="16"/>
                <w:szCs w:val="16"/>
              </w:rPr>
              <w:t xml:space="preserve"> </w:t>
            </w:r>
          </w:p>
        </w:tc>
        <w:tc>
          <w:tcPr>
            <w:tcW w:w="470" w:type="pct"/>
            <w:tcBorders>
              <w:bottom w:val="nil"/>
            </w:tcBorders>
            <w:shd w:val="clear" w:color="auto" w:fill="7FB64D" w:themeFill="accent3" w:themeFillShade="BF"/>
          </w:tcPr>
          <w:p w14:paraId="26E50C38" w14:textId="77777777" w:rsidR="00FF1A9D" w:rsidRPr="00326F72" w:rsidRDefault="00FF1A9D" w:rsidP="00FF1A9D">
            <w:pPr>
              <w:keepLines/>
              <w:spacing w:before="40" w:after="40" w:line="200" w:lineRule="atLeast"/>
              <w:jc w:val="center"/>
              <w:rPr>
                <w:rFonts w:asciiTheme="minorHAnsi" w:eastAsia="Times New Roman" w:hAnsiTheme="minorHAnsi"/>
                <w:iCs/>
                <w:color w:val="FFFFFF" w:themeColor="background1"/>
                <w:szCs w:val="17"/>
                <w:lang w:eastAsia="en-US"/>
              </w:rPr>
            </w:pPr>
            <w:r w:rsidRPr="008E7AFA">
              <w:rPr>
                <w:rFonts w:asciiTheme="minorHAnsi" w:eastAsia="Times New Roman" w:hAnsiTheme="minorHAnsi"/>
                <w:iCs/>
                <w:color w:val="FFFFFF" w:themeColor="background1"/>
                <w:szCs w:val="17"/>
                <w:lang w:eastAsia="en-US"/>
              </w:rPr>
              <w:t>Achieved</w:t>
            </w:r>
          </w:p>
        </w:tc>
        <w:tc>
          <w:tcPr>
            <w:tcW w:w="2970" w:type="pct"/>
            <w:tcBorders>
              <w:bottom w:val="nil"/>
            </w:tcBorders>
          </w:tcPr>
          <w:p w14:paraId="3C129995" w14:textId="57829A97" w:rsidR="00FF1A9D" w:rsidRPr="006E5733" w:rsidRDefault="00FF1A9D" w:rsidP="00C85B61">
            <w:pPr>
              <w:keepLines/>
              <w:spacing w:before="40" w:after="40" w:line="200" w:lineRule="atLeast"/>
              <w:rPr>
                <w:rFonts w:asciiTheme="minorHAnsi" w:eastAsia="Times New Roman" w:hAnsiTheme="minorHAnsi"/>
                <w:iCs/>
                <w:szCs w:val="17"/>
                <w:lang w:eastAsia="en-US"/>
              </w:rPr>
            </w:pPr>
            <w:r w:rsidRPr="006E5733">
              <w:rPr>
                <w:rFonts w:asciiTheme="minorHAnsi" w:eastAsia="Times New Roman" w:hAnsiTheme="minorHAnsi"/>
                <w:iCs/>
                <w:szCs w:val="17"/>
                <w:lang w:eastAsia="en-US"/>
              </w:rPr>
              <w:t xml:space="preserve">The target was </w:t>
            </w:r>
            <w:r w:rsidRPr="006E5733">
              <w:rPr>
                <w:rFonts w:asciiTheme="minorHAnsi" w:eastAsia="Times New Roman" w:hAnsiTheme="minorHAnsi"/>
                <w:i/>
                <w:iCs/>
                <w:szCs w:val="17"/>
                <w:lang w:eastAsia="en-US"/>
              </w:rPr>
              <w:t>Seven programs initiated in service delivery (two programs each in KP and FATA), job creation (two programs each in KP and FATA) and good governance (one program each in KP, FATA and Balochistan</w:t>
            </w:r>
            <w:r w:rsidRPr="006E5733">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The World Bank,</w:t>
            </w:r>
            <w:r w:rsidRPr="006E5733">
              <w:rPr>
                <w:rFonts w:asciiTheme="minorHAnsi" w:eastAsia="Times New Roman" w:hAnsiTheme="minorHAnsi"/>
                <w:iCs/>
                <w:szCs w:val="17"/>
                <w:lang w:eastAsia="en-US"/>
              </w:rPr>
              <w:t xml:space="preserve"> in partnership with the governments of KP, FATA and Balochistan have initiated implementation of all </w:t>
            </w:r>
            <w:r w:rsidR="007F35DD">
              <w:rPr>
                <w:rFonts w:asciiTheme="minorHAnsi" w:eastAsia="Times New Roman" w:hAnsiTheme="minorHAnsi"/>
                <w:iCs/>
                <w:szCs w:val="17"/>
                <w:lang w:eastAsia="en-US"/>
              </w:rPr>
              <w:t>Multi-donor Trust Fund for the Border Areas (</w:t>
            </w:r>
            <w:r w:rsidRPr="006E5733">
              <w:rPr>
                <w:rFonts w:asciiTheme="minorHAnsi" w:eastAsia="Times New Roman" w:hAnsiTheme="minorHAnsi"/>
                <w:iCs/>
                <w:szCs w:val="17"/>
                <w:lang w:eastAsia="en-US"/>
              </w:rPr>
              <w:t>MDTF-BA</w:t>
            </w:r>
            <w:r w:rsidR="007F35DD">
              <w:rPr>
                <w:rFonts w:asciiTheme="minorHAnsi" w:eastAsia="Times New Roman" w:hAnsiTheme="minorHAnsi"/>
                <w:iCs/>
                <w:szCs w:val="17"/>
                <w:lang w:eastAsia="en-US"/>
              </w:rPr>
              <w:t>)</w:t>
            </w:r>
            <w:r w:rsidRPr="006E5733">
              <w:rPr>
                <w:rFonts w:asciiTheme="minorHAnsi" w:eastAsia="Times New Roman" w:hAnsiTheme="minorHAnsi"/>
                <w:iCs/>
                <w:szCs w:val="17"/>
                <w:lang w:eastAsia="en-US"/>
              </w:rPr>
              <w:t xml:space="preserve"> Round-II projects between December 2016 and April 2017</w:t>
            </w:r>
            <w:r>
              <w:rPr>
                <w:rFonts w:asciiTheme="minorHAnsi" w:eastAsia="Times New Roman" w:hAnsiTheme="minorHAnsi"/>
                <w:iCs/>
                <w:szCs w:val="17"/>
                <w:lang w:eastAsia="en-US"/>
              </w:rPr>
              <w:t>. Noting that the W</w:t>
            </w:r>
            <w:r w:rsidR="007F35DD">
              <w:rPr>
                <w:rFonts w:asciiTheme="minorHAnsi" w:eastAsia="Times New Roman" w:hAnsiTheme="minorHAnsi"/>
                <w:iCs/>
                <w:szCs w:val="17"/>
                <w:lang w:eastAsia="en-US"/>
              </w:rPr>
              <w:t xml:space="preserve">orld </w:t>
            </w:r>
            <w:r>
              <w:rPr>
                <w:rFonts w:asciiTheme="minorHAnsi" w:eastAsia="Times New Roman" w:hAnsiTheme="minorHAnsi"/>
                <w:iCs/>
                <w:szCs w:val="17"/>
                <w:lang w:eastAsia="en-US"/>
              </w:rPr>
              <w:t>B</w:t>
            </w:r>
            <w:r w:rsidR="007F35DD">
              <w:rPr>
                <w:rFonts w:asciiTheme="minorHAnsi" w:eastAsia="Times New Roman" w:hAnsiTheme="minorHAnsi"/>
                <w:iCs/>
                <w:szCs w:val="17"/>
                <w:lang w:eastAsia="en-US"/>
              </w:rPr>
              <w:t>ank</w:t>
            </w:r>
            <w:r>
              <w:rPr>
                <w:rFonts w:asciiTheme="minorHAnsi" w:eastAsia="Times New Roman" w:hAnsiTheme="minorHAnsi"/>
                <w:iCs/>
                <w:szCs w:val="17"/>
                <w:lang w:eastAsia="en-US"/>
              </w:rPr>
              <w:t xml:space="preserve"> initiated a total of six round</w:t>
            </w:r>
            <w:r w:rsidR="007F35DD">
              <w:rPr>
                <w:rFonts w:asciiTheme="minorHAnsi" w:eastAsia="Times New Roman" w:hAnsiTheme="minorHAnsi"/>
                <w:iCs/>
                <w:szCs w:val="17"/>
                <w:lang w:eastAsia="en-US"/>
              </w:rPr>
              <w:t>-</w:t>
            </w:r>
            <w:r>
              <w:rPr>
                <w:rFonts w:asciiTheme="minorHAnsi" w:eastAsia="Times New Roman" w:hAnsiTheme="minorHAnsi"/>
                <w:iCs/>
                <w:szCs w:val="17"/>
                <w:lang w:eastAsia="en-US"/>
              </w:rPr>
              <w:t xml:space="preserve">II projects (instead of seven projects) with the </w:t>
            </w:r>
            <w:r w:rsidR="00EB402D">
              <w:rPr>
                <w:rFonts w:asciiTheme="minorHAnsi" w:eastAsia="Times New Roman" w:hAnsiTheme="minorHAnsi"/>
                <w:iCs/>
                <w:szCs w:val="17"/>
                <w:lang w:eastAsia="en-US"/>
              </w:rPr>
              <w:t xml:space="preserve">economic growth and job creation </w:t>
            </w:r>
            <w:r w:rsidR="00C85B61">
              <w:rPr>
                <w:rFonts w:asciiTheme="minorHAnsi" w:eastAsia="Times New Roman" w:hAnsiTheme="minorHAnsi"/>
                <w:iCs/>
                <w:szCs w:val="17"/>
                <w:lang w:eastAsia="en-US"/>
              </w:rPr>
              <w:t>project</w:t>
            </w:r>
            <w:r>
              <w:rPr>
                <w:rFonts w:asciiTheme="minorHAnsi" w:eastAsia="Times New Roman" w:hAnsiTheme="minorHAnsi"/>
                <w:iCs/>
                <w:szCs w:val="17"/>
                <w:lang w:eastAsia="en-US"/>
              </w:rPr>
              <w:t xml:space="preserve"> established as one project with</w:t>
            </w:r>
            <w:r w:rsidRPr="006E5733">
              <w:rPr>
                <w:rFonts w:asciiTheme="minorHAnsi" w:eastAsia="Times New Roman" w:hAnsiTheme="minorHAnsi"/>
                <w:iCs/>
                <w:szCs w:val="17"/>
                <w:lang w:eastAsia="en-US"/>
              </w:rPr>
              <w:t xml:space="preserve"> two regional components (FATA and KP)</w:t>
            </w:r>
            <w:r>
              <w:rPr>
                <w:rFonts w:asciiTheme="minorHAnsi" w:eastAsia="Times New Roman" w:hAnsiTheme="minorHAnsi"/>
                <w:iCs/>
                <w:szCs w:val="17"/>
                <w:lang w:eastAsia="en-US"/>
              </w:rPr>
              <w:t>. Round-II projects</w:t>
            </w:r>
            <w:r w:rsidRPr="006E5733">
              <w:rPr>
                <w:rFonts w:asciiTheme="minorHAnsi" w:eastAsia="Times New Roman" w:hAnsiTheme="minorHAnsi"/>
                <w:iCs/>
                <w:szCs w:val="17"/>
                <w:lang w:eastAsia="en-US"/>
              </w:rPr>
              <w:t xml:space="preserve"> include governance and policy projects in the three border areas, an economic growth and job creation project in KP and FATA, and two service delivery and rural development projects in KP and FATA.  All projects are in diff</w:t>
            </w:r>
            <w:r>
              <w:rPr>
                <w:rFonts w:asciiTheme="minorHAnsi" w:eastAsia="Times New Roman" w:hAnsiTheme="minorHAnsi"/>
                <w:iCs/>
                <w:szCs w:val="17"/>
                <w:lang w:eastAsia="en-US"/>
              </w:rPr>
              <w:t xml:space="preserve">erent stages of implementation. </w:t>
            </w:r>
            <w:r w:rsidRPr="006E5733">
              <w:rPr>
                <w:rFonts w:asciiTheme="minorHAnsi" w:eastAsia="Times New Roman" w:hAnsiTheme="minorHAnsi"/>
                <w:iCs/>
                <w:szCs w:val="17"/>
                <w:lang w:eastAsia="en-US"/>
              </w:rPr>
              <w:t>The W</w:t>
            </w:r>
            <w:r w:rsidR="007F35DD">
              <w:rPr>
                <w:rFonts w:asciiTheme="minorHAnsi" w:eastAsia="Times New Roman" w:hAnsiTheme="minorHAnsi"/>
                <w:iCs/>
                <w:szCs w:val="17"/>
                <w:lang w:eastAsia="en-US"/>
              </w:rPr>
              <w:t xml:space="preserve">orld </w:t>
            </w:r>
            <w:r w:rsidRPr="006E5733">
              <w:rPr>
                <w:rFonts w:asciiTheme="minorHAnsi" w:eastAsia="Times New Roman" w:hAnsiTheme="minorHAnsi"/>
                <w:iCs/>
                <w:szCs w:val="17"/>
                <w:lang w:eastAsia="en-US"/>
              </w:rPr>
              <w:t>B</w:t>
            </w:r>
            <w:r w:rsidR="007F35DD">
              <w:rPr>
                <w:rFonts w:asciiTheme="minorHAnsi" w:eastAsia="Times New Roman" w:hAnsiTheme="minorHAnsi"/>
                <w:iCs/>
                <w:szCs w:val="17"/>
                <w:lang w:eastAsia="en-US"/>
              </w:rPr>
              <w:t>ank</w:t>
            </w:r>
            <w:r w:rsidRPr="006E5733">
              <w:rPr>
                <w:rFonts w:asciiTheme="minorHAnsi" w:eastAsia="Times New Roman" w:hAnsiTheme="minorHAnsi"/>
                <w:iCs/>
                <w:szCs w:val="17"/>
                <w:lang w:eastAsia="en-US"/>
              </w:rPr>
              <w:t xml:space="preserve"> has also made some progress initiating a combined service delivery and economic growth project in Balochistan in September/October 2017 and</w:t>
            </w:r>
            <w:r>
              <w:rPr>
                <w:rFonts w:asciiTheme="minorHAnsi" w:eastAsia="Times New Roman" w:hAnsiTheme="minorHAnsi"/>
                <w:iCs/>
                <w:szCs w:val="17"/>
                <w:lang w:eastAsia="en-US"/>
              </w:rPr>
              <w:t xml:space="preserve"> is</w:t>
            </w:r>
            <w:r w:rsidRPr="006E5733">
              <w:rPr>
                <w:rFonts w:asciiTheme="minorHAnsi" w:eastAsia="Times New Roman" w:hAnsiTheme="minorHAnsi"/>
                <w:iCs/>
                <w:szCs w:val="17"/>
                <w:lang w:eastAsia="en-US"/>
              </w:rPr>
              <w:t xml:space="preserve"> considering co-financing a ‘</w:t>
            </w:r>
            <w:r>
              <w:rPr>
                <w:rFonts w:asciiTheme="minorHAnsi" w:eastAsia="Times New Roman" w:hAnsiTheme="minorHAnsi"/>
                <w:iCs/>
                <w:szCs w:val="17"/>
                <w:lang w:eastAsia="en-US"/>
              </w:rPr>
              <w:t>digital jobs for youth in KP’ – these two projects were not part of the original plan for Phase II projects.</w:t>
            </w:r>
          </w:p>
        </w:tc>
      </w:tr>
    </w:tbl>
    <w:p w14:paraId="3E21FFA7"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395974E6" w14:textId="487184D2"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w:t>
      </w:r>
      <w:r w:rsidR="007F35DD" w:rsidRPr="00880004">
        <w:rPr>
          <w:rFonts w:eastAsia="Times New Roman"/>
          <w:b/>
          <w:sz w:val="16"/>
          <w:szCs w:val="14"/>
        </w:rPr>
        <w:t>achieved</w:t>
      </w:r>
      <w:r w:rsidR="007F35DD">
        <w:rPr>
          <w:rFonts w:eastAsia="Times New Roman"/>
          <w:b/>
          <w:sz w:val="16"/>
          <w:szCs w:val="14"/>
        </w:rPr>
        <w:t>.</w:t>
      </w:r>
    </w:p>
    <w:p w14:paraId="37E65D1E"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1B8F1F44" w14:textId="56FCB729"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r w:rsidR="007F35DD">
        <w:rPr>
          <w:rFonts w:eastAsia="Times New Roman"/>
          <w:b/>
          <w:sz w:val="16"/>
          <w:szCs w:val="14"/>
        </w:rPr>
        <w:t>.</w:t>
      </w:r>
    </w:p>
    <w:p w14:paraId="5CAF4599" w14:textId="77777777" w:rsidR="00BE1BEB" w:rsidRDefault="00BE1BEB" w:rsidP="00184F1E">
      <w:pPr>
        <w:rPr>
          <w:rFonts w:ascii="Franklin Gothic Book" w:eastAsia="Times New Roman" w:hAnsi="Franklin Gothic Book"/>
          <w:b/>
          <w:sz w:val="24"/>
          <w:szCs w:val="24"/>
        </w:rPr>
      </w:pPr>
    </w:p>
    <w:p w14:paraId="4B0DECE0" w14:textId="77777777" w:rsidR="009A7142" w:rsidRDefault="009A7142" w:rsidP="00184F1E">
      <w:pPr>
        <w:rPr>
          <w:rFonts w:ascii="Franklin Gothic Book" w:eastAsia="Times New Roman" w:hAnsi="Franklin Gothic Book"/>
          <w:b/>
          <w:sz w:val="24"/>
          <w:szCs w:val="24"/>
        </w:rPr>
      </w:pPr>
    </w:p>
    <w:p w14:paraId="70453599" w14:textId="77777777" w:rsidR="009A7142" w:rsidRDefault="009A7142" w:rsidP="00184F1E">
      <w:pPr>
        <w:rPr>
          <w:rFonts w:ascii="Franklin Gothic Book" w:eastAsia="Times New Roman" w:hAnsi="Franklin Gothic Book"/>
          <w:b/>
          <w:sz w:val="24"/>
          <w:szCs w:val="24"/>
        </w:rPr>
      </w:pPr>
    </w:p>
    <w:p w14:paraId="13EC5D38" w14:textId="77777777" w:rsidR="009A7142" w:rsidRDefault="009A7142" w:rsidP="00184F1E">
      <w:pPr>
        <w:rPr>
          <w:rFonts w:ascii="Franklin Gothic Book" w:eastAsia="Times New Roman" w:hAnsi="Franklin Gothic Book"/>
          <w:b/>
          <w:sz w:val="24"/>
          <w:szCs w:val="24"/>
        </w:rPr>
      </w:pPr>
    </w:p>
    <w:p w14:paraId="6DC0DE58" w14:textId="77777777" w:rsidR="009A7142" w:rsidRDefault="009A7142" w:rsidP="00184F1E">
      <w:pPr>
        <w:rPr>
          <w:rFonts w:ascii="Franklin Gothic Book" w:eastAsia="Times New Roman" w:hAnsi="Franklin Gothic Book"/>
          <w:b/>
          <w:sz w:val="24"/>
          <w:szCs w:val="24"/>
        </w:rPr>
      </w:pPr>
    </w:p>
    <w:p w14:paraId="1B1ECE3B" w14:textId="77777777" w:rsidR="009A7142" w:rsidRDefault="009A7142" w:rsidP="00184F1E">
      <w:pPr>
        <w:rPr>
          <w:rFonts w:ascii="Franklin Gothic Book" w:eastAsia="Times New Roman" w:hAnsi="Franklin Gothic Book"/>
          <w:b/>
          <w:sz w:val="24"/>
          <w:szCs w:val="24"/>
        </w:rPr>
      </w:pPr>
    </w:p>
    <w:p w14:paraId="07DA7572" w14:textId="77777777" w:rsidR="009A7142" w:rsidRDefault="009A7142" w:rsidP="00184F1E">
      <w:pPr>
        <w:rPr>
          <w:rFonts w:ascii="Franklin Gothic Book" w:eastAsia="Times New Roman" w:hAnsi="Franklin Gothic Book"/>
          <w:b/>
          <w:sz w:val="24"/>
          <w:szCs w:val="24"/>
        </w:rPr>
      </w:pPr>
    </w:p>
    <w:p w14:paraId="62D838E1" w14:textId="77777777" w:rsidR="009A7142" w:rsidRDefault="009A7142" w:rsidP="00184F1E">
      <w:pPr>
        <w:rPr>
          <w:rFonts w:ascii="Franklin Gothic Book" w:eastAsia="Times New Roman" w:hAnsi="Franklin Gothic Book"/>
          <w:b/>
          <w:sz w:val="24"/>
          <w:szCs w:val="24"/>
        </w:rPr>
      </w:pPr>
    </w:p>
    <w:p w14:paraId="1C0AFEDC" w14:textId="77777777" w:rsidR="009A7142" w:rsidRDefault="009A7142" w:rsidP="00184F1E">
      <w:pPr>
        <w:rPr>
          <w:rFonts w:ascii="Franklin Gothic Book" w:eastAsia="Times New Roman" w:hAnsi="Franklin Gothic Book"/>
          <w:b/>
          <w:sz w:val="24"/>
          <w:szCs w:val="24"/>
        </w:rPr>
      </w:pPr>
    </w:p>
    <w:p w14:paraId="6CDFFFB5" w14:textId="77777777" w:rsidR="009A7142" w:rsidRDefault="009A7142" w:rsidP="00184F1E">
      <w:pPr>
        <w:rPr>
          <w:rFonts w:ascii="Franklin Gothic Book" w:eastAsia="Times New Roman" w:hAnsi="Franklin Gothic Book"/>
          <w:b/>
          <w:sz w:val="24"/>
          <w:szCs w:val="24"/>
        </w:rPr>
      </w:pPr>
    </w:p>
    <w:p w14:paraId="6861AF06" w14:textId="77777777" w:rsidR="009A7142" w:rsidRDefault="009A7142" w:rsidP="00184F1E">
      <w:pPr>
        <w:rPr>
          <w:rFonts w:ascii="Franklin Gothic Book" w:eastAsia="Times New Roman" w:hAnsi="Franklin Gothic Book"/>
          <w:b/>
          <w:sz w:val="24"/>
          <w:szCs w:val="24"/>
        </w:rPr>
      </w:pPr>
    </w:p>
    <w:p w14:paraId="4412E403" w14:textId="77777777" w:rsidR="0037717D" w:rsidRDefault="0037717D">
      <w:pPr>
        <w:suppressAutoHyphens w:val="0"/>
        <w:spacing w:before="0" w:after="120" w:line="440" w:lineRule="atLeast"/>
        <w:rPr>
          <w:rFonts w:ascii="Franklin Gothic Book" w:eastAsia="Times New Roman" w:hAnsi="Franklin Gothic Book"/>
          <w:b/>
          <w:sz w:val="24"/>
          <w:szCs w:val="24"/>
        </w:rPr>
      </w:pPr>
      <w:r>
        <w:rPr>
          <w:rFonts w:ascii="Franklin Gothic Book" w:eastAsia="Times New Roman" w:hAnsi="Franklin Gothic Book"/>
          <w:b/>
          <w:sz w:val="24"/>
          <w:szCs w:val="24"/>
        </w:rPr>
        <w:br w:type="page"/>
      </w:r>
    </w:p>
    <w:p w14:paraId="12C67D84" w14:textId="77777777" w:rsidR="007F35DD" w:rsidRDefault="00184F1E" w:rsidP="00D81D89">
      <w:pPr>
        <w:rPr>
          <w:rFonts w:ascii="Franklin Gothic Book" w:eastAsia="Times New Roman" w:hAnsi="Franklin Gothic Book"/>
          <w:b/>
          <w:sz w:val="24"/>
          <w:szCs w:val="24"/>
        </w:rPr>
      </w:pPr>
      <w:r w:rsidRPr="006706EF">
        <w:rPr>
          <w:rFonts w:ascii="Franklin Gothic Book" w:eastAsia="Times New Roman" w:hAnsi="Franklin Gothic Book"/>
          <w:b/>
          <w:sz w:val="24"/>
          <w:szCs w:val="24"/>
        </w:rPr>
        <w:lastRenderedPageBreak/>
        <w:t>Performance Benchmarks for remainder of Aid Investment Plan</w:t>
      </w:r>
    </w:p>
    <w:p w14:paraId="6D4F8656" w14:textId="72024C5D" w:rsidR="00184F1E" w:rsidRDefault="00184F1E" w:rsidP="00D81D89">
      <w:pPr>
        <w:rPr>
          <w:rFonts w:ascii="Franklin Gothic Book" w:eastAsia="Times New Roman" w:hAnsi="Franklin Gothic Book"/>
          <w:b/>
          <w:sz w:val="24"/>
          <w:szCs w:val="24"/>
        </w:rPr>
      </w:pPr>
    </w:p>
    <w:tbl>
      <w:tblPr>
        <w:tblStyle w:val="DFATTable"/>
        <w:tblW w:w="4115" w:type="pct"/>
        <w:tblLook w:val="04A0" w:firstRow="1" w:lastRow="0" w:firstColumn="1" w:lastColumn="0" w:noHBand="0" w:noVBand="1"/>
      </w:tblPr>
      <w:tblGrid>
        <w:gridCol w:w="2243"/>
        <w:gridCol w:w="4223"/>
        <w:gridCol w:w="2239"/>
        <w:gridCol w:w="2846"/>
      </w:tblGrid>
      <w:tr w:rsidR="006E5733" w14:paraId="03539F9E" w14:textId="77777777" w:rsidTr="006E5733">
        <w:trPr>
          <w:trHeight w:val="245"/>
        </w:trPr>
        <w:tc>
          <w:tcPr>
            <w:tcW w:w="971" w:type="pct"/>
            <w:tcBorders>
              <w:top w:val="single" w:sz="12" w:space="0" w:color="auto"/>
              <w:left w:val="nil"/>
              <w:bottom w:val="nil"/>
              <w:right w:val="nil"/>
            </w:tcBorders>
          </w:tcPr>
          <w:p w14:paraId="1EE193C5" w14:textId="77777777" w:rsidR="006E5733" w:rsidRPr="00BE6C6D" w:rsidRDefault="006E5733" w:rsidP="00C953C2">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828" w:type="pct"/>
            <w:tcBorders>
              <w:top w:val="single" w:sz="12" w:space="0" w:color="auto"/>
              <w:left w:val="nil"/>
              <w:bottom w:val="nil"/>
              <w:right w:val="nil"/>
            </w:tcBorders>
          </w:tcPr>
          <w:p w14:paraId="4EEEB03A" w14:textId="77777777" w:rsidR="006E5733" w:rsidRPr="00BE6C6D" w:rsidRDefault="006E5733" w:rsidP="00C953C2">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969" w:type="pct"/>
            <w:tcBorders>
              <w:top w:val="single" w:sz="12" w:space="0" w:color="auto"/>
              <w:left w:val="nil"/>
              <w:bottom w:val="nil"/>
              <w:right w:val="nil"/>
            </w:tcBorders>
            <w:hideMark/>
          </w:tcPr>
          <w:p w14:paraId="35EB7BBC" w14:textId="77777777" w:rsidR="006E5733" w:rsidRPr="00BE6C6D" w:rsidRDefault="006E5733" w:rsidP="00C953C2">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7</w:t>
            </w:r>
            <w:r w:rsidRPr="00BE6C6D">
              <w:rPr>
                <w:rFonts w:asciiTheme="minorHAnsi" w:hAnsiTheme="minorHAnsi"/>
                <w:b/>
              </w:rPr>
              <w:t>-1</w:t>
            </w:r>
            <w:r>
              <w:rPr>
                <w:rFonts w:asciiTheme="minorHAnsi" w:hAnsiTheme="minorHAnsi"/>
                <w:b/>
              </w:rPr>
              <w:t>8</w:t>
            </w:r>
          </w:p>
        </w:tc>
        <w:tc>
          <w:tcPr>
            <w:tcW w:w="1233" w:type="pct"/>
            <w:tcBorders>
              <w:top w:val="single" w:sz="12" w:space="0" w:color="auto"/>
              <w:left w:val="nil"/>
              <w:bottom w:val="nil"/>
              <w:right w:val="nil"/>
            </w:tcBorders>
            <w:hideMark/>
          </w:tcPr>
          <w:p w14:paraId="25F6ACE5" w14:textId="77777777" w:rsidR="006E5733" w:rsidRPr="00BE6C6D" w:rsidRDefault="006E5733" w:rsidP="00C953C2">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r>
      <w:tr w:rsidR="006E5733" w14:paraId="0662D1B0" w14:textId="77777777" w:rsidTr="006E5733">
        <w:trPr>
          <w:trHeight w:val="315"/>
        </w:trPr>
        <w:tc>
          <w:tcPr>
            <w:tcW w:w="971" w:type="pct"/>
            <w:tcBorders>
              <w:top w:val="nil"/>
              <w:left w:val="nil"/>
              <w:bottom w:val="nil"/>
              <w:right w:val="nil"/>
            </w:tcBorders>
            <w:hideMark/>
          </w:tcPr>
          <w:p w14:paraId="3A1F1C62" w14:textId="77777777" w:rsidR="006E5733" w:rsidRPr="00BE6C6D" w:rsidRDefault="006E5733" w:rsidP="006C4D3B">
            <w:pPr>
              <w:pStyle w:val="NormalIndented"/>
              <w:ind w:left="0"/>
              <w:rPr>
                <w:rFonts w:asciiTheme="minorHAnsi" w:hAnsiTheme="minorHAnsi"/>
                <w:i/>
                <w:color w:val="808080" w:themeColor="background1" w:themeShade="80"/>
                <w:sz w:val="18"/>
              </w:rPr>
            </w:pPr>
          </w:p>
        </w:tc>
        <w:tc>
          <w:tcPr>
            <w:tcW w:w="4029" w:type="pct"/>
            <w:gridSpan w:val="3"/>
            <w:tcBorders>
              <w:top w:val="nil"/>
              <w:left w:val="nil"/>
              <w:bottom w:val="nil"/>
            </w:tcBorders>
            <w:hideMark/>
          </w:tcPr>
          <w:p w14:paraId="5690A6FB" w14:textId="77777777" w:rsidR="006E5733" w:rsidRPr="00BE6C6D" w:rsidRDefault="006E5733" w:rsidP="00C953C2">
            <w:pPr>
              <w:pStyle w:val="NormalIndented"/>
              <w:rPr>
                <w:i/>
                <w:color w:val="808080" w:themeColor="background1" w:themeShade="80"/>
              </w:rPr>
            </w:pPr>
          </w:p>
        </w:tc>
      </w:tr>
      <w:tr w:rsidR="006E5733" w14:paraId="613058E7" w14:textId="77777777" w:rsidTr="006E5733">
        <w:trPr>
          <w:trHeight w:val="730"/>
        </w:trPr>
        <w:tc>
          <w:tcPr>
            <w:tcW w:w="971" w:type="pct"/>
            <w:tcBorders>
              <w:top w:val="nil"/>
              <w:left w:val="nil"/>
              <w:bottom w:val="nil"/>
              <w:right w:val="nil"/>
            </w:tcBorders>
          </w:tcPr>
          <w:p w14:paraId="18131300" w14:textId="77777777" w:rsidR="006E5733" w:rsidRPr="00BE6C6D" w:rsidRDefault="006E5733" w:rsidP="00C953C2">
            <w:pPr>
              <w:pStyle w:val="NormalIndented"/>
              <w:rPr>
                <w:rFonts w:asciiTheme="minorHAnsi" w:hAnsiTheme="minorHAnsi"/>
                <w:i/>
                <w:color w:val="808080" w:themeColor="background1" w:themeShade="80"/>
                <w:sz w:val="18"/>
              </w:rPr>
            </w:pPr>
            <w:r w:rsidRPr="00812509">
              <w:rPr>
                <w:rFonts w:asciiTheme="minorHAnsi" w:hAnsiTheme="minorHAnsi"/>
              </w:rPr>
              <w:t>Objective 1</w:t>
            </w:r>
            <w:r>
              <w:rPr>
                <w:rFonts w:asciiTheme="minorHAnsi" w:hAnsiTheme="minorHAnsi"/>
              </w:rPr>
              <w:t>: Generating sustainable inclusive growth and employment</w:t>
            </w:r>
          </w:p>
        </w:tc>
        <w:tc>
          <w:tcPr>
            <w:tcW w:w="1828" w:type="pct"/>
            <w:tcBorders>
              <w:top w:val="nil"/>
              <w:left w:val="nil"/>
              <w:bottom w:val="nil"/>
              <w:right w:val="nil"/>
            </w:tcBorders>
          </w:tcPr>
          <w:p w14:paraId="2ECC941C" w14:textId="7B095EA6" w:rsidR="006E5733" w:rsidRPr="00BE6C6D" w:rsidRDefault="006E5733" w:rsidP="0068278B">
            <w:pPr>
              <w:pStyle w:val="NormalIndented"/>
              <w:rPr>
                <w:rFonts w:asciiTheme="minorHAnsi" w:hAnsiTheme="minorHAnsi"/>
                <w:i/>
                <w:color w:val="808080" w:themeColor="background1" w:themeShade="80"/>
                <w:szCs w:val="20"/>
                <w:lang w:eastAsia="en-US"/>
              </w:rPr>
            </w:pPr>
            <w:r w:rsidRPr="006E5733">
              <w:rPr>
                <w:rFonts w:asciiTheme="minorHAnsi" w:hAnsiTheme="minorHAnsi"/>
              </w:rPr>
              <w:t>Number (</w:t>
            </w:r>
            <w:r w:rsidR="005F7738">
              <w:rPr>
                <w:rFonts w:asciiTheme="minorHAnsi" w:hAnsiTheme="minorHAnsi"/>
              </w:rPr>
              <w:t>per cent</w:t>
            </w:r>
            <w:r w:rsidRPr="006E5733">
              <w:rPr>
                <w:rFonts w:asciiTheme="minorHAnsi" w:hAnsiTheme="minorHAnsi"/>
              </w:rPr>
              <w:t xml:space="preserve"> women) of poor farmers and small business owners who have increased their income</w:t>
            </w:r>
            <w:r w:rsidR="00202CB8">
              <w:rPr>
                <w:rStyle w:val="FootnoteReference"/>
                <w:rFonts w:asciiTheme="minorHAnsi" w:hAnsiTheme="minorHAnsi"/>
              </w:rPr>
              <w:footnoteReference w:id="4"/>
            </w:r>
          </w:p>
        </w:tc>
        <w:tc>
          <w:tcPr>
            <w:tcW w:w="969" w:type="pct"/>
            <w:tcBorders>
              <w:top w:val="nil"/>
              <w:left w:val="nil"/>
              <w:bottom w:val="nil"/>
              <w:right w:val="nil"/>
            </w:tcBorders>
            <w:hideMark/>
          </w:tcPr>
          <w:p w14:paraId="795AB6FB" w14:textId="3180FAD2" w:rsidR="006E5733" w:rsidRDefault="006E5733" w:rsidP="00202CB8">
            <w:pPr>
              <w:pStyle w:val="NormalIndented"/>
              <w:ind w:left="33"/>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 xml:space="preserve">SRSP: </w:t>
            </w:r>
            <w:r w:rsidR="005865AD">
              <w:rPr>
                <w:rFonts w:asciiTheme="minorHAnsi" w:hAnsiTheme="minorHAnsi"/>
                <w:i/>
                <w:color w:val="808080" w:themeColor="background1" w:themeShade="80"/>
                <w:szCs w:val="20"/>
                <w:lang w:eastAsia="en-US"/>
              </w:rPr>
              <w:t>400</w:t>
            </w:r>
            <w:r w:rsidR="00202CB8">
              <w:rPr>
                <w:rFonts w:asciiTheme="minorHAnsi" w:hAnsiTheme="minorHAnsi"/>
                <w:i/>
                <w:color w:val="808080" w:themeColor="background1" w:themeShade="80"/>
                <w:szCs w:val="20"/>
                <w:lang w:eastAsia="en-US"/>
              </w:rPr>
              <w:t xml:space="preserve"> </w:t>
            </w:r>
            <w:r w:rsidR="00842CFF">
              <w:rPr>
                <w:rFonts w:asciiTheme="minorHAnsi" w:hAnsiTheme="minorHAnsi"/>
                <w:i/>
                <w:color w:val="808080" w:themeColor="background1" w:themeShade="80"/>
                <w:szCs w:val="20"/>
                <w:lang w:eastAsia="en-US"/>
              </w:rPr>
              <w:t>(</w:t>
            </w:r>
            <w:r w:rsidR="00202CB8">
              <w:rPr>
                <w:rFonts w:asciiTheme="minorHAnsi" w:hAnsiTheme="minorHAnsi"/>
                <w:i/>
                <w:color w:val="808080" w:themeColor="background1" w:themeShade="80"/>
                <w:szCs w:val="20"/>
                <w:lang w:eastAsia="en-US"/>
              </w:rPr>
              <w:t>60</w:t>
            </w:r>
            <w:r w:rsidR="005F7738">
              <w:rPr>
                <w:rFonts w:asciiTheme="minorHAnsi" w:hAnsiTheme="minorHAnsi"/>
                <w:i/>
                <w:color w:val="808080" w:themeColor="background1" w:themeShade="80"/>
                <w:szCs w:val="20"/>
                <w:lang w:eastAsia="en-US"/>
              </w:rPr>
              <w:t xml:space="preserve"> %</w:t>
            </w:r>
            <w:r>
              <w:rPr>
                <w:rFonts w:asciiTheme="minorHAnsi" w:hAnsiTheme="minorHAnsi"/>
                <w:i/>
                <w:color w:val="808080" w:themeColor="background1" w:themeShade="80"/>
                <w:szCs w:val="20"/>
                <w:lang w:eastAsia="en-US"/>
              </w:rPr>
              <w:t xml:space="preserve"> women</w:t>
            </w:r>
            <w:r w:rsidR="00842CFF">
              <w:rPr>
                <w:rFonts w:asciiTheme="minorHAnsi" w:hAnsiTheme="minorHAnsi"/>
                <w:i/>
                <w:color w:val="808080" w:themeColor="background1" w:themeShade="80"/>
                <w:szCs w:val="20"/>
                <w:lang w:eastAsia="en-US"/>
              </w:rPr>
              <w:t>)</w:t>
            </w:r>
            <w:r>
              <w:rPr>
                <w:rFonts w:asciiTheme="minorHAnsi" w:hAnsiTheme="minorHAnsi"/>
                <w:i/>
                <w:color w:val="808080" w:themeColor="background1" w:themeShade="80"/>
                <w:szCs w:val="20"/>
                <w:lang w:eastAsia="en-US"/>
              </w:rPr>
              <w:t xml:space="preserve"> </w:t>
            </w:r>
          </w:p>
          <w:p w14:paraId="282ABFF5" w14:textId="63C9F5A9" w:rsidR="005865AD" w:rsidRPr="00BE6C6D" w:rsidRDefault="005865AD" w:rsidP="00202CB8">
            <w:pPr>
              <w:pStyle w:val="NormalIndented"/>
              <w:ind w:left="33"/>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MDF: 33</w:t>
            </w:r>
            <w:r w:rsidR="007F35DD">
              <w:rPr>
                <w:rFonts w:asciiTheme="minorHAnsi" w:hAnsiTheme="minorHAnsi"/>
                <w:i/>
                <w:color w:val="808080" w:themeColor="background1" w:themeShade="80"/>
                <w:szCs w:val="20"/>
                <w:lang w:eastAsia="en-US"/>
              </w:rPr>
              <w:t>,</w:t>
            </w:r>
            <w:r>
              <w:rPr>
                <w:rFonts w:asciiTheme="minorHAnsi" w:hAnsiTheme="minorHAnsi"/>
                <w:i/>
                <w:color w:val="808080" w:themeColor="background1" w:themeShade="80"/>
                <w:szCs w:val="20"/>
                <w:lang w:eastAsia="en-US"/>
              </w:rPr>
              <w:t>500 (35% women)</w:t>
            </w:r>
          </w:p>
        </w:tc>
        <w:tc>
          <w:tcPr>
            <w:tcW w:w="1233" w:type="pct"/>
            <w:tcBorders>
              <w:top w:val="nil"/>
              <w:left w:val="nil"/>
              <w:bottom w:val="nil"/>
              <w:right w:val="nil"/>
            </w:tcBorders>
            <w:hideMark/>
          </w:tcPr>
          <w:p w14:paraId="0B12EEC0" w14:textId="77777777" w:rsidR="006E5733" w:rsidRDefault="005865AD" w:rsidP="00202CB8">
            <w:pPr>
              <w:pStyle w:val="NormalIndented"/>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SRSP:  400</w:t>
            </w:r>
            <w:r w:rsidR="00202CB8">
              <w:rPr>
                <w:rFonts w:asciiTheme="minorHAnsi" w:hAnsiTheme="minorHAnsi"/>
                <w:i/>
                <w:color w:val="808080" w:themeColor="background1" w:themeShade="80"/>
                <w:szCs w:val="20"/>
                <w:lang w:eastAsia="en-US"/>
              </w:rPr>
              <w:t xml:space="preserve"> (60% women)</w:t>
            </w:r>
          </w:p>
          <w:p w14:paraId="705DFFEF" w14:textId="55E243E3" w:rsidR="005865AD" w:rsidRPr="00BE6C6D" w:rsidRDefault="005865AD" w:rsidP="00202CB8">
            <w:pPr>
              <w:pStyle w:val="NormalIndented"/>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MDF: 36</w:t>
            </w:r>
            <w:r w:rsidR="007F35DD">
              <w:rPr>
                <w:rFonts w:asciiTheme="minorHAnsi" w:hAnsiTheme="minorHAnsi"/>
                <w:i/>
                <w:color w:val="808080" w:themeColor="background1" w:themeShade="80"/>
                <w:szCs w:val="20"/>
                <w:lang w:eastAsia="en-US"/>
              </w:rPr>
              <w:t>,</w:t>
            </w:r>
            <w:r>
              <w:rPr>
                <w:rFonts w:asciiTheme="minorHAnsi" w:hAnsiTheme="minorHAnsi"/>
                <w:i/>
                <w:color w:val="808080" w:themeColor="background1" w:themeShade="80"/>
                <w:szCs w:val="20"/>
                <w:lang w:eastAsia="en-US"/>
              </w:rPr>
              <w:t>000 (35% women)</w:t>
            </w:r>
          </w:p>
        </w:tc>
      </w:tr>
      <w:tr w:rsidR="006E5733" w14:paraId="3634BEB9" w14:textId="77777777" w:rsidTr="006E5733">
        <w:trPr>
          <w:trHeight w:val="730"/>
        </w:trPr>
        <w:tc>
          <w:tcPr>
            <w:tcW w:w="971" w:type="pct"/>
            <w:tcBorders>
              <w:top w:val="nil"/>
              <w:left w:val="nil"/>
              <w:bottom w:val="nil"/>
              <w:right w:val="nil"/>
            </w:tcBorders>
          </w:tcPr>
          <w:p w14:paraId="16CF711C" w14:textId="77777777" w:rsidR="006E5733" w:rsidRPr="00812509" w:rsidRDefault="006E5733" w:rsidP="00C953C2">
            <w:pPr>
              <w:pStyle w:val="NormalIndented"/>
            </w:pPr>
          </w:p>
        </w:tc>
        <w:tc>
          <w:tcPr>
            <w:tcW w:w="1828" w:type="pct"/>
            <w:tcBorders>
              <w:top w:val="nil"/>
              <w:left w:val="nil"/>
              <w:bottom w:val="nil"/>
              <w:right w:val="nil"/>
            </w:tcBorders>
          </w:tcPr>
          <w:p w14:paraId="2F32F4D2" w14:textId="77777777" w:rsidR="006E5733" w:rsidRPr="006E5733" w:rsidRDefault="00202CB8" w:rsidP="005865AD">
            <w:pPr>
              <w:pStyle w:val="NormalIndented"/>
              <w:rPr>
                <w:rFonts w:asciiTheme="minorHAnsi" w:hAnsiTheme="minorHAnsi"/>
              </w:rPr>
            </w:pPr>
            <w:r w:rsidRPr="00202CB8">
              <w:rPr>
                <w:rFonts w:asciiTheme="minorHAnsi" w:hAnsiTheme="minorHAnsi"/>
              </w:rPr>
              <w:t>Evidence that Australian engagement has contributed to policy reform on agriculture, water and trade policy</w:t>
            </w:r>
          </w:p>
        </w:tc>
        <w:tc>
          <w:tcPr>
            <w:tcW w:w="969" w:type="pct"/>
            <w:tcBorders>
              <w:top w:val="nil"/>
              <w:left w:val="nil"/>
              <w:bottom w:val="nil"/>
              <w:right w:val="nil"/>
            </w:tcBorders>
          </w:tcPr>
          <w:p w14:paraId="50E6F83A" w14:textId="77777777" w:rsidR="006E5733" w:rsidRPr="002542A6" w:rsidRDefault="009B670B" w:rsidP="00C953C2">
            <w:pPr>
              <w:pStyle w:val="NormalIndented"/>
              <w:ind w:left="33"/>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 xml:space="preserve">Evidence that trade analytics have contributed to a more gender-sensitive Pakistan </w:t>
            </w:r>
            <w:r w:rsidRPr="009B670B">
              <w:rPr>
                <w:rFonts w:asciiTheme="minorHAnsi" w:hAnsiTheme="minorHAnsi"/>
                <w:i/>
                <w:color w:val="808080" w:themeColor="background1" w:themeShade="80"/>
                <w:szCs w:val="20"/>
                <w:lang w:eastAsia="en-US"/>
              </w:rPr>
              <w:t>Strategic Trade Policy Framework 2018-21</w:t>
            </w:r>
          </w:p>
        </w:tc>
        <w:tc>
          <w:tcPr>
            <w:tcW w:w="1233" w:type="pct"/>
            <w:tcBorders>
              <w:top w:val="nil"/>
              <w:left w:val="nil"/>
              <w:bottom w:val="nil"/>
              <w:right w:val="nil"/>
            </w:tcBorders>
          </w:tcPr>
          <w:p w14:paraId="47CD9E0A" w14:textId="77777777" w:rsidR="006E5733" w:rsidRPr="002542A6" w:rsidRDefault="002542A6" w:rsidP="002542A6">
            <w:pPr>
              <w:pStyle w:val="NormalIndented"/>
              <w:ind w:left="33"/>
              <w:jc w:val="center"/>
              <w:rPr>
                <w:rFonts w:asciiTheme="minorHAnsi" w:hAnsiTheme="minorHAnsi"/>
                <w:i/>
                <w:color w:val="808080" w:themeColor="background1" w:themeShade="80"/>
                <w:szCs w:val="20"/>
                <w:lang w:eastAsia="en-US"/>
              </w:rPr>
            </w:pPr>
            <w:r w:rsidRPr="002542A6">
              <w:rPr>
                <w:rFonts w:asciiTheme="minorHAnsi" w:hAnsiTheme="minorHAnsi"/>
                <w:i/>
                <w:color w:val="808080" w:themeColor="background1" w:themeShade="80"/>
                <w:szCs w:val="20"/>
                <w:lang w:eastAsia="en-US"/>
              </w:rPr>
              <w:t>TBC</w:t>
            </w:r>
          </w:p>
        </w:tc>
      </w:tr>
      <w:tr w:rsidR="006E5733" w14:paraId="520D7709" w14:textId="77777777" w:rsidTr="006E5733">
        <w:trPr>
          <w:trHeight w:val="455"/>
        </w:trPr>
        <w:tc>
          <w:tcPr>
            <w:tcW w:w="971" w:type="pct"/>
            <w:tcBorders>
              <w:top w:val="nil"/>
              <w:left w:val="nil"/>
              <w:bottom w:val="nil"/>
              <w:right w:val="nil"/>
            </w:tcBorders>
          </w:tcPr>
          <w:p w14:paraId="208597ED" w14:textId="77777777" w:rsidR="006E5733" w:rsidRPr="00BE6C6D" w:rsidRDefault="006E5733" w:rsidP="00C953C2">
            <w:pPr>
              <w:pStyle w:val="NormalIndented"/>
              <w:rPr>
                <w:rFonts w:asciiTheme="minorHAnsi" w:hAnsiTheme="minorHAnsi"/>
                <w:i/>
                <w:color w:val="808080" w:themeColor="background1" w:themeShade="80"/>
                <w:sz w:val="18"/>
              </w:rPr>
            </w:pPr>
            <w:r w:rsidRPr="00812509">
              <w:rPr>
                <w:rFonts w:asciiTheme="minorHAnsi" w:hAnsiTheme="minorHAnsi"/>
              </w:rPr>
              <w:t>Objective 2</w:t>
            </w:r>
            <w:r>
              <w:rPr>
                <w:rFonts w:asciiTheme="minorHAnsi" w:hAnsiTheme="minorHAnsi"/>
              </w:rPr>
              <w:t>: Investing in Pakistan’s people</w:t>
            </w:r>
          </w:p>
        </w:tc>
        <w:tc>
          <w:tcPr>
            <w:tcW w:w="1828" w:type="pct"/>
            <w:tcBorders>
              <w:top w:val="nil"/>
              <w:left w:val="nil"/>
              <w:bottom w:val="nil"/>
              <w:right w:val="nil"/>
            </w:tcBorders>
          </w:tcPr>
          <w:p w14:paraId="402214F9" w14:textId="77777777" w:rsidR="006E5733" w:rsidRPr="0068278B" w:rsidRDefault="006E5733" w:rsidP="0068278B">
            <w:pPr>
              <w:pStyle w:val="NormalIndented"/>
              <w:rPr>
                <w:szCs w:val="17"/>
              </w:rPr>
            </w:pPr>
            <w:r w:rsidRPr="006E5733">
              <w:rPr>
                <w:rFonts w:asciiTheme="minorHAnsi" w:hAnsiTheme="minorHAnsi"/>
              </w:rPr>
              <w:t>Eligible women and children in target districts receive nutrition related services</w:t>
            </w:r>
            <w:r w:rsidRPr="0068278B">
              <w:rPr>
                <w:szCs w:val="17"/>
              </w:rPr>
              <w:t xml:space="preserve"> </w:t>
            </w:r>
          </w:p>
        </w:tc>
        <w:tc>
          <w:tcPr>
            <w:tcW w:w="969" w:type="pct"/>
            <w:tcBorders>
              <w:top w:val="nil"/>
              <w:left w:val="nil"/>
              <w:bottom w:val="nil"/>
              <w:right w:val="nil"/>
            </w:tcBorders>
          </w:tcPr>
          <w:p w14:paraId="768B5EEF" w14:textId="64534017" w:rsidR="006E5733" w:rsidRPr="00BE6C6D" w:rsidRDefault="00202CB8" w:rsidP="00C953C2">
            <w:pPr>
              <w:pStyle w:val="NormalIndented"/>
              <w:ind w:left="33"/>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80</w:t>
            </w:r>
            <w:r w:rsidR="007F35DD">
              <w:rPr>
                <w:rFonts w:asciiTheme="minorHAnsi" w:hAnsiTheme="minorHAnsi"/>
                <w:i/>
                <w:color w:val="808080" w:themeColor="background1" w:themeShade="80"/>
                <w:szCs w:val="20"/>
                <w:lang w:eastAsia="en-US"/>
              </w:rPr>
              <w:t>,</w:t>
            </w:r>
            <w:r>
              <w:rPr>
                <w:rFonts w:asciiTheme="minorHAnsi" w:hAnsiTheme="minorHAnsi"/>
                <w:i/>
                <w:color w:val="808080" w:themeColor="background1" w:themeShade="80"/>
                <w:szCs w:val="20"/>
                <w:lang w:eastAsia="en-US"/>
              </w:rPr>
              <w:t>000</w:t>
            </w:r>
          </w:p>
        </w:tc>
        <w:tc>
          <w:tcPr>
            <w:tcW w:w="1233" w:type="pct"/>
            <w:tcBorders>
              <w:top w:val="nil"/>
              <w:left w:val="nil"/>
              <w:bottom w:val="nil"/>
              <w:right w:val="nil"/>
            </w:tcBorders>
          </w:tcPr>
          <w:p w14:paraId="5BC5E5CB" w14:textId="68CEB062" w:rsidR="006E5733" w:rsidRPr="00BE6C6D" w:rsidRDefault="00202CB8" w:rsidP="00202CB8">
            <w:pPr>
              <w:pStyle w:val="NormalIndented"/>
              <w:ind w:left="33"/>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100</w:t>
            </w:r>
            <w:r w:rsidR="007F35DD">
              <w:rPr>
                <w:rFonts w:asciiTheme="minorHAnsi" w:hAnsiTheme="minorHAnsi"/>
                <w:i/>
                <w:color w:val="808080" w:themeColor="background1" w:themeShade="80"/>
                <w:szCs w:val="20"/>
                <w:lang w:eastAsia="en-US"/>
              </w:rPr>
              <w:t>,</w:t>
            </w:r>
            <w:r>
              <w:rPr>
                <w:rFonts w:asciiTheme="minorHAnsi" w:hAnsiTheme="minorHAnsi"/>
                <w:i/>
                <w:color w:val="808080" w:themeColor="background1" w:themeShade="80"/>
                <w:szCs w:val="20"/>
                <w:lang w:eastAsia="en-US"/>
              </w:rPr>
              <w:t>000</w:t>
            </w:r>
          </w:p>
        </w:tc>
      </w:tr>
      <w:tr w:rsidR="006E5733" w14:paraId="19427750" w14:textId="77777777" w:rsidTr="006E5733">
        <w:trPr>
          <w:trHeight w:val="455"/>
        </w:trPr>
        <w:tc>
          <w:tcPr>
            <w:tcW w:w="971" w:type="pct"/>
            <w:tcBorders>
              <w:top w:val="nil"/>
              <w:left w:val="nil"/>
              <w:bottom w:val="nil"/>
              <w:right w:val="nil"/>
            </w:tcBorders>
          </w:tcPr>
          <w:p w14:paraId="699C6963" w14:textId="77777777" w:rsidR="006E5733" w:rsidRPr="00812509" w:rsidRDefault="006E5733" w:rsidP="00C953C2">
            <w:pPr>
              <w:pStyle w:val="NormalIndented"/>
            </w:pPr>
          </w:p>
        </w:tc>
        <w:tc>
          <w:tcPr>
            <w:tcW w:w="1828" w:type="pct"/>
            <w:tcBorders>
              <w:top w:val="nil"/>
              <w:left w:val="nil"/>
              <w:bottom w:val="nil"/>
              <w:right w:val="nil"/>
            </w:tcBorders>
          </w:tcPr>
          <w:p w14:paraId="3083E1FE" w14:textId="526AFA75" w:rsidR="006E5733" w:rsidRPr="0068278B" w:rsidRDefault="006E5733" w:rsidP="0068278B">
            <w:pPr>
              <w:pStyle w:val="NormalIndented"/>
              <w:rPr>
                <w:szCs w:val="17"/>
              </w:rPr>
            </w:pPr>
            <w:r w:rsidRPr="002542A6">
              <w:rPr>
                <w:rFonts w:asciiTheme="minorHAnsi" w:hAnsiTheme="minorHAnsi"/>
              </w:rPr>
              <w:t>Number</w:t>
            </w:r>
            <w:r w:rsidR="005F7738">
              <w:rPr>
                <w:rFonts w:asciiTheme="minorHAnsi" w:hAnsiTheme="minorHAnsi"/>
              </w:rPr>
              <w:t xml:space="preserve"> (#)</w:t>
            </w:r>
            <w:r w:rsidRPr="002542A6">
              <w:rPr>
                <w:rFonts w:asciiTheme="minorHAnsi" w:hAnsiTheme="minorHAnsi"/>
              </w:rPr>
              <w:t xml:space="preserve"> of boys and girls directly supported by the program, enrolled in basic education</w:t>
            </w:r>
            <w:r w:rsidRPr="0068278B">
              <w:rPr>
                <w:szCs w:val="17"/>
              </w:rPr>
              <w:t xml:space="preserve"> </w:t>
            </w:r>
          </w:p>
        </w:tc>
        <w:tc>
          <w:tcPr>
            <w:tcW w:w="969" w:type="pct"/>
            <w:tcBorders>
              <w:top w:val="nil"/>
              <w:left w:val="nil"/>
              <w:bottom w:val="nil"/>
              <w:right w:val="nil"/>
            </w:tcBorders>
          </w:tcPr>
          <w:p w14:paraId="4E819DBF" w14:textId="5DCC75BE" w:rsidR="006E5733" w:rsidRPr="009B670B" w:rsidRDefault="006E5733" w:rsidP="00C953C2">
            <w:pPr>
              <w:pStyle w:val="NormalIndented"/>
              <w:ind w:left="33"/>
              <w:jc w:val="center"/>
              <w:rPr>
                <w:rFonts w:asciiTheme="minorHAnsi" w:hAnsiTheme="minorHAnsi"/>
                <w:i/>
                <w:color w:val="808080" w:themeColor="background1" w:themeShade="80"/>
                <w:szCs w:val="20"/>
                <w:lang w:eastAsia="en-US"/>
              </w:rPr>
            </w:pPr>
            <w:r w:rsidRPr="009B670B">
              <w:rPr>
                <w:rFonts w:asciiTheme="minorHAnsi" w:hAnsiTheme="minorHAnsi"/>
                <w:i/>
                <w:color w:val="808080" w:themeColor="background1" w:themeShade="80"/>
                <w:szCs w:val="20"/>
                <w:lang w:eastAsia="en-US"/>
              </w:rPr>
              <w:t>4.6m (including 2m girls)</w:t>
            </w:r>
          </w:p>
        </w:tc>
        <w:tc>
          <w:tcPr>
            <w:tcW w:w="1233" w:type="pct"/>
            <w:tcBorders>
              <w:top w:val="nil"/>
              <w:left w:val="nil"/>
              <w:bottom w:val="nil"/>
              <w:right w:val="nil"/>
            </w:tcBorders>
          </w:tcPr>
          <w:p w14:paraId="5D8D855F" w14:textId="7EC6F122" w:rsidR="006E5733" w:rsidRPr="009B670B" w:rsidRDefault="006E5733" w:rsidP="00C953C2">
            <w:pPr>
              <w:pStyle w:val="NormalIndented"/>
              <w:ind w:left="33"/>
              <w:jc w:val="center"/>
              <w:rPr>
                <w:rFonts w:asciiTheme="minorHAnsi" w:hAnsiTheme="minorHAnsi"/>
                <w:i/>
                <w:color w:val="808080" w:themeColor="background1" w:themeShade="80"/>
                <w:szCs w:val="20"/>
                <w:lang w:eastAsia="en-US"/>
              </w:rPr>
            </w:pPr>
            <w:r w:rsidRPr="009B670B">
              <w:rPr>
                <w:rFonts w:asciiTheme="minorHAnsi" w:hAnsiTheme="minorHAnsi"/>
                <w:i/>
                <w:color w:val="808080" w:themeColor="background1" w:themeShade="80"/>
                <w:szCs w:val="20"/>
                <w:lang w:eastAsia="en-US"/>
              </w:rPr>
              <w:t>4.7m (including 2.1m girls)</w:t>
            </w:r>
          </w:p>
        </w:tc>
      </w:tr>
      <w:tr w:rsidR="006E5733" w14:paraId="59FD6665" w14:textId="77777777" w:rsidTr="006E5733">
        <w:trPr>
          <w:trHeight w:val="455"/>
        </w:trPr>
        <w:tc>
          <w:tcPr>
            <w:tcW w:w="971" w:type="pct"/>
            <w:tcBorders>
              <w:top w:val="nil"/>
              <w:left w:val="nil"/>
              <w:bottom w:val="nil"/>
              <w:right w:val="nil"/>
            </w:tcBorders>
          </w:tcPr>
          <w:p w14:paraId="25E7FDD3" w14:textId="77777777" w:rsidR="006E5733" w:rsidRPr="00812509" w:rsidRDefault="006E5733" w:rsidP="00C953C2">
            <w:pPr>
              <w:pStyle w:val="NormalIndented"/>
            </w:pPr>
          </w:p>
        </w:tc>
        <w:tc>
          <w:tcPr>
            <w:tcW w:w="1828" w:type="pct"/>
            <w:tcBorders>
              <w:top w:val="nil"/>
              <w:left w:val="nil"/>
              <w:bottom w:val="nil"/>
              <w:right w:val="nil"/>
            </w:tcBorders>
          </w:tcPr>
          <w:p w14:paraId="50013F40" w14:textId="77777777" w:rsidR="006E5733" w:rsidRPr="002542A6" w:rsidRDefault="006E5733" w:rsidP="0068278B">
            <w:pPr>
              <w:pStyle w:val="NormalIndented"/>
              <w:rPr>
                <w:rFonts w:asciiTheme="minorHAnsi" w:hAnsiTheme="minorHAnsi"/>
              </w:rPr>
            </w:pPr>
            <w:r w:rsidRPr="002542A6">
              <w:rPr>
                <w:rFonts w:asciiTheme="minorHAnsi" w:hAnsiTheme="minorHAnsi"/>
              </w:rPr>
              <w:t xml:space="preserve">Number of women survivors of violence accessing quality support services in target districts </w:t>
            </w:r>
          </w:p>
        </w:tc>
        <w:tc>
          <w:tcPr>
            <w:tcW w:w="969" w:type="pct"/>
            <w:tcBorders>
              <w:top w:val="nil"/>
              <w:left w:val="nil"/>
              <w:bottom w:val="nil"/>
              <w:right w:val="nil"/>
            </w:tcBorders>
          </w:tcPr>
          <w:p w14:paraId="5AE44B8C" w14:textId="738F42B6" w:rsidR="006E5733" w:rsidRPr="00B72DF2" w:rsidRDefault="00B72DF2" w:rsidP="00C953C2">
            <w:pPr>
              <w:pStyle w:val="NormalIndented"/>
              <w:ind w:left="33"/>
              <w:jc w:val="center"/>
              <w:rPr>
                <w:rFonts w:asciiTheme="minorHAnsi" w:hAnsiTheme="minorHAnsi"/>
                <w:i/>
                <w:color w:val="808080" w:themeColor="background1" w:themeShade="80"/>
                <w:szCs w:val="20"/>
                <w:lang w:eastAsia="en-US"/>
              </w:rPr>
            </w:pPr>
            <w:r w:rsidRPr="00B72DF2">
              <w:rPr>
                <w:rFonts w:asciiTheme="minorHAnsi" w:hAnsiTheme="minorHAnsi"/>
                <w:i/>
                <w:color w:val="808080" w:themeColor="background1" w:themeShade="80"/>
                <w:szCs w:val="20"/>
                <w:lang w:eastAsia="en-US"/>
              </w:rPr>
              <w:t>2000</w:t>
            </w:r>
          </w:p>
        </w:tc>
        <w:tc>
          <w:tcPr>
            <w:tcW w:w="1233" w:type="pct"/>
            <w:tcBorders>
              <w:top w:val="nil"/>
              <w:left w:val="nil"/>
              <w:bottom w:val="nil"/>
              <w:right w:val="nil"/>
            </w:tcBorders>
          </w:tcPr>
          <w:p w14:paraId="033316C6" w14:textId="77777777" w:rsidR="006E5733" w:rsidRPr="00BE6C6D" w:rsidRDefault="00B72DF2" w:rsidP="00C953C2">
            <w:pPr>
              <w:pStyle w:val="NormalIndented"/>
              <w:ind w:left="33"/>
              <w:jc w:val="center"/>
              <w:rPr>
                <w:i/>
                <w:color w:val="808080" w:themeColor="background1" w:themeShade="80"/>
                <w:szCs w:val="20"/>
              </w:rPr>
            </w:pPr>
            <w:r w:rsidRPr="00B72DF2">
              <w:rPr>
                <w:rFonts w:asciiTheme="minorHAnsi" w:hAnsiTheme="minorHAnsi"/>
                <w:i/>
                <w:color w:val="808080" w:themeColor="background1" w:themeShade="80"/>
                <w:szCs w:val="20"/>
                <w:lang w:eastAsia="en-US"/>
              </w:rPr>
              <w:t>TBC</w:t>
            </w:r>
          </w:p>
        </w:tc>
      </w:tr>
      <w:tr w:rsidR="006E5733" w14:paraId="7F87C558" w14:textId="77777777" w:rsidTr="006E5733">
        <w:trPr>
          <w:trHeight w:val="455"/>
        </w:trPr>
        <w:tc>
          <w:tcPr>
            <w:tcW w:w="971" w:type="pct"/>
            <w:tcBorders>
              <w:top w:val="nil"/>
              <w:left w:val="nil"/>
              <w:bottom w:val="single" w:sz="12" w:space="0" w:color="auto"/>
              <w:right w:val="nil"/>
            </w:tcBorders>
          </w:tcPr>
          <w:p w14:paraId="694E20EF" w14:textId="77777777" w:rsidR="006E5733" w:rsidRPr="002542A6" w:rsidRDefault="006E5733" w:rsidP="0033503A">
            <w:pPr>
              <w:pStyle w:val="NormalIndented"/>
              <w:rPr>
                <w:rFonts w:asciiTheme="minorHAnsi" w:hAnsiTheme="minorHAnsi"/>
              </w:rPr>
            </w:pPr>
            <w:r w:rsidRPr="00812509">
              <w:rPr>
                <w:rFonts w:asciiTheme="minorHAnsi" w:hAnsiTheme="minorHAnsi"/>
              </w:rPr>
              <w:t>Objective 3</w:t>
            </w:r>
            <w:r>
              <w:rPr>
                <w:rFonts w:asciiTheme="minorHAnsi" w:hAnsiTheme="minorHAnsi"/>
              </w:rPr>
              <w:t>: Supporting stabilisation and resilience</w:t>
            </w:r>
          </w:p>
        </w:tc>
        <w:tc>
          <w:tcPr>
            <w:tcW w:w="1828" w:type="pct"/>
            <w:tcBorders>
              <w:top w:val="nil"/>
              <w:left w:val="nil"/>
              <w:bottom w:val="single" w:sz="12" w:space="0" w:color="auto"/>
              <w:right w:val="nil"/>
            </w:tcBorders>
          </w:tcPr>
          <w:p w14:paraId="75526569" w14:textId="77777777" w:rsidR="002542A6" w:rsidRPr="002542A6" w:rsidRDefault="006E5733" w:rsidP="002542A6">
            <w:pPr>
              <w:pStyle w:val="NormalIndented"/>
              <w:rPr>
                <w:rFonts w:asciiTheme="minorHAnsi" w:hAnsiTheme="minorHAnsi"/>
              </w:rPr>
            </w:pPr>
            <w:r w:rsidRPr="002542A6">
              <w:rPr>
                <w:rFonts w:asciiTheme="minorHAnsi" w:hAnsiTheme="minorHAnsi"/>
              </w:rPr>
              <w:t># of additional women and men benefitting from improved services, local infrastructure and livelihoods opportunities in areas affected by conflict and natural disaster.</w:t>
            </w:r>
          </w:p>
          <w:p w14:paraId="75095F42" w14:textId="77777777" w:rsidR="006E5733" w:rsidRPr="002542A6" w:rsidRDefault="009C3D59" w:rsidP="00373AF5">
            <w:pPr>
              <w:pStyle w:val="NormalIndented"/>
              <w:rPr>
                <w:rFonts w:asciiTheme="minorHAnsi" w:hAnsiTheme="minorHAnsi"/>
              </w:rPr>
            </w:pPr>
            <w:r>
              <w:rPr>
                <w:rFonts w:asciiTheme="minorHAnsi" w:hAnsiTheme="minorHAnsi"/>
              </w:rPr>
              <w:t>#</w:t>
            </w:r>
            <w:r w:rsidRPr="009C3D59">
              <w:rPr>
                <w:rFonts w:asciiTheme="minorHAnsi" w:hAnsiTheme="minorHAnsi"/>
              </w:rPr>
              <w:t xml:space="preserve"> of community organisations, including </w:t>
            </w:r>
            <w:r>
              <w:rPr>
                <w:rFonts w:asciiTheme="minorHAnsi" w:hAnsiTheme="minorHAnsi"/>
              </w:rPr>
              <w:t xml:space="preserve">% </w:t>
            </w:r>
            <w:r w:rsidRPr="009C3D59">
              <w:rPr>
                <w:rFonts w:asciiTheme="minorHAnsi" w:hAnsiTheme="minorHAnsi"/>
              </w:rPr>
              <w:t>women’s organisations</w:t>
            </w:r>
            <w:r w:rsidR="00B72DF2">
              <w:rPr>
                <w:rFonts w:asciiTheme="minorHAnsi" w:hAnsiTheme="minorHAnsi"/>
              </w:rPr>
              <w:t xml:space="preserve"> (WOs)</w:t>
            </w:r>
            <w:r w:rsidRPr="009C3D59">
              <w:rPr>
                <w:rFonts w:asciiTheme="minorHAnsi" w:hAnsiTheme="minorHAnsi"/>
              </w:rPr>
              <w:t>, which are effectively supported to build community cohesion and advocate for their own needs</w:t>
            </w:r>
            <w:r w:rsidR="00933F76">
              <w:rPr>
                <w:rStyle w:val="FootnoteReference"/>
                <w:rFonts w:asciiTheme="minorHAnsi" w:hAnsiTheme="minorHAnsi"/>
              </w:rPr>
              <w:footnoteReference w:id="5"/>
            </w:r>
          </w:p>
        </w:tc>
        <w:tc>
          <w:tcPr>
            <w:tcW w:w="969" w:type="pct"/>
            <w:tcBorders>
              <w:top w:val="nil"/>
              <w:left w:val="nil"/>
              <w:bottom w:val="single" w:sz="12" w:space="0" w:color="auto"/>
              <w:right w:val="nil"/>
            </w:tcBorders>
          </w:tcPr>
          <w:p w14:paraId="03985965" w14:textId="77777777" w:rsidR="006E5733" w:rsidRPr="009B670B" w:rsidRDefault="006E5733" w:rsidP="0033503A">
            <w:pPr>
              <w:pStyle w:val="NormalIndented"/>
              <w:ind w:left="33"/>
              <w:jc w:val="center"/>
              <w:rPr>
                <w:rFonts w:asciiTheme="minorHAnsi" w:hAnsiTheme="minorHAnsi"/>
                <w:i/>
                <w:color w:val="808080" w:themeColor="background1" w:themeShade="80"/>
                <w:szCs w:val="20"/>
                <w:lang w:eastAsia="en-US"/>
              </w:rPr>
            </w:pPr>
            <w:r w:rsidRPr="009B670B">
              <w:rPr>
                <w:rFonts w:asciiTheme="minorHAnsi" w:hAnsiTheme="minorHAnsi"/>
                <w:i/>
                <w:color w:val="808080" w:themeColor="background1" w:themeShade="80"/>
                <w:szCs w:val="20"/>
                <w:lang w:eastAsia="en-US"/>
              </w:rPr>
              <w:t>175,000</w:t>
            </w:r>
          </w:p>
          <w:p w14:paraId="06AA3942" w14:textId="77777777" w:rsidR="006E5733" w:rsidRPr="009B670B" w:rsidRDefault="006E5733" w:rsidP="00A1352F">
            <w:pPr>
              <w:rPr>
                <w:rFonts w:asciiTheme="minorHAnsi" w:hAnsiTheme="minorHAnsi"/>
                <w:i/>
                <w:color w:val="808080" w:themeColor="background1" w:themeShade="80"/>
                <w:szCs w:val="20"/>
                <w:lang w:eastAsia="en-US"/>
              </w:rPr>
            </w:pPr>
          </w:p>
          <w:p w14:paraId="4B6349FB" w14:textId="77777777" w:rsidR="006E5733" w:rsidRPr="009B670B" w:rsidRDefault="006E5733" w:rsidP="006B6B73">
            <w:pPr>
              <w:rPr>
                <w:rFonts w:asciiTheme="minorHAnsi" w:hAnsiTheme="minorHAnsi"/>
                <w:i/>
                <w:color w:val="808080" w:themeColor="background1" w:themeShade="80"/>
                <w:szCs w:val="20"/>
                <w:lang w:eastAsia="en-US"/>
              </w:rPr>
            </w:pPr>
          </w:p>
          <w:p w14:paraId="3B19F415" w14:textId="2874B31B" w:rsidR="006E5733" w:rsidRDefault="00B72DF2" w:rsidP="00B72DF2">
            <w:pPr>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SPSP:</w:t>
            </w:r>
            <w:r w:rsidR="00F152FE">
              <w:rPr>
                <w:rFonts w:asciiTheme="minorHAnsi" w:hAnsiTheme="minorHAnsi"/>
                <w:i/>
                <w:color w:val="808080" w:themeColor="background1" w:themeShade="80"/>
                <w:szCs w:val="20"/>
                <w:lang w:eastAsia="en-US"/>
              </w:rPr>
              <w:t xml:space="preserve"> </w:t>
            </w:r>
            <w:r>
              <w:rPr>
                <w:rFonts w:asciiTheme="minorHAnsi" w:hAnsiTheme="minorHAnsi"/>
                <w:i/>
                <w:color w:val="808080" w:themeColor="background1" w:themeShade="80"/>
                <w:szCs w:val="20"/>
                <w:lang w:eastAsia="en-US"/>
              </w:rPr>
              <w:t>1005 (49% WOs)</w:t>
            </w:r>
          </w:p>
          <w:p w14:paraId="6DB5918F" w14:textId="77777777" w:rsidR="00B72DF2" w:rsidRPr="009B670B" w:rsidRDefault="00B72DF2" w:rsidP="00B72DF2">
            <w:pPr>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BA: 560 (8%)</w:t>
            </w:r>
          </w:p>
        </w:tc>
        <w:tc>
          <w:tcPr>
            <w:tcW w:w="1233" w:type="pct"/>
            <w:tcBorders>
              <w:top w:val="nil"/>
              <w:left w:val="nil"/>
              <w:bottom w:val="single" w:sz="12" w:space="0" w:color="auto"/>
              <w:right w:val="nil"/>
            </w:tcBorders>
          </w:tcPr>
          <w:p w14:paraId="699E032C" w14:textId="77777777" w:rsidR="006E5733" w:rsidRPr="009B670B" w:rsidRDefault="006E5733" w:rsidP="0033503A">
            <w:pPr>
              <w:pStyle w:val="NormalIndented"/>
              <w:ind w:left="33"/>
              <w:jc w:val="center"/>
              <w:rPr>
                <w:rFonts w:asciiTheme="minorHAnsi" w:hAnsiTheme="minorHAnsi"/>
                <w:i/>
                <w:color w:val="808080" w:themeColor="background1" w:themeShade="80"/>
                <w:szCs w:val="20"/>
                <w:lang w:eastAsia="en-US"/>
              </w:rPr>
            </w:pPr>
            <w:r w:rsidRPr="009B670B">
              <w:rPr>
                <w:rFonts w:asciiTheme="minorHAnsi" w:hAnsiTheme="minorHAnsi"/>
                <w:i/>
                <w:color w:val="808080" w:themeColor="background1" w:themeShade="80"/>
                <w:szCs w:val="20"/>
                <w:lang w:eastAsia="en-US"/>
              </w:rPr>
              <w:t>185,000</w:t>
            </w:r>
          </w:p>
          <w:p w14:paraId="6DECA24C" w14:textId="77777777" w:rsidR="006E5733" w:rsidRPr="009B670B" w:rsidRDefault="006E5733" w:rsidP="00A1352F">
            <w:pPr>
              <w:rPr>
                <w:rFonts w:asciiTheme="minorHAnsi" w:hAnsiTheme="minorHAnsi"/>
                <w:i/>
                <w:color w:val="808080" w:themeColor="background1" w:themeShade="80"/>
                <w:szCs w:val="20"/>
                <w:lang w:eastAsia="en-US"/>
              </w:rPr>
            </w:pPr>
          </w:p>
          <w:p w14:paraId="2A1B2C5B" w14:textId="77777777" w:rsidR="006E5733" w:rsidRPr="009B670B" w:rsidRDefault="006E5733" w:rsidP="006B6B73">
            <w:pPr>
              <w:rPr>
                <w:rFonts w:asciiTheme="minorHAnsi" w:hAnsiTheme="minorHAnsi"/>
                <w:i/>
                <w:color w:val="808080" w:themeColor="background1" w:themeShade="80"/>
                <w:szCs w:val="20"/>
                <w:lang w:eastAsia="en-US"/>
              </w:rPr>
            </w:pPr>
          </w:p>
          <w:p w14:paraId="6F816484" w14:textId="69B85D5D" w:rsidR="00B72DF2" w:rsidRDefault="00B72DF2" w:rsidP="00B72DF2">
            <w:pPr>
              <w:pStyle w:val="NormalIndented"/>
              <w:ind w:left="33"/>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SRSP: 1005 (49% WOs)</w:t>
            </w:r>
          </w:p>
          <w:p w14:paraId="51FA0467" w14:textId="77777777" w:rsidR="006E5733" w:rsidRPr="009B670B" w:rsidRDefault="00B72DF2" w:rsidP="00B72DF2">
            <w:pPr>
              <w:pStyle w:val="NormalIndented"/>
              <w:ind w:left="33"/>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BA: 350 (5% WOs)</w:t>
            </w:r>
            <w:r w:rsidR="00F152FE">
              <w:rPr>
                <w:rFonts w:asciiTheme="minorHAnsi" w:hAnsiTheme="minorHAnsi"/>
                <w:i/>
                <w:color w:val="808080" w:themeColor="background1" w:themeShade="80"/>
                <w:szCs w:val="20"/>
                <w:lang w:eastAsia="en-US"/>
              </w:rPr>
              <w:t xml:space="preserve"> </w:t>
            </w:r>
          </w:p>
        </w:tc>
      </w:tr>
    </w:tbl>
    <w:p w14:paraId="16AAD0AF" w14:textId="1C07CC79" w:rsidR="00AF1B85" w:rsidRPr="00A8197B" w:rsidRDefault="00184F1E" w:rsidP="00BE1BEB">
      <w:pPr>
        <w:pStyle w:val="Subtitle"/>
        <w:numPr>
          <w:ilvl w:val="0"/>
          <w:numId w:val="0"/>
        </w:numPr>
      </w:pPr>
      <w:r>
        <w:br w:type="page"/>
      </w:r>
      <w:r w:rsidR="00AF1B85" w:rsidRPr="00A8197B">
        <w:lastRenderedPageBreak/>
        <w:t xml:space="preserve">Annex </w:t>
      </w:r>
      <w:r>
        <w:t>C</w:t>
      </w:r>
      <w:r w:rsidR="007F35DD" w:rsidRPr="00400B0F">
        <w:t xml:space="preserve"> </w:t>
      </w:r>
      <w:r w:rsidR="007F35DD">
        <w:t>–</w:t>
      </w:r>
      <w:r w:rsidR="007F35DD" w:rsidRPr="00400B0F">
        <w:t xml:space="preserve"> </w:t>
      </w:r>
      <w:r w:rsidR="00AF1B85" w:rsidRPr="00A8197B">
        <w:t>Evaluation Planning</w:t>
      </w:r>
    </w:p>
    <w:p w14:paraId="32148C09" w14:textId="77777777"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6706EF">
        <w:rPr>
          <w:rFonts w:asciiTheme="majorHAnsi" w:eastAsiaTheme="majorEastAsia" w:hAnsiTheme="majorHAnsi" w:cstheme="majorBidi"/>
          <w:caps/>
          <w:color w:val="495965" w:themeColor="text2"/>
          <w:sz w:val="38"/>
          <w:szCs w:val="26"/>
          <w:lang w:val="en-GB" w:eastAsia="en-US"/>
        </w:rPr>
        <w:t>List of evaluations completed in the reporting period</w:t>
      </w:r>
      <w:r w:rsidRPr="005E606B">
        <w:rPr>
          <w:rFonts w:asciiTheme="majorHAnsi" w:eastAsiaTheme="majorEastAsia" w:hAnsiTheme="majorHAnsi" w:cstheme="majorBidi"/>
          <w:caps/>
          <w:color w:val="495965" w:themeColor="text2"/>
          <w:sz w:val="38"/>
          <w:szCs w:val="26"/>
          <w:lang w:val="en-GB" w:eastAsia="en-US"/>
        </w:rPr>
        <w:t xml:space="preserve">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AF1B85" w:rsidRPr="00C61187" w14:paraId="4B88E92A"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594D1387"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14:paraId="7CF30F36" w14:textId="723BFB2C" w:rsidR="00AF1B85" w:rsidRPr="00812509" w:rsidRDefault="00AF1B85" w:rsidP="00D15A00">
            <w:pPr>
              <w:keepLines/>
              <w:spacing w:line="200" w:lineRule="atLeast"/>
              <w:rPr>
                <w:rFonts w:asciiTheme="minorHAnsi" w:eastAsia="Times New Roman" w:hAnsiTheme="minorHAnsi"/>
                <w:b w:val="0"/>
                <w:iCs/>
                <w:szCs w:val="17"/>
                <w:lang w:eastAsia="en-US"/>
              </w:rPr>
            </w:pPr>
          </w:p>
        </w:tc>
        <w:tc>
          <w:tcPr>
            <w:tcW w:w="3665" w:type="dxa"/>
          </w:tcPr>
          <w:p w14:paraId="139B7D69"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14:paraId="4F26E31C"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14:paraId="21E38B55"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14:paraId="3164ED68"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14:paraId="07F48B19"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4A3C57" w:rsidRPr="003B5EE5" w14:paraId="265B77C0"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5E65DB1B" w14:textId="77777777" w:rsidR="004A3C57" w:rsidRPr="0068278B" w:rsidRDefault="004720D6"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INL301 </w:t>
            </w:r>
            <w:r w:rsidR="002E10B4" w:rsidRPr="002E10B4">
              <w:rPr>
                <w:rFonts w:asciiTheme="minorHAnsi" w:eastAsia="Times New Roman" w:hAnsiTheme="minorHAnsi"/>
                <w:b w:val="0"/>
                <w:iCs/>
                <w:szCs w:val="17"/>
                <w:lang w:eastAsia="en-US"/>
              </w:rPr>
              <w:t>Pakistan Trade and Investment Policy Program</w:t>
            </w:r>
          </w:p>
        </w:tc>
        <w:tc>
          <w:tcPr>
            <w:tcW w:w="3665" w:type="dxa"/>
          </w:tcPr>
          <w:p w14:paraId="04937567" w14:textId="77777777" w:rsidR="004A3C57" w:rsidRPr="0068278B" w:rsidRDefault="004720D6"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PTIPP </w:t>
            </w:r>
            <w:r w:rsidR="002231C7" w:rsidRPr="0068278B">
              <w:rPr>
                <w:rFonts w:asciiTheme="minorHAnsi" w:eastAsia="Times New Roman" w:hAnsiTheme="minorHAnsi"/>
                <w:b w:val="0"/>
                <w:iCs/>
                <w:szCs w:val="17"/>
                <w:lang w:eastAsia="en-US"/>
              </w:rPr>
              <w:t>Independent</w:t>
            </w:r>
            <w:r w:rsidR="00C16074" w:rsidRPr="0068278B">
              <w:rPr>
                <w:rFonts w:asciiTheme="minorHAnsi" w:eastAsia="Times New Roman" w:hAnsiTheme="minorHAnsi"/>
                <w:b w:val="0"/>
                <w:iCs/>
                <w:szCs w:val="17"/>
                <w:lang w:eastAsia="en-US"/>
              </w:rPr>
              <w:t xml:space="preserve"> Review</w:t>
            </w:r>
          </w:p>
        </w:tc>
        <w:tc>
          <w:tcPr>
            <w:tcW w:w="1397" w:type="dxa"/>
          </w:tcPr>
          <w:p w14:paraId="280B94AF" w14:textId="77777777" w:rsidR="004A3C57" w:rsidRPr="0068278B" w:rsidRDefault="002231C7" w:rsidP="00D15A00">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22 March 2017</w:t>
            </w:r>
          </w:p>
        </w:tc>
        <w:tc>
          <w:tcPr>
            <w:tcW w:w="1953" w:type="dxa"/>
          </w:tcPr>
          <w:p w14:paraId="5F53D41D" w14:textId="77777777" w:rsidR="004A3C57" w:rsidRPr="0068278B" w:rsidRDefault="002231C7" w:rsidP="00D15A00">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22 March 2017</w:t>
            </w:r>
          </w:p>
        </w:tc>
        <w:tc>
          <w:tcPr>
            <w:tcW w:w="1671" w:type="dxa"/>
          </w:tcPr>
          <w:p w14:paraId="2DFD54DF" w14:textId="77777777" w:rsidR="004A3C57" w:rsidRPr="0068278B" w:rsidRDefault="00C16074" w:rsidP="00D15A00">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Est Sept 2017</w:t>
            </w:r>
          </w:p>
        </w:tc>
        <w:tc>
          <w:tcPr>
            <w:tcW w:w="2365" w:type="dxa"/>
          </w:tcPr>
          <w:p w14:paraId="6AADBDE9" w14:textId="14B6D5D1" w:rsidR="004A3C57" w:rsidRPr="0068278B" w:rsidRDefault="004720D6" w:rsidP="00D81D89">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Yes, </w:t>
            </w:r>
            <w:r w:rsidR="007F35DD">
              <w:rPr>
                <w:rFonts w:asciiTheme="minorHAnsi" w:eastAsia="Times New Roman" w:hAnsiTheme="minorHAnsi"/>
                <w:b w:val="0"/>
                <w:iCs/>
                <w:szCs w:val="17"/>
                <w:lang w:eastAsia="en-US"/>
              </w:rPr>
              <w:t>expected</w:t>
            </w:r>
            <w:r w:rsidR="007F35DD" w:rsidRPr="0068278B">
              <w:rPr>
                <w:rFonts w:asciiTheme="minorHAnsi" w:eastAsia="Times New Roman" w:hAnsiTheme="minorHAnsi"/>
                <w:b w:val="0"/>
                <w:iCs/>
                <w:szCs w:val="17"/>
                <w:lang w:eastAsia="en-US"/>
              </w:rPr>
              <w:t xml:space="preserve"> </w:t>
            </w:r>
            <w:r w:rsidR="00C16074" w:rsidRPr="0068278B">
              <w:rPr>
                <w:rFonts w:asciiTheme="minorHAnsi" w:eastAsia="Times New Roman" w:hAnsiTheme="minorHAnsi"/>
                <w:b w:val="0"/>
                <w:iCs/>
                <w:szCs w:val="17"/>
                <w:lang w:eastAsia="en-US"/>
              </w:rPr>
              <w:t>Sept</w:t>
            </w:r>
            <w:r w:rsidR="007F35DD">
              <w:rPr>
                <w:rFonts w:asciiTheme="minorHAnsi" w:eastAsia="Times New Roman" w:hAnsiTheme="minorHAnsi"/>
                <w:b w:val="0"/>
                <w:iCs/>
                <w:szCs w:val="17"/>
                <w:lang w:eastAsia="en-US"/>
              </w:rPr>
              <w:t>ember</w:t>
            </w:r>
            <w:r w:rsidR="00C16074" w:rsidRPr="0068278B">
              <w:rPr>
                <w:rFonts w:asciiTheme="minorHAnsi" w:eastAsia="Times New Roman" w:hAnsiTheme="minorHAnsi"/>
                <w:b w:val="0"/>
                <w:iCs/>
                <w:szCs w:val="17"/>
                <w:lang w:eastAsia="en-US"/>
              </w:rPr>
              <w:t xml:space="preserve"> 2017</w:t>
            </w:r>
          </w:p>
        </w:tc>
      </w:tr>
      <w:tr w:rsidR="004A3C57" w:rsidRPr="003B5EE5" w14:paraId="7B9CF70A"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1E0DCE01" w14:textId="77777777" w:rsidR="004A3C57" w:rsidRPr="0068278B" w:rsidRDefault="00956906" w:rsidP="00D15A00">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 xml:space="preserve">INL236 </w:t>
            </w:r>
            <w:r w:rsidR="002E10B4">
              <w:rPr>
                <w:rFonts w:asciiTheme="minorHAnsi" w:eastAsia="Times New Roman" w:hAnsiTheme="minorHAnsi"/>
                <w:b w:val="0"/>
                <w:iCs/>
                <w:szCs w:val="17"/>
                <w:lang w:eastAsia="en-US"/>
              </w:rPr>
              <w:t>Pakistan Ending Violence Against Women Program</w:t>
            </w:r>
          </w:p>
        </w:tc>
        <w:tc>
          <w:tcPr>
            <w:tcW w:w="3665" w:type="dxa"/>
          </w:tcPr>
          <w:p w14:paraId="12A4BA42" w14:textId="77777777" w:rsidR="004A3C57" w:rsidRPr="0068278B" w:rsidRDefault="004720D6"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Pakistan Challenging Gender Based Violence </w:t>
            </w:r>
            <w:r w:rsidR="00826EE4" w:rsidRPr="0068278B">
              <w:rPr>
                <w:rFonts w:asciiTheme="minorHAnsi" w:eastAsia="Times New Roman" w:hAnsiTheme="minorHAnsi"/>
                <w:b w:val="0"/>
                <w:iCs/>
                <w:szCs w:val="17"/>
                <w:lang w:eastAsia="en-US"/>
              </w:rPr>
              <w:t>Independent Evaluation</w:t>
            </w:r>
          </w:p>
        </w:tc>
        <w:tc>
          <w:tcPr>
            <w:tcW w:w="1397" w:type="dxa"/>
          </w:tcPr>
          <w:p w14:paraId="548A2ACD" w14:textId="77777777" w:rsidR="004A3C57" w:rsidRPr="0068278B" w:rsidRDefault="00684EC5"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24 </w:t>
            </w:r>
            <w:r w:rsidR="00826EE4" w:rsidRPr="0068278B">
              <w:rPr>
                <w:rFonts w:asciiTheme="minorHAnsi" w:eastAsia="Times New Roman" w:hAnsiTheme="minorHAnsi"/>
                <w:b w:val="0"/>
                <w:iCs/>
                <w:szCs w:val="17"/>
                <w:lang w:eastAsia="en-US"/>
              </w:rPr>
              <w:t>May 2017</w:t>
            </w:r>
          </w:p>
        </w:tc>
        <w:tc>
          <w:tcPr>
            <w:tcW w:w="1953" w:type="dxa"/>
          </w:tcPr>
          <w:p w14:paraId="5398D67C" w14:textId="77777777" w:rsidR="004A3C57" w:rsidRPr="0068278B" w:rsidRDefault="00826EE4" w:rsidP="00D15A00">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August 2017</w:t>
            </w:r>
          </w:p>
        </w:tc>
        <w:tc>
          <w:tcPr>
            <w:tcW w:w="1671" w:type="dxa"/>
          </w:tcPr>
          <w:p w14:paraId="29692EFC" w14:textId="77777777" w:rsidR="004A3C57" w:rsidRPr="0068278B" w:rsidRDefault="00826EE4" w:rsidP="00D15A00">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August 2017</w:t>
            </w:r>
          </w:p>
        </w:tc>
        <w:tc>
          <w:tcPr>
            <w:tcW w:w="2365" w:type="dxa"/>
          </w:tcPr>
          <w:p w14:paraId="433C4E84" w14:textId="45356521" w:rsidR="004A3C57" w:rsidRPr="0068278B" w:rsidRDefault="00826EE4" w:rsidP="00D81D89">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Yes</w:t>
            </w:r>
            <w:r w:rsidR="007F35DD">
              <w:rPr>
                <w:rFonts w:asciiTheme="minorHAnsi" w:eastAsia="Times New Roman" w:hAnsiTheme="minorHAnsi"/>
                <w:b w:val="0"/>
                <w:iCs/>
                <w:szCs w:val="17"/>
                <w:lang w:eastAsia="en-US"/>
              </w:rPr>
              <w:t>,</w:t>
            </w:r>
            <w:r w:rsidR="009B670B">
              <w:rPr>
                <w:rFonts w:asciiTheme="minorHAnsi" w:eastAsia="Times New Roman" w:hAnsiTheme="minorHAnsi"/>
                <w:b w:val="0"/>
                <w:iCs/>
                <w:szCs w:val="17"/>
                <w:lang w:eastAsia="en-US"/>
              </w:rPr>
              <w:t xml:space="preserve"> </w:t>
            </w:r>
            <w:r w:rsidR="007F35DD">
              <w:rPr>
                <w:rFonts w:asciiTheme="minorHAnsi" w:eastAsia="Times New Roman" w:hAnsiTheme="minorHAnsi"/>
                <w:b w:val="0"/>
                <w:iCs/>
                <w:szCs w:val="17"/>
                <w:lang w:eastAsia="en-US"/>
              </w:rPr>
              <w:t xml:space="preserve">September </w:t>
            </w:r>
            <w:r w:rsidR="009B670B">
              <w:rPr>
                <w:rFonts w:asciiTheme="minorHAnsi" w:eastAsia="Times New Roman" w:hAnsiTheme="minorHAnsi"/>
                <w:b w:val="0"/>
                <w:iCs/>
                <w:szCs w:val="17"/>
                <w:lang w:eastAsia="en-US"/>
              </w:rPr>
              <w:t>2017</w:t>
            </w:r>
          </w:p>
        </w:tc>
      </w:tr>
      <w:tr w:rsidR="004A3C57" w:rsidRPr="003B5EE5" w14:paraId="69E3310A"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4FBE39B6" w14:textId="77777777" w:rsidR="004A3C57" w:rsidRPr="0068278B" w:rsidRDefault="002E10B4" w:rsidP="00D15A00">
            <w:pPr>
              <w:keepLines/>
              <w:spacing w:before="40" w:after="40" w:line="200" w:lineRule="atLeast"/>
              <w:rPr>
                <w:rFonts w:asciiTheme="minorHAnsi" w:eastAsia="Times New Roman" w:hAnsiTheme="minorHAnsi"/>
                <w:b w:val="0"/>
                <w:iCs/>
                <w:szCs w:val="17"/>
                <w:lang w:eastAsia="en-US"/>
              </w:rPr>
            </w:pPr>
            <w:r w:rsidRPr="002E10B4">
              <w:rPr>
                <w:rFonts w:asciiTheme="minorHAnsi" w:eastAsia="Times New Roman" w:hAnsiTheme="minorHAnsi"/>
                <w:b w:val="0"/>
                <w:iCs/>
                <w:szCs w:val="17"/>
                <w:lang w:eastAsia="en-US"/>
              </w:rPr>
              <w:t>INJ114 Pakistan Market Development Facility and RD Planning</w:t>
            </w:r>
          </w:p>
        </w:tc>
        <w:tc>
          <w:tcPr>
            <w:tcW w:w="3665" w:type="dxa"/>
          </w:tcPr>
          <w:p w14:paraId="4FB8D75A" w14:textId="77777777" w:rsidR="004A3C57" w:rsidRPr="0068278B" w:rsidRDefault="004A3C57" w:rsidP="00D15A00">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IAG Mission</w:t>
            </w:r>
          </w:p>
        </w:tc>
        <w:tc>
          <w:tcPr>
            <w:tcW w:w="1397" w:type="dxa"/>
          </w:tcPr>
          <w:p w14:paraId="012A888B" w14:textId="77777777" w:rsidR="004A3C57" w:rsidRPr="0068278B" w:rsidRDefault="004A3C57" w:rsidP="00D15A00">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1 August 2016</w:t>
            </w:r>
          </w:p>
        </w:tc>
        <w:tc>
          <w:tcPr>
            <w:tcW w:w="1953" w:type="dxa"/>
          </w:tcPr>
          <w:p w14:paraId="57C4DEBD" w14:textId="77777777" w:rsidR="004A3C57" w:rsidRPr="0068278B" w:rsidRDefault="004A3C57" w:rsidP="00D15A00">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27 February 2017</w:t>
            </w:r>
          </w:p>
        </w:tc>
        <w:tc>
          <w:tcPr>
            <w:tcW w:w="1671" w:type="dxa"/>
          </w:tcPr>
          <w:p w14:paraId="36A1D2E0" w14:textId="77777777" w:rsidR="004A3C57" w:rsidRPr="0068278B" w:rsidRDefault="004A3C57" w:rsidP="00D15A00">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27 February 2017</w:t>
            </w:r>
          </w:p>
        </w:tc>
        <w:tc>
          <w:tcPr>
            <w:tcW w:w="2365" w:type="dxa"/>
          </w:tcPr>
          <w:p w14:paraId="7923B4FC" w14:textId="77777777" w:rsidR="004A3C57" w:rsidRPr="0068278B" w:rsidRDefault="004A3C57" w:rsidP="003E305C">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No</w:t>
            </w:r>
          </w:p>
        </w:tc>
      </w:tr>
      <w:tr w:rsidR="004A3C57" w:rsidRPr="003B5EE5" w14:paraId="1CCF82FB"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4BDD3276" w14:textId="77777777" w:rsidR="004A3C57" w:rsidRPr="0068278B" w:rsidRDefault="006D6DBA" w:rsidP="00D15A00">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 xml:space="preserve">INK575 </w:t>
            </w:r>
            <w:r w:rsidR="002E10B4">
              <w:rPr>
                <w:rFonts w:asciiTheme="minorHAnsi" w:eastAsia="Times New Roman" w:hAnsiTheme="minorHAnsi"/>
                <w:b w:val="0"/>
                <w:iCs/>
                <w:szCs w:val="17"/>
                <w:lang w:eastAsia="en-US"/>
              </w:rPr>
              <w:t xml:space="preserve">FAO </w:t>
            </w:r>
            <w:r w:rsidR="00CD7E6E" w:rsidRPr="0068278B">
              <w:rPr>
                <w:rFonts w:asciiTheme="minorHAnsi" w:eastAsia="Times New Roman" w:hAnsiTheme="minorHAnsi"/>
                <w:b w:val="0"/>
                <w:iCs/>
                <w:szCs w:val="17"/>
                <w:lang w:eastAsia="en-US"/>
              </w:rPr>
              <w:t>AusABBA</w:t>
            </w:r>
          </w:p>
        </w:tc>
        <w:tc>
          <w:tcPr>
            <w:tcW w:w="3665" w:type="dxa"/>
          </w:tcPr>
          <w:p w14:paraId="7FE5ACEF" w14:textId="77777777" w:rsidR="004A3C57" w:rsidRPr="0068278B" w:rsidRDefault="00C16074" w:rsidP="006D6DBA">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J</w:t>
            </w:r>
            <w:r w:rsidR="00CD7E6E" w:rsidRPr="0068278B">
              <w:rPr>
                <w:rFonts w:asciiTheme="minorHAnsi" w:eastAsia="Times New Roman" w:hAnsiTheme="minorHAnsi"/>
                <w:b w:val="0"/>
                <w:iCs/>
                <w:szCs w:val="17"/>
                <w:lang w:eastAsia="en-US"/>
              </w:rPr>
              <w:t xml:space="preserve">oint Australian Government and FAO </w:t>
            </w:r>
            <w:r w:rsidR="006D6DBA" w:rsidRPr="0068278B">
              <w:rPr>
                <w:rFonts w:asciiTheme="minorHAnsi" w:eastAsia="Times New Roman" w:hAnsiTheme="minorHAnsi"/>
                <w:b w:val="0"/>
                <w:iCs/>
                <w:szCs w:val="17"/>
                <w:lang w:eastAsia="en-US"/>
              </w:rPr>
              <w:t>Program</w:t>
            </w:r>
            <w:r w:rsidR="00CD7E6E" w:rsidRPr="0068278B">
              <w:rPr>
                <w:rFonts w:asciiTheme="minorHAnsi" w:eastAsia="Times New Roman" w:hAnsiTheme="minorHAnsi"/>
                <w:b w:val="0"/>
                <w:iCs/>
                <w:szCs w:val="17"/>
                <w:lang w:eastAsia="en-US"/>
              </w:rPr>
              <w:t xml:space="preserve"> Review and Advisory Mission in December 2016</w:t>
            </w:r>
          </w:p>
        </w:tc>
        <w:tc>
          <w:tcPr>
            <w:tcW w:w="1397" w:type="dxa"/>
          </w:tcPr>
          <w:p w14:paraId="29284563" w14:textId="77777777" w:rsidR="004A3C57" w:rsidRPr="0068278B" w:rsidRDefault="002231C7" w:rsidP="00D15A00">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31 January 2017</w:t>
            </w:r>
          </w:p>
        </w:tc>
        <w:tc>
          <w:tcPr>
            <w:tcW w:w="1953" w:type="dxa"/>
          </w:tcPr>
          <w:p w14:paraId="08FAA47C" w14:textId="77777777" w:rsidR="004A3C57" w:rsidRPr="0068278B" w:rsidRDefault="002231C7" w:rsidP="00D15A00">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3 Feb 2017</w:t>
            </w:r>
          </w:p>
        </w:tc>
        <w:tc>
          <w:tcPr>
            <w:tcW w:w="1671" w:type="dxa"/>
          </w:tcPr>
          <w:p w14:paraId="1284E165" w14:textId="77777777" w:rsidR="004A3C57" w:rsidRPr="0068278B" w:rsidRDefault="002231C7" w:rsidP="00D15A00">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21 Feb 2017</w:t>
            </w:r>
          </w:p>
        </w:tc>
        <w:tc>
          <w:tcPr>
            <w:tcW w:w="2365" w:type="dxa"/>
          </w:tcPr>
          <w:p w14:paraId="0EC7A9F3" w14:textId="77777777" w:rsidR="004A3C57" w:rsidRPr="0068278B" w:rsidRDefault="002231C7" w:rsidP="003E305C">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No</w:t>
            </w:r>
          </w:p>
        </w:tc>
      </w:tr>
      <w:tr w:rsidR="004A3C57" w:rsidRPr="003B5EE5" w14:paraId="6AFE7D01"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5FE09765" w14:textId="77777777" w:rsidR="004A3C57" w:rsidRPr="0068278B" w:rsidRDefault="002E10B4" w:rsidP="00D15A00">
            <w:pPr>
              <w:keepLines/>
              <w:spacing w:before="40" w:after="40" w:line="200" w:lineRule="atLeast"/>
              <w:rPr>
                <w:rFonts w:asciiTheme="minorHAnsi" w:eastAsia="Times New Roman" w:hAnsiTheme="minorHAnsi"/>
                <w:b w:val="0"/>
                <w:iCs/>
                <w:szCs w:val="17"/>
                <w:lang w:eastAsia="en-US"/>
              </w:rPr>
            </w:pPr>
            <w:r w:rsidRPr="004720D6">
              <w:rPr>
                <w:rFonts w:asciiTheme="minorHAnsi" w:eastAsia="Times New Roman" w:hAnsiTheme="minorHAnsi"/>
                <w:b w:val="0"/>
                <w:iCs/>
                <w:szCs w:val="17"/>
                <w:lang w:eastAsia="en-US"/>
              </w:rPr>
              <w:t>INK576 WB Multi-Donor Trust Fund Balochistan, FATA and KPK</w:t>
            </w:r>
          </w:p>
        </w:tc>
        <w:tc>
          <w:tcPr>
            <w:tcW w:w="3665" w:type="dxa"/>
          </w:tcPr>
          <w:p w14:paraId="461CF115" w14:textId="77777777" w:rsidR="004A3C57" w:rsidRPr="0068278B" w:rsidRDefault="002231C7" w:rsidP="00D15A00">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Annual Review</w:t>
            </w:r>
          </w:p>
        </w:tc>
        <w:tc>
          <w:tcPr>
            <w:tcW w:w="1397" w:type="dxa"/>
          </w:tcPr>
          <w:p w14:paraId="5F5981FA" w14:textId="77777777" w:rsidR="004A3C57" w:rsidRPr="0068278B" w:rsidRDefault="002231C7" w:rsidP="00D15A00">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3 February 17</w:t>
            </w:r>
          </w:p>
        </w:tc>
        <w:tc>
          <w:tcPr>
            <w:tcW w:w="1953" w:type="dxa"/>
          </w:tcPr>
          <w:p w14:paraId="07DC3B60" w14:textId="77777777" w:rsidR="004A3C57" w:rsidRPr="0068278B" w:rsidRDefault="002231C7" w:rsidP="00D15A00">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20 March 2017</w:t>
            </w:r>
          </w:p>
        </w:tc>
        <w:tc>
          <w:tcPr>
            <w:tcW w:w="1671" w:type="dxa"/>
          </w:tcPr>
          <w:p w14:paraId="26DE8667" w14:textId="77777777" w:rsidR="004A3C57" w:rsidRPr="0068278B" w:rsidRDefault="002231C7" w:rsidP="00D15A00">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12 May 17</w:t>
            </w:r>
          </w:p>
        </w:tc>
        <w:tc>
          <w:tcPr>
            <w:tcW w:w="2365" w:type="dxa"/>
          </w:tcPr>
          <w:p w14:paraId="41D6DD8F" w14:textId="77777777" w:rsidR="004A3C57" w:rsidRPr="0068278B" w:rsidRDefault="002231C7" w:rsidP="003E305C">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No</w:t>
            </w:r>
          </w:p>
        </w:tc>
      </w:tr>
      <w:tr w:rsidR="009B670B" w:rsidRPr="003B5EE5" w14:paraId="1722962B"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400E8932" w14:textId="77777777" w:rsidR="009B670B" w:rsidRPr="009B670B" w:rsidRDefault="002E10B4" w:rsidP="00D15A00">
            <w:pPr>
              <w:keepLines/>
              <w:spacing w:before="40" w:after="40" w:line="200" w:lineRule="atLeast"/>
              <w:rPr>
                <w:rFonts w:asciiTheme="minorHAnsi" w:eastAsia="Times New Roman" w:hAnsiTheme="minorHAnsi"/>
                <w:b w:val="0"/>
                <w:iCs/>
                <w:szCs w:val="17"/>
                <w:lang w:eastAsia="en-US"/>
              </w:rPr>
            </w:pPr>
            <w:r w:rsidRPr="004720D6">
              <w:rPr>
                <w:rFonts w:asciiTheme="minorHAnsi" w:eastAsia="Times New Roman" w:hAnsiTheme="minorHAnsi"/>
                <w:b w:val="0"/>
                <w:iCs/>
                <w:szCs w:val="17"/>
                <w:lang w:eastAsia="en-US"/>
              </w:rPr>
              <w:t>INK576 WB Multi-Donor Trust Fund Balochistan, FATA and KPK</w:t>
            </w:r>
          </w:p>
        </w:tc>
        <w:tc>
          <w:tcPr>
            <w:tcW w:w="3665" w:type="dxa"/>
          </w:tcPr>
          <w:p w14:paraId="08B22A7E" w14:textId="77777777" w:rsidR="009B670B" w:rsidRPr="009B670B" w:rsidRDefault="009B670B" w:rsidP="00D15A00">
            <w:pPr>
              <w:keepLines/>
              <w:spacing w:before="40" w:after="40" w:line="200" w:lineRule="atLeast"/>
              <w:rPr>
                <w:rFonts w:asciiTheme="minorHAnsi" w:eastAsia="Times New Roman" w:hAnsiTheme="minorHAnsi"/>
                <w:b w:val="0"/>
                <w:iCs/>
                <w:szCs w:val="17"/>
                <w:lang w:eastAsia="en-US"/>
              </w:rPr>
            </w:pPr>
            <w:r w:rsidRPr="009B670B">
              <w:rPr>
                <w:rFonts w:asciiTheme="minorHAnsi" w:eastAsia="Times New Roman" w:hAnsiTheme="minorHAnsi"/>
                <w:b w:val="0"/>
                <w:iCs/>
                <w:szCs w:val="17"/>
                <w:lang w:eastAsia="en-US"/>
              </w:rPr>
              <w:t>State-Citizen Trust Evaluation</w:t>
            </w:r>
            <w:r w:rsidR="00684EC5">
              <w:rPr>
                <w:rFonts w:asciiTheme="minorHAnsi" w:eastAsia="Times New Roman" w:hAnsiTheme="minorHAnsi"/>
                <w:b w:val="0"/>
                <w:iCs/>
                <w:szCs w:val="17"/>
                <w:lang w:eastAsia="en-US"/>
              </w:rPr>
              <w:t>: The Impact of the Multi-Donor Trust Fund on State Trust</w:t>
            </w:r>
          </w:p>
        </w:tc>
        <w:tc>
          <w:tcPr>
            <w:tcW w:w="1397" w:type="dxa"/>
          </w:tcPr>
          <w:p w14:paraId="3614E9C2" w14:textId="77777777" w:rsidR="009B670B" w:rsidRPr="002E10B4" w:rsidRDefault="00684EC5" w:rsidP="00D15A00">
            <w:pPr>
              <w:keepLines/>
              <w:spacing w:before="40" w:after="40" w:line="200" w:lineRule="atLeast"/>
              <w:rPr>
                <w:rFonts w:asciiTheme="minorHAnsi" w:eastAsia="Times New Roman" w:hAnsiTheme="minorHAnsi"/>
                <w:b w:val="0"/>
                <w:iCs/>
                <w:szCs w:val="17"/>
                <w:lang w:eastAsia="en-US"/>
              </w:rPr>
            </w:pPr>
            <w:r w:rsidRPr="002E10B4">
              <w:rPr>
                <w:rFonts w:asciiTheme="minorHAnsi" w:eastAsia="Times New Roman" w:hAnsiTheme="minorHAnsi"/>
                <w:b w:val="0"/>
                <w:iCs/>
                <w:szCs w:val="17"/>
                <w:lang w:eastAsia="en-US"/>
              </w:rPr>
              <w:t>April 2017</w:t>
            </w:r>
          </w:p>
        </w:tc>
        <w:tc>
          <w:tcPr>
            <w:tcW w:w="1953" w:type="dxa"/>
          </w:tcPr>
          <w:p w14:paraId="5B5883FA" w14:textId="77777777" w:rsidR="009B670B" w:rsidRPr="002E10B4" w:rsidRDefault="002E10B4" w:rsidP="00D15A00">
            <w:pPr>
              <w:keepLines/>
              <w:spacing w:before="40" w:after="40" w:line="200" w:lineRule="atLeast"/>
              <w:rPr>
                <w:rFonts w:asciiTheme="minorHAnsi" w:eastAsia="Times New Roman" w:hAnsiTheme="minorHAnsi"/>
                <w:b w:val="0"/>
                <w:iCs/>
                <w:szCs w:val="17"/>
                <w:lang w:eastAsia="en-US"/>
              </w:rPr>
            </w:pPr>
            <w:r w:rsidRPr="002E10B4">
              <w:rPr>
                <w:rFonts w:asciiTheme="minorHAnsi" w:eastAsia="Times New Roman" w:hAnsiTheme="minorHAnsi"/>
                <w:b w:val="0"/>
                <w:iCs/>
                <w:szCs w:val="17"/>
                <w:lang w:eastAsia="en-US"/>
              </w:rPr>
              <w:t>Not uploaded (file too large)</w:t>
            </w:r>
          </w:p>
        </w:tc>
        <w:tc>
          <w:tcPr>
            <w:tcW w:w="1671" w:type="dxa"/>
          </w:tcPr>
          <w:p w14:paraId="6DCBF91D" w14:textId="77777777" w:rsidR="009B670B" w:rsidRPr="002E10B4" w:rsidRDefault="009B670B" w:rsidP="00D15A00">
            <w:pPr>
              <w:keepLines/>
              <w:spacing w:before="40" w:after="40" w:line="200" w:lineRule="atLeast"/>
              <w:rPr>
                <w:rFonts w:asciiTheme="minorHAnsi" w:eastAsia="Times New Roman" w:hAnsiTheme="minorHAnsi"/>
                <w:b w:val="0"/>
                <w:iCs/>
                <w:szCs w:val="17"/>
                <w:lang w:eastAsia="en-US"/>
              </w:rPr>
            </w:pPr>
            <w:r w:rsidRPr="002E10B4">
              <w:rPr>
                <w:rFonts w:asciiTheme="minorHAnsi" w:eastAsia="Times New Roman" w:hAnsiTheme="minorHAnsi"/>
                <w:b w:val="0"/>
                <w:iCs/>
                <w:szCs w:val="17"/>
                <w:lang w:eastAsia="en-US"/>
              </w:rPr>
              <w:t>N/A</w:t>
            </w:r>
          </w:p>
        </w:tc>
        <w:tc>
          <w:tcPr>
            <w:tcW w:w="2365" w:type="dxa"/>
          </w:tcPr>
          <w:p w14:paraId="4520D1EF" w14:textId="77777777" w:rsidR="009B670B" w:rsidRPr="002E10B4" w:rsidRDefault="002E10B4" w:rsidP="003E305C">
            <w:pPr>
              <w:keepLines/>
              <w:spacing w:before="40" w:after="40" w:line="200" w:lineRule="atLeast"/>
              <w:rPr>
                <w:rFonts w:asciiTheme="minorHAnsi" w:eastAsia="Times New Roman" w:hAnsiTheme="minorHAnsi"/>
                <w:b w:val="0"/>
                <w:iCs/>
                <w:szCs w:val="17"/>
                <w:lang w:eastAsia="en-US"/>
              </w:rPr>
            </w:pPr>
            <w:r w:rsidRPr="002E10B4">
              <w:rPr>
                <w:rFonts w:asciiTheme="minorHAnsi" w:eastAsia="Times New Roman" w:hAnsiTheme="minorHAnsi"/>
                <w:b w:val="0"/>
                <w:iCs/>
                <w:szCs w:val="17"/>
                <w:lang w:eastAsia="en-US"/>
              </w:rPr>
              <w:t>No</w:t>
            </w:r>
          </w:p>
        </w:tc>
      </w:tr>
      <w:tr w:rsidR="009B670B" w:rsidRPr="003B5EE5" w14:paraId="1E5A91E4"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24E7A905" w14:textId="77777777" w:rsidR="009B670B" w:rsidRPr="009B670B" w:rsidRDefault="002E10B4" w:rsidP="00D15A00">
            <w:pPr>
              <w:keepLines/>
              <w:spacing w:before="40" w:after="40" w:line="200" w:lineRule="atLeast"/>
              <w:rPr>
                <w:rFonts w:asciiTheme="minorHAnsi" w:eastAsia="Times New Roman" w:hAnsiTheme="minorHAnsi"/>
                <w:b w:val="0"/>
                <w:iCs/>
                <w:szCs w:val="17"/>
                <w:lang w:eastAsia="en-US"/>
              </w:rPr>
            </w:pPr>
            <w:r w:rsidRPr="004720D6">
              <w:rPr>
                <w:rFonts w:asciiTheme="minorHAnsi" w:eastAsia="Times New Roman" w:hAnsiTheme="minorHAnsi"/>
                <w:b w:val="0"/>
                <w:iCs/>
                <w:szCs w:val="17"/>
                <w:lang w:eastAsia="en-US"/>
              </w:rPr>
              <w:t>INK576 WB Multi-Donor Trust Fund Balochistan, FATA and KPK</w:t>
            </w:r>
          </w:p>
        </w:tc>
        <w:tc>
          <w:tcPr>
            <w:tcW w:w="3665" w:type="dxa"/>
          </w:tcPr>
          <w:p w14:paraId="664BDD89" w14:textId="77777777" w:rsidR="009B670B" w:rsidRPr="009B670B" w:rsidRDefault="009B670B" w:rsidP="00684EC5">
            <w:pPr>
              <w:keepLines/>
              <w:spacing w:before="40" w:after="40" w:line="200" w:lineRule="atLeast"/>
              <w:rPr>
                <w:rFonts w:asciiTheme="minorHAnsi" w:eastAsia="Times New Roman" w:hAnsiTheme="minorHAnsi"/>
                <w:b w:val="0"/>
                <w:iCs/>
                <w:szCs w:val="17"/>
                <w:lang w:eastAsia="en-US"/>
              </w:rPr>
            </w:pPr>
            <w:r w:rsidRPr="009B670B">
              <w:rPr>
                <w:rFonts w:asciiTheme="minorHAnsi" w:eastAsia="Times New Roman" w:hAnsiTheme="minorHAnsi"/>
                <w:b w:val="0"/>
                <w:iCs/>
                <w:szCs w:val="17"/>
                <w:lang w:eastAsia="en-US"/>
              </w:rPr>
              <w:t>MDTF Impact Assessment</w:t>
            </w:r>
            <w:r w:rsidR="00684EC5">
              <w:rPr>
                <w:rFonts w:asciiTheme="minorHAnsi" w:eastAsia="Times New Roman" w:hAnsiTheme="minorHAnsi"/>
                <w:b w:val="0"/>
                <w:iCs/>
                <w:szCs w:val="17"/>
                <w:lang w:eastAsia="en-US"/>
              </w:rPr>
              <w:t xml:space="preserve"> Evaluation of the Multi-Donor Trust Fund Round I</w:t>
            </w:r>
          </w:p>
        </w:tc>
        <w:tc>
          <w:tcPr>
            <w:tcW w:w="1397" w:type="dxa"/>
          </w:tcPr>
          <w:p w14:paraId="077EBDDE" w14:textId="77777777" w:rsidR="009B670B" w:rsidRPr="002E10B4" w:rsidRDefault="002E10B4" w:rsidP="00D15A00">
            <w:pPr>
              <w:keepLines/>
              <w:spacing w:before="40" w:after="40" w:line="200" w:lineRule="atLeast"/>
              <w:rPr>
                <w:rFonts w:asciiTheme="minorHAnsi" w:eastAsia="Times New Roman" w:hAnsiTheme="minorHAnsi"/>
                <w:b w:val="0"/>
                <w:iCs/>
                <w:szCs w:val="17"/>
                <w:lang w:eastAsia="en-US"/>
              </w:rPr>
            </w:pPr>
            <w:r w:rsidRPr="002E10B4">
              <w:rPr>
                <w:rFonts w:asciiTheme="minorHAnsi" w:eastAsia="Times New Roman" w:hAnsiTheme="minorHAnsi"/>
                <w:b w:val="0"/>
                <w:iCs/>
                <w:szCs w:val="17"/>
                <w:lang w:eastAsia="en-US"/>
              </w:rPr>
              <w:t>April 2017</w:t>
            </w:r>
          </w:p>
        </w:tc>
        <w:tc>
          <w:tcPr>
            <w:tcW w:w="1953" w:type="dxa"/>
          </w:tcPr>
          <w:p w14:paraId="2446B31C" w14:textId="77777777" w:rsidR="009B670B" w:rsidRPr="002E10B4" w:rsidRDefault="002E10B4" w:rsidP="00D15A00">
            <w:pPr>
              <w:keepLines/>
              <w:spacing w:before="40" w:after="40" w:line="200" w:lineRule="atLeast"/>
              <w:rPr>
                <w:rFonts w:asciiTheme="minorHAnsi" w:eastAsia="Times New Roman" w:hAnsiTheme="minorHAnsi"/>
                <w:b w:val="0"/>
                <w:iCs/>
                <w:szCs w:val="17"/>
                <w:lang w:eastAsia="en-US"/>
              </w:rPr>
            </w:pPr>
            <w:r w:rsidRPr="002E10B4">
              <w:rPr>
                <w:rFonts w:asciiTheme="minorHAnsi" w:eastAsia="Times New Roman" w:hAnsiTheme="minorHAnsi"/>
                <w:b w:val="0"/>
                <w:iCs/>
                <w:szCs w:val="17"/>
                <w:lang w:eastAsia="en-US"/>
              </w:rPr>
              <w:t>Not uploaded (file too large)</w:t>
            </w:r>
          </w:p>
        </w:tc>
        <w:tc>
          <w:tcPr>
            <w:tcW w:w="1671" w:type="dxa"/>
          </w:tcPr>
          <w:p w14:paraId="4751FB42" w14:textId="77777777" w:rsidR="009B670B" w:rsidRPr="002E10B4" w:rsidRDefault="009B670B" w:rsidP="00D15A00">
            <w:pPr>
              <w:keepLines/>
              <w:spacing w:before="40" w:after="40" w:line="200" w:lineRule="atLeast"/>
              <w:rPr>
                <w:rFonts w:asciiTheme="minorHAnsi" w:eastAsia="Times New Roman" w:hAnsiTheme="minorHAnsi"/>
                <w:b w:val="0"/>
                <w:iCs/>
                <w:szCs w:val="17"/>
                <w:lang w:eastAsia="en-US"/>
              </w:rPr>
            </w:pPr>
            <w:r w:rsidRPr="002E10B4">
              <w:rPr>
                <w:rFonts w:asciiTheme="minorHAnsi" w:eastAsia="Times New Roman" w:hAnsiTheme="minorHAnsi"/>
                <w:b w:val="0"/>
                <w:iCs/>
                <w:szCs w:val="17"/>
                <w:lang w:eastAsia="en-US"/>
              </w:rPr>
              <w:t>N/A</w:t>
            </w:r>
          </w:p>
        </w:tc>
        <w:tc>
          <w:tcPr>
            <w:tcW w:w="2365" w:type="dxa"/>
          </w:tcPr>
          <w:p w14:paraId="2F20F4C2" w14:textId="77777777" w:rsidR="009B670B" w:rsidRPr="002E10B4" w:rsidRDefault="002E10B4" w:rsidP="003E305C">
            <w:pPr>
              <w:keepLines/>
              <w:spacing w:before="40" w:after="40" w:line="200" w:lineRule="atLeast"/>
              <w:rPr>
                <w:rFonts w:asciiTheme="minorHAnsi" w:eastAsia="Times New Roman" w:hAnsiTheme="minorHAnsi"/>
                <w:b w:val="0"/>
                <w:iCs/>
                <w:szCs w:val="17"/>
                <w:lang w:eastAsia="en-US"/>
              </w:rPr>
            </w:pPr>
            <w:r w:rsidRPr="002E10B4">
              <w:rPr>
                <w:rFonts w:asciiTheme="minorHAnsi" w:eastAsia="Times New Roman" w:hAnsiTheme="minorHAnsi"/>
                <w:b w:val="0"/>
                <w:iCs/>
                <w:szCs w:val="17"/>
                <w:lang w:eastAsia="en-US"/>
              </w:rPr>
              <w:t>No</w:t>
            </w:r>
          </w:p>
        </w:tc>
      </w:tr>
      <w:tr w:rsidR="004A3C57" w:rsidRPr="003B5EE5" w14:paraId="13B03270"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139BA263" w14:textId="77777777" w:rsidR="004A3C57" w:rsidRPr="0068278B" w:rsidRDefault="004720D6"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INL074 </w:t>
            </w:r>
            <w:r w:rsidR="002E10B4" w:rsidRPr="004720D6">
              <w:rPr>
                <w:rFonts w:asciiTheme="minorHAnsi" w:eastAsia="Times New Roman" w:hAnsiTheme="minorHAnsi"/>
                <w:b w:val="0"/>
                <w:iCs/>
                <w:szCs w:val="17"/>
                <w:lang w:eastAsia="en-US"/>
              </w:rPr>
              <w:t>World Bank MDTF Partnership for Nutrition</w:t>
            </w:r>
          </w:p>
        </w:tc>
        <w:tc>
          <w:tcPr>
            <w:tcW w:w="3665" w:type="dxa"/>
          </w:tcPr>
          <w:p w14:paraId="54B1592D" w14:textId="77777777" w:rsidR="004A3C57" w:rsidRPr="0068278B" w:rsidRDefault="002231C7" w:rsidP="00A42DF5">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 xml:space="preserve">World Bank MDTF- Partnership for Nutrition </w:t>
            </w:r>
            <w:r w:rsidR="009B670B">
              <w:rPr>
                <w:rFonts w:asciiTheme="minorHAnsi" w:eastAsia="Times New Roman" w:hAnsiTheme="minorHAnsi"/>
                <w:b w:val="0"/>
                <w:iCs/>
                <w:szCs w:val="17"/>
                <w:lang w:eastAsia="en-US"/>
              </w:rPr>
              <w:t xml:space="preserve">Internal </w:t>
            </w:r>
            <w:r w:rsidRPr="0068278B">
              <w:rPr>
                <w:rFonts w:asciiTheme="minorHAnsi" w:eastAsia="Times New Roman" w:hAnsiTheme="minorHAnsi"/>
                <w:b w:val="0"/>
                <w:iCs/>
                <w:szCs w:val="17"/>
                <w:lang w:eastAsia="en-US"/>
              </w:rPr>
              <w:t>Review</w:t>
            </w:r>
          </w:p>
        </w:tc>
        <w:tc>
          <w:tcPr>
            <w:tcW w:w="1397" w:type="dxa"/>
          </w:tcPr>
          <w:p w14:paraId="32B6E971" w14:textId="77777777" w:rsidR="004A3C57" w:rsidRPr="0068278B" w:rsidRDefault="002231C7" w:rsidP="00D15A00">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9 June 2017</w:t>
            </w:r>
          </w:p>
        </w:tc>
        <w:tc>
          <w:tcPr>
            <w:tcW w:w="1953" w:type="dxa"/>
          </w:tcPr>
          <w:p w14:paraId="2E266294" w14:textId="77777777" w:rsidR="004A3C57" w:rsidRPr="0068278B" w:rsidRDefault="002231C7" w:rsidP="00D15A00">
            <w:pPr>
              <w:keepLines/>
              <w:spacing w:before="40" w:after="40" w:line="200" w:lineRule="atLeast"/>
              <w:rPr>
                <w:rFonts w:asciiTheme="minorHAnsi" w:eastAsia="Times New Roman" w:hAnsiTheme="minorHAnsi"/>
                <w:b w:val="0"/>
                <w:iCs/>
                <w:szCs w:val="17"/>
                <w:lang w:eastAsia="en-US"/>
              </w:rPr>
            </w:pPr>
            <w:r w:rsidRPr="0068278B">
              <w:rPr>
                <w:rFonts w:asciiTheme="minorHAnsi" w:eastAsia="Times New Roman" w:hAnsiTheme="minorHAnsi"/>
                <w:b w:val="0"/>
                <w:iCs/>
                <w:szCs w:val="17"/>
                <w:lang w:eastAsia="en-US"/>
              </w:rPr>
              <w:t>9 August 2017</w:t>
            </w:r>
          </w:p>
        </w:tc>
        <w:tc>
          <w:tcPr>
            <w:tcW w:w="1671" w:type="dxa"/>
          </w:tcPr>
          <w:p w14:paraId="11A08908" w14:textId="77777777" w:rsidR="004A3C57" w:rsidRPr="0068278B" w:rsidRDefault="009B670B"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2365" w:type="dxa"/>
          </w:tcPr>
          <w:p w14:paraId="56B5B366" w14:textId="77777777" w:rsidR="004A3C57" w:rsidRPr="0068278B" w:rsidRDefault="00060033" w:rsidP="003E305C">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No</w:t>
            </w:r>
          </w:p>
        </w:tc>
      </w:tr>
    </w:tbl>
    <w:p w14:paraId="698BB91E" w14:textId="77777777" w:rsidR="004720D6" w:rsidRDefault="004720D6"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1513AC31" w14:textId="77777777" w:rsidR="004720D6" w:rsidRDefault="004720D6"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2EC18DB9" w14:textId="68EC2257" w:rsidR="0037717D" w:rsidRDefault="0037717D">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5266B558" w14:textId="77777777"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6706EF">
        <w:rPr>
          <w:rFonts w:asciiTheme="majorHAnsi" w:eastAsiaTheme="majorEastAsia" w:hAnsiTheme="majorHAnsi" w:cstheme="majorBidi"/>
          <w:caps/>
          <w:color w:val="495965" w:themeColor="text2"/>
          <w:sz w:val="38"/>
          <w:szCs w:val="26"/>
          <w:lang w:val="en-GB" w:eastAsia="en-US"/>
        </w:rPr>
        <w:lastRenderedPageBreak/>
        <w:t>List of program prioritised evaluations planned for the next 12 months</w:t>
      </w:r>
      <w:r w:rsidRPr="005E606B">
        <w:rPr>
          <w:rFonts w:asciiTheme="majorHAnsi" w:eastAsiaTheme="majorEastAsia" w:hAnsiTheme="majorHAnsi" w:cstheme="majorBidi"/>
          <w:caps/>
          <w:color w:val="495965" w:themeColor="text2"/>
          <w:sz w:val="38"/>
          <w:szCs w:val="26"/>
          <w:lang w:val="en-GB" w:eastAsia="en-US"/>
        </w:rPr>
        <w:t xml:space="preserve">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AF1B85" w:rsidRPr="00C61187" w14:paraId="6FC8F2B0" w14:textId="77777777" w:rsidTr="005E606B">
        <w:tc>
          <w:tcPr>
            <w:tcW w:w="2444" w:type="dxa"/>
          </w:tcPr>
          <w:p w14:paraId="4947C137"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14:paraId="60CC496C"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14:paraId="1829AA66"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14:paraId="117ACFB1"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14:paraId="2F7E7B77"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14:paraId="2253469E"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E07E0B" w:rsidRPr="00C61187" w14:paraId="7B1DC780" w14:textId="77777777" w:rsidTr="005E606B">
        <w:tc>
          <w:tcPr>
            <w:tcW w:w="2444" w:type="dxa"/>
          </w:tcPr>
          <w:p w14:paraId="0B133B3C" w14:textId="77777777" w:rsidR="00E07E0B" w:rsidRPr="009B670B" w:rsidRDefault="00E07E0B" w:rsidP="00803559">
            <w:pPr>
              <w:keepLines/>
              <w:spacing w:before="40" w:after="40" w:line="200" w:lineRule="atLeast"/>
              <w:rPr>
                <w:rFonts w:asciiTheme="minorHAnsi" w:eastAsia="Times New Roman" w:hAnsiTheme="minorHAnsi"/>
                <w:iCs/>
                <w:szCs w:val="17"/>
                <w:lang w:eastAsia="en-US"/>
              </w:rPr>
            </w:pPr>
            <w:r w:rsidRPr="009B670B">
              <w:rPr>
                <w:rFonts w:asciiTheme="minorHAnsi" w:eastAsia="Times New Roman" w:hAnsiTheme="minorHAnsi"/>
                <w:iCs/>
                <w:szCs w:val="17"/>
                <w:lang w:eastAsia="en-US"/>
              </w:rPr>
              <w:t>KESP</w:t>
            </w:r>
            <w:r w:rsidR="00803559" w:rsidRPr="009B670B">
              <w:rPr>
                <w:rFonts w:asciiTheme="minorHAnsi" w:eastAsia="Times New Roman" w:hAnsiTheme="minorHAnsi"/>
                <w:iCs/>
                <w:szCs w:val="17"/>
                <w:lang w:eastAsia="en-US"/>
              </w:rPr>
              <w:t xml:space="preserve"> Annual Review</w:t>
            </w:r>
          </w:p>
        </w:tc>
        <w:tc>
          <w:tcPr>
            <w:tcW w:w="2356" w:type="dxa"/>
          </w:tcPr>
          <w:p w14:paraId="7BD4127C" w14:textId="77777777" w:rsidR="00E07E0B" w:rsidRPr="009B670B" w:rsidRDefault="00803559" w:rsidP="007D1071">
            <w:pPr>
              <w:keepLines/>
              <w:spacing w:before="40" w:after="40" w:line="200" w:lineRule="atLeast"/>
              <w:rPr>
                <w:rFonts w:asciiTheme="minorHAnsi" w:eastAsia="Times New Roman" w:hAnsiTheme="minorHAnsi"/>
                <w:iCs/>
                <w:szCs w:val="17"/>
                <w:lang w:eastAsia="en-US"/>
              </w:rPr>
            </w:pPr>
            <w:r w:rsidRPr="009B670B">
              <w:rPr>
                <w:rFonts w:asciiTheme="minorHAnsi" w:eastAsia="Times New Roman" w:hAnsiTheme="minorHAnsi"/>
                <w:iCs/>
                <w:szCs w:val="17"/>
                <w:lang w:eastAsia="en-US"/>
              </w:rPr>
              <w:t>INK420</w:t>
            </w:r>
            <w:r w:rsidR="007D1071" w:rsidRPr="009B670B">
              <w:rPr>
                <w:rFonts w:asciiTheme="minorHAnsi" w:eastAsia="Times New Roman" w:hAnsiTheme="minorHAnsi"/>
                <w:iCs/>
                <w:szCs w:val="17"/>
                <w:lang w:eastAsia="en-US"/>
              </w:rPr>
              <w:t xml:space="preserve"> Khyber Pakhtunkhwa Education Sector </w:t>
            </w:r>
            <w:r w:rsidR="004548BE" w:rsidRPr="009B670B">
              <w:rPr>
                <w:rFonts w:asciiTheme="minorHAnsi" w:eastAsia="Times New Roman" w:hAnsiTheme="minorHAnsi"/>
                <w:iCs/>
                <w:szCs w:val="17"/>
                <w:lang w:eastAsia="en-US"/>
              </w:rPr>
              <w:t>Program</w:t>
            </w:r>
          </w:p>
        </w:tc>
        <w:tc>
          <w:tcPr>
            <w:tcW w:w="2042" w:type="dxa"/>
          </w:tcPr>
          <w:p w14:paraId="11D606E7" w14:textId="77777777" w:rsidR="00E07E0B" w:rsidRPr="009B670B" w:rsidRDefault="00E07E0B" w:rsidP="00D15A00">
            <w:pPr>
              <w:keepLines/>
              <w:spacing w:before="40" w:after="40" w:line="200" w:lineRule="atLeast"/>
              <w:rPr>
                <w:rFonts w:asciiTheme="minorHAnsi" w:eastAsia="Times New Roman" w:hAnsiTheme="minorHAnsi"/>
                <w:iCs/>
                <w:szCs w:val="17"/>
                <w:lang w:eastAsia="en-US"/>
              </w:rPr>
            </w:pPr>
            <w:r w:rsidRPr="009B670B">
              <w:rPr>
                <w:rFonts w:asciiTheme="minorHAnsi" w:eastAsia="Times New Roman" w:hAnsiTheme="minorHAnsi"/>
                <w:iCs/>
                <w:szCs w:val="17"/>
                <w:lang w:eastAsia="en-US"/>
              </w:rPr>
              <w:t>August 2017</w:t>
            </w:r>
          </w:p>
        </w:tc>
        <w:tc>
          <w:tcPr>
            <w:tcW w:w="2208" w:type="dxa"/>
          </w:tcPr>
          <w:p w14:paraId="5AD3761A" w14:textId="77777777" w:rsidR="00E07E0B" w:rsidRPr="009B670B" w:rsidRDefault="00803559" w:rsidP="00D15A00">
            <w:pPr>
              <w:keepLines/>
              <w:spacing w:before="40" w:after="40" w:line="200" w:lineRule="atLeast"/>
              <w:rPr>
                <w:rFonts w:asciiTheme="minorHAnsi" w:eastAsia="Times New Roman" w:hAnsiTheme="minorHAnsi"/>
                <w:iCs/>
                <w:szCs w:val="17"/>
                <w:lang w:eastAsia="en-US"/>
              </w:rPr>
            </w:pPr>
            <w:r w:rsidRPr="009B670B">
              <w:rPr>
                <w:rFonts w:asciiTheme="minorHAnsi" w:eastAsia="Times New Roman" w:hAnsiTheme="minorHAnsi"/>
                <w:iCs/>
                <w:szCs w:val="17"/>
                <w:lang w:eastAsia="en-US"/>
              </w:rPr>
              <w:t>September 2017</w:t>
            </w:r>
          </w:p>
        </w:tc>
        <w:tc>
          <w:tcPr>
            <w:tcW w:w="2325" w:type="dxa"/>
          </w:tcPr>
          <w:p w14:paraId="7D66A765" w14:textId="77777777" w:rsidR="00E07E0B" w:rsidRPr="009B670B" w:rsidRDefault="007D1071" w:rsidP="007D1071">
            <w:pPr>
              <w:keepLines/>
              <w:spacing w:before="40" w:after="40" w:line="200" w:lineRule="atLeast"/>
              <w:rPr>
                <w:rFonts w:asciiTheme="minorHAnsi" w:eastAsia="Times New Roman" w:hAnsiTheme="minorHAnsi"/>
                <w:iCs/>
                <w:szCs w:val="17"/>
                <w:lang w:eastAsia="en-US"/>
              </w:rPr>
            </w:pPr>
            <w:r w:rsidRPr="009B670B">
              <w:rPr>
                <w:rFonts w:asciiTheme="minorHAnsi" w:eastAsia="Times New Roman" w:hAnsiTheme="minorHAnsi"/>
                <w:iCs/>
                <w:szCs w:val="17"/>
                <w:lang w:eastAsia="en-US"/>
              </w:rPr>
              <w:t>Annual process evaluation to provide deeper understanding of the quality of implementation and to identify lessons learnt</w:t>
            </w:r>
          </w:p>
        </w:tc>
        <w:tc>
          <w:tcPr>
            <w:tcW w:w="2740" w:type="dxa"/>
          </w:tcPr>
          <w:p w14:paraId="6630D9BB" w14:textId="77777777" w:rsidR="00E07E0B" w:rsidRPr="009B670B" w:rsidRDefault="00803559" w:rsidP="00D15A00">
            <w:pPr>
              <w:keepLines/>
              <w:spacing w:before="40" w:after="40" w:line="200" w:lineRule="atLeast"/>
              <w:rPr>
                <w:rFonts w:asciiTheme="minorHAnsi" w:eastAsia="Times New Roman" w:hAnsiTheme="minorHAnsi"/>
                <w:iCs/>
                <w:szCs w:val="17"/>
                <w:lang w:eastAsia="en-US"/>
              </w:rPr>
            </w:pPr>
            <w:r w:rsidRPr="009B670B">
              <w:rPr>
                <w:rFonts w:asciiTheme="minorHAnsi" w:eastAsia="Times New Roman" w:hAnsiTheme="minorHAnsi"/>
                <w:iCs/>
                <w:szCs w:val="17"/>
                <w:lang w:eastAsia="en-US"/>
              </w:rPr>
              <w:t>DFID-led</w:t>
            </w:r>
          </w:p>
        </w:tc>
      </w:tr>
      <w:tr w:rsidR="00803559" w:rsidRPr="00C61187" w14:paraId="72BE6450" w14:textId="77777777" w:rsidTr="005E606B">
        <w:tc>
          <w:tcPr>
            <w:tcW w:w="2444" w:type="dxa"/>
          </w:tcPr>
          <w:p w14:paraId="407B8145" w14:textId="77777777" w:rsidR="00803559" w:rsidRPr="009B670B" w:rsidRDefault="00803559" w:rsidP="00D15A00">
            <w:pPr>
              <w:keepLines/>
              <w:spacing w:before="40" w:after="40" w:line="200" w:lineRule="atLeast"/>
              <w:rPr>
                <w:rFonts w:asciiTheme="minorHAnsi" w:eastAsia="Times New Roman" w:hAnsiTheme="minorHAnsi"/>
                <w:iCs/>
                <w:szCs w:val="17"/>
                <w:lang w:eastAsia="en-US"/>
              </w:rPr>
            </w:pPr>
            <w:r w:rsidRPr="009B670B">
              <w:rPr>
                <w:rFonts w:asciiTheme="minorHAnsi" w:eastAsia="Times New Roman" w:hAnsiTheme="minorHAnsi"/>
                <w:iCs/>
                <w:szCs w:val="17"/>
                <w:lang w:eastAsia="en-US"/>
              </w:rPr>
              <w:t>Annual Review</w:t>
            </w:r>
          </w:p>
        </w:tc>
        <w:tc>
          <w:tcPr>
            <w:tcW w:w="2356" w:type="dxa"/>
          </w:tcPr>
          <w:p w14:paraId="5D1B1300" w14:textId="77777777" w:rsidR="00803559" w:rsidRPr="009B670B" w:rsidRDefault="00803559" w:rsidP="00D15A00">
            <w:pPr>
              <w:keepLines/>
              <w:spacing w:before="40" w:after="40" w:line="200" w:lineRule="atLeast"/>
              <w:rPr>
                <w:rFonts w:asciiTheme="minorHAnsi" w:eastAsia="Times New Roman" w:hAnsiTheme="minorHAnsi"/>
                <w:iCs/>
                <w:szCs w:val="17"/>
                <w:lang w:eastAsia="en-US"/>
              </w:rPr>
            </w:pPr>
            <w:r w:rsidRPr="009B670B">
              <w:rPr>
                <w:rFonts w:asciiTheme="minorHAnsi" w:eastAsia="Times New Roman" w:hAnsiTheme="minorHAnsi"/>
                <w:iCs/>
                <w:szCs w:val="17"/>
                <w:lang w:eastAsia="en-US"/>
              </w:rPr>
              <w:t>INK576 World Bank Multi Donor Trust Fund Balochistan, FATA and KPK (MDTF-BA)</w:t>
            </w:r>
          </w:p>
        </w:tc>
        <w:tc>
          <w:tcPr>
            <w:tcW w:w="2042" w:type="dxa"/>
          </w:tcPr>
          <w:p w14:paraId="72B4C628" w14:textId="77777777" w:rsidR="00803559" w:rsidRPr="009B670B" w:rsidRDefault="00803559" w:rsidP="00D15A00">
            <w:pPr>
              <w:keepLines/>
              <w:spacing w:before="40" w:after="40" w:line="200" w:lineRule="atLeast"/>
              <w:rPr>
                <w:rFonts w:asciiTheme="minorHAnsi" w:eastAsia="Times New Roman" w:hAnsiTheme="minorHAnsi"/>
                <w:iCs/>
                <w:szCs w:val="17"/>
                <w:lang w:eastAsia="en-US"/>
              </w:rPr>
            </w:pPr>
            <w:r w:rsidRPr="009B670B">
              <w:rPr>
                <w:rFonts w:asciiTheme="minorHAnsi" w:eastAsia="Times New Roman" w:hAnsiTheme="minorHAnsi"/>
                <w:iCs/>
                <w:szCs w:val="17"/>
                <w:lang w:eastAsia="en-US"/>
              </w:rPr>
              <w:t>February 2018</w:t>
            </w:r>
          </w:p>
        </w:tc>
        <w:tc>
          <w:tcPr>
            <w:tcW w:w="2208" w:type="dxa"/>
          </w:tcPr>
          <w:p w14:paraId="1C22E099" w14:textId="77777777" w:rsidR="00803559" w:rsidRPr="009B670B" w:rsidRDefault="00803559" w:rsidP="00D15A00">
            <w:pPr>
              <w:keepLines/>
              <w:spacing w:before="40" w:after="40" w:line="200" w:lineRule="atLeast"/>
              <w:rPr>
                <w:rFonts w:asciiTheme="minorHAnsi" w:eastAsia="Times New Roman" w:hAnsiTheme="minorHAnsi"/>
                <w:iCs/>
                <w:szCs w:val="17"/>
                <w:lang w:eastAsia="en-US"/>
              </w:rPr>
            </w:pPr>
            <w:r w:rsidRPr="009B670B">
              <w:rPr>
                <w:rFonts w:asciiTheme="minorHAnsi" w:eastAsia="Times New Roman" w:hAnsiTheme="minorHAnsi"/>
                <w:iCs/>
                <w:szCs w:val="17"/>
                <w:lang w:eastAsia="en-US"/>
              </w:rPr>
              <w:t>April 2018</w:t>
            </w:r>
          </w:p>
        </w:tc>
        <w:tc>
          <w:tcPr>
            <w:tcW w:w="2325" w:type="dxa"/>
          </w:tcPr>
          <w:p w14:paraId="010F0F00" w14:textId="77777777" w:rsidR="00803559" w:rsidRPr="009B670B" w:rsidRDefault="00803559" w:rsidP="00D15A00">
            <w:pPr>
              <w:keepLines/>
              <w:spacing w:before="40" w:after="40" w:line="200" w:lineRule="atLeast"/>
              <w:rPr>
                <w:rFonts w:asciiTheme="minorHAnsi" w:eastAsia="Times New Roman" w:hAnsiTheme="minorHAnsi"/>
                <w:iCs/>
                <w:szCs w:val="17"/>
                <w:lang w:eastAsia="en-US"/>
              </w:rPr>
            </w:pPr>
            <w:r w:rsidRPr="009B670B">
              <w:rPr>
                <w:rFonts w:asciiTheme="minorHAnsi" w:eastAsia="Times New Roman" w:hAnsiTheme="minorHAnsi"/>
                <w:iCs/>
                <w:szCs w:val="17"/>
                <w:lang w:eastAsia="en-US"/>
              </w:rPr>
              <w:t>To demonstrate results, verify performance and improve the existing investment</w:t>
            </w:r>
          </w:p>
        </w:tc>
        <w:tc>
          <w:tcPr>
            <w:tcW w:w="2740" w:type="dxa"/>
          </w:tcPr>
          <w:p w14:paraId="39BF1611" w14:textId="77777777" w:rsidR="00803559" w:rsidRPr="009B670B" w:rsidRDefault="00803559" w:rsidP="00D15A00">
            <w:pPr>
              <w:keepLines/>
              <w:spacing w:before="40" w:after="40" w:line="200" w:lineRule="atLeast"/>
              <w:rPr>
                <w:rFonts w:asciiTheme="minorHAnsi" w:eastAsia="Times New Roman" w:hAnsiTheme="minorHAnsi"/>
                <w:iCs/>
                <w:szCs w:val="17"/>
                <w:lang w:eastAsia="en-US"/>
              </w:rPr>
            </w:pPr>
            <w:r w:rsidRPr="009B670B">
              <w:rPr>
                <w:rFonts w:asciiTheme="minorHAnsi" w:eastAsia="Times New Roman" w:hAnsiTheme="minorHAnsi"/>
                <w:iCs/>
                <w:szCs w:val="17"/>
                <w:lang w:eastAsia="en-US"/>
              </w:rPr>
              <w:t>DFID-led</w:t>
            </w:r>
          </w:p>
        </w:tc>
      </w:tr>
      <w:tr w:rsidR="00803559" w:rsidRPr="00C61187" w14:paraId="35100C60" w14:textId="77777777" w:rsidTr="005E606B">
        <w:tc>
          <w:tcPr>
            <w:tcW w:w="2444" w:type="dxa"/>
          </w:tcPr>
          <w:p w14:paraId="0D1B4A13" w14:textId="77777777" w:rsidR="00803559" w:rsidRPr="009B670B" w:rsidRDefault="00803559" w:rsidP="00D15A00">
            <w:pPr>
              <w:keepLines/>
              <w:spacing w:before="40" w:after="40" w:line="200" w:lineRule="atLeast"/>
              <w:rPr>
                <w:rFonts w:asciiTheme="minorHAnsi" w:eastAsia="Times New Roman" w:hAnsiTheme="minorHAnsi"/>
                <w:iCs/>
                <w:szCs w:val="17"/>
                <w:lang w:eastAsia="en-US"/>
              </w:rPr>
            </w:pPr>
            <w:r w:rsidRPr="009B670B">
              <w:rPr>
                <w:rFonts w:asciiTheme="minorHAnsi" w:eastAsia="Times New Roman" w:hAnsiTheme="minorHAnsi"/>
                <w:iCs/>
                <w:szCs w:val="17"/>
                <w:lang w:eastAsia="en-US"/>
              </w:rPr>
              <w:t>Mid-term Review</w:t>
            </w:r>
          </w:p>
        </w:tc>
        <w:tc>
          <w:tcPr>
            <w:tcW w:w="2356" w:type="dxa"/>
          </w:tcPr>
          <w:p w14:paraId="6AF57BDD" w14:textId="77777777" w:rsidR="00803559" w:rsidRPr="009B670B" w:rsidRDefault="00803559" w:rsidP="00D15A00">
            <w:pPr>
              <w:keepLines/>
              <w:spacing w:before="40" w:after="40" w:line="200" w:lineRule="atLeast"/>
              <w:rPr>
                <w:rFonts w:asciiTheme="minorHAnsi" w:eastAsia="Times New Roman" w:hAnsiTheme="minorHAnsi"/>
                <w:iCs/>
                <w:szCs w:val="17"/>
                <w:lang w:eastAsia="en-US"/>
              </w:rPr>
            </w:pPr>
            <w:r w:rsidRPr="009B670B">
              <w:rPr>
                <w:rFonts w:asciiTheme="minorHAnsi" w:eastAsia="Times New Roman" w:hAnsiTheme="minorHAnsi"/>
                <w:iCs/>
                <w:szCs w:val="17"/>
                <w:lang w:eastAsia="en-US"/>
              </w:rPr>
              <w:t>INL272 Women’s Economic empowerment and market development</w:t>
            </w:r>
          </w:p>
        </w:tc>
        <w:tc>
          <w:tcPr>
            <w:tcW w:w="2042" w:type="dxa"/>
          </w:tcPr>
          <w:p w14:paraId="669DB9A1" w14:textId="77777777" w:rsidR="00803559" w:rsidRPr="009B670B" w:rsidRDefault="002A6B9B" w:rsidP="00D15A00">
            <w:pPr>
              <w:keepLines/>
              <w:spacing w:before="40" w:after="40" w:line="200" w:lineRule="atLeast"/>
              <w:rPr>
                <w:rFonts w:asciiTheme="minorHAnsi" w:eastAsia="Times New Roman" w:hAnsiTheme="minorHAnsi"/>
                <w:iCs/>
                <w:szCs w:val="17"/>
                <w:lang w:eastAsia="en-US"/>
              </w:rPr>
            </w:pPr>
            <w:r w:rsidRPr="009B670B">
              <w:rPr>
                <w:rFonts w:asciiTheme="minorHAnsi" w:eastAsia="Times New Roman" w:hAnsiTheme="minorHAnsi"/>
                <w:iCs/>
                <w:szCs w:val="17"/>
                <w:lang w:eastAsia="en-US"/>
              </w:rPr>
              <w:t>March 2018</w:t>
            </w:r>
          </w:p>
        </w:tc>
        <w:tc>
          <w:tcPr>
            <w:tcW w:w="2208" w:type="dxa"/>
          </w:tcPr>
          <w:p w14:paraId="4BE74881" w14:textId="77777777" w:rsidR="00803559" w:rsidRPr="009B670B" w:rsidRDefault="00803559" w:rsidP="00D15A00">
            <w:pPr>
              <w:keepLines/>
              <w:spacing w:before="40" w:after="40" w:line="200" w:lineRule="atLeast"/>
              <w:rPr>
                <w:rFonts w:asciiTheme="minorHAnsi" w:eastAsia="Times New Roman" w:hAnsiTheme="minorHAnsi"/>
                <w:iCs/>
                <w:szCs w:val="17"/>
                <w:lang w:eastAsia="en-US"/>
              </w:rPr>
            </w:pPr>
            <w:r w:rsidRPr="009B670B">
              <w:rPr>
                <w:rFonts w:asciiTheme="minorHAnsi" w:eastAsia="Times New Roman" w:hAnsiTheme="minorHAnsi"/>
                <w:iCs/>
                <w:szCs w:val="17"/>
                <w:lang w:eastAsia="en-US"/>
              </w:rPr>
              <w:t>TBC</w:t>
            </w:r>
          </w:p>
        </w:tc>
        <w:tc>
          <w:tcPr>
            <w:tcW w:w="2325" w:type="dxa"/>
          </w:tcPr>
          <w:p w14:paraId="02D54FBD" w14:textId="77777777" w:rsidR="00803559" w:rsidRPr="009B670B" w:rsidRDefault="00803559" w:rsidP="00D15A00">
            <w:pPr>
              <w:keepLines/>
              <w:spacing w:before="40" w:after="40" w:line="200" w:lineRule="atLeast"/>
              <w:rPr>
                <w:rFonts w:asciiTheme="minorHAnsi" w:eastAsia="Times New Roman" w:hAnsiTheme="minorHAnsi"/>
                <w:iCs/>
                <w:szCs w:val="17"/>
                <w:lang w:eastAsia="en-US"/>
              </w:rPr>
            </w:pPr>
            <w:r w:rsidRPr="009B670B">
              <w:rPr>
                <w:rFonts w:asciiTheme="minorHAnsi" w:eastAsia="Times New Roman" w:hAnsiTheme="minorHAnsi"/>
                <w:iCs/>
                <w:szCs w:val="17"/>
                <w:lang w:eastAsia="en-US"/>
              </w:rPr>
              <w:t>To verify performance and examine value for money</w:t>
            </w:r>
          </w:p>
        </w:tc>
        <w:tc>
          <w:tcPr>
            <w:tcW w:w="2740" w:type="dxa"/>
          </w:tcPr>
          <w:p w14:paraId="4C60B517" w14:textId="77777777" w:rsidR="00803559" w:rsidRPr="009B670B" w:rsidRDefault="00803559" w:rsidP="00D15A00">
            <w:pPr>
              <w:keepLines/>
              <w:spacing w:before="40" w:after="40" w:line="200" w:lineRule="atLeast"/>
              <w:rPr>
                <w:rFonts w:asciiTheme="minorHAnsi" w:eastAsia="Times New Roman" w:hAnsiTheme="minorHAnsi"/>
                <w:iCs/>
                <w:szCs w:val="17"/>
                <w:lang w:eastAsia="en-US"/>
              </w:rPr>
            </w:pPr>
            <w:r w:rsidRPr="009B670B">
              <w:rPr>
                <w:rFonts w:asciiTheme="minorHAnsi" w:eastAsia="Times New Roman" w:hAnsiTheme="minorHAnsi"/>
                <w:iCs/>
                <w:szCs w:val="17"/>
                <w:lang w:eastAsia="en-US"/>
              </w:rPr>
              <w:t>DFAT-led</w:t>
            </w:r>
          </w:p>
        </w:tc>
      </w:tr>
    </w:tbl>
    <w:p w14:paraId="43B78143" w14:textId="77777777" w:rsidR="0059146A" w:rsidRPr="0059146A" w:rsidRDefault="0059146A" w:rsidP="005B5769">
      <w:pPr>
        <w:pStyle w:val="ListBullet"/>
        <w:tabs>
          <w:tab w:val="clear" w:pos="284"/>
        </w:tabs>
      </w:pPr>
    </w:p>
    <w:p w14:paraId="71E6BEA1" w14:textId="77777777" w:rsidR="0059146A" w:rsidRDefault="0059146A" w:rsidP="005B5769">
      <w:pPr>
        <w:pStyle w:val="ListBullet"/>
        <w:tabs>
          <w:tab w:val="clear" w:pos="284"/>
        </w:tabs>
      </w:pPr>
    </w:p>
    <w:p w14:paraId="3C2C17C8" w14:textId="77777777" w:rsidR="005E606B" w:rsidRDefault="005E606B" w:rsidP="005B5769">
      <w:pPr>
        <w:pStyle w:val="ListBullet"/>
        <w:tabs>
          <w:tab w:val="clear" w:pos="284"/>
        </w:tabs>
        <w:sectPr w:rsidR="005E606B" w:rsidSect="00D2653F">
          <w:headerReference w:type="default" r:id="rId28"/>
          <w:headerReference w:type="first" r:id="rId29"/>
          <w:pgSz w:w="16838" w:h="11906" w:orient="landscape" w:code="9"/>
          <w:pgMar w:top="1134" w:right="1952" w:bottom="1134" w:left="851" w:header="1107" w:footer="567" w:gutter="0"/>
          <w:cols w:space="397"/>
          <w:docGrid w:linePitch="360"/>
        </w:sectPr>
      </w:pPr>
    </w:p>
    <w:p w14:paraId="47624A9B" w14:textId="77777777" w:rsidR="005E606B" w:rsidRPr="00A8197B" w:rsidRDefault="005E606B" w:rsidP="00A8197B">
      <w:pPr>
        <w:pStyle w:val="Subtitle"/>
      </w:pPr>
      <w:r w:rsidRPr="00A8197B">
        <w:lastRenderedPageBreak/>
        <w:t xml:space="preserve">Annex </w:t>
      </w:r>
      <w:r w:rsidR="00184F1E">
        <w:t>D</w:t>
      </w:r>
      <w:r w:rsidRPr="00A8197B">
        <w:t xml:space="preserve"> - Aid Quality Check ratings</w:t>
      </w:r>
    </w:p>
    <w:p w14:paraId="20D4ECB6" w14:textId="77777777"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E66F22">
        <w:rPr>
          <w:rFonts w:asciiTheme="majorHAnsi" w:eastAsiaTheme="majorEastAsia" w:hAnsiTheme="majorHAnsi" w:cstheme="majorBidi"/>
          <w:caps/>
          <w:color w:val="495965" w:themeColor="text2"/>
          <w:sz w:val="38"/>
          <w:szCs w:val="26"/>
          <w:lang w:val="en-GB" w:eastAsia="en-US"/>
        </w:rPr>
        <w:t>AQC ratings</w:t>
      </w:r>
    </w:p>
    <w:tbl>
      <w:tblPr>
        <w:tblW w:w="9540" w:type="dxa"/>
        <w:tblLook w:val="04A0" w:firstRow="1" w:lastRow="0" w:firstColumn="1" w:lastColumn="0" w:noHBand="0" w:noVBand="1"/>
      </w:tblPr>
      <w:tblGrid>
        <w:gridCol w:w="2720"/>
        <w:gridCol w:w="960"/>
        <w:gridCol w:w="960"/>
        <w:gridCol w:w="700"/>
        <w:gridCol w:w="700"/>
        <w:gridCol w:w="700"/>
        <w:gridCol w:w="700"/>
        <w:gridCol w:w="700"/>
        <w:gridCol w:w="700"/>
        <w:gridCol w:w="700"/>
      </w:tblGrid>
      <w:tr w:rsidR="008B2F77" w:rsidRPr="008B2F77" w14:paraId="4765E462" w14:textId="77777777" w:rsidTr="0043662C">
        <w:trPr>
          <w:trHeight w:val="1305"/>
        </w:trPr>
        <w:tc>
          <w:tcPr>
            <w:tcW w:w="2720" w:type="dxa"/>
            <w:tcBorders>
              <w:top w:val="single" w:sz="12" w:space="0" w:color="000000"/>
              <w:left w:val="nil"/>
              <w:bottom w:val="nil"/>
              <w:right w:val="nil"/>
            </w:tcBorders>
            <w:shd w:val="clear" w:color="auto" w:fill="auto"/>
            <w:vAlign w:val="center"/>
            <w:hideMark/>
          </w:tcPr>
          <w:p w14:paraId="0A17FB8D" w14:textId="50521D9D" w:rsidR="008B2F77" w:rsidRPr="008B2F77" w:rsidRDefault="008B2F77" w:rsidP="008B2F77">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8B2F77">
              <w:rPr>
                <w:rFonts w:ascii="Calibri Light" w:eastAsia="Times New Roman" w:hAnsi="Calibri Light" w:cs="Times New Roman"/>
                <w:b/>
                <w:bCs/>
                <w:iCs/>
                <w:noProof/>
                <w:color w:val="495965"/>
                <w:sz w:val="17"/>
                <w:szCs w:val="17"/>
                <w:lang w:val="en-AU" w:eastAsia="en-AU"/>
              </w:rPr>
              <w:drawing>
                <wp:anchor distT="0" distB="0" distL="114300" distR="114300" simplePos="0" relativeHeight="251683840" behindDoc="0" locked="0" layoutInCell="1" allowOverlap="1" wp14:anchorId="4883F9EE" wp14:editId="697533D3">
                  <wp:simplePos x="0" y="0"/>
                  <wp:positionH relativeFrom="column">
                    <wp:posOffset>0</wp:posOffset>
                  </wp:positionH>
                  <wp:positionV relativeFrom="paragraph">
                    <wp:posOffset>0</wp:posOffset>
                  </wp:positionV>
                  <wp:extent cx="2971800" cy="228600"/>
                  <wp:effectExtent l="0" t="0" r="0" b="0"/>
                  <wp:wrapNone/>
                  <wp:docPr id="3" name="Picture 3" hidden="1"/>
                  <wp:cNvGraphicFramePr/>
                  <a:graphic xmlns:a="http://schemas.openxmlformats.org/drawingml/2006/main">
                    <a:graphicData uri="http://schemas.openxmlformats.org/drawingml/2006/picture">
                      <pic:pic xmlns:pic="http://schemas.openxmlformats.org/drawingml/2006/picture">
                        <pic:nvPicPr>
                          <pic:cNvPr id="2" name="Picture 26"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2F77">
              <w:rPr>
                <w:rFonts w:ascii="Calibri Light" w:eastAsia="Times New Roman" w:hAnsi="Calibri Light" w:cs="Times New Roman"/>
                <w:b/>
                <w:bCs/>
                <w:iCs/>
                <w:color w:val="495965"/>
                <w:sz w:val="17"/>
                <w:szCs w:val="17"/>
                <w:lang w:eastAsia="en-AU"/>
              </w:rPr>
              <w:t>Investment name</w:t>
            </w:r>
          </w:p>
        </w:tc>
        <w:tc>
          <w:tcPr>
            <w:tcW w:w="960" w:type="dxa"/>
            <w:tcBorders>
              <w:top w:val="single" w:sz="12" w:space="0" w:color="000000"/>
              <w:left w:val="nil"/>
              <w:bottom w:val="nil"/>
              <w:right w:val="nil"/>
            </w:tcBorders>
            <w:shd w:val="clear" w:color="auto" w:fill="auto"/>
            <w:vAlign w:val="center"/>
            <w:hideMark/>
          </w:tcPr>
          <w:p w14:paraId="551A0CC4" w14:textId="77777777" w:rsidR="008B2F77" w:rsidRPr="008B2F77" w:rsidRDefault="008B2F77" w:rsidP="008B2F7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8B2F77">
              <w:rPr>
                <w:rFonts w:ascii="Calibri Light" w:eastAsia="Times New Roman" w:hAnsi="Calibri Light" w:cs="Times New Roman"/>
                <w:b/>
                <w:bCs/>
                <w:iCs/>
                <w:color w:val="495965"/>
                <w:sz w:val="17"/>
                <w:szCs w:val="17"/>
                <w:lang w:eastAsia="en-AU"/>
              </w:rPr>
              <w:t>Approved budget and duration</w:t>
            </w:r>
          </w:p>
        </w:tc>
        <w:tc>
          <w:tcPr>
            <w:tcW w:w="960" w:type="dxa"/>
            <w:tcBorders>
              <w:top w:val="single" w:sz="12" w:space="0" w:color="000000"/>
              <w:left w:val="nil"/>
              <w:bottom w:val="nil"/>
              <w:right w:val="nil"/>
            </w:tcBorders>
            <w:shd w:val="clear" w:color="auto" w:fill="auto"/>
            <w:vAlign w:val="center"/>
            <w:hideMark/>
          </w:tcPr>
          <w:p w14:paraId="63688C0D" w14:textId="77777777" w:rsidR="008B2F77" w:rsidRPr="008B2F77" w:rsidRDefault="008B2F77" w:rsidP="008B2F7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8B2F77">
              <w:rPr>
                <w:rFonts w:ascii="Calibri Light" w:eastAsia="Times New Roman" w:hAnsi="Calibri Light" w:cs="Times New Roman"/>
                <w:b/>
                <w:bCs/>
                <w:iCs/>
                <w:color w:val="495965"/>
                <w:sz w:val="17"/>
                <w:szCs w:val="17"/>
                <w:lang w:eastAsia="en-AU"/>
              </w:rPr>
              <w:t>year on year</w:t>
            </w:r>
          </w:p>
        </w:tc>
        <w:tc>
          <w:tcPr>
            <w:tcW w:w="700" w:type="dxa"/>
            <w:tcBorders>
              <w:top w:val="single" w:sz="12" w:space="0" w:color="000000"/>
              <w:left w:val="nil"/>
              <w:right w:val="nil"/>
            </w:tcBorders>
            <w:shd w:val="clear" w:color="auto" w:fill="auto"/>
            <w:textDirection w:val="btLr"/>
            <w:vAlign w:val="bottom"/>
            <w:hideMark/>
          </w:tcPr>
          <w:p w14:paraId="3CD1A830"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b/>
                <w:bCs/>
                <w:color w:val="495965"/>
                <w:sz w:val="17"/>
                <w:szCs w:val="17"/>
                <w:lang w:val="en-AU" w:eastAsia="en-AU"/>
              </w:rPr>
            </w:pPr>
            <w:r w:rsidRPr="008B2F77">
              <w:rPr>
                <w:rFonts w:ascii="Calibri Light" w:eastAsia="Times New Roman" w:hAnsi="Calibri Light" w:cs="Times New Roman"/>
                <w:b/>
                <w:bCs/>
                <w:iCs/>
                <w:color w:val="495965"/>
                <w:sz w:val="17"/>
                <w:szCs w:val="17"/>
                <w:lang w:eastAsia="en-AU"/>
              </w:rPr>
              <w:t>Relevance</w:t>
            </w:r>
          </w:p>
        </w:tc>
        <w:tc>
          <w:tcPr>
            <w:tcW w:w="700" w:type="dxa"/>
            <w:tcBorders>
              <w:top w:val="single" w:sz="12" w:space="0" w:color="000000"/>
              <w:left w:val="nil"/>
              <w:right w:val="nil"/>
            </w:tcBorders>
            <w:shd w:val="clear" w:color="auto" w:fill="auto"/>
            <w:textDirection w:val="btLr"/>
            <w:vAlign w:val="bottom"/>
            <w:hideMark/>
          </w:tcPr>
          <w:p w14:paraId="522E0EA1"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b/>
                <w:bCs/>
                <w:color w:val="495965"/>
                <w:sz w:val="17"/>
                <w:szCs w:val="17"/>
                <w:lang w:val="en-AU" w:eastAsia="en-AU"/>
              </w:rPr>
            </w:pPr>
            <w:r w:rsidRPr="008B2F77">
              <w:rPr>
                <w:rFonts w:ascii="Calibri Light" w:eastAsia="Times New Roman" w:hAnsi="Calibri Light" w:cs="Times New Roman"/>
                <w:b/>
                <w:bCs/>
                <w:iCs/>
                <w:color w:val="495965"/>
                <w:sz w:val="17"/>
                <w:szCs w:val="17"/>
                <w:lang w:eastAsia="en-AU"/>
              </w:rPr>
              <w:t>Effectiveness</w:t>
            </w:r>
          </w:p>
        </w:tc>
        <w:tc>
          <w:tcPr>
            <w:tcW w:w="700" w:type="dxa"/>
            <w:tcBorders>
              <w:top w:val="single" w:sz="12" w:space="0" w:color="000000"/>
              <w:left w:val="nil"/>
              <w:right w:val="nil"/>
            </w:tcBorders>
            <w:shd w:val="clear" w:color="auto" w:fill="auto"/>
            <w:textDirection w:val="btLr"/>
            <w:vAlign w:val="bottom"/>
            <w:hideMark/>
          </w:tcPr>
          <w:p w14:paraId="4BF4247C"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b/>
                <w:bCs/>
                <w:color w:val="495965"/>
                <w:sz w:val="17"/>
                <w:szCs w:val="17"/>
                <w:lang w:val="en-AU" w:eastAsia="en-AU"/>
              </w:rPr>
            </w:pPr>
            <w:r w:rsidRPr="008B2F77">
              <w:rPr>
                <w:rFonts w:ascii="Calibri Light" w:eastAsia="Times New Roman" w:hAnsi="Calibri Light" w:cs="Times New Roman"/>
                <w:b/>
                <w:bCs/>
                <w:iCs/>
                <w:color w:val="495965"/>
                <w:sz w:val="17"/>
                <w:szCs w:val="17"/>
                <w:lang w:eastAsia="en-AU"/>
              </w:rPr>
              <w:t>Efficiency</w:t>
            </w:r>
          </w:p>
        </w:tc>
        <w:tc>
          <w:tcPr>
            <w:tcW w:w="700" w:type="dxa"/>
            <w:tcBorders>
              <w:top w:val="single" w:sz="12" w:space="0" w:color="000000"/>
              <w:left w:val="nil"/>
              <w:right w:val="nil"/>
            </w:tcBorders>
            <w:shd w:val="clear" w:color="auto" w:fill="auto"/>
            <w:textDirection w:val="btLr"/>
            <w:vAlign w:val="bottom"/>
            <w:hideMark/>
          </w:tcPr>
          <w:p w14:paraId="70287565"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b/>
                <w:bCs/>
                <w:color w:val="495965"/>
                <w:sz w:val="17"/>
                <w:szCs w:val="17"/>
                <w:lang w:val="en-AU" w:eastAsia="en-AU"/>
              </w:rPr>
            </w:pPr>
            <w:r w:rsidRPr="008B2F77">
              <w:rPr>
                <w:rFonts w:ascii="Calibri Light" w:eastAsia="Times New Roman" w:hAnsi="Calibri Light" w:cs="Times New Roman"/>
                <w:b/>
                <w:bCs/>
                <w:iCs/>
                <w:color w:val="495965"/>
                <w:sz w:val="17"/>
                <w:szCs w:val="17"/>
                <w:lang w:eastAsia="en-AU"/>
              </w:rPr>
              <w:t>Monitoring and Evaluation</w:t>
            </w:r>
          </w:p>
        </w:tc>
        <w:tc>
          <w:tcPr>
            <w:tcW w:w="700" w:type="dxa"/>
            <w:tcBorders>
              <w:top w:val="single" w:sz="12" w:space="0" w:color="000000"/>
              <w:left w:val="nil"/>
              <w:right w:val="nil"/>
            </w:tcBorders>
            <w:shd w:val="clear" w:color="auto" w:fill="auto"/>
            <w:textDirection w:val="btLr"/>
            <w:vAlign w:val="bottom"/>
            <w:hideMark/>
          </w:tcPr>
          <w:p w14:paraId="5B2CA76A"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b/>
                <w:bCs/>
                <w:color w:val="495965"/>
                <w:sz w:val="17"/>
                <w:szCs w:val="17"/>
                <w:lang w:val="en-AU" w:eastAsia="en-AU"/>
              </w:rPr>
            </w:pPr>
            <w:r w:rsidRPr="008B2F77">
              <w:rPr>
                <w:rFonts w:ascii="Calibri Light" w:eastAsia="Times New Roman" w:hAnsi="Calibri Light" w:cs="Times New Roman"/>
                <w:b/>
                <w:bCs/>
                <w:iCs/>
                <w:color w:val="495965"/>
                <w:sz w:val="17"/>
                <w:szCs w:val="17"/>
                <w:lang w:eastAsia="en-AU"/>
              </w:rPr>
              <w:t>Sustainability</w:t>
            </w:r>
          </w:p>
        </w:tc>
        <w:tc>
          <w:tcPr>
            <w:tcW w:w="700" w:type="dxa"/>
            <w:tcBorders>
              <w:top w:val="single" w:sz="12" w:space="0" w:color="000000"/>
              <w:left w:val="nil"/>
              <w:right w:val="nil"/>
            </w:tcBorders>
            <w:shd w:val="clear" w:color="auto" w:fill="auto"/>
            <w:textDirection w:val="btLr"/>
            <w:vAlign w:val="bottom"/>
            <w:hideMark/>
          </w:tcPr>
          <w:p w14:paraId="5B1F73EF"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b/>
                <w:bCs/>
                <w:color w:val="495965"/>
                <w:sz w:val="17"/>
                <w:szCs w:val="17"/>
                <w:lang w:val="en-AU" w:eastAsia="en-AU"/>
              </w:rPr>
            </w:pPr>
            <w:r w:rsidRPr="008B2F77">
              <w:rPr>
                <w:rFonts w:ascii="Calibri Light" w:eastAsia="Times New Roman" w:hAnsi="Calibri Light" w:cs="Times New Roman"/>
                <w:b/>
                <w:bCs/>
                <w:iCs/>
                <w:color w:val="495965"/>
                <w:sz w:val="17"/>
                <w:szCs w:val="17"/>
                <w:lang w:eastAsia="en-AU"/>
              </w:rPr>
              <w:t>Gender equality</w:t>
            </w:r>
          </w:p>
        </w:tc>
        <w:tc>
          <w:tcPr>
            <w:tcW w:w="700" w:type="dxa"/>
            <w:tcBorders>
              <w:top w:val="single" w:sz="12" w:space="0" w:color="000000"/>
              <w:left w:val="nil"/>
              <w:right w:val="nil"/>
            </w:tcBorders>
            <w:shd w:val="clear" w:color="auto" w:fill="auto"/>
            <w:textDirection w:val="btLr"/>
            <w:vAlign w:val="bottom"/>
            <w:hideMark/>
          </w:tcPr>
          <w:p w14:paraId="60AF7D47"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b/>
                <w:bCs/>
                <w:color w:val="495965"/>
                <w:sz w:val="17"/>
                <w:szCs w:val="17"/>
                <w:lang w:val="en-AU" w:eastAsia="en-AU"/>
              </w:rPr>
            </w:pPr>
            <w:r w:rsidRPr="008B2F77">
              <w:rPr>
                <w:rFonts w:ascii="Calibri Light" w:eastAsia="Times New Roman" w:hAnsi="Calibri Light" w:cs="Times New Roman"/>
                <w:b/>
                <w:bCs/>
                <w:iCs/>
                <w:color w:val="495965"/>
                <w:sz w:val="17"/>
                <w:szCs w:val="17"/>
                <w:lang w:eastAsia="en-AU"/>
              </w:rPr>
              <w:t>Risks  and Safeguards</w:t>
            </w:r>
          </w:p>
        </w:tc>
      </w:tr>
      <w:tr w:rsidR="008B2F77" w:rsidRPr="008B2F77" w14:paraId="3081E6E8" w14:textId="77777777" w:rsidTr="0043662C">
        <w:trPr>
          <w:trHeight w:val="450"/>
        </w:trPr>
        <w:tc>
          <w:tcPr>
            <w:tcW w:w="2720" w:type="dxa"/>
            <w:tcBorders>
              <w:top w:val="nil"/>
              <w:left w:val="nil"/>
              <w:bottom w:val="nil"/>
              <w:right w:val="nil"/>
            </w:tcBorders>
            <w:shd w:val="clear" w:color="auto" w:fill="auto"/>
            <w:vAlign w:val="center"/>
            <w:hideMark/>
          </w:tcPr>
          <w:p w14:paraId="2AF76A68" w14:textId="77777777" w:rsidR="008B2F77" w:rsidRPr="008B2F77" w:rsidRDefault="008B2F77" w:rsidP="008B2F77">
            <w:pPr>
              <w:suppressAutoHyphens w:val="0"/>
              <w:spacing w:before="0" w:after="0" w:line="240" w:lineRule="auto"/>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INJ114 Pakistan Market Development Facility and RD Planning</w:t>
            </w:r>
          </w:p>
        </w:tc>
        <w:tc>
          <w:tcPr>
            <w:tcW w:w="960" w:type="dxa"/>
            <w:tcBorders>
              <w:top w:val="nil"/>
              <w:left w:val="nil"/>
              <w:bottom w:val="nil"/>
              <w:right w:val="nil"/>
            </w:tcBorders>
            <w:shd w:val="clear" w:color="auto" w:fill="auto"/>
            <w:vAlign w:val="center"/>
            <w:hideMark/>
          </w:tcPr>
          <w:p w14:paraId="70B9D359"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8B2F77">
              <w:rPr>
                <w:rFonts w:ascii="Calibri Light" w:eastAsia="Times New Roman" w:hAnsi="Calibri Light" w:cs="Times New Roman"/>
                <w:color w:val="000000"/>
                <w:sz w:val="17"/>
                <w:szCs w:val="17"/>
                <w:lang w:eastAsia="en-AU"/>
              </w:rPr>
              <w:t xml:space="preserve">$10m </w:t>
            </w:r>
          </w:p>
        </w:tc>
        <w:tc>
          <w:tcPr>
            <w:tcW w:w="960" w:type="dxa"/>
            <w:tcBorders>
              <w:top w:val="nil"/>
              <w:left w:val="nil"/>
              <w:bottom w:val="nil"/>
              <w:right w:val="nil"/>
            </w:tcBorders>
            <w:shd w:val="clear" w:color="auto" w:fill="auto"/>
            <w:vAlign w:val="center"/>
            <w:hideMark/>
          </w:tcPr>
          <w:p w14:paraId="23EDE6AF" w14:textId="77777777" w:rsidR="008B2F77" w:rsidRPr="008B2F77" w:rsidRDefault="008B2F77" w:rsidP="008B2F7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2017 AQC</w:t>
            </w:r>
          </w:p>
        </w:tc>
        <w:tc>
          <w:tcPr>
            <w:tcW w:w="700" w:type="dxa"/>
            <w:tcBorders>
              <w:top w:val="nil"/>
              <w:left w:val="nil"/>
              <w:bottom w:val="single" w:sz="4" w:space="0" w:color="FFFFFF" w:themeColor="background1"/>
              <w:right w:val="nil"/>
            </w:tcBorders>
            <w:shd w:val="clear" w:color="000000" w:fill="92D050"/>
            <w:noWrap/>
            <w:vAlign w:val="center"/>
            <w:hideMark/>
          </w:tcPr>
          <w:p w14:paraId="78B78A08"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6</w:t>
            </w:r>
          </w:p>
        </w:tc>
        <w:tc>
          <w:tcPr>
            <w:tcW w:w="700" w:type="dxa"/>
            <w:tcBorders>
              <w:top w:val="nil"/>
              <w:left w:val="nil"/>
              <w:bottom w:val="single" w:sz="4" w:space="0" w:color="FFFFFF" w:themeColor="background1"/>
              <w:right w:val="nil"/>
            </w:tcBorders>
            <w:shd w:val="clear" w:color="000000" w:fill="92D050"/>
            <w:noWrap/>
            <w:vAlign w:val="center"/>
            <w:hideMark/>
          </w:tcPr>
          <w:p w14:paraId="34375988"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nil"/>
              <w:left w:val="nil"/>
              <w:bottom w:val="single" w:sz="4" w:space="0" w:color="FFFFFF" w:themeColor="background1"/>
              <w:right w:val="nil"/>
            </w:tcBorders>
            <w:shd w:val="clear" w:color="000000" w:fill="92D050"/>
            <w:noWrap/>
            <w:vAlign w:val="center"/>
            <w:hideMark/>
          </w:tcPr>
          <w:p w14:paraId="4A727D5D"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nil"/>
              <w:left w:val="nil"/>
              <w:bottom w:val="single" w:sz="4" w:space="0" w:color="FFFFFF" w:themeColor="background1"/>
              <w:right w:val="nil"/>
            </w:tcBorders>
            <w:shd w:val="clear" w:color="000000" w:fill="92D050"/>
            <w:noWrap/>
            <w:vAlign w:val="center"/>
            <w:hideMark/>
          </w:tcPr>
          <w:p w14:paraId="25403327"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nil"/>
              <w:left w:val="nil"/>
              <w:bottom w:val="single" w:sz="4" w:space="0" w:color="FFFFFF" w:themeColor="background1"/>
              <w:right w:val="nil"/>
            </w:tcBorders>
            <w:shd w:val="clear" w:color="000000" w:fill="92D050"/>
            <w:noWrap/>
            <w:vAlign w:val="center"/>
            <w:hideMark/>
          </w:tcPr>
          <w:p w14:paraId="2AF714E5"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nil"/>
              <w:left w:val="nil"/>
              <w:bottom w:val="single" w:sz="4" w:space="0" w:color="FFFFFF" w:themeColor="background1"/>
              <w:right w:val="nil"/>
            </w:tcBorders>
            <w:shd w:val="clear" w:color="000000" w:fill="92D050"/>
            <w:noWrap/>
            <w:vAlign w:val="center"/>
            <w:hideMark/>
          </w:tcPr>
          <w:p w14:paraId="63E951BB"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nil"/>
              <w:left w:val="nil"/>
              <w:bottom w:val="single" w:sz="4" w:space="0" w:color="FFFFFF" w:themeColor="background1"/>
              <w:right w:val="nil"/>
            </w:tcBorders>
            <w:shd w:val="clear" w:color="000000" w:fill="FFFF00"/>
            <w:vAlign w:val="center"/>
            <w:hideMark/>
          </w:tcPr>
          <w:p w14:paraId="08F16A26" w14:textId="33FEFE55" w:rsidR="008B2F77" w:rsidRPr="008B2F77" w:rsidRDefault="0043662C"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n/a</w:t>
            </w:r>
          </w:p>
        </w:tc>
      </w:tr>
      <w:tr w:rsidR="008B2F77" w:rsidRPr="008B2F77" w14:paraId="3B7FA190" w14:textId="77777777" w:rsidTr="0043662C">
        <w:trPr>
          <w:trHeight w:val="315"/>
        </w:trPr>
        <w:tc>
          <w:tcPr>
            <w:tcW w:w="2720" w:type="dxa"/>
            <w:tcBorders>
              <w:top w:val="nil"/>
              <w:left w:val="nil"/>
              <w:bottom w:val="single" w:sz="8" w:space="0" w:color="auto"/>
              <w:right w:val="nil"/>
            </w:tcBorders>
            <w:shd w:val="clear" w:color="auto" w:fill="auto"/>
            <w:vAlign w:val="center"/>
            <w:hideMark/>
          </w:tcPr>
          <w:p w14:paraId="0284277B" w14:textId="77777777" w:rsidR="008B2F77" w:rsidRPr="008B2F77" w:rsidRDefault="008B2F77" w:rsidP="008B2F77">
            <w:pPr>
              <w:suppressAutoHyphens w:val="0"/>
              <w:spacing w:before="0" w:after="0" w:line="240" w:lineRule="auto"/>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22EB3AF4"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 xml:space="preserve">2010-17 </w:t>
            </w:r>
          </w:p>
        </w:tc>
        <w:tc>
          <w:tcPr>
            <w:tcW w:w="960" w:type="dxa"/>
            <w:tcBorders>
              <w:top w:val="nil"/>
              <w:left w:val="nil"/>
              <w:bottom w:val="single" w:sz="8" w:space="0" w:color="auto"/>
              <w:right w:val="nil"/>
            </w:tcBorders>
            <w:shd w:val="clear" w:color="auto" w:fill="auto"/>
            <w:vAlign w:val="center"/>
            <w:hideMark/>
          </w:tcPr>
          <w:p w14:paraId="35416EFF" w14:textId="77777777" w:rsidR="008B2F77" w:rsidRPr="008B2F77" w:rsidRDefault="008B2F77" w:rsidP="008B2F7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2016 AQC</w:t>
            </w:r>
          </w:p>
        </w:tc>
        <w:tc>
          <w:tcPr>
            <w:tcW w:w="700" w:type="dxa"/>
            <w:tcBorders>
              <w:top w:val="single" w:sz="4" w:space="0" w:color="FFFFFF" w:themeColor="background1"/>
              <w:left w:val="nil"/>
              <w:bottom w:val="single" w:sz="8" w:space="0" w:color="auto"/>
              <w:right w:val="nil"/>
            </w:tcBorders>
            <w:shd w:val="clear" w:color="000000" w:fill="92D050"/>
            <w:noWrap/>
            <w:vAlign w:val="center"/>
            <w:hideMark/>
          </w:tcPr>
          <w:p w14:paraId="2A4BFAA4"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6</w:t>
            </w:r>
          </w:p>
        </w:tc>
        <w:tc>
          <w:tcPr>
            <w:tcW w:w="700" w:type="dxa"/>
            <w:tcBorders>
              <w:top w:val="single" w:sz="4" w:space="0" w:color="FFFFFF" w:themeColor="background1"/>
              <w:left w:val="nil"/>
              <w:bottom w:val="single" w:sz="8" w:space="0" w:color="auto"/>
              <w:right w:val="nil"/>
            </w:tcBorders>
            <w:shd w:val="clear" w:color="000000" w:fill="FFFF00"/>
            <w:noWrap/>
            <w:vAlign w:val="center"/>
            <w:hideMark/>
          </w:tcPr>
          <w:p w14:paraId="3FDB1C6D"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4" w:space="0" w:color="FFFFFF" w:themeColor="background1"/>
              <w:left w:val="nil"/>
              <w:bottom w:val="single" w:sz="8" w:space="0" w:color="auto"/>
              <w:right w:val="nil"/>
            </w:tcBorders>
            <w:shd w:val="clear" w:color="000000" w:fill="FFC000"/>
            <w:noWrap/>
            <w:vAlign w:val="center"/>
            <w:hideMark/>
          </w:tcPr>
          <w:p w14:paraId="53DE59F0"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4" w:space="0" w:color="FFFFFF" w:themeColor="background1"/>
              <w:left w:val="nil"/>
              <w:bottom w:val="single" w:sz="8" w:space="0" w:color="auto"/>
              <w:right w:val="nil"/>
            </w:tcBorders>
            <w:shd w:val="clear" w:color="000000" w:fill="FFFF00"/>
            <w:noWrap/>
            <w:vAlign w:val="center"/>
            <w:hideMark/>
          </w:tcPr>
          <w:p w14:paraId="142D2BF3"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4" w:space="0" w:color="FFFFFF" w:themeColor="background1"/>
              <w:left w:val="nil"/>
              <w:bottom w:val="single" w:sz="8" w:space="0" w:color="auto"/>
              <w:right w:val="nil"/>
            </w:tcBorders>
            <w:shd w:val="clear" w:color="000000" w:fill="FFFF00"/>
            <w:noWrap/>
            <w:vAlign w:val="center"/>
            <w:hideMark/>
          </w:tcPr>
          <w:p w14:paraId="23FBC200"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4" w:space="0" w:color="FFFFFF" w:themeColor="background1"/>
              <w:left w:val="nil"/>
              <w:bottom w:val="single" w:sz="8" w:space="0" w:color="auto"/>
              <w:right w:val="nil"/>
            </w:tcBorders>
            <w:shd w:val="clear" w:color="000000" w:fill="FFC000"/>
            <w:noWrap/>
            <w:vAlign w:val="center"/>
            <w:hideMark/>
          </w:tcPr>
          <w:p w14:paraId="0C4E40BC"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4" w:space="0" w:color="FFFFFF" w:themeColor="background1"/>
              <w:left w:val="nil"/>
              <w:bottom w:val="single" w:sz="8" w:space="0" w:color="auto"/>
              <w:right w:val="nil"/>
            </w:tcBorders>
            <w:shd w:val="clear" w:color="000000" w:fill="FFFF00"/>
            <w:vAlign w:val="center"/>
            <w:hideMark/>
          </w:tcPr>
          <w:p w14:paraId="311631C2"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r>
      <w:tr w:rsidR="008B2F77" w:rsidRPr="008B2F77" w14:paraId="3A119D7C" w14:textId="77777777" w:rsidTr="0043662C">
        <w:trPr>
          <w:trHeight w:val="450"/>
        </w:trPr>
        <w:tc>
          <w:tcPr>
            <w:tcW w:w="2720" w:type="dxa"/>
            <w:tcBorders>
              <w:top w:val="nil"/>
              <w:left w:val="nil"/>
              <w:bottom w:val="nil"/>
              <w:right w:val="nil"/>
            </w:tcBorders>
            <w:shd w:val="clear" w:color="auto" w:fill="auto"/>
            <w:vAlign w:val="center"/>
            <w:hideMark/>
          </w:tcPr>
          <w:p w14:paraId="2A65F318" w14:textId="77777777" w:rsidR="008B2F77" w:rsidRPr="008B2F77" w:rsidRDefault="008B2F77" w:rsidP="008B2F77">
            <w:pPr>
              <w:suppressAutoHyphens w:val="0"/>
              <w:spacing w:before="0" w:after="0" w:line="240" w:lineRule="auto"/>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INK420 Khyber Pakhtunkhwa Education Sector Program</w:t>
            </w:r>
          </w:p>
        </w:tc>
        <w:tc>
          <w:tcPr>
            <w:tcW w:w="960" w:type="dxa"/>
            <w:tcBorders>
              <w:top w:val="nil"/>
              <w:left w:val="nil"/>
              <w:bottom w:val="nil"/>
              <w:right w:val="nil"/>
            </w:tcBorders>
            <w:shd w:val="clear" w:color="auto" w:fill="auto"/>
            <w:vAlign w:val="center"/>
            <w:hideMark/>
          </w:tcPr>
          <w:p w14:paraId="242BBB22"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8B2F77">
              <w:rPr>
                <w:rFonts w:ascii="Calibri Light" w:eastAsia="Times New Roman" w:hAnsi="Calibri Light" w:cs="Times New Roman"/>
                <w:color w:val="000000"/>
                <w:sz w:val="17"/>
                <w:szCs w:val="17"/>
                <w:lang w:eastAsia="en-AU"/>
              </w:rPr>
              <w:t xml:space="preserve">$63.8m </w:t>
            </w:r>
          </w:p>
        </w:tc>
        <w:tc>
          <w:tcPr>
            <w:tcW w:w="960" w:type="dxa"/>
            <w:tcBorders>
              <w:top w:val="nil"/>
              <w:left w:val="nil"/>
              <w:bottom w:val="nil"/>
              <w:right w:val="nil"/>
            </w:tcBorders>
            <w:shd w:val="clear" w:color="auto" w:fill="auto"/>
            <w:vAlign w:val="center"/>
            <w:hideMark/>
          </w:tcPr>
          <w:p w14:paraId="3CB6D1E8" w14:textId="77777777" w:rsidR="008B2F77" w:rsidRPr="008B2F77" w:rsidRDefault="008B2F77" w:rsidP="008B2F7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2017 AQC</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4C9F80DB"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1E1F27A7"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FFFF00"/>
            <w:noWrap/>
            <w:vAlign w:val="center"/>
            <w:hideMark/>
          </w:tcPr>
          <w:p w14:paraId="2C410032"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54B13F6D"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2EDB1A75"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FFFF00"/>
            <w:noWrap/>
            <w:vAlign w:val="center"/>
            <w:hideMark/>
          </w:tcPr>
          <w:p w14:paraId="2692B686"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8" w:space="0" w:color="auto"/>
              <w:left w:val="nil"/>
              <w:bottom w:val="single" w:sz="4" w:space="0" w:color="FFFFFF" w:themeColor="background1"/>
              <w:right w:val="nil"/>
            </w:tcBorders>
            <w:shd w:val="clear" w:color="000000" w:fill="FFFF00"/>
            <w:vAlign w:val="center"/>
            <w:hideMark/>
          </w:tcPr>
          <w:p w14:paraId="6570F91C" w14:textId="1CA4E568" w:rsidR="008B2F77" w:rsidRPr="008B2F77" w:rsidRDefault="0043662C"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n/a</w:t>
            </w:r>
          </w:p>
        </w:tc>
      </w:tr>
      <w:tr w:rsidR="008B2F77" w:rsidRPr="008B2F77" w14:paraId="45C5A03D" w14:textId="77777777" w:rsidTr="0043662C">
        <w:trPr>
          <w:trHeight w:val="315"/>
        </w:trPr>
        <w:tc>
          <w:tcPr>
            <w:tcW w:w="2720" w:type="dxa"/>
            <w:tcBorders>
              <w:top w:val="nil"/>
              <w:left w:val="nil"/>
              <w:bottom w:val="single" w:sz="8" w:space="0" w:color="auto"/>
              <w:right w:val="nil"/>
            </w:tcBorders>
            <w:shd w:val="clear" w:color="auto" w:fill="auto"/>
            <w:vAlign w:val="center"/>
            <w:hideMark/>
          </w:tcPr>
          <w:p w14:paraId="50D3709E" w14:textId="77777777" w:rsidR="008B2F77" w:rsidRPr="008B2F77" w:rsidRDefault="008B2F77" w:rsidP="008B2F77">
            <w:pPr>
              <w:suppressAutoHyphens w:val="0"/>
              <w:spacing w:before="0" w:after="0" w:line="240" w:lineRule="auto"/>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5A943DAE"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 xml:space="preserve">2012-20 </w:t>
            </w:r>
          </w:p>
        </w:tc>
        <w:tc>
          <w:tcPr>
            <w:tcW w:w="960" w:type="dxa"/>
            <w:tcBorders>
              <w:top w:val="nil"/>
              <w:left w:val="nil"/>
              <w:bottom w:val="single" w:sz="8" w:space="0" w:color="auto"/>
              <w:right w:val="nil"/>
            </w:tcBorders>
            <w:shd w:val="clear" w:color="auto" w:fill="auto"/>
            <w:vAlign w:val="center"/>
            <w:hideMark/>
          </w:tcPr>
          <w:p w14:paraId="040F25B7" w14:textId="77777777" w:rsidR="008B2F77" w:rsidRPr="008B2F77" w:rsidRDefault="008B2F77" w:rsidP="008B2F7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2016 AQC</w:t>
            </w:r>
          </w:p>
        </w:tc>
        <w:tc>
          <w:tcPr>
            <w:tcW w:w="700" w:type="dxa"/>
            <w:tcBorders>
              <w:top w:val="single" w:sz="4" w:space="0" w:color="FFFFFF" w:themeColor="background1"/>
              <w:left w:val="nil"/>
              <w:bottom w:val="single" w:sz="8" w:space="0" w:color="auto"/>
              <w:right w:val="nil"/>
            </w:tcBorders>
            <w:shd w:val="clear" w:color="000000" w:fill="92D050"/>
            <w:noWrap/>
            <w:vAlign w:val="center"/>
            <w:hideMark/>
          </w:tcPr>
          <w:p w14:paraId="5426875D"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4" w:space="0" w:color="FFFFFF" w:themeColor="background1"/>
              <w:left w:val="nil"/>
              <w:bottom w:val="single" w:sz="8" w:space="0" w:color="auto"/>
              <w:right w:val="nil"/>
            </w:tcBorders>
            <w:shd w:val="clear" w:color="000000" w:fill="92D050"/>
            <w:noWrap/>
            <w:vAlign w:val="center"/>
            <w:hideMark/>
          </w:tcPr>
          <w:p w14:paraId="6523E93A"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4" w:space="0" w:color="FFFFFF" w:themeColor="background1"/>
              <w:left w:val="nil"/>
              <w:bottom w:val="single" w:sz="8" w:space="0" w:color="auto"/>
              <w:right w:val="nil"/>
            </w:tcBorders>
            <w:shd w:val="clear" w:color="000000" w:fill="FFFF00"/>
            <w:noWrap/>
            <w:vAlign w:val="center"/>
            <w:hideMark/>
          </w:tcPr>
          <w:p w14:paraId="2DB74C3C"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4" w:space="0" w:color="FFFFFF" w:themeColor="background1"/>
              <w:left w:val="nil"/>
              <w:bottom w:val="single" w:sz="8" w:space="0" w:color="auto"/>
              <w:right w:val="nil"/>
            </w:tcBorders>
            <w:shd w:val="clear" w:color="000000" w:fill="92D050"/>
            <w:noWrap/>
            <w:vAlign w:val="center"/>
            <w:hideMark/>
          </w:tcPr>
          <w:p w14:paraId="6BF45E6E"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4" w:space="0" w:color="FFFFFF" w:themeColor="background1"/>
              <w:left w:val="nil"/>
              <w:bottom w:val="single" w:sz="8" w:space="0" w:color="auto"/>
              <w:right w:val="nil"/>
            </w:tcBorders>
            <w:shd w:val="clear" w:color="000000" w:fill="FFFF00"/>
            <w:noWrap/>
            <w:vAlign w:val="center"/>
            <w:hideMark/>
          </w:tcPr>
          <w:p w14:paraId="18D78A7D"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4" w:space="0" w:color="FFFFFF" w:themeColor="background1"/>
              <w:left w:val="nil"/>
              <w:bottom w:val="single" w:sz="8" w:space="0" w:color="auto"/>
              <w:right w:val="nil"/>
            </w:tcBorders>
            <w:shd w:val="clear" w:color="000000" w:fill="FFC000"/>
            <w:noWrap/>
            <w:vAlign w:val="center"/>
            <w:hideMark/>
          </w:tcPr>
          <w:p w14:paraId="1FE89FE0"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4" w:space="0" w:color="FFFFFF" w:themeColor="background1"/>
              <w:left w:val="nil"/>
              <w:bottom w:val="single" w:sz="8" w:space="0" w:color="auto"/>
              <w:right w:val="nil"/>
            </w:tcBorders>
            <w:shd w:val="clear" w:color="000000" w:fill="FFFF00"/>
            <w:vAlign w:val="center"/>
            <w:hideMark/>
          </w:tcPr>
          <w:p w14:paraId="3A4A0C46"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r>
      <w:tr w:rsidR="008B2F77" w:rsidRPr="008B2F77" w14:paraId="664B5CBC" w14:textId="77777777" w:rsidTr="0043662C">
        <w:trPr>
          <w:trHeight w:val="450"/>
        </w:trPr>
        <w:tc>
          <w:tcPr>
            <w:tcW w:w="2720" w:type="dxa"/>
            <w:tcBorders>
              <w:top w:val="nil"/>
              <w:left w:val="nil"/>
              <w:bottom w:val="nil"/>
              <w:right w:val="nil"/>
            </w:tcBorders>
            <w:shd w:val="clear" w:color="auto" w:fill="auto"/>
            <w:vAlign w:val="center"/>
            <w:hideMark/>
          </w:tcPr>
          <w:p w14:paraId="49A11096" w14:textId="77777777" w:rsidR="008B2F77" w:rsidRPr="008B2F77" w:rsidRDefault="008B2F77" w:rsidP="008B2F77">
            <w:pPr>
              <w:suppressAutoHyphens w:val="0"/>
              <w:spacing w:before="0" w:after="0" w:line="240" w:lineRule="auto"/>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INL272 SRSP Project for Women’s Empowerment</w:t>
            </w:r>
          </w:p>
        </w:tc>
        <w:tc>
          <w:tcPr>
            <w:tcW w:w="960" w:type="dxa"/>
            <w:tcBorders>
              <w:top w:val="nil"/>
              <w:left w:val="nil"/>
              <w:bottom w:val="nil"/>
              <w:right w:val="nil"/>
            </w:tcBorders>
            <w:shd w:val="clear" w:color="auto" w:fill="auto"/>
            <w:vAlign w:val="center"/>
            <w:hideMark/>
          </w:tcPr>
          <w:p w14:paraId="43062ED2"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8B2F77">
              <w:rPr>
                <w:rFonts w:ascii="Calibri Light" w:eastAsia="Times New Roman" w:hAnsi="Calibri Light" w:cs="Times New Roman"/>
                <w:color w:val="000000"/>
                <w:sz w:val="17"/>
                <w:szCs w:val="17"/>
                <w:lang w:eastAsia="en-AU"/>
              </w:rPr>
              <w:t xml:space="preserve">$5.7m </w:t>
            </w:r>
          </w:p>
        </w:tc>
        <w:tc>
          <w:tcPr>
            <w:tcW w:w="960" w:type="dxa"/>
            <w:tcBorders>
              <w:top w:val="nil"/>
              <w:left w:val="nil"/>
              <w:bottom w:val="nil"/>
              <w:right w:val="nil"/>
            </w:tcBorders>
            <w:shd w:val="clear" w:color="auto" w:fill="auto"/>
            <w:vAlign w:val="center"/>
            <w:hideMark/>
          </w:tcPr>
          <w:p w14:paraId="5F3F1072" w14:textId="77777777" w:rsidR="008B2F77" w:rsidRPr="008B2F77" w:rsidRDefault="008B2F77" w:rsidP="008B2F7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2017 AQC</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1166BD4F"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2D7935A6"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1E0BF2C1"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4B6C9A99"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FFFF00"/>
            <w:noWrap/>
            <w:vAlign w:val="center"/>
            <w:hideMark/>
          </w:tcPr>
          <w:p w14:paraId="2073BA2C"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12B9F49E"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FFFF00"/>
            <w:vAlign w:val="center"/>
            <w:hideMark/>
          </w:tcPr>
          <w:p w14:paraId="02EA0195" w14:textId="4192EFE9" w:rsidR="008B2F77" w:rsidRPr="008B2F77" w:rsidRDefault="0043662C"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n/a</w:t>
            </w:r>
          </w:p>
        </w:tc>
      </w:tr>
      <w:tr w:rsidR="0043662C" w:rsidRPr="008B2F77" w14:paraId="6266B030" w14:textId="77777777" w:rsidTr="0043662C">
        <w:trPr>
          <w:trHeight w:val="315"/>
        </w:trPr>
        <w:tc>
          <w:tcPr>
            <w:tcW w:w="2720" w:type="dxa"/>
            <w:tcBorders>
              <w:top w:val="nil"/>
              <w:left w:val="nil"/>
              <w:bottom w:val="single" w:sz="8" w:space="0" w:color="auto"/>
              <w:right w:val="nil"/>
            </w:tcBorders>
            <w:shd w:val="clear" w:color="auto" w:fill="auto"/>
            <w:vAlign w:val="center"/>
            <w:hideMark/>
          </w:tcPr>
          <w:p w14:paraId="74318D8F" w14:textId="77777777" w:rsidR="0043662C" w:rsidRPr="008B2F77" w:rsidRDefault="0043662C" w:rsidP="0043662C">
            <w:pPr>
              <w:suppressAutoHyphens w:val="0"/>
              <w:spacing w:before="0" w:after="0" w:line="240" w:lineRule="auto"/>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2C10A20F" w14:textId="77777777" w:rsidR="0043662C" w:rsidRPr="008B2F77" w:rsidRDefault="0043662C" w:rsidP="0043662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 xml:space="preserve">2015-18 </w:t>
            </w:r>
          </w:p>
        </w:tc>
        <w:tc>
          <w:tcPr>
            <w:tcW w:w="960" w:type="dxa"/>
            <w:tcBorders>
              <w:top w:val="nil"/>
              <w:left w:val="nil"/>
              <w:bottom w:val="single" w:sz="8" w:space="0" w:color="auto"/>
              <w:right w:val="nil"/>
            </w:tcBorders>
            <w:shd w:val="clear" w:color="auto" w:fill="auto"/>
            <w:vAlign w:val="center"/>
            <w:hideMark/>
          </w:tcPr>
          <w:p w14:paraId="1525DDB6" w14:textId="77777777" w:rsidR="0043662C" w:rsidRPr="008B2F77" w:rsidRDefault="0043662C" w:rsidP="0043662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2016 AQC</w:t>
            </w:r>
          </w:p>
        </w:tc>
        <w:tc>
          <w:tcPr>
            <w:tcW w:w="700" w:type="dxa"/>
            <w:tcBorders>
              <w:top w:val="single" w:sz="4" w:space="0" w:color="FFFFFF" w:themeColor="background1"/>
              <w:left w:val="nil"/>
              <w:bottom w:val="single" w:sz="8" w:space="0" w:color="auto"/>
              <w:right w:val="nil"/>
            </w:tcBorders>
            <w:shd w:val="clear" w:color="000000" w:fill="FFFF00"/>
            <w:noWrap/>
            <w:hideMark/>
          </w:tcPr>
          <w:p w14:paraId="68B754CC" w14:textId="64F3932A" w:rsidR="0043662C" w:rsidRPr="008B2F77" w:rsidRDefault="0043662C" w:rsidP="0043662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B6F92">
              <w:rPr>
                <w:rFonts w:ascii="Calibri Light" w:eastAsia="Times New Roman" w:hAnsi="Calibri Light" w:cs="Times New Roman"/>
                <w:iCs/>
                <w:color w:val="495965"/>
                <w:sz w:val="17"/>
                <w:szCs w:val="17"/>
                <w:lang w:eastAsia="en-AU"/>
              </w:rPr>
              <w:t>n/a</w:t>
            </w:r>
          </w:p>
        </w:tc>
        <w:tc>
          <w:tcPr>
            <w:tcW w:w="700" w:type="dxa"/>
            <w:tcBorders>
              <w:top w:val="single" w:sz="4" w:space="0" w:color="FFFFFF" w:themeColor="background1"/>
              <w:left w:val="nil"/>
              <w:bottom w:val="single" w:sz="8" w:space="0" w:color="auto"/>
              <w:right w:val="nil"/>
            </w:tcBorders>
            <w:shd w:val="clear" w:color="000000" w:fill="FFFF00"/>
            <w:noWrap/>
            <w:hideMark/>
          </w:tcPr>
          <w:p w14:paraId="5C3D1377" w14:textId="11787102" w:rsidR="0043662C" w:rsidRPr="008B2F77" w:rsidRDefault="0043662C" w:rsidP="0043662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B6F92">
              <w:rPr>
                <w:rFonts w:ascii="Calibri Light" w:eastAsia="Times New Roman" w:hAnsi="Calibri Light" w:cs="Times New Roman"/>
                <w:iCs/>
                <w:color w:val="495965"/>
                <w:sz w:val="17"/>
                <w:szCs w:val="17"/>
                <w:lang w:eastAsia="en-AU"/>
              </w:rPr>
              <w:t>n/a</w:t>
            </w:r>
          </w:p>
        </w:tc>
        <w:tc>
          <w:tcPr>
            <w:tcW w:w="700" w:type="dxa"/>
            <w:tcBorders>
              <w:top w:val="single" w:sz="4" w:space="0" w:color="FFFFFF" w:themeColor="background1"/>
              <w:left w:val="nil"/>
              <w:bottom w:val="single" w:sz="8" w:space="0" w:color="auto"/>
              <w:right w:val="nil"/>
            </w:tcBorders>
            <w:shd w:val="clear" w:color="000000" w:fill="FFFF00"/>
            <w:noWrap/>
            <w:hideMark/>
          </w:tcPr>
          <w:p w14:paraId="2E2091A6" w14:textId="50DC3DC4" w:rsidR="0043662C" w:rsidRPr="008B2F77" w:rsidRDefault="0043662C" w:rsidP="0043662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B6F92">
              <w:rPr>
                <w:rFonts w:ascii="Calibri Light" w:eastAsia="Times New Roman" w:hAnsi="Calibri Light" w:cs="Times New Roman"/>
                <w:iCs/>
                <w:color w:val="495965"/>
                <w:sz w:val="17"/>
                <w:szCs w:val="17"/>
                <w:lang w:eastAsia="en-AU"/>
              </w:rPr>
              <w:t>n/a</w:t>
            </w:r>
          </w:p>
        </w:tc>
        <w:tc>
          <w:tcPr>
            <w:tcW w:w="700" w:type="dxa"/>
            <w:tcBorders>
              <w:top w:val="single" w:sz="4" w:space="0" w:color="FFFFFF" w:themeColor="background1"/>
              <w:left w:val="nil"/>
              <w:bottom w:val="single" w:sz="8" w:space="0" w:color="auto"/>
              <w:right w:val="nil"/>
            </w:tcBorders>
            <w:shd w:val="clear" w:color="000000" w:fill="FFFF00"/>
            <w:noWrap/>
            <w:hideMark/>
          </w:tcPr>
          <w:p w14:paraId="328069D8" w14:textId="5817C2EC" w:rsidR="0043662C" w:rsidRPr="008B2F77" w:rsidRDefault="0043662C" w:rsidP="0043662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B6F92">
              <w:rPr>
                <w:rFonts w:ascii="Calibri Light" w:eastAsia="Times New Roman" w:hAnsi="Calibri Light" w:cs="Times New Roman"/>
                <w:iCs/>
                <w:color w:val="495965"/>
                <w:sz w:val="17"/>
                <w:szCs w:val="17"/>
                <w:lang w:eastAsia="en-AU"/>
              </w:rPr>
              <w:t>n/a</w:t>
            </w:r>
          </w:p>
        </w:tc>
        <w:tc>
          <w:tcPr>
            <w:tcW w:w="700" w:type="dxa"/>
            <w:tcBorders>
              <w:top w:val="single" w:sz="4" w:space="0" w:color="FFFFFF" w:themeColor="background1"/>
              <w:left w:val="nil"/>
              <w:bottom w:val="single" w:sz="8" w:space="0" w:color="auto"/>
              <w:right w:val="nil"/>
            </w:tcBorders>
            <w:shd w:val="clear" w:color="000000" w:fill="FFFF00"/>
            <w:noWrap/>
            <w:hideMark/>
          </w:tcPr>
          <w:p w14:paraId="03694376" w14:textId="1AF674EF" w:rsidR="0043662C" w:rsidRPr="008B2F77" w:rsidRDefault="0043662C" w:rsidP="0043662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B6F92">
              <w:rPr>
                <w:rFonts w:ascii="Calibri Light" w:eastAsia="Times New Roman" w:hAnsi="Calibri Light" w:cs="Times New Roman"/>
                <w:iCs/>
                <w:color w:val="495965"/>
                <w:sz w:val="17"/>
                <w:szCs w:val="17"/>
                <w:lang w:eastAsia="en-AU"/>
              </w:rPr>
              <w:t>n/a</w:t>
            </w:r>
          </w:p>
        </w:tc>
        <w:tc>
          <w:tcPr>
            <w:tcW w:w="700" w:type="dxa"/>
            <w:tcBorders>
              <w:top w:val="single" w:sz="4" w:space="0" w:color="FFFFFF" w:themeColor="background1"/>
              <w:left w:val="nil"/>
              <w:bottom w:val="single" w:sz="8" w:space="0" w:color="auto"/>
              <w:right w:val="nil"/>
            </w:tcBorders>
            <w:shd w:val="clear" w:color="000000" w:fill="FFFF00"/>
            <w:noWrap/>
            <w:hideMark/>
          </w:tcPr>
          <w:p w14:paraId="784DBDFC" w14:textId="5B6C9885" w:rsidR="0043662C" w:rsidRPr="008B2F77" w:rsidRDefault="0043662C" w:rsidP="0043662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B6F92">
              <w:rPr>
                <w:rFonts w:ascii="Calibri Light" w:eastAsia="Times New Roman" w:hAnsi="Calibri Light" w:cs="Times New Roman"/>
                <w:iCs/>
                <w:color w:val="495965"/>
                <w:sz w:val="17"/>
                <w:szCs w:val="17"/>
                <w:lang w:eastAsia="en-AU"/>
              </w:rPr>
              <w:t>n/a</w:t>
            </w:r>
          </w:p>
        </w:tc>
        <w:tc>
          <w:tcPr>
            <w:tcW w:w="700" w:type="dxa"/>
            <w:tcBorders>
              <w:top w:val="single" w:sz="4" w:space="0" w:color="FFFFFF" w:themeColor="background1"/>
              <w:left w:val="nil"/>
              <w:bottom w:val="single" w:sz="8" w:space="0" w:color="auto"/>
              <w:right w:val="nil"/>
            </w:tcBorders>
            <w:shd w:val="clear" w:color="000000" w:fill="FFFF00"/>
            <w:vAlign w:val="center"/>
            <w:hideMark/>
          </w:tcPr>
          <w:p w14:paraId="597E6E9F" w14:textId="589C1627" w:rsidR="0043662C" w:rsidRPr="008B2F77" w:rsidRDefault="0043662C" w:rsidP="0043662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n/a</w:t>
            </w:r>
          </w:p>
        </w:tc>
      </w:tr>
      <w:tr w:rsidR="008B2F77" w:rsidRPr="008B2F77" w14:paraId="7ABC63A6" w14:textId="77777777" w:rsidTr="0043662C">
        <w:trPr>
          <w:trHeight w:val="450"/>
        </w:trPr>
        <w:tc>
          <w:tcPr>
            <w:tcW w:w="2720" w:type="dxa"/>
            <w:tcBorders>
              <w:top w:val="nil"/>
              <w:left w:val="nil"/>
              <w:bottom w:val="nil"/>
              <w:right w:val="nil"/>
            </w:tcBorders>
            <w:shd w:val="clear" w:color="auto" w:fill="auto"/>
            <w:vAlign w:val="center"/>
            <w:hideMark/>
          </w:tcPr>
          <w:p w14:paraId="188206E5" w14:textId="77777777" w:rsidR="008B2F77" w:rsidRPr="008B2F77" w:rsidRDefault="008B2F77" w:rsidP="008B2F77">
            <w:pPr>
              <w:suppressAutoHyphens w:val="0"/>
              <w:spacing w:before="0" w:after="0" w:line="240" w:lineRule="auto"/>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INK576 WB Multi-Donor Trust Fund Balochistan, FATA and KPK</w:t>
            </w:r>
          </w:p>
        </w:tc>
        <w:tc>
          <w:tcPr>
            <w:tcW w:w="960" w:type="dxa"/>
            <w:tcBorders>
              <w:top w:val="nil"/>
              <w:left w:val="nil"/>
              <w:bottom w:val="nil"/>
              <w:right w:val="nil"/>
            </w:tcBorders>
            <w:shd w:val="clear" w:color="auto" w:fill="auto"/>
            <w:vAlign w:val="center"/>
            <w:hideMark/>
          </w:tcPr>
          <w:p w14:paraId="4F4F306B"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8B2F77">
              <w:rPr>
                <w:rFonts w:ascii="Calibri Light" w:eastAsia="Times New Roman" w:hAnsi="Calibri Light" w:cs="Times New Roman"/>
                <w:color w:val="000000"/>
                <w:sz w:val="17"/>
                <w:szCs w:val="17"/>
                <w:lang w:eastAsia="en-AU"/>
              </w:rPr>
              <w:t xml:space="preserve">$46.8m </w:t>
            </w:r>
          </w:p>
        </w:tc>
        <w:tc>
          <w:tcPr>
            <w:tcW w:w="960" w:type="dxa"/>
            <w:tcBorders>
              <w:top w:val="nil"/>
              <w:left w:val="nil"/>
              <w:bottom w:val="nil"/>
              <w:right w:val="nil"/>
            </w:tcBorders>
            <w:shd w:val="clear" w:color="auto" w:fill="auto"/>
            <w:vAlign w:val="center"/>
            <w:hideMark/>
          </w:tcPr>
          <w:p w14:paraId="2C015FAD" w14:textId="77777777" w:rsidR="008B2F77" w:rsidRPr="008B2F77" w:rsidRDefault="008B2F77" w:rsidP="008B2F7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2017 AQC</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4BC02B6A"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FFFF00"/>
            <w:noWrap/>
            <w:vAlign w:val="center"/>
            <w:hideMark/>
          </w:tcPr>
          <w:p w14:paraId="264E6ADC"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8" w:space="0" w:color="auto"/>
              <w:left w:val="nil"/>
              <w:bottom w:val="single" w:sz="4" w:space="0" w:color="FFFFFF" w:themeColor="background1"/>
              <w:right w:val="nil"/>
            </w:tcBorders>
            <w:shd w:val="clear" w:color="000000" w:fill="FFFF00"/>
            <w:noWrap/>
            <w:vAlign w:val="center"/>
            <w:hideMark/>
          </w:tcPr>
          <w:p w14:paraId="29663C3C"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8" w:space="0" w:color="auto"/>
              <w:left w:val="nil"/>
              <w:bottom w:val="single" w:sz="4" w:space="0" w:color="FFFFFF" w:themeColor="background1"/>
              <w:right w:val="nil"/>
            </w:tcBorders>
            <w:shd w:val="clear" w:color="000000" w:fill="FFC000"/>
            <w:noWrap/>
            <w:vAlign w:val="center"/>
            <w:hideMark/>
          </w:tcPr>
          <w:p w14:paraId="52219A1F"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8" w:space="0" w:color="auto"/>
              <w:left w:val="nil"/>
              <w:bottom w:val="single" w:sz="4" w:space="0" w:color="FFFFFF" w:themeColor="background1"/>
              <w:right w:val="nil"/>
            </w:tcBorders>
            <w:shd w:val="clear" w:color="000000" w:fill="FFFF00"/>
            <w:noWrap/>
            <w:vAlign w:val="center"/>
            <w:hideMark/>
          </w:tcPr>
          <w:p w14:paraId="6E22664F"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8" w:space="0" w:color="auto"/>
              <w:left w:val="nil"/>
              <w:bottom w:val="single" w:sz="4" w:space="0" w:color="FFFFFF" w:themeColor="background1"/>
              <w:right w:val="nil"/>
            </w:tcBorders>
            <w:shd w:val="clear" w:color="000000" w:fill="FFC000"/>
            <w:noWrap/>
            <w:vAlign w:val="center"/>
            <w:hideMark/>
          </w:tcPr>
          <w:p w14:paraId="38BBD6BE"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8" w:space="0" w:color="auto"/>
              <w:left w:val="nil"/>
              <w:bottom w:val="single" w:sz="4" w:space="0" w:color="FFFFFF" w:themeColor="background1"/>
              <w:right w:val="nil"/>
            </w:tcBorders>
            <w:shd w:val="clear" w:color="000000" w:fill="FFFF00"/>
            <w:vAlign w:val="center"/>
            <w:hideMark/>
          </w:tcPr>
          <w:p w14:paraId="1929FC2F" w14:textId="6FD590FB" w:rsidR="008B2F77" w:rsidRPr="008B2F77" w:rsidRDefault="0043662C"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n/a</w:t>
            </w:r>
          </w:p>
        </w:tc>
      </w:tr>
      <w:tr w:rsidR="008B2F77" w:rsidRPr="008B2F77" w14:paraId="22CA9CB0" w14:textId="77777777" w:rsidTr="0043662C">
        <w:trPr>
          <w:trHeight w:val="315"/>
        </w:trPr>
        <w:tc>
          <w:tcPr>
            <w:tcW w:w="2720" w:type="dxa"/>
            <w:tcBorders>
              <w:top w:val="nil"/>
              <w:left w:val="nil"/>
              <w:bottom w:val="single" w:sz="8" w:space="0" w:color="auto"/>
              <w:right w:val="nil"/>
            </w:tcBorders>
            <w:shd w:val="clear" w:color="auto" w:fill="auto"/>
            <w:vAlign w:val="center"/>
            <w:hideMark/>
          </w:tcPr>
          <w:p w14:paraId="2847C992" w14:textId="77777777" w:rsidR="008B2F77" w:rsidRPr="008B2F77" w:rsidRDefault="008B2F77" w:rsidP="008B2F77">
            <w:pPr>
              <w:suppressAutoHyphens w:val="0"/>
              <w:spacing w:before="0" w:after="0" w:line="240" w:lineRule="auto"/>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650CC007"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 xml:space="preserve">2012-20 </w:t>
            </w:r>
          </w:p>
        </w:tc>
        <w:tc>
          <w:tcPr>
            <w:tcW w:w="960" w:type="dxa"/>
            <w:tcBorders>
              <w:top w:val="nil"/>
              <w:left w:val="nil"/>
              <w:bottom w:val="single" w:sz="8" w:space="0" w:color="auto"/>
              <w:right w:val="nil"/>
            </w:tcBorders>
            <w:shd w:val="clear" w:color="auto" w:fill="auto"/>
            <w:vAlign w:val="center"/>
            <w:hideMark/>
          </w:tcPr>
          <w:p w14:paraId="352FAC27" w14:textId="77777777" w:rsidR="008B2F77" w:rsidRPr="008B2F77" w:rsidRDefault="008B2F77" w:rsidP="008B2F7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2016 AQC</w:t>
            </w:r>
          </w:p>
        </w:tc>
        <w:tc>
          <w:tcPr>
            <w:tcW w:w="700" w:type="dxa"/>
            <w:tcBorders>
              <w:top w:val="single" w:sz="4" w:space="0" w:color="FFFFFF" w:themeColor="background1"/>
              <w:left w:val="nil"/>
              <w:bottom w:val="single" w:sz="8" w:space="0" w:color="auto"/>
              <w:right w:val="nil"/>
            </w:tcBorders>
            <w:shd w:val="clear" w:color="000000" w:fill="92D050"/>
            <w:noWrap/>
            <w:vAlign w:val="center"/>
            <w:hideMark/>
          </w:tcPr>
          <w:p w14:paraId="00EC2552"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4" w:space="0" w:color="FFFFFF" w:themeColor="background1"/>
              <w:left w:val="nil"/>
              <w:bottom w:val="single" w:sz="8" w:space="0" w:color="auto"/>
              <w:right w:val="nil"/>
            </w:tcBorders>
            <w:shd w:val="clear" w:color="000000" w:fill="FFFF00"/>
            <w:noWrap/>
            <w:vAlign w:val="center"/>
            <w:hideMark/>
          </w:tcPr>
          <w:p w14:paraId="7E606366"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4" w:space="0" w:color="FFFFFF" w:themeColor="background1"/>
              <w:left w:val="nil"/>
              <w:bottom w:val="single" w:sz="8" w:space="0" w:color="auto"/>
              <w:right w:val="nil"/>
            </w:tcBorders>
            <w:shd w:val="clear" w:color="000000" w:fill="FFFF00"/>
            <w:noWrap/>
            <w:vAlign w:val="center"/>
            <w:hideMark/>
          </w:tcPr>
          <w:p w14:paraId="52D22B21"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4" w:space="0" w:color="FFFFFF" w:themeColor="background1"/>
              <w:left w:val="nil"/>
              <w:bottom w:val="single" w:sz="8" w:space="0" w:color="auto"/>
              <w:right w:val="nil"/>
            </w:tcBorders>
            <w:shd w:val="clear" w:color="000000" w:fill="FFFF00"/>
            <w:noWrap/>
            <w:vAlign w:val="center"/>
            <w:hideMark/>
          </w:tcPr>
          <w:p w14:paraId="63CD65BB"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4" w:space="0" w:color="FFFFFF" w:themeColor="background1"/>
              <w:left w:val="nil"/>
              <w:bottom w:val="single" w:sz="8" w:space="0" w:color="auto"/>
              <w:right w:val="nil"/>
            </w:tcBorders>
            <w:shd w:val="clear" w:color="000000" w:fill="FFFF00"/>
            <w:noWrap/>
            <w:vAlign w:val="center"/>
            <w:hideMark/>
          </w:tcPr>
          <w:p w14:paraId="59C4A17B"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4" w:space="0" w:color="FFFFFF" w:themeColor="background1"/>
              <w:left w:val="nil"/>
              <w:bottom w:val="single" w:sz="8" w:space="0" w:color="auto"/>
              <w:right w:val="nil"/>
            </w:tcBorders>
            <w:shd w:val="clear" w:color="000000" w:fill="FFC000"/>
            <w:noWrap/>
            <w:vAlign w:val="center"/>
            <w:hideMark/>
          </w:tcPr>
          <w:p w14:paraId="6773D0C3"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4" w:space="0" w:color="FFFFFF" w:themeColor="background1"/>
              <w:left w:val="nil"/>
              <w:bottom w:val="single" w:sz="8" w:space="0" w:color="auto"/>
              <w:right w:val="nil"/>
            </w:tcBorders>
            <w:shd w:val="clear" w:color="000000" w:fill="FFFF00"/>
            <w:vAlign w:val="center"/>
            <w:hideMark/>
          </w:tcPr>
          <w:p w14:paraId="611CA3F3"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r>
      <w:tr w:rsidR="008B2F77" w:rsidRPr="008B2F77" w14:paraId="78CA46E5" w14:textId="77777777" w:rsidTr="0043662C">
        <w:trPr>
          <w:trHeight w:val="450"/>
        </w:trPr>
        <w:tc>
          <w:tcPr>
            <w:tcW w:w="2720" w:type="dxa"/>
            <w:tcBorders>
              <w:top w:val="nil"/>
              <w:left w:val="nil"/>
              <w:bottom w:val="nil"/>
              <w:right w:val="nil"/>
            </w:tcBorders>
            <w:shd w:val="clear" w:color="auto" w:fill="auto"/>
            <w:vAlign w:val="center"/>
            <w:hideMark/>
          </w:tcPr>
          <w:p w14:paraId="51E9C5A2" w14:textId="77777777" w:rsidR="008B2F77" w:rsidRPr="008B2F77" w:rsidRDefault="008B2F77" w:rsidP="008B2F77">
            <w:pPr>
              <w:suppressAutoHyphens w:val="0"/>
              <w:spacing w:before="0" w:after="0" w:line="240" w:lineRule="auto"/>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INL074 World Bank MDTF Partnership for Nutrition</w:t>
            </w:r>
          </w:p>
        </w:tc>
        <w:tc>
          <w:tcPr>
            <w:tcW w:w="960" w:type="dxa"/>
            <w:tcBorders>
              <w:top w:val="nil"/>
              <w:left w:val="nil"/>
              <w:bottom w:val="nil"/>
              <w:right w:val="nil"/>
            </w:tcBorders>
            <w:shd w:val="clear" w:color="auto" w:fill="auto"/>
            <w:vAlign w:val="center"/>
            <w:hideMark/>
          </w:tcPr>
          <w:p w14:paraId="104FAC73"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8B2F77">
              <w:rPr>
                <w:rFonts w:ascii="Calibri Light" w:eastAsia="Times New Roman" w:hAnsi="Calibri Light" w:cs="Times New Roman"/>
                <w:color w:val="000000"/>
                <w:sz w:val="17"/>
                <w:szCs w:val="17"/>
                <w:lang w:eastAsia="en-AU"/>
              </w:rPr>
              <w:t xml:space="preserve">$41m </w:t>
            </w:r>
          </w:p>
        </w:tc>
        <w:tc>
          <w:tcPr>
            <w:tcW w:w="960" w:type="dxa"/>
            <w:tcBorders>
              <w:top w:val="nil"/>
              <w:left w:val="nil"/>
              <w:bottom w:val="nil"/>
              <w:right w:val="nil"/>
            </w:tcBorders>
            <w:shd w:val="clear" w:color="auto" w:fill="auto"/>
            <w:vAlign w:val="center"/>
            <w:hideMark/>
          </w:tcPr>
          <w:p w14:paraId="5B976E06" w14:textId="77777777" w:rsidR="008B2F77" w:rsidRPr="008B2F77" w:rsidRDefault="008B2F77" w:rsidP="008B2F7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2017 AQC</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5B64C980"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FFFF00"/>
            <w:noWrap/>
            <w:vAlign w:val="center"/>
            <w:hideMark/>
          </w:tcPr>
          <w:p w14:paraId="44930DDD"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8" w:space="0" w:color="auto"/>
              <w:left w:val="nil"/>
              <w:bottom w:val="single" w:sz="4" w:space="0" w:color="FFFFFF" w:themeColor="background1"/>
              <w:right w:val="nil"/>
            </w:tcBorders>
            <w:shd w:val="clear" w:color="000000" w:fill="FFC000"/>
            <w:noWrap/>
            <w:vAlign w:val="center"/>
            <w:hideMark/>
          </w:tcPr>
          <w:p w14:paraId="5887B35F"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8" w:space="0" w:color="auto"/>
              <w:left w:val="nil"/>
              <w:bottom w:val="single" w:sz="4" w:space="0" w:color="FFFFFF" w:themeColor="background1"/>
              <w:right w:val="nil"/>
            </w:tcBorders>
            <w:shd w:val="clear" w:color="000000" w:fill="FFFF00"/>
            <w:noWrap/>
            <w:vAlign w:val="center"/>
            <w:hideMark/>
          </w:tcPr>
          <w:p w14:paraId="68F9266A"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8" w:space="0" w:color="auto"/>
              <w:left w:val="nil"/>
              <w:bottom w:val="single" w:sz="4" w:space="0" w:color="FFFFFF" w:themeColor="background1"/>
              <w:right w:val="nil"/>
            </w:tcBorders>
            <w:shd w:val="clear" w:color="000000" w:fill="FFFF00"/>
            <w:noWrap/>
            <w:vAlign w:val="center"/>
            <w:hideMark/>
          </w:tcPr>
          <w:p w14:paraId="3943A7B8"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7386174E"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FFFF00"/>
            <w:vAlign w:val="center"/>
            <w:hideMark/>
          </w:tcPr>
          <w:p w14:paraId="7A3906E4" w14:textId="6A99B766" w:rsidR="008B2F77" w:rsidRPr="008B2F77" w:rsidRDefault="0043662C"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n/a</w:t>
            </w:r>
          </w:p>
        </w:tc>
      </w:tr>
      <w:tr w:rsidR="008B2F77" w:rsidRPr="008B2F77" w14:paraId="70BCEF9A" w14:textId="77777777" w:rsidTr="0043662C">
        <w:trPr>
          <w:trHeight w:val="315"/>
        </w:trPr>
        <w:tc>
          <w:tcPr>
            <w:tcW w:w="2720" w:type="dxa"/>
            <w:tcBorders>
              <w:top w:val="nil"/>
              <w:left w:val="nil"/>
              <w:bottom w:val="single" w:sz="8" w:space="0" w:color="auto"/>
              <w:right w:val="nil"/>
            </w:tcBorders>
            <w:shd w:val="clear" w:color="auto" w:fill="auto"/>
            <w:vAlign w:val="center"/>
            <w:hideMark/>
          </w:tcPr>
          <w:p w14:paraId="030EB8F4" w14:textId="77777777" w:rsidR="008B2F77" w:rsidRPr="008B2F77" w:rsidRDefault="008B2F77" w:rsidP="008B2F77">
            <w:pPr>
              <w:suppressAutoHyphens w:val="0"/>
              <w:spacing w:before="0" w:after="0" w:line="240" w:lineRule="auto"/>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66DA228F"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 xml:space="preserve">2013-19 </w:t>
            </w:r>
          </w:p>
        </w:tc>
        <w:tc>
          <w:tcPr>
            <w:tcW w:w="960" w:type="dxa"/>
            <w:tcBorders>
              <w:top w:val="nil"/>
              <w:left w:val="nil"/>
              <w:bottom w:val="single" w:sz="8" w:space="0" w:color="auto"/>
              <w:right w:val="nil"/>
            </w:tcBorders>
            <w:shd w:val="clear" w:color="auto" w:fill="auto"/>
            <w:vAlign w:val="center"/>
            <w:hideMark/>
          </w:tcPr>
          <w:p w14:paraId="596CB173" w14:textId="77777777" w:rsidR="008B2F77" w:rsidRPr="008B2F77" w:rsidRDefault="008B2F77" w:rsidP="008B2F7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2016 AQC</w:t>
            </w:r>
          </w:p>
        </w:tc>
        <w:tc>
          <w:tcPr>
            <w:tcW w:w="700" w:type="dxa"/>
            <w:tcBorders>
              <w:top w:val="single" w:sz="4" w:space="0" w:color="FFFFFF" w:themeColor="background1"/>
              <w:left w:val="nil"/>
              <w:bottom w:val="single" w:sz="8" w:space="0" w:color="auto"/>
              <w:right w:val="nil"/>
            </w:tcBorders>
            <w:shd w:val="clear" w:color="000000" w:fill="92D050"/>
            <w:noWrap/>
            <w:vAlign w:val="center"/>
            <w:hideMark/>
          </w:tcPr>
          <w:p w14:paraId="39E07007"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4" w:space="0" w:color="FFFFFF" w:themeColor="background1"/>
              <w:left w:val="nil"/>
              <w:bottom w:val="single" w:sz="8" w:space="0" w:color="auto"/>
              <w:right w:val="nil"/>
            </w:tcBorders>
            <w:shd w:val="clear" w:color="000000" w:fill="FFFF00"/>
            <w:noWrap/>
            <w:vAlign w:val="center"/>
            <w:hideMark/>
          </w:tcPr>
          <w:p w14:paraId="7236A1EB"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4" w:space="0" w:color="FFFFFF" w:themeColor="background1"/>
              <w:left w:val="nil"/>
              <w:bottom w:val="single" w:sz="8" w:space="0" w:color="auto"/>
              <w:right w:val="nil"/>
            </w:tcBorders>
            <w:shd w:val="clear" w:color="000000" w:fill="FFC000"/>
            <w:noWrap/>
            <w:vAlign w:val="center"/>
            <w:hideMark/>
          </w:tcPr>
          <w:p w14:paraId="34EEAB5C"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4" w:space="0" w:color="FFFFFF" w:themeColor="background1"/>
              <w:left w:val="nil"/>
              <w:bottom w:val="single" w:sz="8" w:space="0" w:color="auto"/>
              <w:right w:val="nil"/>
            </w:tcBorders>
            <w:shd w:val="clear" w:color="000000" w:fill="FFC000"/>
            <w:noWrap/>
            <w:vAlign w:val="center"/>
            <w:hideMark/>
          </w:tcPr>
          <w:p w14:paraId="4330ACFB"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4" w:space="0" w:color="FFFFFF" w:themeColor="background1"/>
              <w:left w:val="nil"/>
              <w:bottom w:val="single" w:sz="8" w:space="0" w:color="auto"/>
              <w:right w:val="nil"/>
            </w:tcBorders>
            <w:shd w:val="clear" w:color="000000" w:fill="FFFF00"/>
            <w:noWrap/>
            <w:vAlign w:val="center"/>
            <w:hideMark/>
          </w:tcPr>
          <w:p w14:paraId="3D68FABE"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4" w:space="0" w:color="FFFFFF" w:themeColor="background1"/>
              <w:left w:val="nil"/>
              <w:bottom w:val="single" w:sz="8" w:space="0" w:color="auto"/>
              <w:right w:val="nil"/>
            </w:tcBorders>
            <w:shd w:val="clear" w:color="000000" w:fill="FFFF00"/>
            <w:noWrap/>
            <w:vAlign w:val="center"/>
            <w:hideMark/>
          </w:tcPr>
          <w:p w14:paraId="7F681187"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4" w:space="0" w:color="FFFFFF" w:themeColor="background1"/>
              <w:left w:val="nil"/>
              <w:bottom w:val="single" w:sz="8" w:space="0" w:color="auto"/>
              <w:right w:val="nil"/>
            </w:tcBorders>
            <w:shd w:val="clear" w:color="000000" w:fill="92D050"/>
            <w:vAlign w:val="center"/>
            <w:hideMark/>
          </w:tcPr>
          <w:p w14:paraId="56756552"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r>
      <w:tr w:rsidR="008B2F77" w:rsidRPr="008B2F77" w14:paraId="4FA48C80" w14:textId="77777777" w:rsidTr="0043662C">
        <w:trPr>
          <w:trHeight w:val="450"/>
        </w:trPr>
        <w:tc>
          <w:tcPr>
            <w:tcW w:w="2720" w:type="dxa"/>
            <w:tcBorders>
              <w:top w:val="nil"/>
              <w:left w:val="nil"/>
              <w:bottom w:val="nil"/>
              <w:right w:val="nil"/>
            </w:tcBorders>
            <w:shd w:val="clear" w:color="auto" w:fill="auto"/>
            <w:vAlign w:val="center"/>
            <w:hideMark/>
          </w:tcPr>
          <w:p w14:paraId="1B40C79B" w14:textId="77777777" w:rsidR="008B2F77" w:rsidRPr="008B2F77" w:rsidRDefault="008B2F77" w:rsidP="008B2F77">
            <w:pPr>
              <w:suppressAutoHyphens w:val="0"/>
              <w:spacing w:before="0" w:after="0" w:line="240" w:lineRule="auto"/>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INL301 Pakistan Trade and Investment Policy Program</w:t>
            </w:r>
          </w:p>
        </w:tc>
        <w:tc>
          <w:tcPr>
            <w:tcW w:w="960" w:type="dxa"/>
            <w:tcBorders>
              <w:top w:val="nil"/>
              <w:left w:val="nil"/>
              <w:bottom w:val="nil"/>
              <w:right w:val="nil"/>
            </w:tcBorders>
            <w:shd w:val="clear" w:color="auto" w:fill="auto"/>
            <w:vAlign w:val="center"/>
            <w:hideMark/>
          </w:tcPr>
          <w:p w14:paraId="1F364513"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8B2F77">
              <w:rPr>
                <w:rFonts w:ascii="Calibri Light" w:eastAsia="Times New Roman" w:hAnsi="Calibri Light" w:cs="Times New Roman"/>
                <w:color w:val="000000"/>
                <w:sz w:val="17"/>
                <w:szCs w:val="17"/>
                <w:lang w:eastAsia="en-AU"/>
              </w:rPr>
              <w:t xml:space="preserve">$9.9m </w:t>
            </w:r>
          </w:p>
        </w:tc>
        <w:tc>
          <w:tcPr>
            <w:tcW w:w="960" w:type="dxa"/>
            <w:tcBorders>
              <w:top w:val="nil"/>
              <w:left w:val="nil"/>
              <w:bottom w:val="nil"/>
              <w:right w:val="nil"/>
            </w:tcBorders>
            <w:shd w:val="clear" w:color="auto" w:fill="auto"/>
            <w:vAlign w:val="center"/>
            <w:hideMark/>
          </w:tcPr>
          <w:p w14:paraId="0004B37C" w14:textId="77777777" w:rsidR="008B2F77" w:rsidRPr="008B2F77" w:rsidRDefault="008B2F77" w:rsidP="008B2F7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2017 AQC</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4F665DC2"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FFC000"/>
            <w:noWrap/>
            <w:vAlign w:val="center"/>
            <w:hideMark/>
          </w:tcPr>
          <w:p w14:paraId="2527C0C8"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8" w:space="0" w:color="auto"/>
              <w:left w:val="nil"/>
              <w:bottom w:val="single" w:sz="4" w:space="0" w:color="FFFFFF" w:themeColor="background1"/>
              <w:right w:val="nil"/>
            </w:tcBorders>
            <w:shd w:val="clear" w:color="000000" w:fill="FFC000"/>
            <w:noWrap/>
            <w:vAlign w:val="center"/>
            <w:hideMark/>
          </w:tcPr>
          <w:p w14:paraId="011B902D"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8" w:space="0" w:color="auto"/>
              <w:left w:val="nil"/>
              <w:bottom w:val="single" w:sz="4" w:space="0" w:color="FFFFFF" w:themeColor="background1"/>
              <w:right w:val="nil"/>
            </w:tcBorders>
            <w:shd w:val="clear" w:color="000000" w:fill="FFC000"/>
            <w:noWrap/>
            <w:vAlign w:val="center"/>
            <w:hideMark/>
          </w:tcPr>
          <w:p w14:paraId="1976C7D2"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8" w:space="0" w:color="auto"/>
              <w:left w:val="nil"/>
              <w:bottom w:val="single" w:sz="4" w:space="0" w:color="FFFFFF" w:themeColor="background1"/>
              <w:right w:val="nil"/>
            </w:tcBorders>
            <w:shd w:val="clear" w:color="000000" w:fill="FFFF00"/>
            <w:noWrap/>
            <w:vAlign w:val="center"/>
            <w:hideMark/>
          </w:tcPr>
          <w:p w14:paraId="7CDC82FA"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8" w:space="0" w:color="auto"/>
              <w:left w:val="nil"/>
              <w:bottom w:val="single" w:sz="4" w:space="0" w:color="FFFFFF" w:themeColor="background1"/>
              <w:right w:val="nil"/>
            </w:tcBorders>
            <w:shd w:val="clear" w:color="000000" w:fill="FFC000"/>
            <w:noWrap/>
            <w:vAlign w:val="center"/>
            <w:hideMark/>
          </w:tcPr>
          <w:p w14:paraId="3299A54C"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8" w:space="0" w:color="auto"/>
              <w:left w:val="nil"/>
              <w:bottom w:val="single" w:sz="4" w:space="0" w:color="FFFFFF" w:themeColor="background1"/>
              <w:right w:val="nil"/>
            </w:tcBorders>
            <w:shd w:val="clear" w:color="000000" w:fill="FFFF00"/>
            <w:vAlign w:val="center"/>
            <w:hideMark/>
          </w:tcPr>
          <w:p w14:paraId="4B672934" w14:textId="5BC30EE5" w:rsidR="008B2F77" w:rsidRPr="008B2F77" w:rsidRDefault="0043662C"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n/a</w:t>
            </w:r>
          </w:p>
        </w:tc>
      </w:tr>
      <w:tr w:rsidR="008B2F77" w:rsidRPr="008B2F77" w14:paraId="1B0BFB9F" w14:textId="77777777" w:rsidTr="0043662C">
        <w:trPr>
          <w:trHeight w:val="315"/>
        </w:trPr>
        <w:tc>
          <w:tcPr>
            <w:tcW w:w="2720" w:type="dxa"/>
            <w:tcBorders>
              <w:top w:val="nil"/>
              <w:left w:val="nil"/>
              <w:bottom w:val="single" w:sz="8" w:space="0" w:color="auto"/>
              <w:right w:val="nil"/>
            </w:tcBorders>
            <w:shd w:val="clear" w:color="auto" w:fill="auto"/>
            <w:vAlign w:val="center"/>
            <w:hideMark/>
          </w:tcPr>
          <w:p w14:paraId="76AEF7D1" w14:textId="77777777" w:rsidR="008B2F77" w:rsidRPr="008B2F77" w:rsidRDefault="008B2F77" w:rsidP="008B2F77">
            <w:pPr>
              <w:suppressAutoHyphens w:val="0"/>
              <w:spacing w:before="0" w:after="0" w:line="240" w:lineRule="auto"/>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31660DA7"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 xml:space="preserve">2014-18 </w:t>
            </w:r>
          </w:p>
        </w:tc>
        <w:tc>
          <w:tcPr>
            <w:tcW w:w="960" w:type="dxa"/>
            <w:tcBorders>
              <w:top w:val="nil"/>
              <w:left w:val="nil"/>
              <w:bottom w:val="single" w:sz="8" w:space="0" w:color="auto"/>
              <w:right w:val="nil"/>
            </w:tcBorders>
            <w:shd w:val="clear" w:color="auto" w:fill="auto"/>
            <w:vAlign w:val="center"/>
            <w:hideMark/>
          </w:tcPr>
          <w:p w14:paraId="33269BE8" w14:textId="77777777" w:rsidR="008B2F77" w:rsidRPr="008B2F77" w:rsidRDefault="008B2F77" w:rsidP="008B2F7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2016 AQC</w:t>
            </w:r>
          </w:p>
        </w:tc>
        <w:tc>
          <w:tcPr>
            <w:tcW w:w="700" w:type="dxa"/>
            <w:tcBorders>
              <w:top w:val="single" w:sz="4" w:space="0" w:color="FFFFFF" w:themeColor="background1"/>
              <w:left w:val="nil"/>
              <w:bottom w:val="single" w:sz="8" w:space="0" w:color="auto"/>
              <w:right w:val="nil"/>
            </w:tcBorders>
            <w:shd w:val="clear" w:color="000000" w:fill="92D050"/>
            <w:noWrap/>
            <w:vAlign w:val="center"/>
            <w:hideMark/>
          </w:tcPr>
          <w:p w14:paraId="6B37DDC2"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4" w:space="0" w:color="FFFFFF" w:themeColor="background1"/>
              <w:left w:val="nil"/>
              <w:bottom w:val="single" w:sz="8" w:space="0" w:color="auto"/>
              <w:right w:val="nil"/>
            </w:tcBorders>
            <w:shd w:val="clear" w:color="000000" w:fill="FFC000"/>
            <w:noWrap/>
            <w:vAlign w:val="center"/>
            <w:hideMark/>
          </w:tcPr>
          <w:p w14:paraId="59434A72"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4" w:space="0" w:color="FFFFFF" w:themeColor="background1"/>
              <w:left w:val="nil"/>
              <w:bottom w:val="single" w:sz="8" w:space="0" w:color="auto"/>
              <w:right w:val="nil"/>
            </w:tcBorders>
            <w:shd w:val="clear" w:color="000000" w:fill="FFFF00"/>
            <w:noWrap/>
            <w:vAlign w:val="center"/>
            <w:hideMark/>
          </w:tcPr>
          <w:p w14:paraId="058BD1B5"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4" w:space="0" w:color="FFFFFF" w:themeColor="background1"/>
              <w:left w:val="nil"/>
              <w:bottom w:val="single" w:sz="8" w:space="0" w:color="auto"/>
              <w:right w:val="nil"/>
            </w:tcBorders>
            <w:shd w:val="clear" w:color="000000" w:fill="FFFF00"/>
            <w:noWrap/>
            <w:vAlign w:val="center"/>
            <w:hideMark/>
          </w:tcPr>
          <w:p w14:paraId="5FF8BB82"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4" w:space="0" w:color="FFFFFF" w:themeColor="background1"/>
              <w:left w:val="nil"/>
              <w:bottom w:val="single" w:sz="8" w:space="0" w:color="auto"/>
              <w:right w:val="nil"/>
            </w:tcBorders>
            <w:shd w:val="clear" w:color="000000" w:fill="FFFF00"/>
            <w:noWrap/>
            <w:vAlign w:val="center"/>
            <w:hideMark/>
          </w:tcPr>
          <w:p w14:paraId="643E5140"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4" w:space="0" w:color="FFFFFF" w:themeColor="background1"/>
              <w:left w:val="nil"/>
              <w:bottom w:val="single" w:sz="8" w:space="0" w:color="auto"/>
              <w:right w:val="nil"/>
            </w:tcBorders>
            <w:shd w:val="clear" w:color="000000" w:fill="FFC000"/>
            <w:noWrap/>
            <w:vAlign w:val="center"/>
            <w:hideMark/>
          </w:tcPr>
          <w:p w14:paraId="45BFFB16"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4" w:space="0" w:color="FFFFFF" w:themeColor="background1"/>
              <w:left w:val="nil"/>
              <w:bottom w:val="single" w:sz="8" w:space="0" w:color="auto"/>
              <w:right w:val="nil"/>
            </w:tcBorders>
            <w:shd w:val="clear" w:color="000000" w:fill="FFFF00"/>
            <w:vAlign w:val="center"/>
            <w:hideMark/>
          </w:tcPr>
          <w:p w14:paraId="711057FA"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r>
      <w:tr w:rsidR="008B2F77" w:rsidRPr="008B2F77" w14:paraId="4D857187" w14:textId="77777777" w:rsidTr="0043662C">
        <w:trPr>
          <w:trHeight w:val="450"/>
        </w:trPr>
        <w:tc>
          <w:tcPr>
            <w:tcW w:w="2720" w:type="dxa"/>
            <w:tcBorders>
              <w:top w:val="nil"/>
              <w:left w:val="nil"/>
              <w:bottom w:val="nil"/>
              <w:right w:val="nil"/>
            </w:tcBorders>
            <w:shd w:val="clear" w:color="auto" w:fill="auto"/>
            <w:vAlign w:val="center"/>
            <w:hideMark/>
          </w:tcPr>
          <w:p w14:paraId="35C0C885" w14:textId="77777777" w:rsidR="008B2F77" w:rsidRPr="008B2F77" w:rsidRDefault="008B2F77" w:rsidP="008B2F77">
            <w:pPr>
              <w:suppressAutoHyphens w:val="0"/>
              <w:spacing w:before="0" w:after="0" w:line="240" w:lineRule="auto"/>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INK363 Integrated Maternal Newborn Health Program</w:t>
            </w:r>
          </w:p>
        </w:tc>
        <w:tc>
          <w:tcPr>
            <w:tcW w:w="960" w:type="dxa"/>
            <w:tcBorders>
              <w:top w:val="nil"/>
              <w:left w:val="nil"/>
              <w:bottom w:val="nil"/>
              <w:right w:val="nil"/>
            </w:tcBorders>
            <w:shd w:val="clear" w:color="auto" w:fill="auto"/>
            <w:vAlign w:val="center"/>
            <w:hideMark/>
          </w:tcPr>
          <w:p w14:paraId="3FD97447"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$13.7m</w:t>
            </w:r>
          </w:p>
        </w:tc>
        <w:tc>
          <w:tcPr>
            <w:tcW w:w="960" w:type="dxa"/>
            <w:tcBorders>
              <w:top w:val="nil"/>
              <w:left w:val="nil"/>
              <w:bottom w:val="nil"/>
              <w:right w:val="nil"/>
            </w:tcBorders>
            <w:shd w:val="clear" w:color="auto" w:fill="auto"/>
            <w:vAlign w:val="center"/>
            <w:hideMark/>
          </w:tcPr>
          <w:p w14:paraId="144E9918" w14:textId="77777777" w:rsidR="008B2F77" w:rsidRPr="008B2F77" w:rsidRDefault="008B2F77" w:rsidP="008B2F7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2017 AQC</w:t>
            </w:r>
          </w:p>
        </w:tc>
        <w:tc>
          <w:tcPr>
            <w:tcW w:w="700" w:type="dxa"/>
            <w:tcBorders>
              <w:top w:val="single" w:sz="8" w:space="0" w:color="auto"/>
              <w:left w:val="nil"/>
              <w:bottom w:val="single" w:sz="4" w:space="0" w:color="FFFFFF" w:themeColor="background1"/>
              <w:right w:val="nil"/>
            </w:tcBorders>
            <w:shd w:val="clear" w:color="000000" w:fill="FFFF00"/>
            <w:noWrap/>
            <w:vAlign w:val="center"/>
            <w:hideMark/>
          </w:tcPr>
          <w:p w14:paraId="2653E445"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7B68E788"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FFC000"/>
            <w:noWrap/>
            <w:vAlign w:val="center"/>
            <w:hideMark/>
          </w:tcPr>
          <w:p w14:paraId="02873CA7"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192E8A0B"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FFFF00"/>
            <w:noWrap/>
            <w:vAlign w:val="center"/>
            <w:hideMark/>
          </w:tcPr>
          <w:p w14:paraId="29728464"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294DCA3E"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FFFF00"/>
            <w:vAlign w:val="center"/>
            <w:hideMark/>
          </w:tcPr>
          <w:p w14:paraId="2854852A" w14:textId="7AA1667D" w:rsidR="008B2F77" w:rsidRPr="008B2F77" w:rsidRDefault="0043662C"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n/a</w:t>
            </w:r>
          </w:p>
        </w:tc>
      </w:tr>
      <w:tr w:rsidR="008B2F77" w:rsidRPr="008B2F77" w14:paraId="2B41BDF0" w14:textId="77777777" w:rsidTr="0043662C">
        <w:trPr>
          <w:trHeight w:val="315"/>
        </w:trPr>
        <w:tc>
          <w:tcPr>
            <w:tcW w:w="2720" w:type="dxa"/>
            <w:tcBorders>
              <w:top w:val="nil"/>
              <w:left w:val="nil"/>
              <w:bottom w:val="single" w:sz="8" w:space="0" w:color="auto"/>
              <w:right w:val="nil"/>
            </w:tcBorders>
            <w:shd w:val="clear" w:color="auto" w:fill="auto"/>
            <w:vAlign w:val="center"/>
            <w:hideMark/>
          </w:tcPr>
          <w:p w14:paraId="136116A5" w14:textId="77777777" w:rsidR="008B2F77" w:rsidRPr="008B2F77" w:rsidRDefault="008B2F77" w:rsidP="008B2F77">
            <w:pPr>
              <w:suppressAutoHyphens w:val="0"/>
              <w:spacing w:before="0" w:after="0" w:line="240" w:lineRule="auto"/>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0EAE802D"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2012 -17</w:t>
            </w:r>
          </w:p>
        </w:tc>
        <w:tc>
          <w:tcPr>
            <w:tcW w:w="960" w:type="dxa"/>
            <w:tcBorders>
              <w:top w:val="nil"/>
              <w:left w:val="nil"/>
              <w:bottom w:val="single" w:sz="8" w:space="0" w:color="auto"/>
              <w:right w:val="nil"/>
            </w:tcBorders>
            <w:shd w:val="clear" w:color="auto" w:fill="auto"/>
            <w:vAlign w:val="center"/>
            <w:hideMark/>
          </w:tcPr>
          <w:p w14:paraId="5777F5B8" w14:textId="77777777" w:rsidR="008B2F77" w:rsidRPr="008B2F77" w:rsidRDefault="008B2F77" w:rsidP="008B2F7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2016 AQC</w:t>
            </w:r>
          </w:p>
        </w:tc>
        <w:tc>
          <w:tcPr>
            <w:tcW w:w="700" w:type="dxa"/>
            <w:tcBorders>
              <w:top w:val="single" w:sz="4" w:space="0" w:color="FFFFFF" w:themeColor="background1"/>
              <w:left w:val="nil"/>
              <w:bottom w:val="single" w:sz="8" w:space="0" w:color="auto"/>
              <w:right w:val="nil"/>
            </w:tcBorders>
            <w:shd w:val="clear" w:color="000000" w:fill="92D050"/>
            <w:noWrap/>
            <w:vAlign w:val="center"/>
            <w:hideMark/>
          </w:tcPr>
          <w:p w14:paraId="301A769A"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6</w:t>
            </w:r>
          </w:p>
        </w:tc>
        <w:tc>
          <w:tcPr>
            <w:tcW w:w="700" w:type="dxa"/>
            <w:tcBorders>
              <w:top w:val="single" w:sz="4" w:space="0" w:color="FFFFFF" w:themeColor="background1"/>
              <w:left w:val="nil"/>
              <w:bottom w:val="single" w:sz="8" w:space="0" w:color="auto"/>
              <w:right w:val="nil"/>
            </w:tcBorders>
            <w:shd w:val="clear" w:color="000000" w:fill="FFFF00"/>
            <w:noWrap/>
            <w:vAlign w:val="center"/>
            <w:hideMark/>
          </w:tcPr>
          <w:p w14:paraId="0244B4DC"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4" w:space="0" w:color="FFFFFF" w:themeColor="background1"/>
              <w:left w:val="nil"/>
              <w:bottom w:val="single" w:sz="8" w:space="0" w:color="auto"/>
              <w:right w:val="nil"/>
            </w:tcBorders>
            <w:shd w:val="clear" w:color="000000" w:fill="FFFF00"/>
            <w:noWrap/>
            <w:vAlign w:val="center"/>
            <w:hideMark/>
          </w:tcPr>
          <w:p w14:paraId="20DB1744"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4" w:space="0" w:color="FFFFFF" w:themeColor="background1"/>
              <w:left w:val="nil"/>
              <w:bottom w:val="single" w:sz="8" w:space="0" w:color="auto"/>
              <w:right w:val="nil"/>
            </w:tcBorders>
            <w:shd w:val="clear" w:color="000000" w:fill="92D050"/>
            <w:noWrap/>
            <w:vAlign w:val="center"/>
            <w:hideMark/>
          </w:tcPr>
          <w:p w14:paraId="10186027"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4" w:space="0" w:color="FFFFFF" w:themeColor="background1"/>
              <w:left w:val="nil"/>
              <w:bottom w:val="single" w:sz="8" w:space="0" w:color="auto"/>
              <w:right w:val="nil"/>
            </w:tcBorders>
            <w:shd w:val="clear" w:color="000000" w:fill="FFC000"/>
            <w:noWrap/>
            <w:vAlign w:val="center"/>
            <w:hideMark/>
          </w:tcPr>
          <w:p w14:paraId="122D777C"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4" w:space="0" w:color="FFFFFF" w:themeColor="background1"/>
              <w:left w:val="nil"/>
              <w:bottom w:val="single" w:sz="8" w:space="0" w:color="auto"/>
              <w:right w:val="nil"/>
            </w:tcBorders>
            <w:shd w:val="clear" w:color="000000" w:fill="92D050"/>
            <w:noWrap/>
            <w:vAlign w:val="center"/>
            <w:hideMark/>
          </w:tcPr>
          <w:p w14:paraId="754D962D"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4" w:space="0" w:color="FFFFFF" w:themeColor="background1"/>
              <w:left w:val="nil"/>
              <w:bottom w:val="single" w:sz="8" w:space="0" w:color="auto"/>
              <w:right w:val="nil"/>
            </w:tcBorders>
            <w:shd w:val="clear" w:color="000000" w:fill="92D050"/>
            <w:vAlign w:val="center"/>
            <w:hideMark/>
          </w:tcPr>
          <w:p w14:paraId="3C873D26"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r>
      <w:tr w:rsidR="008B2F77" w:rsidRPr="008B2F77" w14:paraId="69F0C75A" w14:textId="77777777" w:rsidTr="0043662C">
        <w:trPr>
          <w:trHeight w:val="450"/>
        </w:trPr>
        <w:tc>
          <w:tcPr>
            <w:tcW w:w="2720" w:type="dxa"/>
            <w:tcBorders>
              <w:top w:val="nil"/>
              <w:left w:val="nil"/>
              <w:bottom w:val="nil"/>
              <w:right w:val="nil"/>
            </w:tcBorders>
            <w:shd w:val="clear" w:color="auto" w:fill="auto"/>
            <w:vAlign w:val="center"/>
            <w:hideMark/>
          </w:tcPr>
          <w:p w14:paraId="14205F94" w14:textId="77777777" w:rsidR="008B2F77" w:rsidRPr="008B2F77" w:rsidRDefault="008B2F77" w:rsidP="008B2F77">
            <w:pPr>
              <w:suppressAutoHyphens w:val="0"/>
              <w:spacing w:before="0" w:after="0" w:line="240" w:lineRule="auto"/>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INL271 Agricultural Value Chain Collaborative Research</w:t>
            </w:r>
          </w:p>
        </w:tc>
        <w:tc>
          <w:tcPr>
            <w:tcW w:w="960" w:type="dxa"/>
            <w:tcBorders>
              <w:top w:val="nil"/>
              <w:left w:val="nil"/>
              <w:bottom w:val="nil"/>
              <w:right w:val="nil"/>
            </w:tcBorders>
            <w:shd w:val="clear" w:color="auto" w:fill="auto"/>
            <w:vAlign w:val="center"/>
            <w:hideMark/>
          </w:tcPr>
          <w:p w14:paraId="38FF7DDE"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8B2F77">
              <w:rPr>
                <w:rFonts w:ascii="Calibri Light" w:eastAsia="Times New Roman" w:hAnsi="Calibri Light" w:cs="Times New Roman"/>
                <w:color w:val="000000"/>
                <w:sz w:val="17"/>
                <w:szCs w:val="17"/>
                <w:lang w:eastAsia="en-AU"/>
              </w:rPr>
              <w:t xml:space="preserve">$9.4m </w:t>
            </w:r>
          </w:p>
        </w:tc>
        <w:tc>
          <w:tcPr>
            <w:tcW w:w="960" w:type="dxa"/>
            <w:tcBorders>
              <w:top w:val="nil"/>
              <w:left w:val="nil"/>
              <w:bottom w:val="nil"/>
              <w:right w:val="nil"/>
            </w:tcBorders>
            <w:shd w:val="clear" w:color="auto" w:fill="auto"/>
            <w:vAlign w:val="center"/>
            <w:hideMark/>
          </w:tcPr>
          <w:p w14:paraId="3C8C83F7" w14:textId="77777777" w:rsidR="008B2F77" w:rsidRPr="008B2F77" w:rsidRDefault="008B2F77" w:rsidP="008B2F7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2017 AQC</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75AF7E28"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FFC000"/>
            <w:noWrap/>
            <w:vAlign w:val="center"/>
            <w:hideMark/>
          </w:tcPr>
          <w:p w14:paraId="6887C628"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8" w:space="0" w:color="auto"/>
              <w:left w:val="nil"/>
              <w:bottom w:val="single" w:sz="4" w:space="0" w:color="FFFFFF" w:themeColor="background1"/>
              <w:right w:val="nil"/>
            </w:tcBorders>
            <w:shd w:val="clear" w:color="000000" w:fill="FFC000"/>
            <w:noWrap/>
            <w:vAlign w:val="center"/>
            <w:hideMark/>
          </w:tcPr>
          <w:p w14:paraId="3BC9CFA9"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8" w:space="0" w:color="auto"/>
              <w:left w:val="nil"/>
              <w:bottom w:val="single" w:sz="4" w:space="0" w:color="FFFFFF" w:themeColor="background1"/>
              <w:right w:val="nil"/>
            </w:tcBorders>
            <w:shd w:val="clear" w:color="000000" w:fill="FFC000"/>
            <w:noWrap/>
            <w:vAlign w:val="center"/>
            <w:hideMark/>
          </w:tcPr>
          <w:p w14:paraId="48306C26"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8" w:space="0" w:color="auto"/>
              <w:left w:val="nil"/>
              <w:bottom w:val="single" w:sz="4" w:space="0" w:color="FFFFFF" w:themeColor="background1"/>
              <w:right w:val="nil"/>
            </w:tcBorders>
            <w:shd w:val="clear" w:color="000000" w:fill="FFC000"/>
            <w:noWrap/>
            <w:vAlign w:val="center"/>
            <w:hideMark/>
          </w:tcPr>
          <w:p w14:paraId="04B1BAE9"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8" w:space="0" w:color="auto"/>
              <w:left w:val="nil"/>
              <w:bottom w:val="single" w:sz="4" w:space="0" w:color="FFFFFF" w:themeColor="background1"/>
              <w:right w:val="nil"/>
            </w:tcBorders>
            <w:shd w:val="clear" w:color="000000" w:fill="FFC000"/>
            <w:noWrap/>
            <w:vAlign w:val="center"/>
            <w:hideMark/>
          </w:tcPr>
          <w:p w14:paraId="315C2C9A"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3</w:t>
            </w:r>
          </w:p>
        </w:tc>
        <w:tc>
          <w:tcPr>
            <w:tcW w:w="700" w:type="dxa"/>
            <w:tcBorders>
              <w:top w:val="single" w:sz="8" w:space="0" w:color="auto"/>
              <w:left w:val="nil"/>
              <w:bottom w:val="single" w:sz="4" w:space="0" w:color="FFFFFF" w:themeColor="background1"/>
              <w:right w:val="nil"/>
            </w:tcBorders>
            <w:shd w:val="clear" w:color="000000" w:fill="FFFF00"/>
            <w:vAlign w:val="center"/>
            <w:hideMark/>
          </w:tcPr>
          <w:p w14:paraId="3827CD03" w14:textId="36DBD921" w:rsidR="008B2F77" w:rsidRPr="008B2F77" w:rsidRDefault="0043662C"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n/a</w:t>
            </w:r>
          </w:p>
        </w:tc>
      </w:tr>
      <w:tr w:rsidR="0043662C" w:rsidRPr="008B2F77" w14:paraId="3F99D0B9" w14:textId="77777777" w:rsidTr="0043662C">
        <w:trPr>
          <w:trHeight w:val="315"/>
        </w:trPr>
        <w:tc>
          <w:tcPr>
            <w:tcW w:w="2720" w:type="dxa"/>
            <w:tcBorders>
              <w:top w:val="nil"/>
              <w:left w:val="nil"/>
              <w:bottom w:val="single" w:sz="8" w:space="0" w:color="auto"/>
              <w:right w:val="nil"/>
            </w:tcBorders>
            <w:shd w:val="clear" w:color="auto" w:fill="auto"/>
            <w:vAlign w:val="center"/>
            <w:hideMark/>
          </w:tcPr>
          <w:p w14:paraId="551CAAAD" w14:textId="77777777" w:rsidR="0043662C" w:rsidRPr="008B2F77" w:rsidRDefault="0043662C" w:rsidP="0043662C">
            <w:pPr>
              <w:suppressAutoHyphens w:val="0"/>
              <w:spacing w:before="0" w:after="0" w:line="240" w:lineRule="auto"/>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47CC86AA" w14:textId="77777777" w:rsidR="0043662C" w:rsidRPr="008B2F77" w:rsidRDefault="0043662C" w:rsidP="0043662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 xml:space="preserve">2016-20 </w:t>
            </w:r>
          </w:p>
        </w:tc>
        <w:tc>
          <w:tcPr>
            <w:tcW w:w="960" w:type="dxa"/>
            <w:tcBorders>
              <w:top w:val="nil"/>
              <w:left w:val="nil"/>
              <w:bottom w:val="single" w:sz="8" w:space="0" w:color="auto"/>
              <w:right w:val="nil"/>
            </w:tcBorders>
            <w:shd w:val="clear" w:color="auto" w:fill="auto"/>
            <w:vAlign w:val="center"/>
            <w:hideMark/>
          </w:tcPr>
          <w:p w14:paraId="0C56FD1B" w14:textId="77777777" w:rsidR="0043662C" w:rsidRPr="008B2F77" w:rsidRDefault="0043662C" w:rsidP="0043662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2016 AQC</w:t>
            </w:r>
          </w:p>
        </w:tc>
        <w:tc>
          <w:tcPr>
            <w:tcW w:w="700" w:type="dxa"/>
            <w:tcBorders>
              <w:top w:val="single" w:sz="4" w:space="0" w:color="FFFFFF" w:themeColor="background1"/>
              <w:left w:val="nil"/>
              <w:bottom w:val="single" w:sz="8" w:space="0" w:color="auto"/>
              <w:right w:val="nil"/>
            </w:tcBorders>
            <w:shd w:val="clear" w:color="000000" w:fill="FFFF00"/>
            <w:noWrap/>
            <w:hideMark/>
          </w:tcPr>
          <w:p w14:paraId="0038A405" w14:textId="7CD19016" w:rsidR="0043662C" w:rsidRPr="008B2F77" w:rsidRDefault="0043662C" w:rsidP="0043662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650E58">
              <w:rPr>
                <w:rFonts w:ascii="Calibri Light" w:eastAsia="Times New Roman" w:hAnsi="Calibri Light" w:cs="Times New Roman"/>
                <w:iCs/>
                <w:color w:val="495965"/>
                <w:sz w:val="17"/>
                <w:szCs w:val="17"/>
                <w:lang w:eastAsia="en-AU"/>
              </w:rPr>
              <w:t>n/a</w:t>
            </w:r>
          </w:p>
        </w:tc>
        <w:tc>
          <w:tcPr>
            <w:tcW w:w="700" w:type="dxa"/>
            <w:tcBorders>
              <w:top w:val="single" w:sz="4" w:space="0" w:color="FFFFFF" w:themeColor="background1"/>
              <w:left w:val="nil"/>
              <w:bottom w:val="single" w:sz="8" w:space="0" w:color="auto"/>
              <w:right w:val="nil"/>
            </w:tcBorders>
            <w:shd w:val="clear" w:color="000000" w:fill="FFFF00"/>
            <w:noWrap/>
            <w:hideMark/>
          </w:tcPr>
          <w:p w14:paraId="17F8F191" w14:textId="02392677" w:rsidR="0043662C" w:rsidRPr="008B2F77" w:rsidRDefault="0043662C" w:rsidP="0043662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650E58">
              <w:rPr>
                <w:rFonts w:ascii="Calibri Light" w:eastAsia="Times New Roman" w:hAnsi="Calibri Light" w:cs="Times New Roman"/>
                <w:iCs/>
                <w:color w:val="495965"/>
                <w:sz w:val="17"/>
                <w:szCs w:val="17"/>
                <w:lang w:eastAsia="en-AU"/>
              </w:rPr>
              <w:t>n/a</w:t>
            </w:r>
          </w:p>
        </w:tc>
        <w:tc>
          <w:tcPr>
            <w:tcW w:w="700" w:type="dxa"/>
            <w:tcBorders>
              <w:top w:val="single" w:sz="4" w:space="0" w:color="FFFFFF" w:themeColor="background1"/>
              <w:left w:val="nil"/>
              <w:bottom w:val="single" w:sz="8" w:space="0" w:color="auto"/>
              <w:right w:val="nil"/>
            </w:tcBorders>
            <w:shd w:val="clear" w:color="000000" w:fill="FFFF00"/>
            <w:noWrap/>
            <w:hideMark/>
          </w:tcPr>
          <w:p w14:paraId="4457FF6D" w14:textId="47A9CBF0" w:rsidR="0043662C" w:rsidRPr="008B2F77" w:rsidRDefault="0043662C" w:rsidP="0043662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650E58">
              <w:rPr>
                <w:rFonts w:ascii="Calibri Light" w:eastAsia="Times New Roman" w:hAnsi="Calibri Light" w:cs="Times New Roman"/>
                <w:iCs/>
                <w:color w:val="495965"/>
                <w:sz w:val="17"/>
                <w:szCs w:val="17"/>
                <w:lang w:eastAsia="en-AU"/>
              </w:rPr>
              <w:t>n/a</w:t>
            </w:r>
          </w:p>
        </w:tc>
        <w:tc>
          <w:tcPr>
            <w:tcW w:w="700" w:type="dxa"/>
            <w:tcBorders>
              <w:top w:val="single" w:sz="4" w:space="0" w:color="FFFFFF" w:themeColor="background1"/>
              <w:left w:val="nil"/>
              <w:bottom w:val="single" w:sz="8" w:space="0" w:color="auto"/>
              <w:right w:val="nil"/>
            </w:tcBorders>
            <w:shd w:val="clear" w:color="000000" w:fill="FFFF00"/>
            <w:noWrap/>
            <w:hideMark/>
          </w:tcPr>
          <w:p w14:paraId="7EEEBFD5" w14:textId="4D3342E8" w:rsidR="0043662C" w:rsidRPr="008B2F77" w:rsidRDefault="0043662C" w:rsidP="0043662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650E58">
              <w:rPr>
                <w:rFonts w:ascii="Calibri Light" w:eastAsia="Times New Roman" w:hAnsi="Calibri Light" w:cs="Times New Roman"/>
                <w:iCs/>
                <w:color w:val="495965"/>
                <w:sz w:val="17"/>
                <w:szCs w:val="17"/>
                <w:lang w:eastAsia="en-AU"/>
              </w:rPr>
              <w:t>n/a</w:t>
            </w:r>
          </w:p>
        </w:tc>
        <w:tc>
          <w:tcPr>
            <w:tcW w:w="700" w:type="dxa"/>
            <w:tcBorders>
              <w:top w:val="single" w:sz="4" w:space="0" w:color="FFFFFF" w:themeColor="background1"/>
              <w:left w:val="nil"/>
              <w:bottom w:val="single" w:sz="8" w:space="0" w:color="auto"/>
              <w:right w:val="nil"/>
            </w:tcBorders>
            <w:shd w:val="clear" w:color="000000" w:fill="FFFF00"/>
            <w:noWrap/>
            <w:hideMark/>
          </w:tcPr>
          <w:p w14:paraId="28424C7C" w14:textId="40CD634B" w:rsidR="0043662C" w:rsidRPr="008B2F77" w:rsidRDefault="0043662C" w:rsidP="0043662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650E58">
              <w:rPr>
                <w:rFonts w:ascii="Calibri Light" w:eastAsia="Times New Roman" w:hAnsi="Calibri Light" w:cs="Times New Roman"/>
                <w:iCs/>
                <w:color w:val="495965"/>
                <w:sz w:val="17"/>
                <w:szCs w:val="17"/>
                <w:lang w:eastAsia="en-AU"/>
              </w:rPr>
              <w:t>n/a</w:t>
            </w:r>
          </w:p>
        </w:tc>
        <w:tc>
          <w:tcPr>
            <w:tcW w:w="700" w:type="dxa"/>
            <w:tcBorders>
              <w:top w:val="single" w:sz="4" w:space="0" w:color="FFFFFF" w:themeColor="background1"/>
              <w:left w:val="nil"/>
              <w:bottom w:val="single" w:sz="8" w:space="0" w:color="auto"/>
              <w:right w:val="nil"/>
            </w:tcBorders>
            <w:shd w:val="clear" w:color="000000" w:fill="FFFF00"/>
            <w:noWrap/>
            <w:hideMark/>
          </w:tcPr>
          <w:p w14:paraId="127CFF80" w14:textId="686B9E74" w:rsidR="0043662C" w:rsidRPr="008B2F77" w:rsidRDefault="0043662C" w:rsidP="0043662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650E58">
              <w:rPr>
                <w:rFonts w:ascii="Calibri Light" w:eastAsia="Times New Roman" w:hAnsi="Calibri Light" w:cs="Times New Roman"/>
                <w:iCs/>
                <w:color w:val="495965"/>
                <w:sz w:val="17"/>
                <w:szCs w:val="17"/>
                <w:lang w:eastAsia="en-AU"/>
              </w:rPr>
              <w:t>n/a</w:t>
            </w:r>
          </w:p>
        </w:tc>
        <w:tc>
          <w:tcPr>
            <w:tcW w:w="700" w:type="dxa"/>
            <w:tcBorders>
              <w:top w:val="single" w:sz="4" w:space="0" w:color="FFFFFF" w:themeColor="background1"/>
              <w:left w:val="nil"/>
              <w:bottom w:val="single" w:sz="8" w:space="0" w:color="auto"/>
              <w:right w:val="nil"/>
            </w:tcBorders>
            <w:shd w:val="clear" w:color="000000" w:fill="FFFF00"/>
            <w:vAlign w:val="center"/>
            <w:hideMark/>
          </w:tcPr>
          <w:p w14:paraId="60628BCB" w14:textId="599584DB" w:rsidR="0043662C" w:rsidRPr="008B2F77" w:rsidRDefault="0043662C" w:rsidP="0043662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n/a</w:t>
            </w:r>
          </w:p>
        </w:tc>
      </w:tr>
      <w:tr w:rsidR="008B2F77" w:rsidRPr="008B2F77" w14:paraId="3683F46E" w14:textId="77777777" w:rsidTr="0043662C">
        <w:trPr>
          <w:trHeight w:val="450"/>
        </w:trPr>
        <w:tc>
          <w:tcPr>
            <w:tcW w:w="2720" w:type="dxa"/>
            <w:tcBorders>
              <w:top w:val="nil"/>
              <w:left w:val="nil"/>
              <w:bottom w:val="nil"/>
              <w:right w:val="nil"/>
            </w:tcBorders>
            <w:shd w:val="clear" w:color="auto" w:fill="auto"/>
            <w:vAlign w:val="center"/>
            <w:hideMark/>
          </w:tcPr>
          <w:p w14:paraId="0AE92B38" w14:textId="77777777" w:rsidR="008B2F77" w:rsidRPr="008B2F77" w:rsidRDefault="008B2F77" w:rsidP="008B2F77">
            <w:pPr>
              <w:suppressAutoHyphens w:val="0"/>
              <w:spacing w:before="0" w:after="0" w:line="240" w:lineRule="auto"/>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INL236 Pakistan Ending Violence Against Women Program</w:t>
            </w:r>
          </w:p>
        </w:tc>
        <w:tc>
          <w:tcPr>
            <w:tcW w:w="960" w:type="dxa"/>
            <w:tcBorders>
              <w:top w:val="nil"/>
              <w:left w:val="nil"/>
              <w:bottom w:val="nil"/>
              <w:right w:val="nil"/>
            </w:tcBorders>
            <w:shd w:val="clear" w:color="auto" w:fill="auto"/>
            <w:vAlign w:val="center"/>
            <w:hideMark/>
          </w:tcPr>
          <w:p w14:paraId="2E2BA6F0"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8B2F77">
              <w:rPr>
                <w:rFonts w:ascii="Calibri Light" w:eastAsia="Times New Roman" w:hAnsi="Calibri Light" w:cs="Times New Roman"/>
                <w:color w:val="000000"/>
                <w:sz w:val="17"/>
                <w:szCs w:val="17"/>
                <w:lang w:eastAsia="en-AU"/>
              </w:rPr>
              <w:t xml:space="preserve">$8.6m </w:t>
            </w:r>
          </w:p>
        </w:tc>
        <w:tc>
          <w:tcPr>
            <w:tcW w:w="960" w:type="dxa"/>
            <w:tcBorders>
              <w:top w:val="nil"/>
              <w:left w:val="nil"/>
              <w:bottom w:val="nil"/>
              <w:right w:val="nil"/>
            </w:tcBorders>
            <w:shd w:val="clear" w:color="auto" w:fill="auto"/>
            <w:vAlign w:val="center"/>
            <w:hideMark/>
          </w:tcPr>
          <w:p w14:paraId="5BB00360" w14:textId="77777777" w:rsidR="008B2F77" w:rsidRPr="008B2F77" w:rsidRDefault="008B2F77" w:rsidP="008B2F7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2017 AQC</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0A7E70F1"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6</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2FBF72B7"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5EA0B3EA"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56230541"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188D6203"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8" w:space="0" w:color="auto"/>
              <w:left w:val="nil"/>
              <w:bottom w:val="single" w:sz="4" w:space="0" w:color="FFFFFF" w:themeColor="background1"/>
              <w:right w:val="nil"/>
            </w:tcBorders>
            <w:shd w:val="clear" w:color="000000" w:fill="92D050"/>
            <w:noWrap/>
            <w:vAlign w:val="center"/>
            <w:hideMark/>
          </w:tcPr>
          <w:p w14:paraId="02F5C6F0"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6</w:t>
            </w:r>
          </w:p>
        </w:tc>
        <w:tc>
          <w:tcPr>
            <w:tcW w:w="700" w:type="dxa"/>
            <w:tcBorders>
              <w:top w:val="single" w:sz="8" w:space="0" w:color="auto"/>
              <w:left w:val="nil"/>
              <w:bottom w:val="single" w:sz="4" w:space="0" w:color="FFFFFF" w:themeColor="background1"/>
              <w:right w:val="nil"/>
            </w:tcBorders>
            <w:shd w:val="clear" w:color="000000" w:fill="FFFF00"/>
            <w:vAlign w:val="center"/>
            <w:hideMark/>
          </w:tcPr>
          <w:p w14:paraId="29DDA15B" w14:textId="78DF275A" w:rsidR="008B2F77" w:rsidRPr="008B2F77" w:rsidRDefault="0043662C"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n/a</w:t>
            </w:r>
          </w:p>
        </w:tc>
      </w:tr>
      <w:tr w:rsidR="008B2F77" w:rsidRPr="008B2F77" w14:paraId="7229D61D" w14:textId="77777777" w:rsidTr="0043662C">
        <w:trPr>
          <w:trHeight w:val="315"/>
        </w:trPr>
        <w:tc>
          <w:tcPr>
            <w:tcW w:w="2720" w:type="dxa"/>
            <w:tcBorders>
              <w:top w:val="nil"/>
              <w:left w:val="nil"/>
              <w:bottom w:val="single" w:sz="12" w:space="0" w:color="000000"/>
              <w:right w:val="nil"/>
            </w:tcBorders>
            <w:shd w:val="clear" w:color="auto" w:fill="auto"/>
            <w:vAlign w:val="center"/>
            <w:hideMark/>
          </w:tcPr>
          <w:p w14:paraId="7F44FEAB" w14:textId="77777777" w:rsidR="008B2F77" w:rsidRPr="008B2F77" w:rsidRDefault="008B2F77" w:rsidP="008B2F77">
            <w:pPr>
              <w:suppressAutoHyphens w:val="0"/>
              <w:spacing w:before="0" w:after="0" w:line="240" w:lineRule="auto"/>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12" w:space="0" w:color="000000"/>
              <w:right w:val="nil"/>
            </w:tcBorders>
            <w:shd w:val="clear" w:color="auto" w:fill="auto"/>
            <w:vAlign w:val="center"/>
            <w:hideMark/>
          </w:tcPr>
          <w:p w14:paraId="14EAD6BE"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 xml:space="preserve">2014-18 </w:t>
            </w:r>
          </w:p>
        </w:tc>
        <w:tc>
          <w:tcPr>
            <w:tcW w:w="960" w:type="dxa"/>
            <w:tcBorders>
              <w:top w:val="nil"/>
              <w:left w:val="nil"/>
              <w:bottom w:val="single" w:sz="12" w:space="0" w:color="000000"/>
              <w:right w:val="nil"/>
            </w:tcBorders>
            <w:shd w:val="clear" w:color="auto" w:fill="auto"/>
            <w:vAlign w:val="center"/>
            <w:hideMark/>
          </w:tcPr>
          <w:p w14:paraId="103CEACD" w14:textId="77777777" w:rsidR="008B2F77" w:rsidRPr="008B2F77" w:rsidRDefault="008B2F77" w:rsidP="008B2F7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2016 AQC</w:t>
            </w:r>
          </w:p>
        </w:tc>
        <w:tc>
          <w:tcPr>
            <w:tcW w:w="700" w:type="dxa"/>
            <w:tcBorders>
              <w:top w:val="single" w:sz="4" w:space="0" w:color="FFFFFF" w:themeColor="background1"/>
              <w:left w:val="nil"/>
              <w:bottom w:val="single" w:sz="12" w:space="0" w:color="000000"/>
              <w:right w:val="nil"/>
            </w:tcBorders>
            <w:shd w:val="clear" w:color="000000" w:fill="92D050"/>
            <w:noWrap/>
            <w:vAlign w:val="center"/>
            <w:hideMark/>
          </w:tcPr>
          <w:p w14:paraId="0C0881A8"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6</w:t>
            </w:r>
          </w:p>
        </w:tc>
        <w:tc>
          <w:tcPr>
            <w:tcW w:w="700" w:type="dxa"/>
            <w:tcBorders>
              <w:top w:val="single" w:sz="4" w:space="0" w:color="FFFFFF" w:themeColor="background1"/>
              <w:left w:val="nil"/>
              <w:bottom w:val="single" w:sz="12" w:space="0" w:color="000000"/>
              <w:right w:val="nil"/>
            </w:tcBorders>
            <w:shd w:val="clear" w:color="000000" w:fill="92D050"/>
            <w:noWrap/>
            <w:vAlign w:val="center"/>
            <w:hideMark/>
          </w:tcPr>
          <w:p w14:paraId="3D62D2F0"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4" w:space="0" w:color="FFFFFF" w:themeColor="background1"/>
              <w:left w:val="nil"/>
              <w:bottom w:val="single" w:sz="12" w:space="0" w:color="000000"/>
              <w:right w:val="nil"/>
            </w:tcBorders>
            <w:shd w:val="clear" w:color="000000" w:fill="92D050"/>
            <w:noWrap/>
            <w:vAlign w:val="center"/>
            <w:hideMark/>
          </w:tcPr>
          <w:p w14:paraId="134310EA"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4" w:space="0" w:color="FFFFFF" w:themeColor="background1"/>
              <w:left w:val="nil"/>
              <w:bottom w:val="single" w:sz="12" w:space="0" w:color="000000"/>
              <w:right w:val="nil"/>
            </w:tcBorders>
            <w:shd w:val="clear" w:color="000000" w:fill="92D050"/>
            <w:noWrap/>
            <w:vAlign w:val="center"/>
            <w:hideMark/>
          </w:tcPr>
          <w:p w14:paraId="0EEC9EAD"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4" w:space="0" w:color="FFFFFF" w:themeColor="background1"/>
              <w:left w:val="nil"/>
              <w:bottom w:val="single" w:sz="12" w:space="0" w:color="000000"/>
              <w:right w:val="nil"/>
            </w:tcBorders>
            <w:shd w:val="clear" w:color="000000" w:fill="FFFF00"/>
            <w:noWrap/>
            <w:vAlign w:val="center"/>
            <w:hideMark/>
          </w:tcPr>
          <w:p w14:paraId="26901922"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4</w:t>
            </w:r>
          </w:p>
        </w:tc>
        <w:tc>
          <w:tcPr>
            <w:tcW w:w="700" w:type="dxa"/>
            <w:tcBorders>
              <w:top w:val="single" w:sz="4" w:space="0" w:color="FFFFFF" w:themeColor="background1"/>
              <w:left w:val="nil"/>
              <w:bottom w:val="single" w:sz="12" w:space="0" w:color="000000"/>
              <w:right w:val="nil"/>
            </w:tcBorders>
            <w:shd w:val="clear" w:color="000000" w:fill="92D050"/>
            <w:noWrap/>
            <w:vAlign w:val="center"/>
            <w:hideMark/>
          </w:tcPr>
          <w:p w14:paraId="0120EF5E"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c>
          <w:tcPr>
            <w:tcW w:w="700" w:type="dxa"/>
            <w:tcBorders>
              <w:top w:val="single" w:sz="4" w:space="0" w:color="FFFFFF" w:themeColor="background1"/>
              <w:left w:val="nil"/>
              <w:bottom w:val="single" w:sz="12" w:space="0" w:color="000000"/>
              <w:right w:val="nil"/>
            </w:tcBorders>
            <w:shd w:val="clear" w:color="000000" w:fill="92D050"/>
            <w:vAlign w:val="center"/>
            <w:hideMark/>
          </w:tcPr>
          <w:p w14:paraId="678B9D99" w14:textId="77777777" w:rsidR="008B2F77" w:rsidRPr="008B2F77" w:rsidRDefault="008B2F77" w:rsidP="008B2F7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8B2F77">
              <w:rPr>
                <w:rFonts w:ascii="Calibri Light" w:eastAsia="Times New Roman" w:hAnsi="Calibri Light" w:cs="Times New Roman"/>
                <w:iCs/>
                <w:color w:val="495965"/>
                <w:sz w:val="17"/>
                <w:szCs w:val="17"/>
                <w:lang w:eastAsia="en-AU"/>
              </w:rPr>
              <w:t>5</w:t>
            </w:r>
          </w:p>
        </w:tc>
      </w:tr>
    </w:tbl>
    <w:p w14:paraId="17DA7AC7" w14:textId="77777777" w:rsidR="005E606B" w:rsidRDefault="005E606B" w:rsidP="005E606B">
      <w:pPr>
        <w:rPr>
          <w:iCs/>
        </w:rPr>
      </w:pPr>
    </w:p>
    <w:p w14:paraId="33A4DB37" w14:textId="77777777" w:rsidR="006706EF" w:rsidRPr="00C61187" w:rsidRDefault="006706EF" w:rsidP="005E606B">
      <w:pPr>
        <w:rPr>
          <w:iCs/>
        </w:rPr>
      </w:pPr>
    </w:p>
    <w:p w14:paraId="567AAC4A" w14:textId="44DAADD5" w:rsidR="0037717D" w:rsidRDefault="0037717D">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258062FE" w14:textId="77777777" w:rsidR="00E4605F" w:rsidRPr="00E4605F" w:rsidRDefault="00E4605F" w:rsidP="00E4605F">
      <w:pPr>
        <w:pStyle w:val="ListBullet"/>
        <w:tabs>
          <w:tab w:val="clear" w:pos="284"/>
        </w:tabs>
        <w:spacing w:before="400" w:after="0"/>
        <w:rPr>
          <w:rFonts w:asciiTheme="majorHAnsi" w:eastAsiaTheme="majorEastAsia" w:hAnsiTheme="majorHAnsi" w:cstheme="majorBidi"/>
          <w:caps/>
          <w:color w:val="495965" w:themeColor="text2"/>
          <w:sz w:val="16"/>
          <w:szCs w:val="16"/>
          <w:lang w:val="en-GB" w:eastAsia="en-US"/>
        </w:rPr>
      </w:pPr>
    </w:p>
    <w:p w14:paraId="3B306E85" w14:textId="6F9AECEE" w:rsidR="00A8197B" w:rsidRPr="00A8197B" w:rsidRDefault="00A8197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E66F22">
        <w:rPr>
          <w:rFonts w:asciiTheme="majorHAnsi" w:eastAsiaTheme="majorEastAsia" w:hAnsiTheme="majorHAnsi" w:cstheme="majorBidi"/>
          <w:caps/>
          <w:color w:val="495965" w:themeColor="text2"/>
          <w:sz w:val="38"/>
          <w:szCs w:val="26"/>
          <w:lang w:val="en-GB" w:eastAsia="en-US"/>
        </w:rPr>
        <w:t>HAQC ratings</w:t>
      </w:r>
    </w:p>
    <w:tbl>
      <w:tblPr>
        <w:tblStyle w:val="APPR"/>
        <w:tblW w:w="5000" w:type="pct"/>
        <w:tblLook w:val="0000" w:firstRow="0" w:lastRow="0" w:firstColumn="0" w:lastColumn="0" w:noHBand="0" w:noVBand="0"/>
      </w:tblPr>
      <w:tblGrid>
        <w:gridCol w:w="1722"/>
        <w:gridCol w:w="1249"/>
        <w:gridCol w:w="796"/>
        <w:gridCol w:w="796"/>
        <w:gridCol w:w="99"/>
        <w:gridCol w:w="796"/>
        <w:gridCol w:w="796"/>
        <w:gridCol w:w="99"/>
        <w:gridCol w:w="795"/>
        <w:gridCol w:w="796"/>
        <w:gridCol w:w="98"/>
        <w:gridCol w:w="794"/>
        <w:gridCol w:w="802"/>
      </w:tblGrid>
      <w:tr w:rsidR="00A8197B" w:rsidRPr="00C61187" w14:paraId="222E1472" w14:textId="77777777" w:rsidTr="0043662C">
        <w:trPr>
          <w:cnfStyle w:val="000000010000" w:firstRow="0" w:lastRow="0" w:firstColumn="0" w:lastColumn="0" w:oddVBand="0" w:evenVBand="0" w:oddHBand="0" w:evenHBand="1" w:firstRowFirstColumn="0" w:firstRowLastColumn="0" w:lastRowFirstColumn="0" w:lastRowLastColumn="0"/>
          <w:trHeight w:val="1413"/>
        </w:trPr>
        <w:tc>
          <w:tcPr>
            <w:tcW w:w="879" w:type="pct"/>
          </w:tcPr>
          <w:p w14:paraId="4C0CC3C6"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0528" behindDoc="0" locked="0" layoutInCell="1" allowOverlap="1" wp14:anchorId="269370CE" wp14:editId="015B452A">
                  <wp:simplePos x="0" y="0"/>
                  <wp:positionH relativeFrom="column">
                    <wp:posOffset>0</wp:posOffset>
                  </wp:positionH>
                  <wp:positionV relativeFrom="paragraph">
                    <wp:posOffset>0</wp:posOffset>
                  </wp:positionV>
                  <wp:extent cx="1857375" cy="228600"/>
                  <wp:effectExtent l="0" t="0" r="9525" b="0"/>
                  <wp:wrapNone/>
                  <wp:docPr id="27" name="Picture 2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39" w:type="pct"/>
          </w:tcPr>
          <w:p w14:paraId="20BF6C82" w14:textId="77777777" w:rsidR="00A8197B" w:rsidRPr="00812509" w:rsidRDefault="00A8197B" w:rsidP="0043662C">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02" w:type="pct"/>
            <w:textDirection w:val="btLr"/>
          </w:tcPr>
          <w:p w14:paraId="6AB26814"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02" w:type="pct"/>
            <w:textDirection w:val="btLr"/>
          </w:tcPr>
          <w:p w14:paraId="594FB196"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39" w:type="pct"/>
            <w:gridSpan w:val="2"/>
            <w:textDirection w:val="btLr"/>
          </w:tcPr>
          <w:p w14:paraId="615CBE07"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02" w:type="pct"/>
            <w:textDirection w:val="btLr"/>
          </w:tcPr>
          <w:p w14:paraId="3DF2FA05"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38" w:type="pct"/>
            <w:gridSpan w:val="2"/>
            <w:textDirection w:val="btLr"/>
          </w:tcPr>
          <w:p w14:paraId="2D6E65BD"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Connectedness</w:t>
            </w:r>
          </w:p>
        </w:tc>
        <w:tc>
          <w:tcPr>
            <w:tcW w:w="402" w:type="pct"/>
            <w:textDirection w:val="btLr"/>
          </w:tcPr>
          <w:p w14:paraId="7F41C7EB"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Protection</w:t>
            </w:r>
          </w:p>
        </w:tc>
        <w:tc>
          <w:tcPr>
            <w:tcW w:w="438" w:type="pct"/>
            <w:gridSpan w:val="2"/>
            <w:textDirection w:val="btLr"/>
          </w:tcPr>
          <w:p w14:paraId="199F6E6C"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98" w:type="pct"/>
            <w:textDirection w:val="btLr"/>
          </w:tcPr>
          <w:p w14:paraId="145BD604"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A8197B" w:rsidRPr="00C61187" w14:paraId="0FD5BD6D" w14:textId="77777777" w:rsidTr="001529CF">
        <w:trPr>
          <w:cnfStyle w:val="000000010000" w:firstRow="0" w:lastRow="0" w:firstColumn="0" w:lastColumn="0" w:oddVBand="0" w:evenVBand="0" w:oddHBand="0" w:evenHBand="1" w:firstRowFirstColumn="0" w:firstRowLastColumn="0" w:lastRowFirstColumn="0" w:lastRowLastColumn="0"/>
          <w:trHeight w:val="284"/>
        </w:trPr>
        <w:tc>
          <w:tcPr>
            <w:tcW w:w="879" w:type="pct"/>
          </w:tcPr>
          <w:p w14:paraId="5CD32DB5" w14:textId="77777777" w:rsidR="00A8197B" w:rsidRPr="00812509" w:rsidRDefault="005A28DE"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INM095 Pakistan Humanitarian Support WFP</w:t>
            </w:r>
          </w:p>
        </w:tc>
        <w:tc>
          <w:tcPr>
            <w:tcW w:w="639" w:type="pct"/>
          </w:tcPr>
          <w:p w14:paraId="2C8D5FDB" w14:textId="509868D4" w:rsidR="00A8197B" w:rsidRPr="00812509" w:rsidRDefault="009458EC" w:rsidP="0043662C">
            <w:pPr>
              <w:autoSpaceDE w:val="0"/>
              <w:autoSpaceDN w:val="0"/>
              <w:adjustRightInd w:val="0"/>
              <w:jc w:val="center"/>
              <w:rPr>
                <w:rFonts w:asciiTheme="minorHAnsi" w:hAnsiTheme="minorHAnsi" w:cs="Franklin Gothic Book"/>
                <w:color w:val="000000"/>
                <w:szCs w:val="17"/>
              </w:rPr>
            </w:pPr>
            <w:r>
              <w:rPr>
                <w:rFonts w:asciiTheme="minorHAnsi" w:hAnsiTheme="minorHAnsi" w:cs="Franklin Gothic Book"/>
                <w:color w:val="000000"/>
                <w:szCs w:val="17"/>
              </w:rPr>
              <w:t>$6</w:t>
            </w:r>
            <w:r w:rsidR="00A8197B" w:rsidRPr="00812509">
              <w:rPr>
                <w:rFonts w:asciiTheme="minorHAnsi" w:hAnsiTheme="minorHAnsi" w:cs="Franklin Gothic Book"/>
                <w:color w:val="000000"/>
                <w:szCs w:val="17"/>
              </w:rPr>
              <w:t>m</w:t>
            </w:r>
          </w:p>
          <w:p w14:paraId="46A32C00" w14:textId="77777777" w:rsidR="00A8197B" w:rsidRPr="00812509" w:rsidRDefault="00A8197B" w:rsidP="0043662C">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9458EC">
              <w:rPr>
                <w:rFonts w:asciiTheme="minorHAnsi" w:eastAsia="Times New Roman" w:hAnsiTheme="minorHAnsi"/>
                <w:iCs/>
                <w:szCs w:val="17"/>
                <w:lang w:eastAsia="en-US"/>
              </w:rPr>
              <w:t>6</w:t>
            </w:r>
            <w:r w:rsidRPr="00812509">
              <w:rPr>
                <w:rFonts w:asciiTheme="minorHAnsi" w:eastAsia="Times New Roman" w:hAnsiTheme="minorHAnsi"/>
                <w:iCs/>
                <w:szCs w:val="17"/>
                <w:lang w:eastAsia="en-US"/>
              </w:rPr>
              <w:t>-1</w:t>
            </w:r>
            <w:r w:rsidR="009458EC">
              <w:rPr>
                <w:rFonts w:asciiTheme="minorHAnsi" w:eastAsia="Times New Roman" w:hAnsiTheme="minorHAnsi"/>
                <w:iCs/>
                <w:szCs w:val="17"/>
                <w:lang w:eastAsia="en-US"/>
              </w:rPr>
              <w:t>9</w:t>
            </w:r>
          </w:p>
        </w:tc>
        <w:tc>
          <w:tcPr>
            <w:tcW w:w="402" w:type="pct"/>
            <w:shd w:val="clear" w:color="auto" w:fill="92D050"/>
          </w:tcPr>
          <w:p w14:paraId="7CDBD4DD" w14:textId="77777777"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39" w:type="pct"/>
            <w:gridSpan w:val="2"/>
            <w:shd w:val="clear" w:color="auto" w:fill="92D050"/>
            <w:noWrap/>
          </w:tcPr>
          <w:p w14:paraId="18820C76" w14:textId="77777777"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02" w:type="pct"/>
            <w:shd w:val="clear" w:color="auto" w:fill="FFFF00"/>
            <w:noWrap/>
          </w:tcPr>
          <w:p w14:paraId="5024CD2E" w14:textId="77777777" w:rsidR="00A8197B" w:rsidRPr="00812509" w:rsidRDefault="009458EC"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39" w:type="pct"/>
            <w:gridSpan w:val="2"/>
            <w:shd w:val="clear" w:color="auto" w:fill="92D050"/>
            <w:noWrap/>
          </w:tcPr>
          <w:p w14:paraId="2EE02E09" w14:textId="77777777" w:rsidR="00A8197B" w:rsidRPr="00812509" w:rsidRDefault="009458EC"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1" w:type="pct"/>
            <w:shd w:val="clear" w:color="auto" w:fill="92D050"/>
            <w:noWrap/>
          </w:tcPr>
          <w:p w14:paraId="6952DE51" w14:textId="77777777" w:rsidR="00A8197B" w:rsidRPr="00812509" w:rsidRDefault="009458EC"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39" w:type="pct"/>
            <w:gridSpan w:val="2"/>
            <w:shd w:val="clear" w:color="auto" w:fill="92D050"/>
            <w:noWrap/>
          </w:tcPr>
          <w:p w14:paraId="2B27BB78" w14:textId="77777777" w:rsidR="00A8197B" w:rsidRPr="00812509" w:rsidRDefault="009458EC"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1" w:type="pct"/>
            <w:shd w:val="clear" w:color="auto" w:fill="FFFF00"/>
            <w:noWrap/>
          </w:tcPr>
          <w:p w14:paraId="2E4FAF9B" w14:textId="77777777" w:rsidR="00A8197B" w:rsidRPr="00812509" w:rsidRDefault="009458EC"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98" w:type="pct"/>
            <w:shd w:val="clear" w:color="auto" w:fill="FFFF00"/>
          </w:tcPr>
          <w:p w14:paraId="42108BF3" w14:textId="1A7689FD" w:rsidR="00A8197B" w:rsidRPr="00812509" w:rsidRDefault="0043662C"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bl>
    <w:p w14:paraId="15D0B167" w14:textId="77777777" w:rsidR="00A8197B" w:rsidRPr="00C61187" w:rsidRDefault="00A8197B" w:rsidP="00A8197B">
      <w:pPr>
        <w:rPr>
          <w:iCs/>
        </w:rPr>
      </w:pPr>
    </w:p>
    <w:p w14:paraId="023275BE" w14:textId="77777777" w:rsidR="0059146A" w:rsidRDefault="0059146A" w:rsidP="005B5769">
      <w:pPr>
        <w:pStyle w:val="ListBullet"/>
        <w:tabs>
          <w:tab w:val="clear" w:pos="284"/>
        </w:tabs>
      </w:pPr>
    </w:p>
    <w:p w14:paraId="5A59BC26" w14:textId="77777777" w:rsidR="00A8197B" w:rsidRPr="00A8197B" w:rsidRDefault="00A8197B" w:rsidP="008C6A9B">
      <w:pPr>
        <w:pStyle w:val="ListBullet"/>
        <w:shd w:val="clear" w:color="auto" w:fill="FFFFFF" w:themeFill="background1"/>
        <w:tabs>
          <w:tab w:val="clear" w:pos="284"/>
        </w:tabs>
        <w:spacing w:before="400"/>
        <w:rPr>
          <w:rFonts w:asciiTheme="majorHAnsi" w:eastAsiaTheme="majorEastAsia" w:hAnsiTheme="majorHAnsi" w:cstheme="majorBidi"/>
          <w:caps/>
          <w:color w:val="495965" w:themeColor="text2"/>
          <w:sz w:val="38"/>
          <w:szCs w:val="26"/>
          <w:lang w:val="en-GB" w:eastAsia="en-US"/>
        </w:rPr>
      </w:pPr>
      <w:r w:rsidRPr="008C6A9B">
        <w:rPr>
          <w:rFonts w:asciiTheme="majorHAnsi" w:eastAsiaTheme="majorEastAsia" w:hAnsiTheme="majorHAnsi" w:cstheme="majorBidi"/>
          <w:caps/>
          <w:color w:val="495965" w:themeColor="text2"/>
          <w:sz w:val="38"/>
          <w:szCs w:val="26"/>
          <w:lang w:val="en-GB" w:eastAsia="en-US"/>
        </w:rPr>
        <w:t>FAQC ratings</w:t>
      </w:r>
      <w:r w:rsidRPr="00A8197B">
        <w:rPr>
          <w:rFonts w:asciiTheme="majorHAnsi" w:eastAsiaTheme="majorEastAsia" w:hAnsiTheme="majorHAnsi" w:cstheme="majorBidi"/>
          <w:caps/>
          <w:color w:val="495965" w:themeColor="text2"/>
          <w:sz w:val="38"/>
          <w:szCs w:val="26"/>
          <w:lang w:val="en-GB" w:eastAsia="en-US"/>
        </w:rPr>
        <w:t xml:space="preserve"> </w:t>
      </w:r>
    </w:p>
    <w:tbl>
      <w:tblPr>
        <w:tblStyle w:val="APPR"/>
        <w:tblW w:w="5000" w:type="pct"/>
        <w:tblLook w:val="0000" w:firstRow="0" w:lastRow="0" w:firstColumn="0" w:lastColumn="0" w:noHBand="0" w:noVBand="0"/>
      </w:tblPr>
      <w:tblGrid>
        <w:gridCol w:w="1769"/>
        <w:gridCol w:w="1285"/>
        <w:gridCol w:w="824"/>
        <w:gridCol w:w="820"/>
        <w:gridCol w:w="823"/>
        <w:gridCol w:w="821"/>
        <w:gridCol w:w="823"/>
        <w:gridCol w:w="821"/>
        <w:gridCol w:w="823"/>
        <w:gridCol w:w="829"/>
      </w:tblGrid>
      <w:tr w:rsidR="00A8197B" w:rsidRPr="00812509" w14:paraId="19848DEA" w14:textId="77777777" w:rsidTr="0043662C">
        <w:trPr>
          <w:cnfStyle w:val="000000010000" w:firstRow="0" w:lastRow="0" w:firstColumn="0" w:lastColumn="0" w:oddVBand="0" w:evenVBand="0" w:oddHBand="0" w:evenHBand="1" w:firstRowFirstColumn="0" w:firstRowLastColumn="0" w:lastRowFirstColumn="0" w:lastRowLastColumn="0"/>
          <w:trHeight w:val="1314"/>
        </w:trPr>
        <w:tc>
          <w:tcPr>
            <w:tcW w:w="896" w:type="pct"/>
          </w:tcPr>
          <w:p w14:paraId="3F93D9E4"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2576" behindDoc="0" locked="0" layoutInCell="1" allowOverlap="1" wp14:anchorId="257903D2" wp14:editId="2E946589">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52" w:type="pct"/>
          </w:tcPr>
          <w:p w14:paraId="261AE2BC" w14:textId="77777777" w:rsidR="00A8197B" w:rsidRPr="00812509" w:rsidRDefault="00A8197B" w:rsidP="0043662C">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3" w:type="pct"/>
            <w:noWrap/>
            <w:textDirection w:val="btLr"/>
          </w:tcPr>
          <w:p w14:paraId="70791724"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411" w:type="pct"/>
            <w:noWrap/>
            <w:textDirection w:val="btLr"/>
          </w:tcPr>
          <w:p w14:paraId="7079BFE7"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12" w:type="pct"/>
            <w:noWrap/>
            <w:textDirection w:val="btLr"/>
          </w:tcPr>
          <w:p w14:paraId="09C3FCA1"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11" w:type="pct"/>
            <w:noWrap/>
            <w:textDirection w:val="btLr"/>
          </w:tcPr>
          <w:p w14:paraId="3EBF5BC5"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2" w:type="pct"/>
            <w:noWrap/>
            <w:textDirection w:val="btLr"/>
          </w:tcPr>
          <w:p w14:paraId="4E305FA5"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11" w:type="pct"/>
            <w:noWrap/>
            <w:textDirection w:val="btLr"/>
          </w:tcPr>
          <w:p w14:paraId="30D216EE"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12" w:type="pct"/>
            <w:textDirection w:val="btLr"/>
          </w:tcPr>
          <w:p w14:paraId="06C68813"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08" w:type="pct"/>
            <w:textDirection w:val="btLr"/>
          </w:tcPr>
          <w:p w14:paraId="095EEBB1"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876ECA" w:rsidRPr="00812509" w14:paraId="50B47952" w14:textId="77777777" w:rsidTr="008C6A9B">
        <w:trPr>
          <w:cnfStyle w:val="000000010000" w:firstRow="0" w:lastRow="0" w:firstColumn="0" w:lastColumn="0" w:oddVBand="0" w:evenVBand="0" w:oddHBand="0" w:evenHBand="1" w:firstRowFirstColumn="0" w:firstRowLastColumn="0" w:lastRowFirstColumn="0" w:lastRowLastColumn="0"/>
          <w:trHeight w:val="284"/>
        </w:trPr>
        <w:tc>
          <w:tcPr>
            <w:tcW w:w="896" w:type="pct"/>
          </w:tcPr>
          <w:p w14:paraId="0D450EB8" w14:textId="77777777" w:rsidR="00876ECA" w:rsidRPr="00812509" w:rsidRDefault="005E4962" w:rsidP="00790DE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INK912 </w:t>
            </w:r>
            <w:r w:rsidR="00876ECA">
              <w:rPr>
                <w:rFonts w:asciiTheme="minorHAnsi" w:eastAsia="Times New Roman" w:hAnsiTheme="minorHAnsi"/>
                <w:iCs/>
                <w:szCs w:val="17"/>
                <w:lang w:eastAsia="en-US"/>
              </w:rPr>
              <w:t>Pakistan-Australia Prevention of Blindness Project</w:t>
            </w:r>
          </w:p>
        </w:tc>
        <w:tc>
          <w:tcPr>
            <w:tcW w:w="652" w:type="pct"/>
          </w:tcPr>
          <w:p w14:paraId="2D5271FA" w14:textId="4A000480" w:rsidR="00876ECA" w:rsidRPr="00812509" w:rsidRDefault="00876ECA" w:rsidP="0043662C">
            <w:pPr>
              <w:autoSpaceDE w:val="0"/>
              <w:autoSpaceDN w:val="0"/>
              <w:adjustRightInd w:val="0"/>
              <w:jc w:val="center"/>
              <w:rPr>
                <w:rFonts w:asciiTheme="minorHAnsi" w:hAnsiTheme="minorHAnsi" w:cs="Franklin Gothic Book"/>
                <w:color w:val="000000"/>
                <w:szCs w:val="17"/>
              </w:rPr>
            </w:pPr>
            <w:r>
              <w:rPr>
                <w:rFonts w:asciiTheme="minorHAnsi" w:hAnsiTheme="minorHAnsi" w:cs="Franklin Gothic Book"/>
                <w:color w:val="000000"/>
                <w:szCs w:val="17"/>
              </w:rPr>
              <w:t>$4.5</w:t>
            </w:r>
            <w:r w:rsidRPr="00812509">
              <w:rPr>
                <w:rFonts w:asciiTheme="minorHAnsi" w:hAnsiTheme="minorHAnsi" w:cs="Franklin Gothic Book"/>
                <w:color w:val="000000"/>
                <w:szCs w:val="17"/>
              </w:rPr>
              <w:t>m</w:t>
            </w:r>
          </w:p>
          <w:p w14:paraId="4EEB4216" w14:textId="7DB96C9A" w:rsidR="00876ECA" w:rsidRPr="00812509" w:rsidRDefault="00876ECA" w:rsidP="0043662C">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3</w:t>
            </w:r>
            <w:r w:rsidRPr="00812509">
              <w:rPr>
                <w:rFonts w:asciiTheme="minorHAnsi" w:eastAsia="Times New Roman" w:hAnsiTheme="minorHAnsi"/>
                <w:iCs/>
                <w:szCs w:val="17"/>
                <w:lang w:eastAsia="en-US"/>
              </w:rPr>
              <w:t>-1</w:t>
            </w:r>
            <w:r>
              <w:rPr>
                <w:rFonts w:asciiTheme="minorHAnsi" w:eastAsia="Times New Roman" w:hAnsiTheme="minorHAnsi"/>
                <w:iCs/>
                <w:szCs w:val="17"/>
                <w:lang w:eastAsia="en-US"/>
              </w:rPr>
              <w:t>6</w:t>
            </w:r>
          </w:p>
        </w:tc>
        <w:tc>
          <w:tcPr>
            <w:tcW w:w="413" w:type="pct"/>
            <w:shd w:val="clear" w:color="auto" w:fill="FFFF00"/>
            <w:noWrap/>
          </w:tcPr>
          <w:p w14:paraId="32531DA9" w14:textId="77777777" w:rsidR="00876ECA" w:rsidRPr="00812509" w:rsidRDefault="00876ECA" w:rsidP="00790DE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1" w:type="pct"/>
            <w:shd w:val="clear" w:color="auto" w:fill="FFC000"/>
            <w:noWrap/>
          </w:tcPr>
          <w:p w14:paraId="39A5A3CD" w14:textId="77777777" w:rsidR="00876ECA" w:rsidRPr="00812509" w:rsidRDefault="005E4962" w:rsidP="00790DE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2" w:type="pct"/>
            <w:shd w:val="clear" w:color="auto" w:fill="92D050"/>
            <w:noWrap/>
          </w:tcPr>
          <w:p w14:paraId="2289CD49" w14:textId="77777777" w:rsidR="00876ECA" w:rsidRPr="00812509" w:rsidRDefault="005E4962" w:rsidP="00790DE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92D050"/>
            <w:noWrap/>
          </w:tcPr>
          <w:p w14:paraId="1B952CE2" w14:textId="77777777" w:rsidR="00876ECA" w:rsidRPr="00812509" w:rsidRDefault="005E4962" w:rsidP="00790DE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2" w:type="pct"/>
            <w:shd w:val="clear" w:color="auto" w:fill="92D050"/>
            <w:noWrap/>
          </w:tcPr>
          <w:p w14:paraId="44E798E4" w14:textId="77777777" w:rsidR="00876ECA" w:rsidRPr="00812509" w:rsidRDefault="005E4962" w:rsidP="00790DE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92D050"/>
            <w:noWrap/>
          </w:tcPr>
          <w:p w14:paraId="03E144EA" w14:textId="77777777" w:rsidR="00876ECA" w:rsidRPr="00812509" w:rsidRDefault="005E4962" w:rsidP="00790DE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2" w:type="pct"/>
            <w:shd w:val="clear" w:color="auto" w:fill="92D050"/>
          </w:tcPr>
          <w:p w14:paraId="741D6F90" w14:textId="77777777" w:rsidR="00876ECA" w:rsidRPr="00812509" w:rsidRDefault="005E4962" w:rsidP="00790DE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8" w:type="pct"/>
            <w:shd w:val="clear" w:color="auto" w:fill="FFFF00"/>
          </w:tcPr>
          <w:p w14:paraId="284DEE1C" w14:textId="54E78C55" w:rsidR="00876ECA" w:rsidRPr="00812509" w:rsidRDefault="0043662C" w:rsidP="00790DE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876ECA" w:rsidRPr="00812509" w14:paraId="3A0EB1D2" w14:textId="77777777" w:rsidTr="006706EF">
        <w:trPr>
          <w:cnfStyle w:val="000000010000" w:firstRow="0" w:lastRow="0" w:firstColumn="0" w:lastColumn="0" w:oddVBand="0" w:evenVBand="0" w:oddHBand="0" w:evenHBand="1" w:firstRowFirstColumn="0" w:firstRowLastColumn="0" w:lastRowFirstColumn="0" w:lastRowLastColumn="0"/>
          <w:trHeight w:val="284"/>
        </w:trPr>
        <w:tc>
          <w:tcPr>
            <w:tcW w:w="896" w:type="pct"/>
          </w:tcPr>
          <w:p w14:paraId="369F0DC4" w14:textId="77777777" w:rsidR="00876ECA" w:rsidRPr="00812509" w:rsidRDefault="004720D6" w:rsidP="00790DE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INK575 </w:t>
            </w:r>
            <w:r w:rsidR="008C6A9B">
              <w:rPr>
                <w:rFonts w:asciiTheme="minorHAnsi" w:eastAsia="Times New Roman" w:hAnsiTheme="minorHAnsi"/>
                <w:iCs/>
                <w:szCs w:val="17"/>
                <w:lang w:eastAsia="en-US"/>
              </w:rPr>
              <w:t>FAO AusABBA</w:t>
            </w:r>
          </w:p>
        </w:tc>
        <w:tc>
          <w:tcPr>
            <w:tcW w:w="652" w:type="pct"/>
          </w:tcPr>
          <w:p w14:paraId="0EDFDCEA" w14:textId="4D88426F" w:rsidR="008C6A9B" w:rsidRPr="00812509" w:rsidRDefault="008C6A9B" w:rsidP="0043662C">
            <w:pPr>
              <w:autoSpaceDE w:val="0"/>
              <w:autoSpaceDN w:val="0"/>
              <w:adjustRightInd w:val="0"/>
              <w:jc w:val="center"/>
              <w:rPr>
                <w:rFonts w:asciiTheme="minorHAnsi" w:hAnsiTheme="minorHAnsi" w:cs="Franklin Gothic Book"/>
                <w:color w:val="000000"/>
                <w:szCs w:val="17"/>
              </w:rPr>
            </w:pPr>
            <w:r w:rsidRPr="00812509">
              <w:rPr>
                <w:rFonts w:asciiTheme="minorHAnsi" w:hAnsiTheme="minorHAnsi" w:cs="Franklin Gothic Book"/>
                <w:color w:val="000000"/>
                <w:szCs w:val="17"/>
              </w:rPr>
              <w:t>$</w:t>
            </w:r>
            <w:r>
              <w:rPr>
                <w:rFonts w:asciiTheme="minorHAnsi" w:hAnsiTheme="minorHAnsi" w:cs="Franklin Gothic Book"/>
                <w:color w:val="000000"/>
                <w:szCs w:val="17"/>
              </w:rPr>
              <w:t>12.8</w:t>
            </w:r>
            <w:r w:rsidRPr="00812509">
              <w:rPr>
                <w:rFonts w:asciiTheme="minorHAnsi" w:hAnsiTheme="minorHAnsi" w:cs="Franklin Gothic Book"/>
                <w:color w:val="000000"/>
                <w:szCs w:val="17"/>
              </w:rPr>
              <w:t>m</w:t>
            </w:r>
          </w:p>
          <w:p w14:paraId="3D2AC623" w14:textId="77777777" w:rsidR="00876ECA" w:rsidRPr="00812509" w:rsidRDefault="008C6A9B" w:rsidP="0043662C">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2</w:t>
            </w:r>
            <w:r w:rsidRPr="00812509">
              <w:rPr>
                <w:rFonts w:asciiTheme="minorHAnsi" w:eastAsia="Times New Roman" w:hAnsiTheme="minorHAnsi"/>
                <w:iCs/>
                <w:szCs w:val="17"/>
                <w:lang w:eastAsia="en-US"/>
              </w:rPr>
              <w:t>-1</w:t>
            </w:r>
            <w:r>
              <w:rPr>
                <w:rFonts w:asciiTheme="minorHAnsi" w:eastAsia="Times New Roman" w:hAnsiTheme="minorHAnsi"/>
                <w:iCs/>
                <w:szCs w:val="17"/>
                <w:lang w:eastAsia="en-US"/>
              </w:rPr>
              <w:t>7</w:t>
            </w:r>
          </w:p>
        </w:tc>
        <w:tc>
          <w:tcPr>
            <w:tcW w:w="413" w:type="pct"/>
            <w:shd w:val="clear" w:color="auto" w:fill="FFFF00"/>
            <w:noWrap/>
          </w:tcPr>
          <w:p w14:paraId="2D001158" w14:textId="77777777" w:rsidR="00876ECA" w:rsidRPr="00812509" w:rsidRDefault="00876ECA" w:rsidP="00790DE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1" w:type="pct"/>
            <w:shd w:val="clear" w:color="auto" w:fill="92D050"/>
            <w:noWrap/>
          </w:tcPr>
          <w:p w14:paraId="76A634A2" w14:textId="77777777" w:rsidR="00876ECA" w:rsidRPr="00812509" w:rsidRDefault="008C6A9B" w:rsidP="00790DE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412" w:type="pct"/>
            <w:shd w:val="clear" w:color="auto" w:fill="FFFF00"/>
            <w:noWrap/>
          </w:tcPr>
          <w:p w14:paraId="613E189F" w14:textId="77777777" w:rsidR="00876ECA" w:rsidRPr="00812509" w:rsidRDefault="00876ECA" w:rsidP="00790DE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1" w:type="pct"/>
            <w:shd w:val="clear" w:color="auto" w:fill="92D050"/>
            <w:noWrap/>
          </w:tcPr>
          <w:p w14:paraId="264369A6" w14:textId="77777777" w:rsidR="00876ECA" w:rsidRPr="00812509" w:rsidRDefault="008C6A9B" w:rsidP="00790DE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2" w:type="pct"/>
            <w:shd w:val="clear" w:color="auto" w:fill="92D050"/>
            <w:noWrap/>
          </w:tcPr>
          <w:p w14:paraId="0338CFA3" w14:textId="77777777" w:rsidR="00876ECA" w:rsidRPr="00812509" w:rsidRDefault="008C6A9B" w:rsidP="00790DE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FFFF00"/>
            <w:noWrap/>
          </w:tcPr>
          <w:p w14:paraId="35825AE2" w14:textId="77777777" w:rsidR="00876ECA" w:rsidRPr="00812509" w:rsidRDefault="008C6A9B" w:rsidP="00790DE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shd w:val="clear" w:color="auto" w:fill="FFFF00"/>
          </w:tcPr>
          <w:p w14:paraId="64E5728F" w14:textId="77777777" w:rsidR="00876ECA" w:rsidRPr="00812509" w:rsidRDefault="00876ECA" w:rsidP="00790DE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08" w:type="pct"/>
            <w:shd w:val="clear" w:color="auto" w:fill="FFFF00"/>
          </w:tcPr>
          <w:p w14:paraId="5168BC5A" w14:textId="7D2E1594" w:rsidR="00876ECA" w:rsidRPr="00812509" w:rsidRDefault="0043662C" w:rsidP="00790DE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bl>
    <w:p w14:paraId="60C8990F" w14:textId="77777777" w:rsidR="00A8197B" w:rsidRPr="00812509" w:rsidRDefault="00A8197B" w:rsidP="00A8197B">
      <w:pPr>
        <w:spacing w:before="20" w:after="20" w:line="180" w:lineRule="atLeast"/>
        <w:jc w:val="both"/>
        <w:rPr>
          <w:rFonts w:eastAsia="Times New Roman"/>
          <w:b/>
          <w:sz w:val="14"/>
          <w:szCs w:val="14"/>
        </w:rPr>
      </w:pPr>
    </w:p>
    <w:p w14:paraId="0AA4B124"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6B2C59A3"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14:paraId="1F77BED3" w14:textId="7946E274"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008B2F77">
        <w:rPr>
          <w:rFonts w:eastAsia="Times New Roman"/>
          <w:b/>
          <w:sz w:val="16"/>
          <w:szCs w:val="14"/>
        </w:rPr>
        <w:br/>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14:paraId="4FE05AD3"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14:paraId="6D093701"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14:paraId="158FFFDA"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5057039E" w14:textId="2F6A74DA" w:rsidR="00A8197B" w:rsidRPr="00812509" w:rsidRDefault="00A8197B" w:rsidP="00812509">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008B2F77">
        <w:rPr>
          <w:rFonts w:eastAsia="Times New Roman"/>
          <w:b/>
          <w:sz w:val="16"/>
          <w:szCs w:val="14"/>
        </w:rPr>
        <w:br/>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14:paraId="3532B1CB" w14:textId="77777777" w:rsidR="00A8197B" w:rsidRDefault="00A8197B" w:rsidP="00A8197B">
      <w:pPr>
        <w:pStyle w:val="ListBullet"/>
        <w:tabs>
          <w:tab w:val="clear" w:pos="284"/>
        </w:tabs>
      </w:pPr>
    </w:p>
    <w:p w14:paraId="7E6979BB" w14:textId="77777777" w:rsidR="00897E5D" w:rsidRDefault="00897E5D" w:rsidP="00A8197B">
      <w:pPr>
        <w:sectPr w:rsidR="00897E5D" w:rsidSect="004839E3">
          <w:headerReference w:type="default" r:id="rId30"/>
          <w:pgSz w:w="11906" w:h="16838" w:code="9"/>
          <w:pgMar w:top="1527" w:right="1134" w:bottom="851" w:left="1134" w:header="1418" w:footer="192" w:gutter="0"/>
          <w:cols w:space="397"/>
          <w:docGrid w:linePitch="360"/>
        </w:sectPr>
      </w:pPr>
    </w:p>
    <w:p w14:paraId="0A0223CF" w14:textId="77777777" w:rsidR="00DB1030" w:rsidRDefault="00897E5D" w:rsidP="00DB1030">
      <w:pPr>
        <w:pStyle w:val="Subtitle"/>
      </w:pPr>
      <w:r w:rsidRPr="00A8197B">
        <w:lastRenderedPageBreak/>
        <w:t xml:space="preserve">Annex </w:t>
      </w:r>
      <w:r>
        <w:t>E</w:t>
      </w:r>
      <w:r w:rsidRPr="00A8197B">
        <w:t xml:space="preserve"> - </w:t>
      </w:r>
      <w:r w:rsidR="003774D9" w:rsidRPr="00897E5D">
        <w:t xml:space="preserve">Pakistan </w:t>
      </w:r>
      <w:r w:rsidRPr="00897E5D">
        <w:t>Performance Assessment Framework 2016-17 to 2018-19</w:t>
      </w:r>
      <w:r w:rsidR="003774D9">
        <w:t xml:space="preserve"> (August 2017)</w:t>
      </w:r>
    </w:p>
    <w:tbl>
      <w:tblPr>
        <w:tblW w:w="13380" w:type="dxa"/>
        <w:tblLook w:val="04A0" w:firstRow="1" w:lastRow="0" w:firstColumn="1" w:lastColumn="0" w:noHBand="0" w:noVBand="1"/>
      </w:tblPr>
      <w:tblGrid>
        <w:gridCol w:w="3460"/>
        <w:gridCol w:w="2560"/>
        <w:gridCol w:w="3160"/>
        <w:gridCol w:w="1400"/>
        <w:gridCol w:w="1400"/>
        <w:gridCol w:w="1400"/>
      </w:tblGrid>
      <w:tr w:rsidR="00DB1030" w:rsidRPr="00DB1030" w14:paraId="7FDBF305" w14:textId="77777777" w:rsidTr="00DB1030">
        <w:trPr>
          <w:trHeight w:val="765"/>
        </w:trPr>
        <w:tc>
          <w:tcPr>
            <w:tcW w:w="3460" w:type="dxa"/>
            <w:tcBorders>
              <w:top w:val="single" w:sz="4" w:space="0" w:color="auto"/>
              <w:left w:val="single" w:sz="4" w:space="0" w:color="auto"/>
              <w:bottom w:val="single" w:sz="4" w:space="0" w:color="auto"/>
              <w:right w:val="single" w:sz="4" w:space="0" w:color="auto"/>
            </w:tcBorders>
            <w:shd w:val="clear" w:color="000000" w:fill="DDECD0"/>
            <w:vAlign w:val="center"/>
            <w:hideMark/>
          </w:tcPr>
          <w:p w14:paraId="156405E2"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b/>
                <w:bCs/>
                <w:color w:val="495965"/>
                <w:sz w:val="20"/>
                <w:szCs w:val="20"/>
                <w:lang w:val="en-AU" w:eastAsia="en-AU"/>
              </w:rPr>
            </w:pPr>
            <w:r w:rsidRPr="00DB1030">
              <w:rPr>
                <w:rFonts w:ascii="Calibri Light" w:eastAsia="Times New Roman" w:hAnsi="Calibri Light" w:cstheme="minorHAnsi"/>
                <w:b/>
                <w:bCs/>
                <w:color w:val="495965"/>
                <w:sz w:val="20"/>
                <w:szCs w:val="20"/>
                <w:lang w:eastAsia="en-AU"/>
              </w:rPr>
              <w:t>Relevant Vision 2025 Strategic Priorities</w:t>
            </w:r>
          </w:p>
        </w:tc>
        <w:tc>
          <w:tcPr>
            <w:tcW w:w="2560" w:type="dxa"/>
            <w:tcBorders>
              <w:top w:val="single" w:sz="4" w:space="0" w:color="auto"/>
              <w:left w:val="nil"/>
              <w:bottom w:val="single" w:sz="4" w:space="0" w:color="auto"/>
              <w:right w:val="single" w:sz="4" w:space="0" w:color="auto"/>
            </w:tcBorders>
            <w:shd w:val="clear" w:color="000000" w:fill="E7E6E6"/>
            <w:vAlign w:val="center"/>
            <w:hideMark/>
          </w:tcPr>
          <w:p w14:paraId="394276A9"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b/>
                <w:bCs/>
                <w:color w:val="495965"/>
                <w:sz w:val="20"/>
                <w:szCs w:val="20"/>
                <w:lang w:val="en-AU" w:eastAsia="en-AU"/>
              </w:rPr>
            </w:pPr>
            <w:r w:rsidRPr="00DB1030">
              <w:rPr>
                <w:rFonts w:ascii="Calibri Light" w:eastAsia="Times New Roman" w:hAnsi="Calibri Light" w:cstheme="minorHAnsi"/>
                <w:b/>
                <w:bCs/>
                <w:color w:val="495965"/>
                <w:sz w:val="20"/>
                <w:szCs w:val="20"/>
                <w:lang w:eastAsia="en-AU"/>
              </w:rPr>
              <w:t>End-of-Aid Investment Plan Outcomes (2018-19)</w:t>
            </w:r>
          </w:p>
        </w:tc>
        <w:tc>
          <w:tcPr>
            <w:tcW w:w="3160" w:type="dxa"/>
            <w:tcBorders>
              <w:top w:val="single" w:sz="4" w:space="0" w:color="auto"/>
              <w:left w:val="nil"/>
              <w:bottom w:val="single" w:sz="4" w:space="0" w:color="auto"/>
              <w:right w:val="single" w:sz="4" w:space="0" w:color="auto"/>
            </w:tcBorders>
            <w:shd w:val="clear" w:color="000000" w:fill="E7E6E6"/>
            <w:vAlign w:val="center"/>
            <w:hideMark/>
          </w:tcPr>
          <w:p w14:paraId="45CEF6C7"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b/>
                <w:bCs/>
                <w:color w:val="495965"/>
                <w:sz w:val="20"/>
                <w:szCs w:val="20"/>
                <w:lang w:val="en-AU" w:eastAsia="en-AU"/>
              </w:rPr>
            </w:pPr>
            <w:r w:rsidRPr="00DB1030">
              <w:rPr>
                <w:rFonts w:ascii="Calibri Light" w:eastAsia="Times New Roman" w:hAnsi="Calibri Light" w:cstheme="minorHAnsi"/>
                <w:b/>
                <w:bCs/>
                <w:color w:val="495965"/>
                <w:sz w:val="20"/>
                <w:szCs w:val="20"/>
                <w:lang w:eastAsia="en-AU"/>
              </w:rPr>
              <w:t xml:space="preserve">Indicators </w:t>
            </w:r>
            <w:r w:rsidRPr="00DB1030">
              <w:rPr>
                <w:rFonts w:ascii="Calibri Light" w:eastAsia="Times New Roman" w:hAnsi="Calibri Light" w:cstheme="minorHAnsi"/>
                <w:b/>
                <w:bCs/>
                <w:color w:val="495965"/>
                <w:sz w:val="20"/>
                <w:szCs w:val="20"/>
                <w:lang w:eastAsia="en-AU"/>
              </w:rPr>
              <w:br/>
              <w:t>(Indicators in bold are Performance Benchmarks)</w:t>
            </w:r>
          </w:p>
        </w:tc>
        <w:tc>
          <w:tcPr>
            <w:tcW w:w="1400" w:type="dxa"/>
            <w:tcBorders>
              <w:top w:val="single" w:sz="4" w:space="0" w:color="auto"/>
              <w:left w:val="nil"/>
              <w:bottom w:val="single" w:sz="4" w:space="0" w:color="auto"/>
              <w:right w:val="single" w:sz="4" w:space="0" w:color="auto"/>
            </w:tcBorders>
            <w:shd w:val="clear" w:color="000000" w:fill="E7E6E6"/>
            <w:vAlign w:val="center"/>
            <w:hideMark/>
          </w:tcPr>
          <w:p w14:paraId="2FDE11C7"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b/>
                <w:bCs/>
                <w:color w:val="495965"/>
                <w:sz w:val="20"/>
                <w:szCs w:val="20"/>
                <w:lang w:val="en-AU" w:eastAsia="en-AU"/>
              </w:rPr>
            </w:pPr>
            <w:r w:rsidRPr="00DB1030">
              <w:rPr>
                <w:rFonts w:ascii="Calibri Light" w:eastAsia="Times New Roman" w:hAnsi="Calibri Light" w:cstheme="minorHAnsi"/>
                <w:b/>
                <w:bCs/>
                <w:color w:val="495965"/>
                <w:sz w:val="20"/>
                <w:szCs w:val="20"/>
                <w:lang w:eastAsia="en-AU"/>
              </w:rPr>
              <w:t xml:space="preserve">2016/17 target </w:t>
            </w:r>
          </w:p>
        </w:tc>
        <w:tc>
          <w:tcPr>
            <w:tcW w:w="1400" w:type="dxa"/>
            <w:tcBorders>
              <w:top w:val="single" w:sz="4" w:space="0" w:color="auto"/>
              <w:left w:val="nil"/>
              <w:bottom w:val="single" w:sz="4" w:space="0" w:color="auto"/>
              <w:right w:val="single" w:sz="4" w:space="0" w:color="auto"/>
            </w:tcBorders>
            <w:shd w:val="clear" w:color="000000" w:fill="E7E6E6"/>
            <w:vAlign w:val="center"/>
            <w:hideMark/>
          </w:tcPr>
          <w:p w14:paraId="755CBED4"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b/>
                <w:bCs/>
                <w:color w:val="495965"/>
                <w:sz w:val="20"/>
                <w:szCs w:val="20"/>
                <w:lang w:val="en-AU" w:eastAsia="en-AU"/>
              </w:rPr>
            </w:pPr>
            <w:r w:rsidRPr="00DB1030">
              <w:rPr>
                <w:rFonts w:ascii="Calibri Light" w:eastAsia="Times New Roman" w:hAnsi="Calibri Light" w:cstheme="minorHAnsi"/>
                <w:b/>
                <w:bCs/>
                <w:color w:val="495965"/>
                <w:sz w:val="20"/>
                <w:szCs w:val="20"/>
                <w:lang w:eastAsia="en-AU"/>
              </w:rPr>
              <w:t>2017/18 target</w:t>
            </w:r>
          </w:p>
        </w:tc>
        <w:tc>
          <w:tcPr>
            <w:tcW w:w="1400" w:type="dxa"/>
            <w:tcBorders>
              <w:top w:val="single" w:sz="4" w:space="0" w:color="auto"/>
              <w:left w:val="nil"/>
              <w:bottom w:val="single" w:sz="4" w:space="0" w:color="auto"/>
              <w:right w:val="single" w:sz="4" w:space="0" w:color="auto"/>
            </w:tcBorders>
            <w:shd w:val="clear" w:color="000000" w:fill="E7E6E6"/>
            <w:vAlign w:val="center"/>
            <w:hideMark/>
          </w:tcPr>
          <w:p w14:paraId="0211CC6C"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b/>
                <w:bCs/>
                <w:color w:val="495965"/>
                <w:sz w:val="20"/>
                <w:szCs w:val="20"/>
                <w:lang w:val="en-AU" w:eastAsia="en-AU"/>
              </w:rPr>
            </w:pPr>
            <w:r w:rsidRPr="00DB1030">
              <w:rPr>
                <w:rFonts w:ascii="Calibri Light" w:eastAsia="Times New Roman" w:hAnsi="Calibri Light" w:cstheme="minorHAnsi"/>
                <w:b/>
                <w:bCs/>
                <w:color w:val="495965"/>
                <w:sz w:val="20"/>
                <w:szCs w:val="20"/>
                <w:lang w:eastAsia="en-AU"/>
              </w:rPr>
              <w:t>2018/19 target</w:t>
            </w:r>
          </w:p>
        </w:tc>
      </w:tr>
      <w:tr w:rsidR="00DB1030" w:rsidRPr="00DB1030" w14:paraId="097D77E9" w14:textId="77777777" w:rsidTr="00DB1030">
        <w:trPr>
          <w:trHeight w:val="600"/>
        </w:trPr>
        <w:tc>
          <w:tcPr>
            <w:tcW w:w="13380" w:type="dxa"/>
            <w:gridSpan w:val="6"/>
            <w:tcBorders>
              <w:top w:val="single" w:sz="4" w:space="0" w:color="auto"/>
              <w:left w:val="single" w:sz="4" w:space="0" w:color="auto"/>
              <w:bottom w:val="single" w:sz="4" w:space="0" w:color="auto"/>
              <w:right w:val="single" w:sz="4" w:space="0" w:color="000000"/>
            </w:tcBorders>
            <w:shd w:val="clear" w:color="000000" w:fill="E0F3EF"/>
            <w:vAlign w:val="center"/>
            <w:hideMark/>
          </w:tcPr>
          <w:p w14:paraId="3406F1F8" w14:textId="77777777" w:rsidR="00DB1030" w:rsidRPr="00DB1030" w:rsidRDefault="00DB1030" w:rsidP="00DB1030">
            <w:pPr>
              <w:suppressAutoHyphens w:val="0"/>
              <w:spacing w:before="0" w:after="0" w:line="240" w:lineRule="auto"/>
              <w:rPr>
                <w:rFonts w:ascii="Calibri Light" w:eastAsia="Times New Roman" w:hAnsi="Calibri Light" w:cs="Times New Roman"/>
                <w:b/>
                <w:bCs/>
                <w:color w:val="495965"/>
                <w:sz w:val="20"/>
                <w:szCs w:val="20"/>
                <w:lang w:val="en-AU" w:eastAsia="en-AU"/>
              </w:rPr>
            </w:pPr>
            <w:r w:rsidRPr="00DB1030">
              <w:rPr>
                <w:rFonts w:ascii="Calibri Light" w:eastAsia="Times New Roman" w:hAnsi="Calibri Light" w:cstheme="minorHAnsi"/>
                <w:b/>
                <w:bCs/>
                <w:color w:val="495965"/>
                <w:sz w:val="20"/>
                <w:szCs w:val="20"/>
                <w:lang w:eastAsia="en-AU"/>
              </w:rPr>
              <w:t xml:space="preserve">Strategic Objective 1: Generating sustainable inclusive growth and employment through improved agricultural productivity and market development, increased trade and investment, and water resources management </w:t>
            </w:r>
          </w:p>
        </w:tc>
      </w:tr>
      <w:tr w:rsidR="00DB1030" w:rsidRPr="00DB1030" w14:paraId="25E23FFE" w14:textId="77777777" w:rsidTr="00DB1030">
        <w:trPr>
          <w:trHeight w:val="2880"/>
        </w:trPr>
        <w:tc>
          <w:tcPr>
            <w:tcW w:w="3460" w:type="dxa"/>
            <w:tcBorders>
              <w:top w:val="nil"/>
              <w:left w:val="single" w:sz="4" w:space="0" w:color="auto"/>
              <w:bottom w:val="nil"/>
              <w:right w:val="single" w:sz="4" w:space="0" w:color="auto"/>
            </w:tcBorders>
            <w:shd w:val="clear" w:color="000000" w:fill="DDECD0"/>
            <w:hideMark/>
          </w:tcPr>
          <w:p w14:paraId="2D6DDDB1"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b/>
                <w:bCs/>
                <w:color w:val="495965"/>
                <w:sz w:val="18"/>
                <w:szCs w:val="18"/>
                <w:lang w:eastAsia="en-AU"/>
              </w:rPr>
              <w:t>Pillar 4 – Energy, Water and Food Security</w:t>
            </w:r>
            <w:r w:rsidRPr="00DB1030">
              <w:rPr>
                <w:rFonts w:ascii="Calibri Light" w:eastAsia="Times New Roman" w:hAnsi="Calibri Light" w:cstheme="minorHAnsi"/>
                <w:color w:val="495965"/>
                <w:sz w:val="18"/>
                <w:szCs w:val="18"/>
                <w:lang w:eastAsia="en-AU"/>
              </w:rPr>
              <w:br/>
              <w:t>Investing in proven methods and technologies to improve efficient use and allocation of water resources. Goals include establishing institutional mechanisms such as a National Water Commission (Water Goals 2, 3 &amp; 4).</w:t>
            </w:r>
            <w:r w:rsidRPr="00DB1030">
              <w:rPr>
                <w:rFonts w:ascii="Calibri Light" w:eastAsia="Times New Roman" w:hAnsi="Calibri Light" w:cstheme="minorHAnsi"/>
                <w:color w:val="495965"/>
                <w:sz w:val="18"/>
                <w:szCs w:val="18"/>
                <w:lang w:eastAsia="en-AU"/>
              </w:rPr>
              <w:br/>
              <w:t xml:space="preserve">Creating a modern, efficient and diversified agriculture sector, including improvement of food production and supply chains. (Food Security Goals 2, 3, 4). </w:t>
            </w:r>
          </w:p>
        </w:tc>
        <w:tc>
          <w:tcPr>
            <w:tcW w:w="2560" w:type="dxa"/>
            <w:tcBorders>
              <w:top w:val="nil"/>
              <w:left w:val="nil"/>
              <w:bottom w:val="nil"/>
              <w:right w:val="single" w:sz="4" w:space="0" w:color="auto"/>
            </w:tcBorders>
            <w:shd w:val="clear" w:color="000000" w:fill="D8DCDB"/>
            <w:hideMark/>
          </w:tcPr>
          <w:p w14:paraId="6ADEA40B"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u w:val="single"/>
                <w:lang w:val="en-AU" w:eastAsia="en-AU"/>
              </w:rPr>
            </w:pPr>
            <w:r w:rsidRPr="00DB1030">
              <w:rPr>
                <w:rFonts w:ascii="Calibri Light" w:eastAsia="Times New Roman" w:hAnsi="Calibri Light" w:cstheme="minorHAnsi"/>
                <w:b/>
                <w:bCs/>
                <w:color w:val="495965"/>
                <w:sz w:val="18"/>
                <w:szCs w:val="18"/>
                <w:u w:val="single"/>
                <w:lang w:eastAsia="en-AU"/>
              </w:rPr>
              <w:t>Outcome 1:</w:t>
            </w:r>
            <w:r w:rsidRPr="00DB1030">
              <w:rPr>
                <w:rFonts w:ascii="Calibri Light" w:eastAsia="Times New Roman" w:hAnsi="Calibri Light" w:cstheme="minorHAnsi"/>
                <w:color w:val="495965"/>
                <w:sz w:val="18"/>
                <w:szCs w:val="18"/>
                <w:lang w:eastAsia="en-AU"/>
              </w:rPr>
              <w:t xml:space="preserve">  Selected value chains are more inclusive </w:t>
            </w:r>
          </w:p>
        </w:tc>
        <w:tc>
          <w:tcPr>
            <w:tcW w:w="3160" w:type="dxa"/>
            <w:tcBorders>
              <w:top w:val="nil"/>
              <w:left w:val="nil"/>
              <w:bottom w:val="single" w:sz="4" w:space="0" w:color="auto"/>
              <w:right w:val="single" w:sz="4" w:space="0" w:color="auto"/>
            </w:tcBorders>
            <w:shd w:val="clear" w:color="auto" w:fill="auto"/>
            <w:hideMark/>
          </w:tcPr>
          <w:p w14:paraId="7A48248A"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 xml:space="preserve">1.      Number of poor women and men with increased incomes (ADR)[1] </w:t>
            </w:r>
            <w:r w:rsidRPr="00DB1030">
              <w:rPr>
                <w:rFonts w:ascii="Calibri Light" w:eastAsia="Times New Roman" w:hAnsi="Calibri Light" w:cstheme="minorHAnsi"/>
                <w:color w:val="495965"/>
                <w:sz w:val="18"/>
                <w:szCs w:val="18"/>
                <w:lang w:eastAsia="en-AU"/>
              </w:rPr>
              <w:br/>
              <w:t>Data Sources: AusABBA 1 &amp; 2; AVCCR; SRSP WEEMD annual reports, MDF</w:t>
            </w:r>
          </w:p>
        </w:tc>
        <w:tc>
          <w:tcPr>
            <w:tcW w:w="1400" w:type="dxa"/>
            <w:tcBorders>
              <w:top w:val="nil"/>
              <w:left w:val="nil"/>
              <w:bottom w:val="single" w:sz="4" w:space="0" w:color="auto"/>
              <w:right w:val="single" w:sz="4" w:space="0" w:color="auto"/>
            </w:tcBorders>
            <w:shd w:val="clear" w:color="auto" w:fill="auto"/>
            <w:vAlign w:val="center"/>
            <w:hideMark/>
          </w:tcPr>
          <w:p w14:paraId="3CAECDBA"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MDF (14,700 men, 8600 women)</w:t>
            </w:r>
            <w:r w:rsidRPr="00DB1030">
              <w:rPr>
                <w:rFonts w:ascii="Calibri Light" w:eastAsia="Times New Roman" w:hAnsi="Calibri Light" w:cstheme="minorHAnsi"/>
                <w:color w:val="495965"/>
                <w:sz w:val="18"/>
                <w:szCs w:val="18"/>
                <w:lang w:eastAsia="en-AU"/>
              </w:rPr>
              <w:br/>
              <w:t>AusABBA 1 (4428 men; 4402 women)</w:t>
            </w:r>
            <w:r w:rsidRPr="00DB1030">
              <w:rPr>
                <w:rFonts w:ascii="Calibri Light" w:eastAsia="Times New Roman" w:hAnsi="Calibri Light" w:cstheme="minorHAnsi"/>
                <w:color w:val="495965"/>
                <w:sz w:val="18"/>
                <w:szCs w:val="18"/>
                <w:lang w:eastAsia="en-AU"/>
              </w:rPr>
              <w:br/>
              <w:t>SRSP (170 men; 280 women)</w:t>
            </w:r>
          </w:p>
        </w:tc>
        <w:tc>
          <w:tcPr>
            <w:tcW w:w="1400" w:type="dxa"/>
            <w:tcBorders>
              <w:top w:val="nil"/>
              <w:left w:val="nil"/>
              <w:bottom w:val="single" w:sz="4" w:space="0" w:color="auto"/>
              <w:right w:val="single" w:sz="4" w:space="0" w:color="auto"/>
            </w:tcBorders>
            <w:shd w:val="clear" w:color="auto" w:fill="auto"/>
            <w:hideMark/>
          </w:tcPr>
          <w:p w14:paraId="19171B56"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MDF (21,100 men, 12,400 women)</w:t>
            </w:r>
            <w:r w:rsidRPr="00DB1030">
              <w:rPr>
                <w:rFonts w:ascii="Calibri Light" w:eastAsia="Times New Roman" w:hAnsi="Calibri Light" w:cstheme="minorHAnsi"/>
                <w:color w:val="495965"/>
                <w:sz w:val="18"/>
                <w:szCs w:val="18"/>
                <w:lang w:eastAsia="en-AU"/>
              </w:rPr>
              <w:br/>
              <w:t>AusABBA (TBC)</w:t>
            </w:r>
            <w:r w:rsidRPr="00DB1030">
              <w:rPr>
                <w:rFonts w:ascii="Calibri Light" w:eastAsia="Times New Roman" w:hAnsi="Calibri Light" w:cstheme="minorHAnsi"/>
                <w:color w:val="495965"/>
                <w:sz w:val="18"/>
                <w:szCs w:val="18"/>
                <w:lang w:eastAsia="en-AU"/>
              </w:rPr>
              <w:br/>
              <w:t>SRSP (155 men; 250 women)</w:t>
            </w:r>
          </w:p>
        </w:tc>
        <w:tc>
          <w:tcPr>
            <w:tcW w:w="1400" w:type="dxa"/>
            <w:tcBorders>
              <w:top w:val="nil"/>
              <w:left w:val="nil"/>
              <w:bottom w:val="single" w:sz="4" w:space="0" w:color="auto"/>
              <w:right w:val="single" w:sz="4" w:space="0" w:color="auto"/>
            </w:tcBorders>
            <w:shd w:val="clear" w:color="auto" w:fill="auto"/>
            <w:hideMark/>
          </w:tcPr>
          <w:p w14:paraId="26805FA7"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MDF (22,800 men, 13,300 women)</w:t>
            </w:r>
            <w:r w:rsidRPr="00DB1030">
              <w:rPr>
                <w:rFonts w:ascii="Calibri Light" w:eastAsia="Times New Roman" w:hAnsi="Calibri Light" w:cstheme="minorHAnsi"/>
                <w:color w:val="495965"/>
                <w:sz w:val="18"/>
                <w:szCs w:val="18"/>
                <w:lang w:eastAsia="en-AU"/>
              </w:rPr>
              <w:br/>
              <w:t>AusABBA (TBC)</w:t>
            </w:r>
            <w:r w:rsidRPr="00DB1030">
              <w:rPr>
                <w:rFonts w:ascii="Calibri Light" w:eastAsia="Times New Roman" w:hAnsi="Calibri Light" w:cstheme="minorHAnsi"/>
                <w:color w:val="495965"/>
                <w:sz w:val="18"/>
                <w:szCs w:val="18"/>
                <w:lang w:eastAsia="en-AU"/>
              </w:rPr>
              <w:br/>
              <w:t>SRSP (156 men; 246 women)</w:t>
            </w:r>
          </w:p>
        </w:tc>
      </w:tr>
      <w:tr w:rsidR="00DB1030" w:rsidRPr="00DB1030" w14:paraId="4D5EF2AB" w14:textId="77777777" w:rsidTr="00DB1030">
        <w:trPr>
          <w:trHeight w:val="1200"/>
        </w:trPr>
        <w:tc>
          <w:tcPr>
            <w:tcW w:w="3460" w:type="dxa"/>
            <w:tcBorders>
              <w:top w:val="nil"/>
              <w:left w:val="single" w:sz="4" w:space="0" w:color="auto"/>
              <w:bottom w:val="single" w:sz="4" w:space="0" w:color="auto"/>
              <w:right w:val="single" w:sz="4" w:space="0" w:color="auto"/>
            </w:tcBorders>
            <w:shd w:val="clear" w:color="000000" w:fill="DDECD0"/>
            <w:hideMark/>
          </w:tcPr>
          <w:p w14:paraId="73BDC132"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imes New Roman"/>
                <w:color w:val="495965"/>
                <w:sz w:val="18"/>
                <w:szCs w:val="18"/>
                <w:lang w:val="en-AU" w:eastAsia="en-AU"/>
              </w:rPr>
              <w:t> </w:t>
            </w:r>
          </w:p>
        </w:tc>
        <w:tc>
          <w:tcPr>
            <w:tcW w:w="2560" w:type="dxa"/>
            <w:tcBorders>
              <w:top w:val="nil"/>
              <w:left w:val="nil"/>
              <w:bottom w:val="nil"/>
              <w:right w:val="single" w:sz="4" w:space="0" w:color="auto"/>
            </w:tcBorders>
            <w:shd w:val="clear" w:color="000000" w:fill="D8DCDB"/>
            <w:vAlign w:val="center"/>
            <w:hideMark/>
          </w:tcPr>
          <w:p w14:paraId="51A997C5"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u w:val="single"/>
                <w:lang w:val="en-AU" w:eastAsia="en-AU"/>
              </w:rPr>
            </w:pPr>
            <w:r w:rsidRPr="00DB1030">
              <w:rPr>
                <w:rFonts w:ascii="Calibri Light" w:eastAsia="Times New Roman" w:hAnsi="Calibri Light" w:cs="Times New Roman"/>
                <w:color w:val="495965"/>
                <w:sz w:val="18"/>
                <w:szCs w:val="18"/>
                <w:u w:val="single"/>
                <w:lang w:val="en-AU" w:eastAsia="en-AU"/>
              </w:rPr>
              <w:t> </w:t>
            </w:r>
          </w:p>
        </w:tc>
        <w:tc>
          <w:tcPr>
            <w:tcW w:w="3160" w:type="dxa"/>
            <w:tcBorders>
              <w:top w:val="nil"/>
              <w:left w:val="nil"/>
              <w:bottom w:val="single" w:sz="4" w:space="0" w:color="auto"/>
              <w:right w:val="single" w:sz="4" w:space="0" w:color="auto"/>
            </w:tcBorders>
            <w:shd w:val="clear" w:color="auto" w:fill="auto"/>
            <w:vAlign w:val="center"/>
            <w:hideMark/>
          </w:tcPr>
          <w:p w14:paraId="72303D1A"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2.</w:t>
            </w:r>
            <w:r w:rsidRPr="00DB1030">
              <w:rPr>
                <w:rFonts w:ascii="Times New Roman" w:eastAsia="Times New Roman" w:hAnsi="Times New Roman" w:cs="Times New Roman"/>
                <w:color w:val="495965"/>
                <w:sz w:val="14"/>
                <w:szCs w:val="14"/>
                <w:lang w:eastAsia="en-AU"/>
              </w:rPr>
              <w:t xml:space="preserve">      </w:t>
            </w:r>
            <w:r w:rsidRPr="00DB1030">
              <w:rPr>
                <w:rFonts w:ascii="Calibri Light" w:eastAsia="Times New Roman" w:hAnsi="Calibri Light" w:cstheme="minorHAnsi"/>
                <w:color w:val="495965"/>
                <w:sz w:val="18"/>
                <w:szCs w:val="18"/>
                <w:lang w:eastAsia="en-AU"/>
              </w:rPr>
              <w:t>Value of Private Sector investment leveraged for inclusive, pro-poor growth (ADR)</w:t>
            </w:r>
            <w:r w:rsidRPr="00DB1030">
              <w:rPr>
                <w:rFonts w:ascii="Calibri Light" w:eastAsia="Times New Roman" w:hAnsi="Calibri Light" w:cstheme="minorHAnsi"/>
                <w:color w:val="495965"/>
                <w:sz w:val="18"/>
                <w:szCs w:val="18"/>
                <w:lang w:eastAsia="en-AU"/>
              </w:rPr>
              <w:br/>
              <w:t>Data Sources: AusABBA 1 &amp; 2, AVCCR, MDF</w:t>
            </w:r>
          </w:p>
        </w:tc>
        <w:tc>
          <w:tcPr>
            <w:tcW w:w="1400" w:type="dxa"/>
            <w:tcBorders>
              <w:top w:val="nil"/>
              <w:left w:val="nil"/>
              <w:bottom w:val="single" w:sz="4" w:space="0" w:color="auto"/>
              <w:right w:val="single" w:sz="4" w:space="0" w:color="auto"/>
            </w:tcBorders>
            <w:shd w:val="clear" w:color="auto" w:fill="auto"/>
            <w:vAlign w:val="center"/>
            <w:hideMark/>
          </w:tcPr>
          <w:p w14:paraId="3FA4F4CC"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1,097,240 (AusABBA 1)</w:t>
            </w:r>
            <w:r w:rsidRPr="00DB1030">
              <w:rPr>
                <w:rFonts w:ascii="Calibri Light" w:eastAsia="Times New Roman" w:hAnsi="Calibri Light" w:cstheme="minorHAnsi"/>
                <w:color w:val="495965"/>
                <w:sz w:val="18"/>
                <w:szCs w:val="18"/>
                <w:lang w:eastAsia="en-AU"/>
              </w:rPr>
              <w:br/>
              <w:t>AUD 862,376 (MDF)</w:t>
            </w:r>
          </w:p>
        </w:tc>
        <w:tc>
          <w:tcPr>
            <w:tcW w:w="1400" w:type="dxa"/>
            <w:tcBorders>
              <w:top w:val="nil"/>
              <w:left w:val="nil"/>
              <w:bottom w:val="single" w:sz="4" w:space="0" w:color="auto"/>
              <w:right w:val="single" w:sz="4" w:space="0" w:color="auto"/>
            </w:tcBorders>
            <w:shd w:val="clear" w:color="auto" w:fill="auto"/>
            <w:vAlign w:val="center"/>
            <w:hideMark/>
          </w:tcPr>
          <w:p w14:paraId="365014BF"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AUD 608,736 (MDF)</w:t>
            </w:r>
            <w:r w:rsidRPr="00DB1030">
              <w:rPr>
                <w:rFonts w:ascii="Calibri Light" w:eastAsia="Times New Roman" w:hAnsi="Calibri Light" w:cstheme="minorHAnsi"/>
                <w:color w:val="495965"/>
                <w:sz w:val="18"/>
                <w:szCs w:val="18"/>
                <w:lang w:eastAsia="en-AU"/>
              </w:rPr>
              <w:br/>
              <w:t>PTIPP analytics inform Trade Strategy</w:t>
            </w:r>
          </w:p>
        </w:tc>
        <w:tc>
          <w:tcPr>
            <w:tcW w:w="1400" w:type="dxa"/>
            <w:tcBorders>
              <w:top w:val="nil"/>
              <w:left w:val="nil"/>
              <w:bottom w:val="single" w:sz="4" w:space="0" w:color="auto"/>
              <w:right w:val="single" w:sz="4" w:space="0" w:color="auto"/>
            </w:tcBorders>
            <w:shd w:val="clear" w:color="auto" w:fill="auto"/>
            <w:vAlign w:val="center"/>
            <w:hideMark/>
          </w:tcPr>
          <w:p w14:paraId="3938A6AC"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AUD 862,376 (MDF)</w:t>
            </w:r>
          </w:p>
        </w:tc>
      </w:tr>
    </w:tbl>
    <w:p w14:paraId="5E77F500" w14:textId="77777777" w:rsidR="00DB1030" w:rsidRDefault="00DB1030">
      <w:r>
        <w:br w:type="page"/>
      </w:r>
    </w:p>
    <w:tbl>
      <w:tblPr>
        <w:tblW w:w="13380" w:type="dxa"/>
        <w:tblLook w:val="04A0" w:firstRow="1" w:lastRow="0" w:firstColumn="1" w:lastColumn="0" w:noHBand="0" w:noVBand="1"/>
      </w:tblPr>
      <w:tblGrid>
        <w:gridCol w:w="3460"/>
        <w:gridCol w:w="2560"/>
        <w:gridCol w:w="3160"/>
        <w:gridCol w:w="1400"/>
        <w:gridCol w:w="1400"/>
        <w:gridCol w:w="1400"/>
      </w:tblGrid>
      <w:tr w:rsidR="00DB1030" w:rsidRPr="00DB1030" w14:paraId="745284C0" w14:textId="77777777" w:rsidTr="00DB1030">
        <w:trPr>
          <w:trHeight w:val="2790"/>
        </w:trPr>
        <w:tc>
          <w:tcPr>
            <w:tcW w:w="3460" w:type="dxa"/>
            <w:tcBorders>
              <w:top w:val="single" w:sz="4" w:space="0" w:color="FFFFFF" w:themeColor="background1"/>
              <w:left w:val="single" w:sz="4" w:space="0" w:color="auto"/>
              <w:bottom w:val="nil"/>
              <w:right w:val="single" w:sz="4" w:space="0" w:color="auto"/>
            </w:tcBorders>
            <w:shd w:val="clear" w:color="000000" w:fill="DDECD0"/>
            <w:hideMark/>
          </w:tcPr>
          <w:p w14:paraId="4E907053" w14:textId="77777777" w:rsidR="00DB1030" w:rsidRPr="00DB1030" w:rsidRDefault="00DB1030" w:rsidP="00DB1030">
            <w:pPr>
              <w:suppressAutoHyphens w:val="0"/>
              <w:spacing w:before="0" w:after="0" w:line="240" w:lineRule="auto"/>
              <w:rPr>
                <w:rFonts w:ascii="Calibri Light" w:eastAsia="Times New Roman" w:hAnsi="Calibri Light" w:cs="Times New Roman"/>
                <w:b/>
                <w:bCs/>
                <w:color w:val="495965"/>
                <w:sz w:val="20"/>
                <w:szCs w:val="20"/>
                <w:lang w:val="en-AU" w:eastAsia="en-AU"/>
              </w:rPr>
            </w:pPr>
            <w:r w:rsidRPr="00DB1030">
              <w:rPr>
                <w:rFonts w:ascii="Calibri Light" w:eastAsia="Times New Roman" w:hAnsi="Calibri Light" w:cstheme="minorHAnsi"/>
                <w:b/>
                <w:bCs/>
                <w:color w:val="495965"/>
                <w:sz w:val="20"/>
                <w:szCs w:val="20"/>
                <w:lang w:eastAsia="en-AU"/>
              </w:rPr>
              <w:lastRenderedPageBreak/>
              <w:t>Pillar 5 – Private Sector and Entrepreneurship Led Growth</w:t>
            </w:r>
            <w:r w:rsidRPr="00DB1030">
              <w:rPr>
                <w:rFonts w:ascii="Calibri Light" w:eastAsia="Times New Roman" w:hAnsi="Calibri Light" w:cstheme="minorHAnsi"/>
                <w:b/>
                <w:bCs/>
                <w:color w:val="495965"/>
                <w:sz w:val="20"/>
                <w:szCs w:val="20"/>
                <w:lang w:eastAsia="en-AU"/>
              </w:rPr>
              <w:br/>
            </w:r>
            <w:r w:rsidRPr="00DB1030">
              <w:rPr>
                <w:rFonts w:ascii="Calibri Light" w:eastAsia="Times New Roman" w:hAnsi="Calibri Light" w:cstheme="minorHAnsi"/>
                <w:color w:val="495965"/>
                <w:sz w:val="20"/>
                <w:szCs w:val="20"/>
                <w:lang w:eastAsia="en-AU"/>
              </w:rPr>
              <w:t>Creating employment through supporting Small and Medium Enterprises. Goals include that by 2025, 2m SMEs (from a baseline of 1.73m) will provide 25m jobs (from a baseline of 14.9m), contributing PKR16 trillion to GDP (from a baseline of PKR9.4 trillion) and generating USD54bn in exports (from a baseline of USD18.2bn)</w:t>
            </w:r>
          </w:p>
        </w:tc>
        <w:tc>
          <w:tcPr>
            <w:tcW w:w="2560" w:type="dxa"/>
            <w:tcBorders>
              <w:top w:val="single" w:sz="4" w:space="0" w:color="FFFFFF" w:themeColor="background1"/>
              <w:left w:val="nil"/>
              <w:bottom w:val="nil"/>
              <w:right w:val="single" w:sz="4" w:space="0" w:color="auto"/>
            </w:tcBorders>
            <w:shd w:val="clear" w:color="000000" w:fill="D8DCDB"/>
            <w:hideMark/>
          </w:tcPr>
          <w:p w14:paraId="1631F0B4"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u w:val="single"/>
                <w:lang w:val="en-AU" w:eastAsia="en-AU"/>
              </w:rPr>
            </w:pPr>
            <w:r w:rsidRPr="00DB1030">
              <w:rPr>
                <w:rFonts w:ascii="Calibri Light" w:eastAsia="Times New Roman" w:hAnsi="Calibri Light" w:cstheme="minorHAnsi"/>
                <w:b/>
                <w:bCs/>
                <w:color w:val="495965"/>
                <w:sz w:val="18"/>
                <w:szCs w:val="18"/>
                <w:u w:val="single"/>
                <w:lang w:eastAsia="en-AU"/>
              </w:rPr>
              <w:t>Outcome 2</w:t>
            </w:r>
            <w:r w:rsidRPr="00DB1030">
              <w:rPr>
                <w:rFonts w:ascii="Calibri Light" w:eastAsia="Times New Roman" w:hAnsi="Calibri Light" w:cstheme="minorHAnsi"/>
                <w:color w:val="495965"/>
                <w:sz w:val="18"/>
                <w:szCs w:val="18"/>
                <w:u w:val="single"/>
                <w:lang w:eastAsia="en-AU"/>
              </w:rPr>
              <w:t>:</w:t>
            </w:r>
            <w:r w:rsidRPr="00DB1030">
              <w:rPr>
                <w:rFonts w:ascii="Calibri Light" w:eastAsia="Times New Roman" w:hAnsi="Calibri Light" w:cstheme="minorHAnsi"/>
                <w:color w:val="495965"/>
                <w:sz w:val="18"/>
                <w:szCs w:val="18"/>
                <w:lang w:eastAsia="en-AU"/>
              </w:rPr>
              <w:t xml:space="preserve"> Governments, enterprises and smallholders are adopting evidence-based agriculture, water and trade policy reforms as a result of Australian investments</w:t>
            </w:r>
          </w:p>
        </w:tc>
        <w:tc>
          <w:tcPr>
            <w:tcW w:w="3160" w:type="dxa"/>
            <w:tcBorders>
              <w:top w:val="single" w:sz="4" w:space="0" w:color="FFFFFF" w:themeColor="background1"/>
              <w:left w:val="nil"/>
              <w:bottom w:val="single" w:sz="4" w:space="0" w:color="auto"/>
              <w:right w:val="single" w:sz="4" w:space="0" w:color="auto"/>
            </w:tcBorders>
            <w:shd w:val="clear" w:color="auto" w:fill="auto"/>
            <w:hideMark/>
          </w:tcPr>
          <w:p w14:paraId="14EBE6FC"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3.</w:t>
            </w:r>
            <w:r w:rsidRPr="00DB1030">
              <w:rPr>
                <w:rFonts w:ascii="Times New Roman" w:eastAsia="Times New Roman" w:hAnsi="Times New Roman" w:cs="Times New Roman"/>
                <w:color w:val="495965"/>
                <w:sz w:val="14"/>
                <w:szCs w:val="14"/>
                <w:lang w:eastAsia="en-AU"/>
              </w:rPr>
              <w:t xml:space="preserve">     </w:t>
            </w:r>
            <w:r w:rsidRPr="00DB1030">
              <w:rPr>
                <w:rFonts w:ascii="Calibri Light" w:eastAsia="Times New Roman" w:hAnsi="Calibri Light" w:cstheme="minorHAnsi"/>
                <w:color w:val="495965"/>
                <w:sz w:val="18"/>
                <w:szCs w:val="18"/>
                <w:lang w:eastAsia="en-AU"/>
              </w:rPr>
              <w:t xml:space="preserve">Evidence that Australian engagement has contributed to policy reform on agriculture, water and trade policy </w:t>
            </w:r>
            <w:r w:rsidRPr="00DB1030">
              <w:rPr>
                <w:rFonts w:ascii="Calibri Light" w:eastAsia="Times New Roman" w:hAnsi="Calibri Light" w:cstheme="minorHAnsi"/>
                <w:color w:val="495965"/>
                <w:sz w:val="18"/>
                <w:szCs w:val="18"/>
                <w:lang w:eastAsia="en-AU"/>
              </w:rPr>
              <w:br/>
              <w:t xml:space="preserve">Data Sources: PTIPP, SMART Punjab, AVCCR, AusABBA 2, SRSP, Business Partnership Platform (Better Cotton Initiative and Better Seeds). </w:t>
            </w:r>
          </w:p>
        </w:tc>
        <w:tc>
          <w:tcPr>
            <w:tcW w:w="1400" w:type="dxa"/>
            <w:tcBorders>
              <w:top w:val="single" w:sz="4" w:space="0" w:color="FFFFFF" w:themeColor="background1"/>
              <w:left w:val="nil"/>
              <w:bottom w:val="single" w:sz="4" w:space="0" w:color="auto"/>
              <w:right w:val="single" w:sz="4" w:space="0" w:color="auto"/>
            </w:tcBorders>
            <w:shd w:val="clear" w:color="auto" w:fill="auto"/>
            <w:hideMark/>
          </w:tcPr>
          <w:p w14:paraId="390910DD"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 xml:space="preserve">Annual qualitative assessment </w:t>
            </w:r>
          </w:p>
        </w:tc>
        <w:tc>
          <w:tcPr>
            <w:tcW w:w="1400" w:type="dxa"/>
            <w:tcBorders>
              <w:top w:val="single" w:sz="4" w:space="0" w:color="FFFFFF" w:themeColor="background1"/>
              <w:left w:val="nil"/>
              <w:bottom w:val="single" w:sz="4" w:space="0" w:color="auto"/>
              <w:right w:val="single" w:sz="4" w:space="0" w:color="auto"/>
            </w:tcBorders>
            <w:shd w:val="clear" w:color="auto" w:fill="auto"/>
            <w:hideMark/>
          </w:tcPr>
          <w:p w14:paraId="2BD8B46B"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Water: Signing of MOU; Holding first Advisory Committee Meeting.</w:t>
            </w:r>
          </w:p>
        </w:tc>
        <w:tc>
          <w:tcPr>
            <w:tcW w:w="1400" w:type="dxa"/>
            <w:tcBorders>
              <w:top w:val="single" w:sz="4" w:space="0" w:color="FFFFFF" w:themeColor="background1"/>
              <w:left w:val="nil"/>
              <w:bottom w:val="single" w:sz="4" w:space="0" w:color="auto"/>
              <w:right w:val="single" w:sz="4" w:space="0" w:color="auto"/>
            </w:tcBorders>
            <w:shd w:val="clear" w:color="auto" w:fill="auto"/>
            <w:hideMark/>
          </w:tcPr>
          <w:p w14:paraId="338E4750"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TBC</w:t>
            </w:r>
          </w:p>
        </w:tc>
      </w:tr>
      <w:tr w:rsidR="00DB1030" w:rsidRPr="00DB1030" w14:paraId="7F08A836" w14:textId="77777777" w:rsidTr="00DB1030">
        <w:trPr>
          <w:trHeight w:val="2865"/>
        </w:trPr>
        <w:tc>
          <w:tcPr>
            <w:tcW w:w="3460" w:type="dxa"/>
            <w:tcBorders>
              <w:top w:val="nil"/>
              <w:left w:val="single" w:sz="4" w:space="0" w:color="auto"/>
              <w:bottom w:val="nil"/>
              <w:right w:val="single" w:sz="4" w:space="0" w:color="auto"/>
            </w:tcBorders>
            <w:shd w:val="clear" w:color="000000" w:fill="DDECD0"/>
            <w:hideMark/>
          </w:tcPr>
          <w:p w14:paraId="1CBBBEE6" w14:textId="77777777" w:rsidR="00DB1030" w:rsidRPr="00DB1030" w:rsidRDefault="00DB1030" w:rsidP="00DB1030">
            <w:pPr>
              <w:suppressAutoHyphens w:val="0"/>
              <w:spacing w:before="0" w:after="0" w:line="240" w:lineRule="auto"/>
              <w:rPr>
                <w:rFonts w:ascii="Calibri Light" w:eastAsia="Times New Roman" w:hAnsi="Calibri Light" w:cs="Times New Roman"/>
                <w:b/>
                <w:bCs/>
                <w:color w:val="495965"/>
                <w:sz w:val="20"/>
                <w:szCs w:val="20"/>
                <w:lang w:val="en-AU" w:eastAsia="en-AU"/>
              </w:rPr>
            </w:pPr>
            <w:r w:rsidRPr="00DB1030">
              <w:rPr>
                <w:rFonts w:ascii="Calibri Light" w:eastAsia="Times New Roman" w:hAnsi="Calibri Light" w:cstheme="minorHAnsi"/>
                <w:b/>
                <w:bCs/>
                <w:color w:val="495965"/>
                <w:sz w:val="20"/>
                <w:szCs w:val="20"/>
                <w:lang w:eastAsia="en-AU"/>
              </w:rPr>
              <w:t>Pillar 6 – Developing a Competitive Knowledge Economy through Value Addition</w:t>
            </w:r>
            <w:r w:rsidRPr="00DB1030">
              <w:rPr>
                <w:rFonts w:ascii="Calibri Light" w:eastAsia="Times New Roman" w:hAnsi="Calibri Light" w:cstheme="minorHAnsi"/>
                <w:b/>
                <w:bCs/>
                <w:color w:val="495965"/>
                <w:sz w:val="20"/>
                <w:szCs w:val="20"/>
                <w:lang w:eastAsia="en-AU"/>
              </w:rPr>
              <w:br/>
            </w:r>
            <w:r w:rsidRPr="00DB1030">
              <w:rPr>
                <w:rFonts w:ascii="Calibri Light" w:eastAsia="Times New Roman" w:hAnsi="Calibri Light" w:cstheme="minorHAnsi"/>
                <w:color w:val="495965"/>
                <w:sz w:val="20"/>
                <w:szCs w:val="20"/>
                <w:lang w:eastAsia="en-AU"/>
              </w:rPr>
              <w:t>Enhancing competitiveness, including through reducing the time and cost of trading across borders, improving collaboration between private firms, government and academic institutions, developing value chains, and applying knowledge for increased productivity in Agriculture.</w:t>
            </w:r>
          </w:p>
        </w:tc>
        <w:tc>
          <w:tcPr>
            <w:tcW w:w="2560" w:type="dxa"/>
            <w:tcBorders>
              <w:top w:val="nil"/>
              <w:left w:val="nil"/>
              <w:bottom w:val="nil"/>
              <w:right w:val="single" w:sz="4" w:space="0" w:color="auto"/>
            </w:tcBorders>
            <w:shd w:val="clear" w:color="000000" w:fill="D8DCDB"/>
            <w:vAlign w:val="center"/>
            <w:hideMark/>
          </w:tcPr>
          <w:p w14:paraId="69974EDA"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u w:val="single"/>
                <w:lang w:val="en-AU" w:eastAsia="en-AU"/>
              </w:rPr>
            </w:pPr>
            <w:r w:rsidRPr="00DB1030">
              <w:rPr>
                <w:rFonts w:ascii="Calibri Light" w:eastAsia="Times New Roman" w:hAnsi="Calibri Light" w:cs="Times New Roman"/>
                <w:color w:val="495965"/>
                <w:sz w:val="18"/>
                <w:szCs w:val="18"/>
                <w:u w:val="single"/>
                <w:lang w:val="en-AU" w:eastAsia="en-AU"/>
              </w:rPr>
              <w:t> </w:t>
            </w:r>
          </w:p>
        </w:tc>
        <w:tc>
          <w:tcPr>
            <w:tcW w:w="3160" w:type="dxa"/>
            <w:tcBorders>
              <w:top w:val="nil"/>
              <w:left w:val="nil"/>
              <w:bottom w:val="single" w:sz="4" w:space="0" w:color="auto"/>
              <w:right w:val="single" w:sz="4" w:space="0" w:color="auto"/>
            </w:tcBorders>
            <w:shd w:val="clear" w:color="auto" w:fill="auto"/>
            <w:hideMark/>
          </w:tcPr>
          <w:p w14:paraId="6CB8DE1B"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4.</w:t>
            </w:r>
            <w:r w:rsidRPr="00DB1030">
              <w:rPr>
                <w:rFonts w:ascii="Times New Roman" w:eastAsia="Times New Roman" w:hAnsi="Times New Roman" w:cs="Times New Roman"/>
                <w:color w:val="495965"/>
                <w:sz w:val="14"/>
                <w:szCs w:val="14"/>
                <w:lang w:eastAsia="en-AU"/>
              </w:rPr>
              <w:t xml:space="preserve">     </w:t>
            </w:r>
            <w:r w:rsidRPr="00DB1030">
              <w:rPr>
                <w:rFonts w:ascii="Calibri Light" w:eastAsia="Times New Roman" w:hAnsi="Calibri Light" w:cstheme="minorHAnsi"/>
                <w:color w:val="495965"/>
                <w:sz w:val="18"/>
                <w:szCs w:val="18"/>
                <w:lang w:eastAsia="en-AU"/>
              </w:rPr>
              <w:t>Reduction in the time, cost and bureaucracy associated with movement of goods across target border/s.</w:t>
            </w:r>
            <w:r w:rsidRPr="00DB1030">
              <w:rPr>
                <w:rFonts w:ascii="Calibri Light" w:eastAsia="Times New Roman" w:hAnsi="Calibri Light" w:cstheme="minorHAnsi"/>
                <w:color w:val="495965"/>
                <w:sz w:val="18"/>
                <w:szCs w:val="18"/>
                <w:lang w:eastAsia="en-AU"/>
              </w:rPr>
              <w:br/>
              <w:t>Data source: PTIPP Biannual Progress Report</w:t>
            </w:r>
          </w:p>
        </w:tc>
        <w:tc>
          <w:tcPr>
            <w:tcW w:w="1400" w:type="dxa"/>
            <w:tcBorders>
              <w:top w:val="nil"/>
              <w:left w:val="nil"/>
              <w:bottom w:val="nil"/>
              <w:right w:val="single" w:sz="4" w:space="0" w:color="auto"/>
            </w:tcBorders>
            <w:shd w:val="clear" w:color="auto" w:fill="auto"/>
            <w:hideMark/>
          </w:tcPr>
          <w:p w14:paraId="0B2D94A4"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N/A</w:t>
            </w:r>
          </w:p>
        </w:tc>
        <w:tc>
          <w:tcPr>
            <w:tcW w:w="1400" w:type="dxa"/>
            <w:tcBorders>
              <w:top w:val="nil"/>
              <w:left w:val="nil"/>
              <w:bottom w:val="nil"/>
              <w:right w:val="single" w:sz="4" w:space="0" w:color="auto"/>
            </w:tcBorders>
            <w:shd w:val="clear" w:color="auto" w:fill="auto"/>
            <w:hideMark/>
          </w:tcPr>
          <w:p w14:paraId="6EAC2188"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15% reduction in the time to comply with business regulations; and ii) reduction in # of documents to trade through Wagah by 2.</w:t>
            </w:r>
          </w:p>
        </w:tc>
        <w:tc>
          <w:tcPr>
            <w:tcW w:w="1400" w:type="dxa"/>
            <w:tcBorders>
              <w:top w:val="nil"/>
              <w:left w:val="nil"/>
              <w:bottom w:val="nil"/>
              <w:right w:val="single" w:sz="4" w:space="0" w:color="auto"/>
            </w:tcBorders>
            <w:shd w:val="clear" w:color="auto" w:fill="auto"/>
            <w:hideMark/>
          </w:tcPr>
          <w:p w14:paraId="5C8F42F5"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N/A</w:t>
            </w:r>
          </w:p>
        </w:tc>
      </w:tr>
      <w:tr w:rsidR="00DB1030" w:rsidRPr="00DB1030" w14:paraId="6D4988CB" w14:textId="77777777" w:rsidTr="00DB1030">
        <w:trPr>
          <w:trHeight w:val="1440"/>
        </w:trPr>
        <w:tc>
          <w:tcPr>
            <w:tcW w:w="3460" w:type="dxa"/>
            <w:tcBorders>
              <w:top w:val="nil"/>
              <w:left w:val="single" w:sz="4" w:space="0" w:color="auto"/>
              <w:bottom w:val="nil"/>
              <w:right w:val="single" w:sz="4" w:space="0" w:color="auto"/>
            </w:tcBorders>
            <w:shd w:val="clear" w:color="000000" w:fill="DDECD0"/>
            <w:hideMark/>
          </w:tcPr>
          <w:p w14:paraId="0A2A1F73" w14:textId="77777777" w:rsidR="00DB1030" w:rsidRPr="00DB1030" w:rsidRDefault="00DB1030" w:rsidP="00DB1030">
            <w:pPr>
              <w:suppressAutoHyphens w:val="0"/>
              <w:spacing w:before="0" w:after="0" w:line="240" w:lineRule="auto"/>
              <w:rPr>
                <w:rFonts w:ascii="Calibri Light" w:eastAsia="Times New Roman" w:hAnsi="Calibri Light" w:cs="Times New Roman"/>
                <w:b/>
                <w:bCs/>
                <w:color w:val="495965"/>
                <w:sz w:val="20"/>
                <w:szCs w:val="20"/>
                <w:lang w:val="en-AU" w:eastAsia="en-AU"/>
              </w:rPr>
            </w:pPr>
            <w:r w:rsidRPr="00DB1030">
              <w:rPr>
                <w:rFonts w:ascii="Calibri Light" w:eastAsia="Times New Roman" w:hAnsi="Calibri Light" w:cs="Times New Roman"/>
                <w:b/>
                <w:bCs/>
                <w:color w:val="495965"/>
                <w:sz w:val="20"/>
                <w:szCs w:val="20"/>
                <w:lang w:val="en-AU" w:eastAsia="en-AU"/>
              </w:rPr>
              <w:t> </w:t>
            </w:r>
          </w:p>
        </w:tc>
        <w:tc>
          <w:tcPr>
            <w:tcW w:w="2560" w:type="dxa"/>
            <w:tcBorders>
              <w:top w:val="nil"/>
              <w:left w:val="nil"/>
              <w:bottom w:val="nil"/>
              <w:right w:val="single" w:sz="4" w:space="0" w:color="auto"/>
            </w:tcBorders>
            <w:shd w:val="clear" w:color="000000" w:fill="D8DCDB"/>
            <w:vAlign w:val="center"/>
            <w:hideMark/>
          </w:tcPr>
          <w:p w14:paraId="0D052DC3"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u w:val="single"/>
                <w:lang w:val="en-AU" w:eastAsia="en-AU"/>
              </w:rPr>
            </w:pPr>
            <w:r w:rsidRPr="00DB1030">
              <w:rPr>
                <w:rFonts w:ascii="Calibri Light" w:eastAsia="Times New Roman" w:hAnsi="Calibri Light" w:cs="Times New Roman"/>
                <w:color w:val="495965"/>
                <w:sz w:val="18"/>
                <w:szCs w:val="18"/>
                <w:u w:val="single"/>
                <w:lang w:val="en-AU" w:eastAsia="en-AU"/>
              </w:rPr>
              <w:t> </w:t>
            </w:r>
          </w:p>
        </w:tc>
        <w:tc>
          <w:tcPr>
            <w:tcW w:w="3160" w:type="dxa"/>
            <w:tcBorders>
              <w:top w:val="single" w:sz="4" w:space="0" w:color="auto"/>
              <w:left w:val="nil"/>
              <w:bottom w:val="single" w:sz="4" w:space="0" w:color="FFFFFF" w:themeColor="background1"/>
              <w:right w:val="single" w:sz="4" w:space="0" w:color="auto"/>
            </w:tcBorders>
            <w:shd w:val="clear" w:color="auto" w:fill="auto"/>
            <w:hideMark/>
          </w:tcPr>
          <w:p w14:paraId="1AB9410C"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5.</w:t>
            </w:r>
            <w:r w:rsidRPr="00DB1030">
              <w:rPr>
                <w:rFonts w:ascii="Times New Roman" w:eastAsia="Times New Roman" w:hAnsi="Times New Roman" w:cs="Times New Roman"/>
                <w:color w:val="495965"/>
                <w:sz w:val="14"/>
                <w:szCs w:val="14"/>
                <w:lang w:eastAsia="en-AU"/>
              </w:rPr>
              <w:t xml:space="preserve">     </w:t>
            </w:r>
            <w:r w:rsidRPr="00DB1030">
              <w:rPr>
                <w:rFonts w:ascii="Calibri Light" w:eastAsia="Times New Roman" w:hAnsi="Calibri Light" w:cstheme="minorHAnsi"/>
                <w:color w:val="495965"/>
                <w:sz w:val="18"/>
                <w:szCs w:val="18"/>
                <w:lang w:eastAsia="en-AU"/>
              </w:rPr>
              <w:t xml:space="preserve">% of Pakistan development program funding committed to aid-for-trade programs (AID PROGRAM STRATEGIC TARGET – AID FOR TRADE) </w:t>
            </w:r>
            <w:r w:rsidRPr="00DB1030">
              <w:rPr>
                <w:rFonts w:ascii="Calibri Light" w:eastAsia="Times New Roman" w:hAnsi="Calibri Light" w:cstheme="minorHAnsi"/>
                <w:color w:val="495965"/>
                <w:sz w:val="18"/>
                <w:szCs w:val="18"/>
                <w:lang w:eastAsia="en-AU"/>
              </w:rPr>
              <w:br/>
              <w:t>Data source: all aid for trade investments</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0012D78"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22%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83A32B4"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25%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BB802A0"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25%</w:t>
            </w:r>
          </w:p>
        </w:tc>
      </w:tr>
    </w:tbl>
    <w:p w14:paraId="43B2BA3A" w14:textId="77777777" w:rsidR="00DB1030" w:rsidRDefault="00DB1030">
      <w:r>
        <w:br w:type="page"/>
      </w:r>
    </w:p>
    <w:tbl>
      <w:tblPr>
        <w:tblW w:w="13380" w:type="dxa"/>
        <w:tblLook w:val="04A0" w:firstRow="1" w:lastRow="0" w:firstColumn="1" w:lastColumn="0" w:noHBand="0" w:noVBand="1"/>
      </w:tblPr>
      <w:tblGrid>
        <w:gridCol w:w="3460"/>
        <w:gridCol w:w="2560"/>
        <w:gridCol w:w="3160"/>
        <w:gridCol w:w="1400"/>
        <w:gridCol w:w="1400"/>
        <w:gridCol w:w="1400"/>
      </w:tblGrid>
      <w:tr w:rsidR="00DB1030" w:rsidRPr="00DB1030" w14:paraId="77B2D46C" w14:textId="77777777" w:rsidTr="00DB1030">
        <w:trPr>
          <w:trHeight w:val="300"/>
        </w:trPr>
        <w:tc>
          <w:tcPr>
            <w:tcW w:w="13380" w:type="dxa"/>
            <w:gridSpan w:val="6"/>
            <w:tcBorders>
              <w:top w:val="single" w:sz="4" w:space="0" w:color="auto"/>
              <w:left w:val="single" w:sz="4" w:space="0" w:color="auto"/>
              <w:bottom w:val="single" w:sz="4" w:space="0" w:color="auto"/>
              <w:right w:val="single" w:sz="4" w:space="0" w:color="000000"/>
            </w:tcBorders>
            <w:shd w:val="clear" w:color="000000" w:fill="E0F3EF"/>
            <w:vAlign w:val="center"/>
            <w:hideMark/>
          </w:tcPr>
          <w:p w14:paraId="3911B754" w14:textId="1C7AAFA5" w:rsidR="00DB1030" w:rsidRPr="00DB1030" w:rsidRDefault="00DB1030" w:rsidP="00DB1030">
            <w:pPr>
              <w:suppressAutoHyphens w:val="0"/>
              <w:spacing w:before="0" w:after="0" w:line="240" w:lineRule="auto"/>
              <w:jc w:val="center"/>
              <w:rPr>
                <w:rFonts w:ascii="Calibri Light" w:eastAsia="Times New Roman" w:hAnsi="Calibri Light" w:cs="Times New Roman"/>
                <w:b/>
                <w:bCs/>
                <w:color w:val="495965"/>
                <w:sz w:val="20"/>
                <w:szCs w:val="20"/>
                <w:lang w:val="en-AU" w:eastAsia="en-AU"/>
              </w:rPr>
            </w:pPr>
            <w:r w:rsidRPr="00DB1030">
              <w:rPr>
                <w:rFonts w:ascii="Calibri Light" w:eastAsia="Times New Roman" w:hAnsi="Calibri Light" w:cstheme="minorHAnsi"/>
                <w:b/>
                <w:bCs/>
                <w:color w:val="495965"/>
                <w:sz w:val="20"/>
                <w:szCs w:val="20"/>
                <w:lang w:eastAsia="en-AU"/>
              </w:rPr>
              <w:lastRenderedPageBreak/>
              <w:t>Strategic Objective 2: Investing in Pakistan’s people, with a focus on women and girls</w:t>
            </w:r>
            <w:r w:rsidRPr="00DB1030">
              <w:rPr>
                <w:rFonts w:ascii="Calibri Light" w:eastAsia="Times New Roman" w:hAnsi="Calibri Light" w:cstheme="minorHAnsi"/>
                <w:color w:val="495965"/>
                <w:sz w:val="20"/>
                <w:szCs w:val="20"/>
                <w:lang w:eastAsia="en-AU"/>
              </w:rPr>
              <w:t xml:space="preserve">  </w:t>
            </w:r>
          </w:p>
        </w:tc>
      </w:tr>
      <w:tr w:rsidR="00DB1030" w:rsidRPr="00DB1030" w14:paraId="709A7ECE" w14:textId="77777777" w:rsidTr="00DB1030">
        <w:trPr>
          <w:trHeight w:val="2640"/>
        </w:trPr>
        <w:tc>
          <w:tcPr>
            <w:tcW w:w="3460" w:type="dxa"/>
            <w:tcBorders>
              <w:top w:val="nil"/>
              <w:left w:val="single" w:sz="4" w:space="0" w:color="auto"/>
              <w:bottom w:val="nil"/>
              <w:right w:val="nil"/>
            </w:tcBorders>
            <w:shd w:val="clear" w:color="000000" w:fill="DDECD0"/>
            <w:hideMark/>
          </w:tcPr>
          <w:p w14:paraId="228C3B4E" w14:textId="77777777" w:rsidR="00DB1030" w:rsidRPr="00DB1030" w:rsidRDefault="00DB1030" w:rsidP="00DB1030">
            <w:pPr>
              <w:suppressAutoHyphens w:val="0"/>
              <w:spacing w:before="0" w:after="0" w:line="240" w:lineRule="auto"/>
              <w:rPr>
                <w:rFonts w:ascii="Calibri Light" w:eastAsia="Times New Roman" w:hAnsi="Calibri Light" w:cs="Times New Roman"/>
                <w:b/>
                <w:bCs/>
                <w:color w:val="495965"/>
                <w:sz w:val="20"/>
                <w:szCs w:val="20"/>
                <w:lang w:val="en-AU" w:eastAsia="en-AU"/>
              </w:rPr>
            </w:pPr>
            <w:r w:rsidRPr="00DB1030">
              <w:rPr>
                <w:rFonts w:ascii="Calibri Light" w:eastAsia="Times New Roman" w:hAnsi="Calibri Light" w:cstheme="minorHAnsi"/>
                <w:b/>
                <w:bCs/>
                <w:color w:val="495965"/>
                <w:sz w:val="20"/>
                <w:szCs w:val="20"/>
                <w:lang w:eastAsia="en-AU"/>
              </w:rPr>
              <w:t>Pillar 1 – Developing Human and Social Capital</w:t>
            </w:r>
            <w:r w:rsidRPr="00DB1030">
              <w:rPr>
                <w:rFonts w:ascii="Calibri Light" w:eastAsia="Times New Roman" w:hAnsi="Calibri Light" w:cstheme="minorHAnsi"/>
                <w:b/>
                <w:bCs/>
                <w:color w:val="495965"/>
                <w:sz w:val="20"/>
                <w:szCs w:val="20"/>
                <w:lang w:eastAsia="en-AU"/>
              </w:rPr>
              <w:br/>
            </w:r>
            <w:r w:rsidRPr="00DB1030">
              <w:rPr>
                <w:rFonts w:ascii="Calibri Light" w:eastAsia="Times New Roman" w:hAnsi="Calibri Light" w:cstheme="minorHAnsi"/>
                <w:color w:val="495965"/>
                <w:sz w:val="20"/>
                <w:szCs w:val="20"/>
                <w:lang w:eastAsia="en-AU"/>
              </w:rPr>
              <w:t>Raising the level of public health spending from a baseline of 0.5% of GDP to 3%. Reducing the maternal mortality ratio from a baseline of 276 to less than 140, including by increasing the proportion of births attended by a skilled birthing attendant from 52.1 to above 90.</w:t>
            </w:r>
          </w:p>
        </w:tc>
        <w:tc>
          <w:tcPr>
            <w:tcW w:w="2560" w:type="dxa"/>
            <w:tcBorders>
              <w:top w:val="nil"/>
              <w:left w:val="single" w:sz="4" w:space="0" w:color="auto"/>
              <w:bottom w:val="nil"/>
              <w:right w:val="single" w:sz="4" w:space="0" w:color="auto"/>
            </w:tcBorders>
            <w:shd w:val="clear" w:color="000000" w:fill="D8DCDB"/>
            <w:hideMark/>
          </w:tcPr>
          <w:p w14:paraId="78CBF3C7"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u w:val="single"/>
                <w:lang w:val="en-AU" w:eastAsia="en-AU"/>
              </w:rPr>
            </w:pPr>
            <w:r w:rsidRPr="00DB1030">
              <w:rPr>
                <w:rFonts w:ascii="Calibri Light" w:eastAsia="Times New Roman" w:hAnsi="Calibri Light" w:cstheme="minorHAnsi"/>
                <w:b/>
                <w:bCs/>
                <w:color w:val="495965"/>
                <w:sz w:val="18"/>
                <w:szCs w:val="18"/>
                <w:u w:val="single"/>
                <w:lang w:eastAsia="en-AU"/>
              </w:rPr>
              <w:t>Outcome 3</w:t>
            </w:r>
            <w:r w:rsidRPr="00DB1030">
              <w:rPr>
                <w:rFonts w:ascii="Calibri Light" w:eastAsia="Times New Roman" w:hAnsi="Calibri Light" w:cstheme="minorHAnsi"/>
                <w:b/>
                <w:bCs/>
                <w:color w:val="495965"/>
                <w:sz w:val="18"/>
                <w:szCs w:val="18"/>
                <w:lang w:eastAsia="en-AU"/>
              </w:rPr>
              <w:t>:</w:t>
            </w:r>
            <w:r w:rsidRPr="00DB1030">
              <w:rPr>
                <w:rFonts w:ascii="Calibri Light" w:eastAsia="Times New Roman" w:hAnsi="Calibri Light" w:cstheme="minorHAnsi"/>
                <w:color w:val="495965"/>
                <w:sz w:val="18"/>
                <w:szCs w:val="18"/>
                <w:lang w:eastAsia="en-AU"/>
              </w:rPr>
              <w:t xml:space="preserve"> Women and girls have better access to education, nutrition, counselling and support services  </w:t>
            </w:r>
          </w:p>
        </w:tc>
        <w:tc>
          <w:tcPr>
            <w:tcW w:w="3160" w:type="dxa"/>
            <w:tcBorders>
              <w:top w:val="nil"/>
              <w:left w:val="nil"/>
              <w:bottom w:val="nil"/>
              <w:right w:val="single" w:sz="4" w:space="0" w:color="auto"/>
            </w:tcBorders>
            <w:shd w:val="clear" w:color="auto" w:fill="auto"/>
            <w:hideMark/>
          </w:tcPr>
          <w:p w14:paraId="43540E55"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6.</w:t>
            </w:r>
            <w:r w:rsidRPr="00DB1030">
              <w:rPr>
                <w:rFonts w:ascii="Times New Roman" w:eastAsia="Times New Roman" w:hAnsi="Times New Roman" w:cs="Times New Roman"/>
                <w:color w:val="495965"/>
                <w:sz w:val="14"/>
                <w:szCs w:val="14"/>
                <w:lang w:eastAsia="en-AU"/>
              </w:rPr>
              <w:t xml:space="preserve">     </w:t>
            </w:r>
            <w:r w:rsidRPr="00DB1030">
              <w:rPr>
                <w:rFonts w:ascii="Calibri Light" w:eastAsia="Times New Roman" w:hAnsi="Calibri Light" w:cstheme="minorHAnsi"/>
                <w:color w:val="495965"/>
                <w:sz w:val="18"/>
                <w:szCs w:val="18"/>
                <w:lang w:eastAsia="en-AU"/>
              </w:rPr>
              <w:t>Number of boys and girls directly supported by the program, enrolled in basic education</w:t>
            </w:r>
            <w:r w:rsidRPr="00DB1030">
              <w:rPr>
                <w:rFonts w:ascii="Calibri Light" w:eastAsia="Times New Roman" w:hAnsi="Calibri Light" w:cstheme="minorHAnsi"/>
                <w:color w:val="495965"/>
                <w:sz w:val="18"/>
                <w:szCs w:val="18"/>
                <w:lang w:eastAsia="en-AU"/>
              </w:rPr>
              <w:br/>
              <w:t>Data Source: This is a shared outcome, as Australian aid is delivered through a Sector Wide Approach with UK Department for International Development and the Government of KP. Results and Projections shared by DFID based on the Education Management Information System</w:t>
            </w:r>
          </w:p>
        </w:tc>
        <w:tc>
          <w:tcPr>
            <w:tcW w:w="1400" w:type="dxa"/>
            <w:tcBorders>
              <w:top w:val="nil"/>
              <w:left w:val="nil"/>
              <w:bottom w:val="nil"/>
              <w:right w:val="nil"/>
            </w:tcBorders>
            <w:shd w:val="clear" w:color="auto" w:fill="auto"/>
            <w:vAlign w:val="center"/>
            <w:hideMark/>
          </w:tcPr>
          <w:p w14:paraId="0AB6A23B"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4.4m (1.9m girls)</w:t>
            </w:r>
          </w:p>
        </w:tc>
        <w:tc>
          <w:tcPr>
            <w:tcW w:w="1400" w:type="dxa"/>
            <w:tcBorders>
              <w:top w:val="nil"/>
              <w:left w:val="single" w:sz="4" w:space="0" w:color="auto"/>
              <w:bottom w:val="single" w:sz="4" w:space="0" w:color="auto"/>
              <w:right w:val="single" w:sz="4" w:space="0" w:color="auto"/>
            </w:tcBorders>
            <w:shd w:val="clear" w:color="auto" w:fill="auto"/>
            <w:vAlign w:val="center"/>
            <w:hideMark/>
          </w:tcPr>
          <w:p w14:paraId="1B7A72A0"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4.6m (2m girls)</w:t>
            </w:r>
          </w:p>
        </w:tc>
        <w:tc>
          <w:tcPr>
            <w:tcW w:w="1400" w:type="dxa"/>
            <w:tcBorders>
              <w:top w:val="nil"/>
              <w:left w:val="nil"/>
              <w:bottom w:val="nil"/>
              <w:right w:val="single" w:sz="4" w:space="0" w:color="auto"/>
            </w:tcBorders>
            <w:shd w:val="clear" w:color="auto" w:fill="auto"/>
            <w:vAlign w:val="center"/>
            <w:hideMark/>
          </w:tcPr>
          <w:p w14:paraId="438C18A6"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4.7m (2.1m girls)</w:t>
            </w:r>
          </w:p>
        </w:tc>
      </w:tr>
      <w:tr w:rsidR="00DB1030" w:rsidRPr="00DB1030" w14:paraId="1F0187ED" w14:textId="77777777" w:rsidTr="00DB1030">
        <w:trPr>
          <w:trHeight w:val="1440"/>
        </w:trPr>
        <w:tc>
          <w:tcPr>
            <w:tcW w:w="3460" w:type="dxa"/>
            <w:tcBorders>
              <w:top w:val="nil"/>
              <w:left w:val="single" w:sz="4" w:space="0" w:color="auto"/>
              <w:bottom w:val="nil"/>
              <w:right w:val="nil"/>
            </w:tcBorders>
            <w:shd w:val="clear" w:color="000000" w:fill="DDECD0"/>
            <w:hideMark/>
          </w:tcPr>
          <w:p w14:paraId="71FF9141"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Reducing infant mortality rate from a baseline of 74 to less than 40. Reducing the proportion of the population below minimum level of dietary energy consumption from 30% to below 10%.</w:t>
            </w:r>
          </w:p>
        </w:tc>
        <w:tc>
          <w:tcPr>
            <w:tcW w:w="2560" w:type="dxa"/>
            <w:tcBorders>
              <w:top w:val="nil"/>
              <w:left w:val="single" w:sz="4" w:space="0" w:color="auto"/>
              <w:bottom w:val="nil"/>
              <w:right w:val="single" w:sz="4" w:space="0" w:color="auto"/>
            </w:tcBorders>
            <w:shd w:val="clear" w:color="000000" w:fill="D8DCDB"/>
            <w:vAlign w:val="center"/>
            <w:hideMark/>
          </w:tcPr>
          <w:p w14:paraId="74746485"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u w:val="single"/>
                <w:lang w:val="en-AU" w:eastAsia="en-AU"/>
              </w:rPr>
            </w:pPr>
            <w:r w:rsidRPr="00DB1030">
              <w:rPr>
                <w:rFonts w:ascii="Calibri Light" w:eastAsia="Times New Roman" w:hAnsi="Calibri Light" w:cs="Times New Roman"/>
                <w:color w:val="495965"/>
                <w:sz w:val="18"/>
                <w:szCs w:val="18"/>
                <w:u w:val="single"/>
                <w:lang w:val="en-AU" w:eastAsia="en-AU"/>
              </w:rPr>
              <w:t> </w:t>
            </w:r>
          </w:p>
        </w:tc>
        <w:tc>
          <w:tcPr>
            <w:tcW w:w="3160" w:type="dxa"/>
            <w:tcBorders>
              <w:top w:val="single" w:sz="4" w:space="0" w:color="auto"/>
              <w:left w:val="nil"/>
              <w:bottom w:val="single" w:sz="4" w:space="0" w:color="auto"/>
              <w:right w:val="single" w:sz="4" w:space="0" w:color="auto"/>
            </w:tcBorders>
            <w:shd w:val="clear" w:color="auto" w:fill="auto"/>
            <w:hideMark/>
          </w:tcPr>
          <w:p w14:paraId="3041308A"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7.</w:t>
            </w:r>
            <w:r w:rsidRPr="00DB1030">
              <w:rPr>
                <w:rFonts w:ascii="Times New Roman" w:eastAsia="Times New Roman" w:hAnsi="Times New Roman" w:cs="Times New Roman"/>
                <w:color w:val="495965"/>
                <w:sz w:val="14"/>
                <w:szCs w:val="14"/>
                <w:lang w:eastAsia="en-AU"/>
              </w:rPr>
              <w:t xml:space="preserve">     </w:t>
            </w:r>
            <w:r w:rsidRPr="00DB1030">
              <w:rPr>
                <w:rFonts w:ascii="Calibri Light" w:eastAsia="Times New Roman" w:hAnsi="Calibri Light" w:cstheme="minorHAnsi"/>
                <w:color w:val="495965"/>
                <w:sz w:val="18"/>
                <w:szCs w:val="18"/>
                <w:lang w:eastAsia="en-AU"/>
              </w:rPr>
              <w:t>No of eligible women, adolescent girls and children under five in target districts receiving nutrition-related services</w:t>
            </w:r>
            <w:r w:rsidRPr="00DB1030">
              <w:rPr>
                <w:rFonts w:ascii="Calibri Light" w:eastAsia="Times New Roman" w:hAnsi="Calibri Light" w:cstheme="minorHAnsi"/>
                <w:color w:val="495965"/>
                <w:sz w:val="18"/>
                <w:szCs w:val="18"/>
                <w:lang w:eastAsia="en-AU"/>
              </w:rPr>
              <w:br/>
              <w:t>Data source: MDTF-N Annual and Periodic Reporting</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FEFD91A"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77,970</w:t>
            </w:r>
          </w:p>
        </w:tc>
        <w:tc>
          <w:tcPr>
            <w:tcW w:w="1400" w:type="dxa"/>
            <w:tcBorders>
              <w:top w:val="nil"/>
              <w:left w:val="nil"/>
              <w:bottom w:val="single" w:sz="4" w:space="0" w:color="auto"/>
              <w:right w:val="single" w:sz="4" w:space="0" w:color="auto"/>
            </w:tcBorders>
            <w:shd w:val="clear" w:color="auto" w:fill="auto"/>
            <w:vAlign w:val="center"/>
            <w:hideMark/>
          </w:tcPr>
          <w:p w14:paraId="3F689269"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80,000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9C5A96D"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100,000</w:t>
            </w:r>
          </w:p>
        </w:tc>
      </w:tr>
      <w:tr w:rsidR="00DB1030" w:rsidRPr="00DB1030" w14:paraId="12A61C70" w14:textId="77777777" w:rsidTr="00DB1030">
        <w:trPr>
          <w:trHeight w:val="1920"/>
        </w:trPr>
        <w:tc>
          <w:tcPr>
            <w:tcW w:w="3460" w:type="dxa"/>
            <w:tcBorders>
              <w:top w:val="nil"/>
              <w:left w:val="single" w:sz="4" w:space="0" w:color="auto"/>
              <w:bottom w:val="nil"/>
              <w:right w:val="nil"/>
            </w:tcBorders>
            <w:shd w:val="clear" w:color="000000" w:fill="DDECD0"/>
            <w:vAlign w:val="center"/>
            <w:hideMark/>
          </w:tcPr>
          <w:p w14:paraId="18C853F6"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Raising the level of public education expenditure from a baseline of 2% of GDP to 4%. Increasing primary school enrolment and completion rates to 100% and literacy rate to 90%, and improving teacher training and education governance.  Increasing gender parity in education – to 1.0 on the gender parity index.</w:t>
            </w:r>
          </w:p>
        </w:tc>
        <w:tc>
          <w:tcPr>
            <w:tcW w:w="2560" w:type="dxa"/>
            <w:tcBorders>
              <w:top w:val="nil"/>
              <w:left w:val="single" w:sz="4" w:space="0" w:color="auto"/>
              <w:bottom w:val="nil"/>
              <w:right w:val="single" w:sz="4" w:space="0" w:color="auto"/>
            </w:tcBorders>
            <w:shd w:val="clear" w:color="000000" w:fill="D8DCDB"/>
            <w:vAlign w:val="center"/>
            <w:hideMark/>
          </w:tcPr>
          <w:p w14:paraId="5849B512"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u w:val="single"/>
                <w:lang w:val="en-AU" w:eastAsia="en-AU"/>
              </w:rPr>
            </w:pPr>
            <w:r w:rsidRPr="00DB1030">
              <w:rPr>
                <w:rFonts w:ascii="Calibri Light" w:eastAsia="Times New Roman" w:hAnsi="Calibri Light" w:cs="Times New Roman"/>
                <w:color w:val="495965"/>
                <w:sz w:val="18"/>
                <w:szCs w:val="18"/>
                <w:u w:val="single"/>
                <w:lang w:val="en-AU" w:eastAsia="en-AU"/>
              </w:rPr>
              <w:t> </w:t>
            </w:r>
          </w:p>
        </w:tc>
        <w:tc>
          <w:tcPr>
            <w:tcW w:w="3160" w:type="dxa"/>
            <w:tcBorders>
              <w:top w:val="nil"/>
              <w:left w:val="nil"/>
              <w:bottom w:val="single" w:sz="4" w:space="0" w:color="auto"/>
              <w:right w:val="single" w:sz="4" w:space="0" w:color="auto"/>
            </w:tcBorders>
            <w:shd w:val="clear" w:color="auto" w:fill="auto"/>
            <w:hideMark/>
          </w:tcPr>
          <w:p w14:paraId="1EB44FEE"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8.</w:t>
            </w:r>
            <w:r w:rsidRPr="00DB1030">
              <w:rPr>
                <w:rFonts w:ascii="Times New Roman" w:eastAsia="Times New Roman" w:hAnsi="Times New Roman" w:cs="Times New Roman"/>
                <w:color w:val="495965"/>
                <w:sz w:val="14"/>
                <w:szCs w:val="14"/>
                <w:lang w:eastAsia="en-AU"/>
              </w:rPr>
              <w:t xml:space="preserve">     </w:t>
            </w:r>
            <w:r w:rsidRPr="00DB1030">
              <w:rPr>
                <w:rFonts w:ascii="Calibri Light" w:eastAsia="Times New Roman" w:hAnsi="Calibri Light" w:cstheme="minorHAnsi"/>
                <w:color w:val="495965"/>
                <w:sz w:val="18"/>
                <w:szCs w:val="18"/>
                <w:lang w:eastAsia="en-AU"/>
              </w:rPr>
              <w:t>Number of women survivors of violence receiving services such as counselling (ADR)</w:t>
            </w:r>
            <w:r w:rsidRPr="00DB1030">
              <w:rPr>
                <w:rFonts w:ascii="Calibri Light" w:eastAsia="Times New Roman" w:hAnsi="Calibri Light" w:cstheme="minorHAnsi"/>
                <w:color w:val="495965"/>
                <w:sz w:val="18"/>
                <w:szCs w:val="18"/>
                <w:lang w:eastAsia="en-AU"/>
              </w:rPr>
              <w:br/>
              <w:t xml:space="preserve">Data source: Trocaire progress reports </w:t>
            </w:r>
          </w:p>
        </w:tc>
        <w:tc>
          <w:tcPr>
            <w:tcW w:w="1400" w:type="dxa"/>
            <w:tcBorders>
              <w:top w:val="nil"/>
              <w:left w:val="nil"/>
              <w:bottom w:val="single" w:sz="4" w:space="0" w:color="auto"/>
              <w:right w:val="single" w:sz="4" w:space="0" w:color="auto"/>
            </w:tcBorders>
            <w:shd w:val="clear" w:color="auto" w:fill="auto"/>
            <w:vAlign w:val="center"/>
            <w:hideMark/>
          </w:tcPr>
          <w:p w14:paraId="066B0F84"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1800</w:t>
            </w:r>
          </w:p>
        </w:tc>
        <w:tc>
          <w:tcPr>
            <w:tcW w:w="1400" w:type="dxa"/>
            <w:tcBorders>
              <w:top w:val="nil"/>
              <w:left w:val="nil"/>
              <w:bottom w:val="single" w:sz="4" w:space="0" w:color="auto"/>
              <w:right w:val="single" w:sz="4" w:space="0" w:color="auto"/>
            </w:tcBorders>
            <w:shd w:val="clear" w:color="auto" w:fill="auto"/>
            <w:vAlign w:val="center"/>
            <w:hideMark/>
          </w:tcPr>
          <w:p w14:paraId="543EFB51"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2000</w:t>
            </w:r>
          </w:p>
        </w:tc>
        <w:tc>
          <w:tcPr>
            <w:tcW w:w="1400" w:type="dxa"/>
            <w:tcBorders>
              <w:top w:val="nil"/>
              <w:left w:val="nil"/>
              <w:bottom w:val="single" w:sz="4" w:space="0" w:color="auto"/>
              <w:right w:val="single" w:sz="4" w:space="0" w:color="auto"/>
            </w:tcBorders>
            <w:shd w:val="clear" w:color="auto" w:fill="auto"/>
            <w:vAlign w:val="center"/>
            <w:hideMark/>
          </w:tcPr>
          <w:p w14:paraId="0F3C2D64"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TBC</w:t>
            </w:r>
          </w:p>
        </w:tc>
      </w:tr>
      <w:tr w:rsidR="00DB1030" w:rsidRPr="00DB1030" w14:paraId="13C26EBE" w14:textId="77777777" w:rsidTr="00DB1030">
        <w:trPr>
          <w:trHeight w:val="720"/>
        </w:trPr>
        <w:tc>
          <w:tcPr>
            <w:tcW w:w="3460" w:type="dxa"/>
            <w:tcBorders>
              <w:top w:val="nil"/>
              <w:left w:val="single" w:sz="4" w:space="0" w:color="auto"/>
              <w:bottom w:val="single" w:sz="4" w:space="0" w:color="FFFFFF" w:themeColor="background1"/>
              <w:right w:val="nil"/>
            </w:tcBorders>
            <w:shd w:val="clear" w:color="000000" w:fill="DDECD0"/>
            <w:vAlign w:val="center"/>
            <w:hideMark/>
          </w:tcPr>
          <w:p w14:paraId="099DB6A1"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20"/>
                <w:szCs w:val="20"/>
                <w:lang w:val="en-AU" w:eastAsia="en-AU"/>
              </w:rPr>
            </w:pPr>
            <w:r w:rsidRPr="00DB1030">
              <w:rPr>
                <w:rFonts w:ascii="Calibri Light" w:eastAsia="Times New Roman" w:hAnsi="Calibri Light" w:cstheme="minorHAnsi"/>
                <w:color w:val="495965"/>
                <w:sz w:val="20"/>
                <w:szCs w:val="20"/>
                <w:lang w:eastAsia="en-AU"/>
              </w:rPr>
              <w:t> </w:t>
            </w:r>
          </w:p>
        </w:tc>
        <w:tc>
          <w:tcPr>
            <w:tcW w:w="2560" w:type="dxa"/>
            <w:tcBorders>
              <w:top w:val="nil"/>
              <w:left w:val="single" w:sz="4" w:space="0" w:color="auto"/>
              <w:bottom w:val="single" w:sz="4" w:space="0" w:color="FFFFFF" w:themeColor="background1"/>
              <w:right w:val="single" w:sz="4" w:space="0" w:color="auto"/>
            </w:tcBorders>
            <w:shd w:val="clear" w:color="000000" w:fill="D8DCDB"/>
            <w:vAlign w:val="center"/>
            <w:hideMark/>
          </w:tcPr>
          <w:p w14:paraId="0273EBF9"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u w:val="single"/>
                <w:lang w:val="en-AU" w:eastAsia="en-AU"/>
              </w:rPr>
            </w:pPr>
            <w:r w:rsidRPr="00DB1030">
              <w:rPr>
                <w:rFonts w:ascii="Calibri Light" w:eastAsia="Times New Roman" w:hAnsi="Calibri Light" w:cs="Times New Roman"/>
                <w:color w:val="495965"/>
                <w:sz w:val="18"/>
                <w:szCs w:val="18"/>
                <w:u w:val="single"/>
                <w:lang w:val="en-AU" w:eastAsia="en-AU"/>
              </w:rPr>
              <w:t> </w:t>
            </w:r>
          </w:p>
        </w:tc>
        <w:tc>
          <w:tcPr>
            <w:tcW w:w="3160" w:type="dxa"/>
            <w:tcBorders>
              <w:top w:val="nil"/>
              <w:left w:val="nil"/>
              <w:bottom w:val="single" w:sz="4" w:space="0" w:color="FFFFFF" w:themeColor="background1"/>
              <w:right w:val="single" w:sz="4" w:space="0" w:color="auto"/>
            </w:tcBorders>
            <w:shd w:val="clear" w:color="000000" w:fill="FFFFFF"/>
            <w:vAlign w:val="center"/>
            <w:hideMark/>
          </w:tcPr>
          <w:p w14:paraId="34306CC0"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9.</w:t>
            </w:r>
            <w:r w:rsidRPr="00DB1030">
              <w:rPr>
                <w:rFonts w:ascii="Times New Roman" w:eastAsia="Times New Roman" w:hAnsi="Times New Roman" w:cs="Times New Roman"/>
                <w:color w:val="495965"/>
                <w:sz w:val="14"/>
                <w:szCs w:val="14"/>
                <w:lang w:eastAsia="en-AU"/>
              </w:rPr>
              <w:t xml:space="preserve">     </w:t>
            </w:r>
            <w:r w:rsidRPr="00DB1030">
              <w:rPr>
                <w:rFonts w:ascii="Calibri Light" w:eastAsia="Times New Roman" w:hAnsi="Calibri Light" w:cstheme="minorHAnsi"/>
                <w:color w:val="495965"/>
                <w:sz w:val="18"/>
                <w:szCs w:val="18"/>
                <w:lang w:eastAsia="en-AU"/>
              </w:rPr>
              <w:t>Percentage of women awarded scholarships/short course awards</w:t>
            </w:r>
            <w:r w:rsidRPr="00DB1030">
              <w:rPr>
                <w:rFonts w:ascii="Calibri Light" w:eastAsia="Times New Roman" w:hAnsi="Calibri Light" w:cstheme="minorHAnsi"/>
                <w:color w:val="495965"/>
                <w:sz w:val="18"/>
                <w:szCs w:val="18"/>
                <w:lang w:eastAsia="en-AU"/>
              </w:rPr>
              <w:br/>
              <w:t>Data Source: Australia Awards</w:t>
            </w:r>
          </w:p>
        </w:tc>
        <w:tc>
          <w:tcPr>
            <w:tcW w:w="1400" w:type="dxa"/>
            <w:tcBorders>
              <w:top w:val="nil"/>
              <w:left w:val="nil"/>
              <w:bottom w:val="single" w:sz="4" w:space="0" w:color="FFFFFF" w:themeColor="background1"/>
              <w:right w:val="single" w:sz="4" w:space="0" w:color="auto"/>
            </w:tcBorders>
            <w:shd w:val="clear" w:color="000000" w:fill="FFFFFF"/>
            <w:vAlign w:val="center"/>
            <w:hideMark/>
          </w:tcPr>
          <w:p w14:paraId="40C8CB8F"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50%</w:t>
            </w:r>
          </w:p>
        </w:tc>
        <w:tc>
          <w:tcPr>
            <w:tcW w:w="1400" w:type="dxa"/>
            <w:tcBorders>
              <w:top w:val="nil"/>
              <w:left w:val="nil"/>
              <w:bottom w:val="single" w:sz="4" w:space="0" w:color="FFFFFF" w:themeColor="background1"/>
              <w:right w:val="single" w:sz="4" w:space="0" w:color="auto"/>
            </w:tcBorders>
            <w:shd w:val="clear" w:color="000000" w:fill="FFFFFF"/>
            <w:vAlign w:val="center"/>
            <w:hideMark/>
          </w:tcPr>
          <w:p w14:paraId="7235F434"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50%</w:t>
            </w:r>
          </w:p>
        </w:tc>
        <w:tc>
          <w:tcPr>
            <w:tcW w:w="1400" w:type="dxa"/>
            <w:tcBorders>
              <w:top w:val="nil"/>
              <w:left w:val="nil"/>
              <w:bottom w:val="single" w:sz="4" w:space="0" w:color="FFFFFF" w:themeColor="background1"/>
              <w:right w:val="single" w:sz="4" w:space="0" w:color="auto"/>
            </w:tcBorders>
            <w:shd w:val="clear" w:color="000000" w:fill="FFFFFF"/>
            <w:vAlign w:val="center"/>
            <w:hideMark/>
          </w:tcPr>
          <w:p w14:paraId="1AE66521"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50%</w:t>
            </w:r>
          </w:p>
        </w:tc>
      </w:tr>
    </w:tbl>
    <w:p w14:paraId="014EE2AB" w14:textId="77777777" w:rsidR="00DB1030" w:rsidRDefault="00DB1030">
      <w:r>
        <w:br w:type="page"/>
      </w:r>
    </w:p>
    <w:tbl>
      <w:tblPr>
        <w:tblW w:w="13380" w:type="dxa"/>
        <w:tblLook w:val="04A0" w:firstRow="1" w:lastRow="0" w:firstColumn="1" w:lastColumn="0" w:noHBand="0" w:noVBand="1"/>
      </w:tblPr>
      <w:tblGrid>
        <w:gridCol w:w="3460"/>
        <w:gridCol w:w="2560"/>
        <w:gridCol w:w="3160"/>
        <w:gridCol w:w="1400"/>
        <w:gridCol w:w="1400"/>
        <w:gridCol w:w="1400"/>
      </w:tblGrid>
      <w:tr w:rsidR="00DB1030" w:rsidRPr="00DB1030" w14:paraId="3BE6D954" w14:textId="77777777" w:rsidTr="00DB1030">
        <w:trPr>
          <w:trHeight w:val="1680"/>
        </w:trPr>
        <w:tc>
          <w:tcPr>
            <w:tcW w:w="3460" w:type="dxa"/>
            <w:tcBorders>
              <w:top w:val="single" w:sz="4" w:space="0" w:color="FFFFFF" w:themeColor="background1"/>
              <w:left w:val="single" w:sz="4" w:space="0" w:color="auto"/>
              <w:bottom w:val="nil"/>
              <w:right w:val="single" w:sz="4" w:space="0" w:color="auto"/>
            </w:tcBorders>
            <w:shd w:val="clear" w:color="000000" w:fill="DDECD0"/>
            <w:hideMark/>
          </w:tcPr>
          <w:p w14:paraId="251F3B01" w14:textId="77777777" w:rsidR="00DB1030" w:rsidRPr="00DB1030" w:rsidRDefault="00DB1030" w:rsidP="00DB1030">
            <w:pPr>
              <w:suppressAutoHyphens w:val="0"/>
              <w:spacing w:before="0" w:after="0" w:line="240" w:lineRule="auto"/>
              <w:rPr>
                <w:rFonts w:ascii="Calibri" w:eastAsia="Times New Roman" w:hAnsi="Calibri" w:cs="Times New Roman"/>
                <w:color w:val="000000"/>
                <w:lang w:val="en-AU" w:eastAsia="en-AU"/>
              </w:rPr>
            </w:pPr>
            <w:r w:rsidRPr="00DB1030">
              <w:rPr>
                <w:rFonts w:ascii="Calibri" w:eastAsia="Times New Roman" w:hAnsi="Calibri" w:cs="Times New Roman"/>
                <w:color w:val="000000"/>
                <w:lang w:val="en-AU" w:eastAsia="en-AU"/>
              </w:rPr>
              <w:lastRenderedPageBreak/>
              <w:t> </w:t>
            </w:r>
          </w:p>
        </w:tc>
        <w:tc>
          <w:tcPr>
            <w:tcW w:w="2560" w:type="dxa"/>
            <w:tcBorders>
              <w:top w:val="single" w:sz="4" w:space="0" w:color="FFFFFF" w:themeColor="background1"/>
              <w:left w:val="nil"/>
              <w:bottom w:val="nil"/>
              <w:right w:val="single" w:sz="4" w:space="0" w:color="auto"/>
            </w:tcBorders>
            <w:shd w:val="clear" w:color="000000" w:fill="D8DCDB"/>
            <w:vAlign w:val="center"/>
            <w:hideMark/>
          </w:tcPr>
          <w:p w14:paraId="3A274FE2"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u w:val="single"/>
                <w:lang w:val="en-AU" w:eastAsia="en-AU"/>
              </w:rPr>
            </w:pPr>
            <w:r w:rsidRPr="00DB1030">
              <w:rPr>
                <w:rFonts w:ascii="Calibri Light" w:eastAsia="Times New Roman" w:hAnsi="Calibri Light" w:cstheme="minorHAnsi"/>
                <w:b/>
                <w:bCs/>
                <w:color w:val="495965"/>
                <w:sz w:val="18"/>
                <w:szCs w:val="18"/>
                <w:u w:val="single"/>
                <w:lang w:eastAsia="en-AU"/>
              </w:rPr>
              <w:t>Outcome 4:</w:t>
            </w:r>
            <w:r w:rsidRPr="00DB1030">
              <w:rPr>
                <w:rFonts w:ascii="Calibri Light" w:eastAsia="Times New Roman" w:hAnsi="Calibri Light" w:cstheme="minorHAnsi"/>
                <w:color w:val="495965"/>
                <w:sz w:val="18"/>
                <w:szCs w:val="18"/>
                <w:lang w:eastAsia="en-AU"/>
              </w:rPr>
              <w:t xml:space="preserve"> Governments are adopting policy reforms around inclusive education, nutrition and EVAW as a result of Australian engagement</w:t>
            </w:r>
          </w:p>
        </w:tc>
        <w:tc>
          <w:tcPr>
            <w:tcW w:w="3160" w:type="dxa"/>
            <w:tcBorders>
              <w:top w:val="single" w:sz="4" w:space="0" w:color="FFFFFF" w:themeColor="background1"/>
              <w:left w:val="nil"/>
              <w:bottom w:val="nil"/>
              <w:right w:val="single" w:sz="4" w:space="0" w:color="auto"/>
            </w:tcBorders>
            <w:shd w:val="clear" w:color="auto" w:fill="auto"/>
            <w:hideMark/>
          </w:tcPr>
          <w:p w14:paraId="113065A0"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10.</w:t>
            </w:r>
            <w:r w:rsidRPr="00DB1030">
              <w:rPr>
                <w:rFonts w:ascii="Times New Roman" w:eastAsia="Times New Roman" w:hAnsi="Times New Roman" w:cs="Times New Roman"/>
                <w:color w:val="495965"/>
                <w:sz w:val="14"/>
                <w:szCs w:val="14"/>
                <w:lang w:eastAsia="en-AU"/>
              </w:rPr>
              <w:t xml:space="preserve">  </w:t>
            </w:r>
            <w:r w:rsidRPr="00DB1030">
              <w:rPr>
                <w:rFonts w:ascii="Calibri Light" w:eastAsia="Times New Roman" w:hAnsi="Calibri Light" w:cstheme="minorHAnsi"/>
                <w:color w:val="495965"/>
                <w:sz w:val="18"/>
                <w:szCs w:val="18"/>
                <w:lang w:eastAsia="en-AU"/>
              </w:rPr>
              <w:t xml:space="preserve"> Evidence that Australian engagement has contributed to policy reform on education, nutrition and EVAW </w:t>
            </w:r>
            <w:r w:rsidRPr="00DB1030">
              <w:rPr>
                <w:rFonts w:ascii="Calibri Light" w:eastAsia="Times New Roman" w:hAnsi="Calibri Light" w:cstheme="minorHAnsi"/>
                <w:color w:val="495965"/>
                <w:sz w:val="18"/>
                <w:szCs w:val="18"/>
                <w:lang w:eastAsia="en-AU"/>
              </w:rPr>
              <w:br/>
              <w:t xml:space="preserve">Data Source: KESP, WFP Food Fortification (Six-monthly report), MDTF-N annual/periodic reporting, EVAW </w:t>
            </w:r>
          </w:p>
        </w:tc>
        <w:tc>
          <w:tcPr>
            <w:tcW w:w="1400" w:type="dxa"/>
            <w:tcBorders>
              <w:top w:val="single" w:sz="4" w:space="0" w:color="FFFFFF" w:themeColor="background1"/>
              <w:left w:val="nil"/>
              <w:bottom w:val="nil"/>
              <w:right w:val="single" w:sz="4" w:space="0" w:color="auto"/>
            </w:tcBorders>
            <w:shd w:val="clear" w:color="auto" w:fill="auto"/>
            <w:vAlign w:val="center"/>
            <w:hideMark/>
          </w:tcPr>
          <w:p w14:paraId="08B75A69"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Qualitative Assessment</w:t>
            </w:r>
          </w:p>
        </w:tc>
        <w:tc>
          <w:tcPr>
            <w:tcW w:w="1400" w:type="dxa"/>
            <w:tcBorders>
              <w:top w:val="single" w:sz="4" w:space="0" w:color="FFFFFF" w:themeColor="background1"/>
              <w:left w:val="nil"/>
              <w:bottom w:val="nil"/>
              <w:right w:val="single" w:sz="4" w:space="0" w:color="auto"/>
            </w:tcBorders>
            <w:shd w:val="clear" w:color="auto" w:fill="auto"/>
            <w:vAlign w:val="center"/>
            <w:hideMark/>
          </w:tcPr>
          <w:p w14:paraId="7D1412DB"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Nutrition: National Fortification Standards agreed.</w:t>
            </w:r>
          </w:p>
        </w:tc>
        <w:tc>
          <w:tcPr>
            <w:tcW w:w="1400" w:type="dxa"/>
            <w:tcBorders>
              <w:top w:val="single" w:sz="4" w:space="0" w:color="FFFFFF" w:themeColor="background1"/>
              <w:left w:val="nil"/>
              <w:bottom w:val="nil"/>
              <w:right w:val="single" w:sz="4" w:space="0" w:color="auto"/>
            </w:tcBorders>
            <w:shd w:val="clear" w:color="000000" w:fill="FFFFFF"/>
            <w:vAlign w:val="center"/>
            <w:hideMark/>
          </w:tcPr>
          <w:p w14:paraId="06245BEA"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TBC</w:t>
            </w:r>
          </w:p>
        </w:tc>
      </w:tr>
      <w:tr w:rsidR="00DB1030" w:rsidRPr="00DB1030" w14:paraId="172B68B5" w14:textId="77777777" w:rsidTr="00DB1030">
        <w:trPr>
          <w:trHeight w:val="300"/>
        </w:trPr>
        <w:tc>
          <w:tcPr>
            <w:tcW w:w="13380" w:type="dxa"/>
            <w:gridSpan w:val="6"/>
            <w:tcBorders>
              <w:top w:val="single" w:sz="4" w:space="0" w:color="auto"/>
              <w:left w:val="single" w:sz="4" w:space="0" w:color="auto"/>
              <w:bottom w:val="single" w:sz="4" w:space="0" w:color="auto"/>
              <w:right w:val="single" w:sz="4" w:space="0" w:color="000000"/>
            </w:tcBorders>
            <w:shd w:val="clear" w:color="000000" w:fill="E0F3EF"/>
            <w:vAlign w:val="center"/>
            <w:hideMark/>
          </w:tcPr>
          <w:p w14:paraId="222C43A2"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b/>
                <w:bCs/>
                <w:color w:val="495965"/>
                <w:sz w:val="20"/>
                <w:szCs w:val="20"/>
                <w:lang w:val="en-AU" w:eastAsia="en-AU"/>
              </w:rPr>
            </w:pPr>
            <w:r w:rsidRPr="00DB1030">
              <w:rPr>
                <w:rFonts w:ascii="Calibri Light" w:eastAsia="Times New Roman" w:hAnsi="Calibri Light" w:cstheme="minorHAnsi"/>
                <w:b/>
                <w:bCs/>
                <w:color w:val="495965"/>
                <w:sz w:val="20"/>
                <w:szCs w:val="20"/>
                <w:lang w:eastAsia="en-AU"/>
              </w:rPr>
              <w:t>Strategic Objective 3: Supporting Stabilisation and Resilience</w:t>
            </w:r>
          </w:p>
        </w:tc>
      </w:tr>
      <w:tr w:rsidR="00DB1030" w:rsidRPr="00DB1030" w14:paraId="3E525CAD" w14:textId="77777777" w:rsidTr="00DB1030">
        <w:trPr>
          <w:trHeight w:val="1440"/>
        </w:trPr>
        <w:tc>
          <w:tcPr>
            <w:tcW w:w="3460" w:type="dxa"/>
            <w:tcBorders>
              <w:top w:val="nil"/>
              <w:left w:val="single" w:sz="4" w:space="0" w:color="auto"/>
              <w:bottom w:val="nil"/>
              <w:right w:val="nil"/>
            </w:tcBorders>
            <w:shd w:val="clear" w:color="000000" w:fill="DDECD0"/>
            <w:hideMark/>
          </w:tcPr>
          <w:p w14:paraId="775CACD6" w14:textId="77777777" w:rsidR="00DB1030" w:rsidRPr="00DB1030" w:rsidRDefault="00DB1030" w:rsidP="00DB1030">
            <w:pPr>
              <w:suppressAutoHyphens w:val="0"/>
              <w:spacing w:before="0" w:after="0" w:line="240" w:lineRule="auto"/>
              <w:rPr>
                <w:rFonts w:ascii="Calibri Light" w:eastAsia="Times New Roman" w:hAnsi="Calibri Light" w:cs="Times New Roman"/>
                <w:b/>
                <w:bCs/>
                <w:color w:val="495965"/>
                <w:sz w:val="20"/>
                <w:szCs w:val="20"/>
                <w:lang w:val="en-AU" w:eastAsia="en-AU"/>
              </w:rPr>
            </w:pPr>
            <w:r w:rsidRPr="00DB1030">
              <w:rPr>
                <w:rFonts w:ascii="Calibri Light" w:eastAsia="Times New Roman" w:hAnsi="Calibri Light" w:cstheme="minorHAnsi"/>
                <w:b/>
                <w:bCs/>
                <w:color w:val="495965"/>
                <w:sz w:val="20"/>
                <w:szCs w:val="20"/>
                <w:lang w:eastAsia="en-AU"/>
              </w:rPr>
              <w:t>Pillar 3 - Democratic Governance, Institutional Reform &amp; Modernization of the Public Sector</w:t>
            </w:r>
          </w:p>
        </w:tc>
        <w:tc>
          <w:tcPr>
            <w:tcW w:w="2560" w:type="dxa"/>
            <w:tcBorders>
              <w:top w:val="nil"/>
              <w:left w:val="single" w:sz="4" w:space="0" w:color="auto"/>
              <w:bottom w:val="nil"/>
              <w:right w:val="single" w:sz="4" w:space="0" w:color="auto"/>
            </w:tcBorders>
            <w:shd w:val="clear" w:color="000000" w:fill="D8DCDB"/>
            <w:vAlign w:val="center"/>
            <w:hideMark/>
          </w:tcPr>
          <w:p w14:paraId="395F79B7"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u w:val="single"/>
                <w:lang w:val="en-AU" w:eastAsia="en-AU"/>
              </w:rPr>
            </w:pPr>
            <w:r w:rsidRPr="00DB1030">
              <w:rPr>
                <w:rFonts w:ascii="Calibri Light" w:eastAsia="Times New Roman" w:hAnsi="Calibri Light" w:cstheme="minorHAnsi"/>
                <w:b/>
                <w:bCs/>
                <w:color w:val="495965"/>
                <w:sz w:val="18"/>
                <w:szCs w:val="18"/>
                <w:u w:val="single"/>
                <w:lang w:eastAsia="en-AU"/>
              </w:rPr>
              <w:t>Outcome 5</w:t>
            </w:r>
            <w:r w:rsidRPr="00DB1030">
              <w:rPr>
                <w:rFonts w:ascii="Calibri Light" w:eastAsia="Times New Roman" w:hAnsi="Calibri Light" w:cstheme="minorHAnsi"/>
                <w:color w:val="495965"/>
                <w:sz w:val="18"/>
                <w:szCs w:val="18"/>
                <w:lang w:eastAsia="en-AU"/>
              </w:rPr>
              <w:t>: Enhanced Stability in Pakistan’s border areas</w:t>
            </w:r>
          </w:p>
        </w:tc>
        <w:tc>
          <w:tcPr>
            <w:tcW w:w="3160" w:type="dxa"/>
            <w:tcBorders>
              <w:top w:val="nil"/>
              <w:left w:val="nil"/>
              <w:bottom w:val="single" w:sz="4" w:space="0" w:color="auto"/>
              <w:right w:val="single" w:sz="4" w:space="0" w:color="auto"/>
            </w:tcBorders>
            <w:shd w:val="clear" w:color="000000" w:fill="FFFFFF"/>
            <w:vAlign w:val="center"/>
            <w:hideMark/>
          </w:tcPr>
          <w:p w14:paraId="1ECD3195"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11.</w:t>
            </w:r>
            <w:r w:rsidRPr="00DB1030">
              <w:rPr>
                <w:rFonts w:ascii="Times New Roman" w:eastAsia="Times New Roman" w:hAnsi="Times New Roman" w:cs="Times New Roman"/>
                <w:color w:val="495965"/>
                <w:sz w:val="14"/>
                <w:szCs w:val="14"/>
                <w:lang w:eastAsia="en-AU"/>
              </w:rPr>
              <w:t xml:space="preserve">  </w:t>
            </w:r>
            <w:r w:rsidRPr="00DB1030">
              <w:rPr>
                <w:rFonts w:ascii="Calibri Light" w:eastAsia="Times New Roman" w:hAnsi="Calibri Light" w:cstheme="minorHAnsi"/>
                <w:color w:val="495965"/>
                <w:sz w:val="18"/>
                <w:szCs w:val="18"/>
                <w:lang w:eastAsia="en-AU"/>
              </w:rPr>
              <w:t xml:space="preserve"> # of additional women and men benefiting from improved services, local infrastructure and livelihoods opportunities in areas affected by conflict and natural disaster</w:t>
            </w:r>
            <w:r w:rsidRPr="00DB1030">
              <w:rPr>
                <w:rFonts w:ascii="Calibri Light" w:eastAsia="Times New Roman" w:hAnsi="Calibri Light" w:cstheme="minorHAnsi"/>
                <w:color w:val="495965"/>
                <w:sz w:val="18"/>
                <w:szCs w:val="18"/>
                <w:lang w:eastAsia="en-AU"/>
              </w:rPr>
              <w:br/>
              <w:t>Data source: MDTF-BA Annual Report</w:t>
            </w:r>
          </w:p>
        </w:tc>
        <w:tc>
          <w:tcPr>
            <w:tcW w:w="1400" w:type="dxa"/>
            <w:tcBorders>
              <w:top w:val="nil"/>
              <w:left w:val="nil"/>
              <w:bottom w:val="single" w:sz="4" w:space="0" w:color="auto"/>
              <w:right w:val="single" w:sz="4" w:space="0" w:color="auto"/>
            </w:tcBorders>
            <w:shd w:val="clear" w:color="000000" w:fill="FFFFFF"/>
            <w:vAlign w:val="center"/>
            <w:hideMark/>
          </w:tcPr>
          <w:p w14:paraId="40F3DB46"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35,000</w:t>
            </w:r>
          </w:p>
        </w:tc>
        <w:tc>
          <w:tcPr>
            <w:tcW w:w="1400" w:type="dxa"/>
            <w:tcBorders>
              <w:top w:val="nil"/>
              <w:left w:val="nil"/>
              <w:bottom w:val="single" w:sz="4" w:space="0" w:color="auto"/>
              <w:right w:val="single" w:sz="4" w:space="0" w:color="auto"/>
            </w:tcBorders>
            <w:shd w:val="clear" w:color="000000" w:fill="FFFFFF"/>
            <w:vAlign w:val="center"/>
            <w:hideMark/>
          </w:tcPr>
          <w:p w14:paraId="662FE478"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175,000</w:t>
            </w:r>
          </w:p>
        </w:tc>
        <w:tc>
          <w:tcPr>
            <w:tcW w:w="1400" w:type="dxa"/>
            <w:tcBorders>
              <w:top w:val="nil"/>
              <w:left w:val="nil"/>
              <w:bottom w:val="single" w:sz="4" w:space="0" w:color="auto"/>
              <w:right w:val="single" w:sz="4" w:space="0" w:color="auto"/>
            </w:tcBorders>
            <w:shd w:val="clear" w:color="auto" w:fill="auto"/>
            <w:vAlign w:val="center"/>
            <w:hideMark/>
          </w:tcPr>
          <w:p w14:paraId="565CB9D7"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185,000</w:t>
            </w:r>
          </w:p>
        </w:tc>
      </w:tr>
      <w:tr w:rsidR="00DB1030" w:rsidRPr="00DB1030" w14:paraId="23F76854" w14:textId="77777777" w:rsidTr="00DB1030">
        <w:trPr>
          <w:trHeight w:val="1680"/>
        </w:trPr>
        <w:tc>
          <w:tcPr>
            <w:tcW w:w="3460" w:type="dxa"/>
            <w:tcBorders>
              <w:top w:val="nil"/>
              <w:left w:val="single" w:sz="4" w:space="0" w:color="auto"/>
              <w:bottom w:val="nil"/>
              <w:right w:val="nil"/>
            </w:tcBorders>
            <w:shd w:val="clear" w:color="000000" w:fill="DDECD0"/>
            <w:vAlign w:val="center"/>
            <w:hideMark/>
          </w:tcPr>
          <w:p w14:paraId="78BA1E14"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Place in the top 50th percentile for Political Stability (from bottom 1 percentile), No Violence/Terrorism (from bottom 1 percentile), and Control of Corruption (from bottom 13th percentile) as measured by the World Bank’s Worldwide Governance Indicators.</w:t>
            </w:r>
          </w:p>
        </w:tc>
        <w:tc>
          <w:tcPr>
            <w:tcW w:w="2560" w:type="dxa"/>
            <w:tcBorders>
              <w:top w:val="nil"/>
              <w:left w:val="single" w:sz="4" w:space="0" w:color="auto"/>
              <w:bottom w:val="single" w:sz="4" w:space="0" w:color="auto"/>
              <w:right w:val="single" w:sz="4" w:space="0" w:color="auto"/>
            </w:tcBorders>
            <w:shd w:val="clear" w:color="000000" w:fill="D8DCDB"/>
            <w:vAlign w:val="center"/>
            <w:hideMark/>
          </w:tcPr>
          <w:p w14:paraId="1720DF2D"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u w:val="single"/>
                <w:lang w:val="en-AU" w:eastAsia="en-AU"/>
              </w:rPr>
            </w:pPr>
            <w:r w:rsidRPr="00DB1030">
              <w:rPr>
                <w:rFonts w:ascii="Calibri Light" w:eastAsia="Times New Roman" w:hAnsi="Calibri Light" w:cs="Times New Roman"/>
                <w:color w:val="495965"/>
                <w:sz w:val="18"/>
                <w:szCs w:val="18"/>
                <w:u w:val="single"/>
                <w:lang w:val="en-AU" w:eastAsia="en-AU"/>
              </w:rPr>
              <w:t> </w:t>
            </w:r>
          </w:p>
        </w:tc>
        <w:tc>
          <w:tcPr>
            <w:tcW w:w="3160" w:type="dxa"/>
            <w:tcBorders>
              <w:top w:val="nil"/>
              <w:left w:val="nil"/>
              <w:bottom w:val="single" w:sz="4" w:space="0" w:color="auto"/>
              <w:right w:val="single" w:sz="4" w:space="0" w:color="auto"/>
            </w:tcBorders>
            <w:shd w:val="clear" w:color="000000" w:fill="FFFFFF"/>
            <w:hideMark/>
          </w:tcPr>
          <w:p w14:paraId="631E8934"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12.</w:t>
            </w:r>
            <w:r w:rsidRPr="00DB1030">
              <w:rPr>
                <w:rFonts w:ascii="Times New Roman" w:eastAsia="Times New Roman" w:hAnsi="Times New Roman" w:cs="Times New Roman"/>
                <w:color w:val="495965"/>
                <w:sz w:val="14"/>
                <w:szCs w:val="14"/>
                <w:lang w:eastAsia="en-AU"/>
              </w:rPr>
              <w:t xml:space="preserve">     </w:t>
            </w:r>
            <w:r w:rsidRPr="00DB1030">
              <w:rPr>
                <w:rFonts w:ascii="Calibri Light" w:eastAsia="Times New Roman" w:hAnsi="Calibri Light" w:cstheme="minorHAnsi"/>
                <w:color w:val="495965"/>
                <w:sz w:val="18"/>
                <w:szCs w:val="18"/>
                <w:lang w:eastAsia="en-AU"/>
              </w:rPr>
              <w:t># of women and men in crises provided with humanitarian support</w:t>
            </w:r>
            <w:r w:rsidRPr="00DB1030">
              <w:rPr>
                <w:rFonts w:ascii="Calibri Light" w:eastAsia="Times New Roman" w:hAnsi="Calibri Light" w:cstheme="minorHAnsi"/>
                <w:color w:val="495965"/>
                <w:sz w:val="18"/>
                <w:szCs w:val="18"/>
                <w:lang w:eastAsia="en-AU"/>
              </w:rPr>
              <w:br/>
              <w:t>Data source: WFP; IOM</w:t>
            </w:r>
          </w:p>
        </w:tc>
        <w:tc>
          <w:tcPr>
            <w:tcW w:w="1400" w:type="dxa"/>
            <w:tcBorders>
              <w:top w:val="nil"/>
              <w:left w:val="nil"/>
              <w:bottom w:val="single" w:sz="4" w:space="0" w:color="auto"/>
              <w:right w:val="single" w:sz="4" w:space="0" w:color="auto"/>
            </w:tcBorders>
            <w:shd w:val="clear" w:color="000000" w:fill="FFFFFF"/>
            <w:vAlign w:val="center"/>
            <w:hideMark/>
          </w:tcPr>
          <w:p w14:paraId="25827126"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WFP: 356,000</w:t>
            </w:r>
          </w:p>
        </w:tc>
        <w:tc>
          <w:tcPr>
            <w:tcW w:w="1400" w:type="dxa"/>
            <w:tcBorders>
              <w:top w:val="nil"/>
              <w:left w:val="nil"/>
              <w:bottom w:val="single" w:sz="4" w:space="0" w:color="auto"/>
              <w:right w:val="single" w:sz="4" w:space="0" w:color="auto"/>
            </w:tcBorders>
            <w:shd w:val="clear" w:color="000000" w:fill="FFFFFF"/>
            <w:vAlign w:val="center"/>
            <w:hideMark/>
          </w:tcPr>
          <w:p w14:paraId="183B8FCE"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 xml:space="preserve">WFP: 40,4000 </w:t>
            </w:r>
            <w:r w:rsidRPr="00DB1030">
              <w:rPr>
                <w:rFonts w:ascii="Calibri Light" w:eastAsia="Times New Roman" w:hAnsi="Calibri Light" w:cstheme="minorHAnsi"/>
                <w:color w:val="495965"/>
                <w:sz w:val="18"/>
                <w:szCs w:val="18"/>
                <w:lang w:eastAsia="en-AU"/>
              </w:rPr>
              <w:br/>
              <w:t>IOM: 142000 (50% women)</w:t>
            </w:r>
          </w:p>
        </w:tc>
        <w:tc>
          <w:tcPr>
            <w:tcW w:w="1400" w:type="dxa"/>
            <w:tcBorders>
              <w:top w:val="nil"/>
              <w:left w:val="nil"/>
              <w:bottom w:val="single" w:sz="4" w:space="0" w:color="auto"/>
              <w:right w:val="single" w:sz="4" w:space="0" w:color="auto"/>
            </w:tcBorders>
            <w:shd w:val="clear" w:color="auto" w:fill="auto"/>
            <w:vAlign w:val="center"/>
            <w:hideMark/>
          </w:tcPr>
          <w:p w14:paraId="400892E0"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WFP: 462,000</w:t>
            </w:r>
            <w:r w:rsidRPr="00DB1030">
              <w:rPr>
                <w:rFonts w:ascii="Calibri Light" w:eastAsia="Times New Roman" w:hAnsi="Calibri Light" w:cstheme="minorHAnsi"/>
                <w:color w:val="495965"/>
                <w:sz w:val="18"/>
                <w:szCs w:val="18"/>
                <w:lang w:eastAsia="en-AU"/>
              </w:rPr>
              <w:br/>
              <w:t>IOM: 46000 (50% women)</w:t>
            </w:r>
          </w:p>
        </w:tc>
      </w:tr>
      <w:tr w:rsidR="00DB1030" w:rsidRPr="00DB1030" w14:paraId="26609525" w14:textId="77777777" w:rsidTr="00DB1030">
        <w:trPr>
          <w:trHeight w:val="2400"/>
        </w:trPr>
        <w:tc>
          <w:tcPr>
            <w:tcW w:w="3460" w:type="dxa"/>
            <w:tcBorders>
              <w:top w:val="nil"/>
              <w:left w:val="single" w:sz="4" w:space="0" w:color="auto"/>
              <w:bottom w:val="nil"/>
              <w:right w:val="single" w:sz="4" w:space="0" w:color="auto"/>
            </w:tcBorders>
            <w:shd w:val="clear" w:color="000000" w:fill="DDECD0"/>
            <w:vAlign w:val="center"/>
            <w:hideMark/>
          </w:tcPr>
          <w:p w14:paraId="656A26E5"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b/>
                <w:bCs/>
                <w:color w:val="495965"/>
                <w:sz w:val="18"/>
                <w:szCs w:val="18"/>
                <w:lang w:eastAsia="en-AU"/>
              </w:rPr>
              <w:t>Pillar 5 – Private Sector and Entrepreneurship Led Growth</w:t>
            </w:r>
            <w:r w:rsidRPr="00DB1030">
              <w:rPr>
                <w:rFonts w:ascii="Calibri Light" w:eastAsia="Times New Roman" w:hAnsi="Calibri Light" w:cstheme="minorHAnsi"/>
                <w:color w:val="495965"/>
                <w:sz w:val="18"/>
                <w:szCs w:val="18"/>
                <w:lang w:eastAsia="en-AU"/>
              </w:rPr>
              <w:br/>
              <w:t>Creating employment through supporting Small and Medium Enterprises. Goals include that by 2025, 2m SMEs (from a baseline of 1.73m) will provide 25m jobs (from a baseline of 14.9m), contributing PKR16 trillion to GDP (from a baseline of PKR9.4 trillion) and generating USD54bn in exports (from a baseline of USD18.2bn)</w:t>
            </w:r>
          </w:p>
        </w:tc>
        <w:tc>
          <w:tcPr>
            <w:tcW w:w="2560" w:type="dxa"/>
            <w:tcBorders>
              <w:top w:val="nil"/>
              <w:left w:val="nil"/>
              <w:bottom w:val="nil"/>
              <w:right w:val="nil"/>
            </w:tcBorders>
            <w:shd w:val="clear" w:color="000000" w:fill="D8DCDB"/>
            <w:hideMark/>
          </w:tcPr>
          <w:p w14:paraId="34630ADD"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u w:val="single"/>
                <w:lang w:val="en-AU" w:eastAsia="en-AU"/>
              </w:rPr>
            </w:pPr>
            <w:r w:rsidRPr="00DB1030">
              <w:rPr>
                <w:rFonts w:ascii="Calibri Light" w:eastAsia="Times New Roman" w:hAnsi="Calibri Light" w:cstheme="minorHAnsi"/>
                <w:b/>
                <w:bCs/>
                <w:color w:val="495965"/>
                <w:sz w:val="18"/>
                <w:szCs w:val="18"/>
                <w:u w:val="single"/>
                <w:lang w:eastAsia="en-AU"/>
              </w:rPr>
              <w:t>Outcome 6</w:t>
            </w:r>
            <w:r w:rsidRPr="00DB1030">
              <w:rPr>
                <w:rFonts w:ascii="Calibri Light" w:eastAsia="Times New Roman" w:hAnsi="Calibri Light" w:cstheme="minorHAnsi"/>
                <w:color w:val="495965"/>
                <w:sz w:val="18"/>
                <w:szCs w:val="18"/>
                <w:lang w:eastAsia="en-AU"/>
              </w:rPr>
              <w:t>: Enhanced Resilience in Pakistan’s Border Areas</w:t>
            </w:r>
          </w:p>
        </w:tc>
        <w:tc>
          <w:tcPr>
            <w:tcW w:w="3160" w:type="dxa"/>
            <w:tcBorders>
              <w:top w:val="nil"/>
              <w:left w:val="single" w:sz="4" w:space="0" w:color="auto"/>
              <w:bottom w:val="nil"/>
              <w:right w:val="single" w:sz="4" w:space="0" w:color="auto"/>
            </w:tcBorders>
            <w:shd w:val="clear" w:color="000000" w:fill="FFFFFF"/>
            <w:hideMark/>
          </w:tcPr>
          <w:p w14:paraId="56A49ACC"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13.</w:t>
            </w:r>
            <w:r w:rsidRPr="00DB1030">
              <w:rPr>
                <w:rFonts w:ascii="Times New Roman" w:eastAsia="Times New Roman" w:hAnsi="Times New Roman" w:cs="Times New Roman"/>
                <w:color w:val="495965"/>
                <w:sz w:val="14"/>
                <w:szCs w:val="14"/>
                <w:lang w:eastAsia="en-AU"/>
              </w:rPr>
              <w:t xml:space="preserve">  </w:t>
            </w:r>
            <w:r w:rsidRPr="00DB1030">
              <w:rPr>
                <w:rFonts w:ascii="Calibri Light" w:eastAsia="Times New Roman" w:hAnsi="Calibri Light" w:cstheme="minorHAnsi"/>
                <w:color w:val="495965"/>
                <w:sz w:val="20"/>
                <w:szCs w:val="20"/>
                <w:lang w:eastAsia="en-AU"/>
              </w:rPr>
              <w:t xml:space="preserve"> </w:t>
            </w:r>
            <w:r w:rsidRPr="00DB1030">
              <w:rPr>
                <w:rFonts w:ascii="Calibri Light" w:eastAsia="Times New Roman" w:hAnsi="Calibri Light" w:cstheme="minorHAnsi"/>
                <w:color w:val="495965"/>
                <w:sz w:val="18"/>
                <w:szCs w:val="18"/>
                <w:lang w:eastAsia="en-AU"/>
              </w:rPr>
              <w:t>Number of community organisations, including women’s organisations, which are effectively supported to build community cohesion and advocate for their own needs</w:t>
            </w:r>
          </w:p>
        </w:tc>
        <w:tc>
          <w:tcPr>
            <w:tcW w:w="1400" w:type="dxa"/>
            <w:tcBorders>
              <w:top w:val="nil"/>
              <w:left w:val="nil"/>
              <w:bottom w:val="nil"/>
              <w:right w:val="nil"/>
            </w:tcBorders>
            <w:shd w:val="clear" w:color="000000" w:fill="FFFFFF"/>
            <w:vAlign w:val="center"/>
            <w:hideMark/>
          </w:tcPr>
          <w:p w14:paraId="03D36E23"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SRSP: 1005 (including 493 Women’s Organisations)</w:t>
            </w:r>
            <w:r w:rsidRPr="00DB1030">
              <w:rPr>
                <w:rFonts w:ascii="Calibri Light" w:eastAsia="Times New Roman" w:hAnsi="Calibri Light" w:cstheme="minorHAnsi"/>
                <w:color w:val="495965"/>
                <w:sz w:val="18"/>
                <w:szCs w:val="18"/>
                <w:lang w:eastAsia="en-AU"/>
              </w:rPr>
              <w:br/>
              <w:t>BA: 640 (178 or 27% WOs)</w:t>
            </w:r>
          </w:p>
        </w:tc>
        <w:tc>
          <w:tcPr>
            <w:tcW w:w="1400" w:type="dxa"/>
            <w:tcBorders>
              <w:top w:val="nil"/>
              <w:left w:val="single" w:sz="4" w:space="0" w:color="auto"/>
              <w:bottom w:val="nil"/>
              <w:right w:val="single" w:sz="4" w:space="0" w:color="auto"/>
            </w:tcBorders>
            <w:shd w:val="clear" w:color="000000" w:fill="FFFFFF"/>
            <w:vAlign w:val="center"/>
            <w:hideMark/>
          </w:tcPr>
          <w:p w14:paraId="6134E903"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SRSP: 1005 (including 493 Women’s Organisations)</w:t>
            </w:r>
            <w:r w:rsidRPr="00DB1030">
              <w:rPr>
                <w:rFonts w:ascii="Calibri Light" w:eastAsia="Times New Roman" w:hAnsi="Calibri Light" w:cstheme="minorHAnsi"/>
                <w:color w:val="495965"/>
                <w:sz w:val="18"/>
                <w:szCs w:val="18"/>
                <w:lang w:eastAsia="en-AU"/>
              </w:rPr>
              <w:br/>
              <w:t>BA: 560 (48 or 8% WOs)[2]</w:t>
            </w:r>
          </w:p>
        </w:tc>
        <w:tc>
          <w:tcPr>
            <w:tcW w:w="1400" w:type="dxa"/>
            <w:tcBorders>
              <w:top w:val="nil"/>
              <w:left w:val="nil"/>
              <w:bottom w:val="nil"/>
              <w:right w:val="single" w:sz="4" w:space="0" w:color="auto"/>
            </w:tcBorders>
            <w:shd w:val="clear" w:color="000000" w:fill="FFFFFF"/>
            <w:vAlign w:val="center"/>
            <w:hideMark/>
          </w:tcPr>
          <w:p w14:paraId="45DC100D"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SRSP: 1005 (including 493 Women’s Organisations)</w:t>
            </w:r>
            <w:r w:rsidRPr="00DB1030">
              <w:rPr>
                <w:rFonts w:ascii="Calibri Light" w:eastAsia="Times New Roman" w:hAnsi="Calibri Light" w:cstheme="minorHAnsi"/>
                <w:color w:val="495965"/>
                <w:sz w:val="18"/>
                <w:szCs w:val="18"/>
                <w:lang w:eastAsia="en-AU"/>
              </w:rPr>
              <w:br/>
              <w:t>BA: 350 SMEs (17 or 5% WOs)</w:t>
            </w:r>
          </w:p>
        </w:tc>
      </w:tr>
      <w:tr w:rsidR="00DB1030" w:rsidRPr="00DB1030" w14:paraId="211D95D5" w14:textId="77777777" w:rsidTr="00DB1030">
        <w:trPr>
          <w:trHeight w:val="960"/>
        </w:trPr>
        <w:tc>
          <w:tcPr>
            <w:tcW w:w="3460" w:type="dxa"/>
            <w:tcBorders>
              <w:top w:val="nil"/>
              <w:left w:val="single" w:sz="4" w:space="0" w:color="auto"/>
              <w:bottom w:val="single" w:sz="4" w:space="0" w:color="auto"/>
              <w:right w:val="single" w:sz="4" w:space="0" w:color="auto"/>
            </w:tcBorders>
            <w:shd w:val="clear" w:color="000000" w:fill="DDECD0"/>
            <w:hideMark/>
          </w:tcPr>
          <w:p w14:paraId="62467EC9" w14:textId="77777777" w:rsidR="00DB1030" w:rsidRPr="00DB1030" w:rsidRDefault="00DB1030" w:rsidP="00DB1030">
            <w:pPr>
              <w:suppressAutoHyphens w:val="0"/>
              <w:spacing w:before="0" w:after="0" w:line="240" w:lineRule="auto"/>
              <w:rPr>
                <w:rFonts w:ascii="Calibri" w:eastAsia="Times New Roman" w:hAnsi="Calibri" w:cs="Times New Roman"/>
                <w:color w:val="000000"/>
                <w:lang w:val="en-AU" w:eastAsia="en-AU"/>
              </w:rPr>
            </w:pPr>
            <w:r w:rsidRPr="00DB1030">
              <w:rPr>
                <w:rFonts w:ascii="Calibri" w:eastAsia="Times New Roman" w:hAnsi="Calibri" w:cs="Times New Roman"/>
                <w:color w:val="000000"/>
                <w:lang w:val="en-AU" w:eastAsia="en-AU"/>
              </w:rPr>
              <w:t> </w:t>
            </w:r>
          </w:p>
        </w:tc>
        <w:tc>
          <w:tcPr>
            <w:tcW w:w="2560" w:type="dxa"/>
            <w:tcBorders>
              <w:top w:val="nil"/>
              <w:left w:val="nil"/>
              <w:bottom w:val="single" w:sz="4" w:space="0" w:color="auto"/>
              <w:right w:val="nil"/>
            </w:tcBorders>
            <w:shd w:val="clear" w:color="000000" w:fill="D8DCDB"/>
            <w:vAlign w:val="center"/>
            <w:hideMark/>
          </w:tcPr>
          <w:p w14:paraId="457AD6C3"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u w:val="single"/>
                <w:lang w:val="en-AU" w:eastAsia="en-AU"/>
              </w:rPr>
            </w:pPr>
            <w:r w:rsidRPr="00DB1030">
              <w:rPr>
                <w:rFonts w:ascii="Calibri Light" w:eastAsia="Times New Roman" w:hAnsi="Calibri Light" w:cs="Times New Roman"/>
                <w:color w:val="495965"/>
                <w:sz w:val="18"/>
                <w:szCs w:val="18"/>
                <w:u w:val="single"/>
                <w:lang w:val="en-AU" w:eastAsia="en-AU"/>
              </w:rPr>
              <w:t> </w:t>
            </w:r>
          </w:p>
        </w:tc>
        <w:tc>
          <w:tcPr>
            <w:tcW w:w="3160" w:type="dxa"/>
            <w:tcBorders>
              <w:top w:val="nil"/>
              <w:left w:val="single" w:sz="4" w:space="0" w:color="auto"/>
              <w:bottom w:val="single" w:sz="4" w:space="0" w:color="auto"/>
              <w:right w:val="single" w:sz="4" w:space="0" w:color="auto"/>
            </w:tcBorders>
            <w:shd w:val="clear" w:color="000000" w:fill="FFFFFF"/>
            <w:vAlign w:val="center"/>
            <w:hideMark/>
          </w:tcPr>
          <w:p w14:paraId="148DC657"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Data source: SRSP, MDTF-BA Annual Report (3x Round II projects, SADP, RLCIP), AusABBA I &amp; II.</w:t>
            </w:r>
          </w:p>
        </w:tc>
        <w:tc>
          <w:tcPr>
            <w:tcW w:w="1400" w:type="dxa"/>
            <w:tcBorders>
              <w:top w:val="nil"/>
              <w:left w:val="nil"/>
              <w:bottom w:val="single" w:sz="4" w:space="0" w:color="auto"/>
              <w:right w:val="nil"/>
            </w:tcBorders>
            <w:shd w:val="clear" w:color="000000" w:fill="FFFFFF"/>
            <w:vAlign w:val="center"/>
            <w:hideMark/>
          </w:tcPr>
          <w:p w14:paraId="1DFEC6BB"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AusABBA Ph I: MCOs 361; WCOs 235 (39% WOs)</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521AC694"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AusABBA: TBC</w:t>
            </w:r>
          </w:p>
        </w:tc>
        <w:tc>
          <w:tcPr>
            <w:tcW w:w="1400" w:type="dxa"/>
            <w:tcBorders>
              <w:top w:val="nil"/>
              <w:left w:val="nil"/>
              <w:bottom w:val="single" w:sz="4" w:space="0" w:color="auto"/>
              <w:right w:val="single" w:sz="4" w:space="0" w:color="auto"/>
            </w:tcBorders>
            <w:shd w:val="clear" w:color="000000" w:fill="FFFFFF"/>
            <w:vAlign w:val="center"/>
            <w:hideMark/>
          </w:tcPr>
          <w:p w14:paraId="68410304"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AusABBA: TBC</w:t>
            </w:r>
          </w:p>
        </w:tc>
      </w:tr>
    </w:tbl>
    <w:p w14:paraId="0C204519" w14:textId="211D134A" w:rsidR="00DB1030" w:rsidRDefault="00DB1030"/>
    <w:tbl>
      <w:tblPr>
        <w:tblW w:w="13380" w:type="dxa"/>
        <w:tblLook w:val="04A0" w:firstRow="1" w:lastRow="0" w:firstColumn="1" w:lastColumn="0" w:noHBand="0" w:noVBand="1"/>
      </w:tblPr>
      <w:tblGrid>
        <w:gridCol w:w="3460"/>
        <w:gridCol w:w="2560"/>
        <w:gridCol w:w="3160"/>
        <w:gridCol w:w="1400"/>
        <w:gridCol w:w="1400"/>
        <w:gridCol w:w="1400"/>
      </w:tblGrid>
      <w:tr w:rsidR="00DB1030" w:rsidRPr="00DB1030" w14:paraId="207033ED" w14:textId="77777777" w:rsidTr="00DB1030">
        <w:trPr>
          <w:trHeight w:val="315"/>
        </w:trPr>
        <w:tc>
          <w:tcPr>
            <w:tcW w:w="13380" w:type="dxa"/>
            <w:gridSpan w:val="6"/>
            <w:tcBorders>
              <w:top w:val="single" w:sz="4" w:space="0" w:color="auto"/>
              <w:left w:val="single" w:sz="4" w:space="0" w:color="auto"/>
              <w:bottom w:val="single" w:sz="4" w:space="0" w:color="auto"/>
              <w:right w:val="single" w:sz="4" w:space="0" w:color="000000"/>
            </w:tcBorders>
            <w:shd w:val="clear" w:color="000000" w:fill="E0F3EF"/>
            <w:vAlign w:val="center"/>
            <w:hideMark/>
          </w:tcPr>
          <w:p w14:paraId="0709DD01" w14:textId="07BA2B6A" w:rsidR="00DB1030" w:rsidRPr="00DB1030" w:rsidRDefault="00DB1030" w:rsidP="00DB1030">
            <w:pPr>
              <w:suppressAutoHyphens w:val="0"/>
              <w:spacing w:before="0" w:after="0" w:line="240" w:lineRule="auto"/>
              <w:jc w:val="center"/>
              <w:rPr>
                <w:rFonts w:ascii="Calibri Light" w:eastAsia="Times New Roman" w:hAnsi="Calibri Light" w:cs="Times New Roman"/>
                <w:b/>
                <w:bCs/>
                <w:color w:val="495965"/>
                <w:sz w:val="20"/>
                <w:szCs w:val="20"/>
                <w:lang w:val="en-AU" w:eastAsia="en-AU"/>
              </w:rPr>
            </w:pPr>
            <w:r w:rsidRPr="00DB1030">
              <w:rPr>
                <w:rFonts w:ascii="Calibri Light" w:eastAsia="Times New Roman" w:hAnsi="Calibri Light" w:cstheme="minorHAnsi"/>
                <w:b/>
                <w:bCs/>
                <w:color w:val="495965"/>
                <w:sz w:val="20"/>
                <w:szCs w:val="20"/>
                <w:lang w:eastAsia="en-AU"/>
              </w:rPr>
              <w:t>Cross Cutting Policy Priorities</w:t>
            </w:r>
          </w:p>
        </w:tc>
      </w:tr>
      <w:tr w:rsidR="00DB1030" w:rsidRPr="00DB1030" w14:paraId="52596496" w14:textId="77777777" w:rsidTr="00DB1030">
        <w:trPr>
          <w:trHeight w:val="3360"/>
        </w:trPr>
        <w:tc>
          <w:tcPr>
            <w:tcW w:w="3460" w:type="dxa"/>
            <w:tcBorders>
              <w:top w:val="nil"/>
              <w:left w:val="single" w:sz="4" w:space="0" w:color="auto"/>
              <w:bottom w:val="nil"/>
              <w:right w:val="single" w:sz="4" w:space="0" w:color="auto"/>
            </w:tcBorders>
            <w:shd w:val="clear" w:color="000000" w:fill="DDECD0"/>
            <w:hideMark/>
          </w:tcPr>
          <w:p w14:paraId="0B84C64B"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b/>
                <w:bCs/>
                <w:color w:val="495965"/>
                <w:sz w:val="18"/>
                <w:szCs w:val="18"/>
                <w:lang w:eastAsia="en-AU"/>
              </w:rPr>
              <w:t>Pillar 1 – Developing Human and Social Capital</w:t>
            </w:r>
            <w:r w:rsidRPr="00DB1030">
              <w:rPr>
                <w:rFonts w:ascii="Calibri Light" w:eastAsia="Times New Roman" w:hAnsi="Calibri Light" w:cstheme="minorHAnsi"/>
                <w:color w:val="495965"/>
                <w:sz w:val="18"/>
                <w:szCs w:val="18"/>
                <w:lang w:eastAsia="en-AU"/>
              </w:rPr>
              <w:br/>
              <w:t>Raising the level of public health spending from a baseline of 0.5% of GDP to 3%. Reducing the maternal mortality ratio from a baseline of 276 to less than 140, including by increasing the proportion of births attended by a skilled birthing attendant from 52.1 to above 90. Reducing infant mortality rate from a baseline of 74 to less than 40. Reducing the proportion of the population below minimum level of dietary energy consumption from 30% to below 10%.</w:t>
            </w:r>
          </w:p>
        </w:tc>
        <w:tc>
          <w:tcPr>
            <w:tcW w:w="2560" w:type="dxa"/>
            <w:tcBorders>
              <w:top w:val="nil"/>
              <w:left w:val="nil"/>
              <w:bottom w:val="single" w:sz="4" w:space="0" w:color="auto"/>
              <w:right w:val="single" w:sz="4" w:space="0" w:color="auto"/>
            </w:tcBorders>
            <w:shd w:val="clear" w:color="000000" w:fill="D8DCDB"/>
            <w:hideMark/>
          </w:tcPr>
          <w:p w14:paraId="7FB7F1C0"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u w:val="single"/>
                <w:lang w:val="en-AU" w:eastAsia="en-AU"/>
              </w:rPr>
            </w:pPr>
            <w:r w:rsidRPr="00DB1030">
              <w:rPr>
                <w:rFonts w:ascii="Calibri Light" w:eastAsia="Times New Roman" w:hAnsi="Calibri Light" w:cstheme="minorHAnsi"/>
                <w:b/>
                <w:bCs/>
                <w:color w:val="495965"/>
                <w:sz w:val="18"/>
                <w:szCs w:val="18"/>
                <w:u w:val="single"/>
                <w:lang w:eastAsia="en-AU"/>
              </w:rPr>
              <w:t>Outcome 7</w:t>
            </w:r>
            <w:r w:rsidRPr="00DB1030">
              <w:rPr>
                <w:rFonts w:ascii="Calibri Light" w:eastAsia="Times New Roman" w:hAnsi="Calibri Light" w:cstheme="minorHAnsi"/>
                <w:color w:val="495965"/>
                <w:sz w:val="18"/>
                <w:szCs w:val="18"/>
                <w:u w:val="single"/>
                <w:lang w:eastAsia="en-AU"/>
              </w:rPr>
              <w:t>:</w:t>
            </w:r>
            <w:r w:rsidRPr="00DB1030">
              <w:rPr>
                <w:rFonts w:ascii="Calibri Light" w:eastAsia="Times New Roman" w:hAnsi="Calibri Light" w:cstheme="minorHAnsi"/>
                <w:color w:val="495965"/>
                <w:sz w:val="18"/>
                <w:szCs w:val="18"/>
                <w:lang w:eastAsia="en-AU"/>
              </w:rPr>
              <w:t xml:space="preserve"> Australia Award Alumni are using their skills, knowledge and networks to contribute to sustainable development in Pakistan </w:t>
            </w:r>
          </w:p>
        </w:tc>
        <w:tc>
          <w:tcPr>
            <w:tcW w:w="3160" w:type="dxa"/>
            <w:tcBorders>
              <w:top w:val="nil"/>
              <w:left w:val="nil"/>
              <w:bottom w:val="single" w:sz="4" w:space="0" w:color="auto"/>
              <w:right w:val="single" w:sz="4" w:space="0" w:color="auto"/>
            </w:tcBorders>
            <w:shd w:val="clear" w:color="auto" w:fill="auto"/>
            <w:hideMark/>
          </w:tcPr>
          <w:p w14:paraId="4EC25008"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14.</w:t>
            </w:r>
            <w:r w:rsidRPr="00DB1030">
              <w:rPr>
                <w:rFonts w:ascii="Times New Roman" w:eastAsia="Times New Roman" w:hAnsi="Times New Roman" w:cs="Times New Roman"/>
                <w:color w:val="495965"/>
                <w:sz w:val="14"/>
                <w:szCs w:val="14"/>
                <w:lang w:eastAsia="en-AU"/>
              </w:rPr>
              <w:t xml:space="preserve">  </w:t>
            </w:r>
            <w:r w:rsidRPr="00DB1030">
              <w:rPr>
                <w:rFonts w:ascii="Calibri Light" w:eastAsia="Times New Roman" w:hAnsi="Calibri Light" w:cstheme="minorHAnsi"/>
                <w:color w:val="495965"/>
                <w:sz w:val="18"/>
                <w:szCs w:val="18"/>
                <w:lang w:eastAsia="en-AU"/>
              </w:rPr>
              <w:t xml:space="preserve"> Evidence that Alumni are contributing to development outcomes in Pakistan</w:t>
            </w:r>
            <w:r w:rsidRPr="00DB1030">
              <w:rPr>
                <w:rFonts w:ascii="Calibri Light" w:eastAsia="Times New Roman" w:hAnsi="Calibri Light" w:cstheme="minorHAnsi"/>
                <w:color w:val="495965"/>
                <w:sz w:val="18"/>
                <w:szCs w:val="18"/>
                <w:lang w:eastAsia="en-AU"/>
              </w:rPr>
              <w:br/>
              <w:t>Data source: Alumni Development Impact Survey (ADIS) – Biannual: March and December. Alumni from intake 2011 onwards.</w:t>
            </w:r>
          </w:p>
        </w:tc>
        <w:tc>
          <w:tcPr>
            <w:tcW w:w="1400" w:type="dxa"/>
            <w:tcBorders>
              <w:top w:val="nil"/>
              <w:left w:val="nil"/>
              <w:bottom w:val="single" w:sz="4" w:space="0" w:color="auto"/>
              <w:right w:val="single" w:sz="4" w:space="0" w:color="auto"/>
            </w:tcBorders>
            <w:shd w:val="clear" w:color="auto" w:fill="auto"/>
            <w:hideMark/>
          </w:tcPr>
          <w:p w14:paraId="0F85115C"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Annual Assessment</w:t>
            </w:r>
          </w:p>
        </w:tc>
        <w:tc>
          <w:tcPr>
            <w:tcW w:w="1400" w:type="dxa"/>
            <w:tcBorders>
              <w:top w:val="nil"/>
              <w:left w:val="nil"/>
              <w:bottom w:val="single" w:sz="4" w:space="0" w:color="auto"/>
              <w:right w:val="single" w:sz="4" w:space="0" w:color="auto"/>
            </w:tcBorders>
            <w:shd w:val="clear" w:color="auto" w:fill="auto"/>
            <w:hideMark/>
          </w:tcPr>
          <w:p w14:paraId="7EF7B0B6"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Annual Assessment</w:t>
            </w:r>
          </w:p>
        </w:tc>
        <w:tc>
          <w:tcPr>
            <w:tcW w:w="1400" w:type="dxa"/>
            <w:tcBorders>
              <w:top w:val="nil"/>
              <w:left w:val="nil"/>
              <w:bottom w:val="single" w:sz="4" w:space="0" w:color="auto"/>
              <w:right w:val="single" w:sz="4" w:space="0" w:color="auto"/>
            </w:tcBorders>
            <w:shd w:val="clear" w:color="000000" w:fill="FFFFFF"/>
            <w:hideMark/>
          </w:tcPr>
          <w:p w14:paraId="7F434274"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Annual Assessment</w:t>
            </w:r>
          </w:p>
        </w:tc>
      </w:tr>
      <w:tr w:rsidR="00DB1030" w:rsidRPr="00DB1030" w14:paraId="31E14699" w14:textId="77777777" w:rsidTr="00DB1030">
        <w:trPr>
          <w:trHeight w:val="1935"/>
        </w:trPr>
        <w:tc>
          <w:tcPr>
            <w:tcW w:w="3460" w:type="dxa"/>
            <w:tcBorders>
              <w:top w:val="nil"/>
              <w:left w:val="single" w:sz="4" w:space="0" w:color="auto"/>
              <w:bottom w:val="nil"/>
              <w:right w:val="single" w:sz="4" w:space="0" w:color="auto"/>
            </w:tcBorders>
            <w:shd w:val="clear" w:color="000000" w:fill="DDECD0"/>
            <w:vAlign w:val="center"/>
            <w:hideMark/>
          </w:tcPr>
          <w:p w14:paraId="4A749F7D"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Raising the level of public education expenditure from a baseline of 2% of GDP to 4%. Increasing primary school enrolment and completion rates to 100% and literacy rate to 90%, and improving teacher training and education governance.  Increasing gender</w:t>
            </w:r>
            <w:r w:rsidRPr="00DB1030">
              <w:rPr>
                <w:rFonts w:ascii="Calibri Light" w:eastAsia="Times New Roman" w:hAnsi="Calibri Light" w:cstheme="minorHAnsi"/>
                <w:color w:val="495965"/>
                <w:sz w:val="20"/>
                <w:szCs w:val="20"/>
                <w:lang w:eastAsia="en-AU"/>
              </w:rPr>
              <w:t xml:space="preserve"> </w:t>
            </w:r>
            <w:r w:rsidRPr="00DB1030">
              <w:rPr>
                <w:rFonts w:ascii="Calibri Light" w:eastAsia="Times New Roman" w:hAnsi="Calibri Light" w:cstheme="minorHAnsi"/>
                <w:color w:val="495965"/>
                <w:sz w:val="18"/>
                <w:szCs w:val="18"/>
                <w:lang w:eastAsia="en-AU"/>
              </w:rPr>
              <w:t>parity in education – to 1.0 on the gender parity index.</w:t>
            </w:r>
          </w:p>
        </w:tc>
        <w:tc>
          <w:tcPr>
            <w:tcW w:w="2560" w:type="dxa"/>
            <w:tcBorders>
              <w:top w:val="nil"/>
              <w:left w:val="nil"/>
              <w:bottom w:val="single" w:sz="4" w:space="0" w:color="auto"/>
              <w:right w:val="single" w:sz="4" w:space="0" w:color="auto"/>
            </w:tcBorders>
            <w:shd w:val="clear" w:color="000000" w:fill="D8DCDB"/>
            <w:hideMark/>
          </w:tcPr>
          <w:p w14:paraId="771765CF"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u w:val="single"/>
                <w:lang w:val="en-AU" w:eastAsia="en-AU"/>
              </w:rPr>
            </w:pPr>
            <w:r w:rsidRPr="00DB1030">
              <w:rPr>
                <w:rFonts w:ascii="Calibri Light" w:eastAsia="Times New Roman" w:hAnsi="Calibri Light" w:cstheme="minorHAnsi"/>
                <w:b/>
                <w:bCs/>
                <w:color w:val="495965"/>
                <w:sz w:val="18"/>
                <w:szCs w:val="18"/>
                <w:u w:val="single"/>
                <w:lang w:eastAsia="en-AU"/>
              </w:rPr>
              <w:t>Outcome 8</w:t>
            </w:r>
            <w:r w:rsidRPr="00DB1030">
              <w:rPr>
                <w:rFonts w:ascii="Calibri Light" w:eastAsia="Times New Roman" w:hAnsi="Calibri Light" w:cstheme="minorHAnsi"/>
                <w:b/>
                <w:bCs/>
                <w:color w:val="495965"/>
                <w:sz w:val="18"/>
                <w:szCs w:val="18"/>
                <w:lang w:eastAsia="en-AU"/>
              </w:rPr>
              <w:t>:</w:t>
            </w:r>
            <w:r w:rsidRPr="00DB1030">
              <w:rPr>
                <w:rFonts w:ascii="Calibri Light" w:eastAsia="Times New Roman" w:hAnsi="Calibri Light" w:cstheme="minorHAnsi"/>
                <w:color w:val="495965"/>
                <w:sz w:val="18"/>
                <w:szCs w:val="18"/>
                <w:lang w:eastAsia="en-AU"/>
              </w:rPr>
              <w:t xml:space="preserve"> Improved integration of gender equality into aid investments </w:t>
            </w:r>
          </w:p>
        </w:tc>
        <w:tc>
          <w:tcPr>
            <w:tcW w:w="3160" w:type="dxa"/>
            <w:tcBorders>
              <w:top w:val="nil"/>
              <w:left w:val="nil"/>
              <w:bottom w:val="single" w:sz="4" w:space="0" w:color="auto"/>
              <w:right w:val="single" w:sz="4" w:space="0" w:color="auto"/>
            </w:tcBorders>
            <w:shd w:val="clear" w:color="auto" w:fill="auto"/>
            <w:hideMark/>
          </w:tcPr>
          <w:p w14:paraId="57A9A983"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15.</w:t>
            </w:r>
            <w:r w:rsidRPr="00DB1030">
              <w:rPr>
                <w:rFonts w:ascii="Times New Roman" w:eastAsia="Times New Roman" w:hAnsi="Times New Roman" w:cs="Times New Roman"/>
                <w:color w:val="495965"/>
                <w:sz w:val="14"/>
                <w:szCs w:val="14"/>
                <w:lang w:eastAsia="en-AU"/>
              </w:rPr>
              <w:t xml:space="preserve">  </w:t>
            </w:r>
            <w:r w:rsidRPr="00DB1030">
              <w:rPr>
                <w:rFonts w:ascii="Calibri Light" w:eastAsia="Times New Roman" w:hAnsi="Calibri Light" w:cstheme="minorHAnsi"/>
                <w:color w:val="495965"/>
                <w:sz w:val="18"/>
                <w:szCs w:val="18"/>
                <w:lang w:eastAsia="en-AU"/>
              </w:rPr>
              <w:t xml:space="preserve"> % of investments receiving satisfactory ratings for gender equality in annual Aid Quality Checks (AID PROGRAM STRATEGIC TARGET – GENDER EQUALITY)</w:t>
            </w:r>
            <w:r w:rsidRPr="00DB1030">
              <w:rPr>
                <w:rFonts w:ascii="Calibri Light" w:eastAsia="Times New Roman" w:hAnsi="Calibri Light" w:cstheme="minorHAnsi"/>
                <w:color w:val="495965"/>
                <w:sz w:val="18"/>
                <w:szCs w:val="18"/>
                <w:lang w:eastAsia="en-AU"/>
              </w:rPr>
              <w:br/>
              <w:t>Data source: AQC analysis</w:t>
            </w:r>
          </w:p>
        </w:tc>
        <w:tc>
          <w:tcPr>
            <w:tcW w:w="1400" w:type="dxa"/>
            <w:tcBorders>
              <w:top w:val="nil"/>
              <w:left w:val="nil"/>
              <w:bottom w:val="single" w:sz="4" w:space="0" w:color="auto"/>
              <w:right w:val="single" w:sz="4" w:space="0" w:color="auto"/>
            </w:tcBorders>
            <w:shd w:val="clear" w:color="auto" w:fill="auto"/>
            <w:vAlign w:val="center"/>
            <w:hideMark/>
          </w:tcPr>
          <w:p w14:paraId="22D8F569"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80%</w:t>
            </w:r>
          </w:p>
        </w:tc>
        <w:tc>
          <w:tcPr>
            <w:tcW w:w="1400" w:type="dxa"/>
            <w:tcBorders>
              <w:top w:val="nil"/>
              <w:left w:val="nil"/>
              <w:bottom w:val="single" w:sz="4" w:space="0" w:color="auto"/>
              <w:right w:val="single" w:sz="4" w:space="0" w:color="auto"/>
            </w:tcBorders>
            <w:shd w:val="clear" w:color="auto" w:fill="auto"/>
            <w:vAlign w:val="center"/>
            <w:hideMark/>
          </w:tcPr>
          <w:p w14:paraId="784B896B"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80%</w:t>
            </w:r>
          </w:p>
        </w:tc>
        <w:tc>
          <w:tcPr>
            <w:tcW w:w="1400" w:type="dxa"/>
            <w:tcBorders>
              <w:top w:val="nil"/>
              <w:left w:val="nil"/>
              <w:bottom w:val="single" w:sz="4" w:space="0" w:color="auto"/>
              <w:right w:val="single" w:sz="4" w:space="0" w:color="auto"/>
            </w:tcBorders>
            <w:shd w:val="clear" w:color="auto" w:fill="auto"/>
            <w:vAlign w:val="center"/>
            <w:hideMark/>
          </w:tcPr>
          <w:p w14:paraId="04E3CAA1"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80%</w:t>
            </w:r>
          </w:p>
        </w:tc>
      </w:tr>
      <w:tr w:rsidR="00DB1030" w:rsidRPr="00DB1030" w14:paraId="19C16901" w14:textId="77777777" w:rsidTr="00DB1030">
        <w:trPr>
          <w:trHeight w:val="720"/>
        </w:trPr>
        <w:tc>
          <w:tcPr>
            <w:tcW w:w="3460" w:type="dxa"/>
            <w:tcBorders>
              <w:top w:val="nil"/>
              <w:left w:val="single" w:sz="4" w:space="0" w:color="auto"/>
              <w:bottom w:val="nil"/>
              <w:right w:val="single" w:sz="4" w:space="0" w:color="auto"/>
            </w:tcBorders>
            <w:shd w:val="clear" w:color="000000" w:fill="DDECD0"/>
            <w:hideMark/>
          </w:tcPr>
          <w:p w14:paraId="2A5E39B2" w14:textId="77777777" w:rsidR="00DB1030" w:rsidRPr="00DB1030" w:rsidRDefault="00DB1030" w:rsidP="00DB1030">
            <w:pPr>
              <w:suppressAutoHyphens w:val="0"/>
              <w:spacing w:before="0" w:after="0" w:line="240" w:lineRule="auto"/>
              <w:rPr>
                <w:rFonts w:ascii="Calibri" w:eastAsia="Times New Roman" w:hAnsi="Calibri" w:cs="Times New Roman"/>
                <w:color w:val="000000"/>
                <w:lang w:val="en-AU" w:eastAsia="en-AU"/>
              </w:rPr>
            </w:pPr>
            <w:r w:rsidRPr="00DB1030">
              <w:rPr>
                <w:rFonts w:ascii="Calibri" w:eastAsia="Times New Roman" w:hAnsi="Calibri" w:cs="Times New Roman"/>
                <w:color w:val="000000"/>
                <w:lang w:val="en-AU" w:eastAsia="en-AU"/>
              </w:rPr>
              <w:t> </w:t>
            </w:r>
          </w:p>
        </w:tc>
        <w:tc>
          <w:tcPr>
            <w:tcW w:w="2560" w:type="dxa"/>
            <w:tcBorders>
              <w:top w:val="nil"/>
              <w:left w:val="nil"/>
              <w:bottom w:val="single" w:sz="4" w:space="0" w:color="auto"/>
              <w:right w:val="single" w:sz="4" w:space="0" w:color="auto"/>
            </w:tcBorders>
            <w:shd w:val="clear" w:color="000000" w:fill="D8DCDB"/>
            <w:vAlign w:val="center"/>
            <w:hideMark/>
          </w:tcPr>
          <w:p w14:paraId="7BD81A88"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u w:val="single"/>
                <w:lang w:val="en-AU" w:eastAsia="en-AU"/>
              </w:rPr>
            </w:pPr>
            <w:r w:rsidRPr="00DB1030">
              <w:rPr>
                <w:rFonts w:ascii="Calibri Light" w:eastAsia="Times New Roman" w:hAnsi="Calibri Light" w:cstheme="minorHAnsi"/>
                <w:b/>
                <w:bCs/>
                <w:color w:val="495965"/>
                <w:sz w:val="18"/>
                <w:szCs w:val="18"/>
                <w:u w:val="single"/>
                <w:lang w:eastAsia="en-AU"/>
              </w:rPr>
              <w:t>Outcome 9</w:t>
            </w:r>
            <w:r w:rsidRPr="00DB1030">
              <w:rPr>
                <w:rFonts w:ascii="Calibri Light" w:eastAsia="Times New Roman" w:hAnsi="Calibri Light" w:cstheme="minorHAnsi"/>
                <w:color w:val="495965"/>
                <w:sz w:val="18"/>
                <w:szCs w:val="18"/>
                <w:u w:val="single"/>
                <w:lang w:eastAsia="en-AU"/>
              </w:rPr>
              <w:t>:</w:t>
            </w:r>
            <w:r w:rsidRPr="00DB1030">
              <w:rPr>
                <w:rFonts w:ascii="Calibri Light" w:eastAsia="Times New Roman" w:hAnsi="Calibri Light" w:cstheme="minorHAnsi"/>
                <w:color w:val="495965"/>
                <w:sz w:val="18"/>
                <w:szCs w:val="18"/>
                <w:lang w:eastAsia="en-AU"/>
              </w:rPr>
              <w:t xml:space="preserve"> Improved integration of disability into investments</w:t>
            </w:r>
          </w:p>
        </w:tc>
        <w:tc>
          <w:tcPr>
            <w:tcW w:w="3160" w:type="dxa"/>
            <w:tcBorders>
              <w:top w:val="nil"/>
              <w:left w:val="nil"/>
              <w:bottom w:val="single" w:sz="4" w:space="0" w:color="auto"/>
              <w:right w:val="single" w:sz="4" w:space="0" w:color="auto"/>
            </w:tcBorders>
            <w:shd w:val="clear" w:color="000000" w:fill="FFFFFF"/>
            <w:vAlign w:val="center"/>
            <w:hideMark/>
          </w:tcPr>
          <w:p w14:paraId="2C7ECE71"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16.</w:t>
            </w:r>
            <w:r w:rsidRPr="00DB1030">
              <w:rPr>
                <w:rFonts w:ascii="Times New Roman" w:eastAsia="Times New Roman" w:hAnsi="Times New Roman" w:cs="Times New Roman"/>
                <w:color w:val="495965"/>
                <w:sz w:val="14"/>
                <w:szCs w:val="14"/>
                <w:lang w:eastAsia="en-AU"/>
              </w:rPr>
              <w:t xml:space="preserve">  </w:t>
            </w:r>
            <w:r w:rsidRPr="00DB1030">
              <w:rPr>
                <w:rFonts w:ascii="Calibri Light" w:eastAsia="Times New Roman" w:hAnsi="Calibri Light" w:cstheme="minorHAnsi"/>
                <w:color w:val="495965"/>
                <w:sz w:val="18"/>
                <w:szCs w:val="18"/>
                <w:lang w:eastAsia="en-AU"/>
              </w:rPr>
              <w:t>% of investments receiving satisfactory ratings in annual AQCs</w:t>
            </w:r>
            <w:r w:rsidRPr="00DB1030">
              <w:rPr>
                <w:rFonts w:ascii="Calibri Light" w:eastAsia="Times New Roman" w:hAnsi="Calibri Light" w:cstheme="minorHAnsi"/>
                <w:color w:val="495965"/>
                <w:sz w:val="18"/>
                <w:szCs w:val="18"/>
                <w:lang w:eastAsia="en-AU"/>
              </w:rPr>
              <w:br/>
              <w:t>Data source: AQC analysis</w:t>
            </w:r>
          </w:p>
        </w:tc>
        <w:tc>
          <w:tcPr>
            <w:tcW w:w="1400" w:type="dxa"/>
            <w:tcBorders>
              <w:top w:val="nil"/>
              <w:left w:val="nil"/>
              <w:bottom w:val="single" w:sz="4" w:space="0" w:color="auto"/>
              <w:right w:val="single" w:sz="4" w:space="0" w:color="auto"/>
            </w:tcBorders>
            <w:shd w:val="clear" w:color="000000" w:fill="FFFFFF"/>
            <w:vAlign w:val="center"/>
            <w:hideMark/>
          </w:tcPr>
          <w:p w14:paraId="17C2826B"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45%</w:t>
            </w:r>
          </w:p>
        </w:tc>
        <w:tc>
          <w:tcPr>
            <w:tcW w:w="1400" w:type="dxa"/>
            <w:tcBorders>
              <w:top w:val="nil"/>
              <w:left w:val="nil"/>
              <w:bottom w:val="single" w:sz="4" w:space="0" w:color="auto"/>
              <w:right w:val="single" w:sz="4" w:space="0" w:color="auto"/>
            </w:tcBorders>
            <w:shd w:val="clear" w:color="000000" w:fill="FFFFFF"/>
            <w:vAlign w:val="center"/>
            <w:hideMark/>
          </w:tcPr>
          <w:p w14:paraId="1C1213A5"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50%</w:t>
            </w:r>
          </w:p>
        </w:tc>
        <w:tc>
          <w:tcPr>
            <w:tcW w:w="1400" w:type="dxa"/>
            <w:tcBorders>
              <w:top w:val="nil"/>
              <w:left w:val="nil"/>
              <w:bottom w:val="single" w:sz="4" w:space="0" w:color="auto"/>
              <w:right w:val="single" w:sz="4" w:space="0" w:color="auto"/>
            </w:tcBorders>
            <w:shd w:val="clear" w:color="auto" w:fill="auto"/>
            <w:vAlign w:val="center"/>
            <w:hideMark/>
          </w:tcPr>
          <w:p w14:paraId="7C88736F"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55%</w:t>
            </w:r>
          </w:p>
        </w:tc>
      </w:tr>
      <w:tr w:rsidR="00DB1030" w:rsidRPr="00DB1030" w14:paraId="7B70C404" w14:textId="77777777" w:rsidTr="00DB1030">
        <w:trPr>
          <w:trHeight w:val="1275"/>
        </w:trPr>
        <w:tc>
          <w:tcPr>
            <w:tcW w:w="3460" w:type="dxa"/>
            <w:tcBorders>
              <w:top w:val="nil"/>
              <w:left w:val="single" w:sz="4" w:space="0" w:color="auto"/>
              <w:bottom w:val="single" w:sz="4" w:space="0" w:color="auto"/>
              <w:right w:val="single" w:sz="4" w:space="0" w:color="auto"/>
            </w:tcBorders>
            <w:shd w:val="clear" w:color="000000" w:fill="DDECD0"/>
            <w:hideMark/>
          </w:tcPr>
          <w:p w14:paraId="2BE6129F" w14:textId="77777777" w:rsidR="00DB1030" w:rsidRPr="00DB1030" w:rsidRDefault="00DB1030" w:rsidP="00DB1030">
            <w:pPr>
              <w:suppressAutoHyphens w:val="0"/>
              <w:spacing w:before="0" w:after="0" w:line="240" w:lineRule="auto"/>
              <w:rPr>
                <w:rFonts w:ascii="Calibri" w:eastAsia="Times New Roman" w:hAnsi="Calibri" w:cs="Times New Roman"/>
                <w:color w:val="000000"/>
                <w:lang w:val="en-AU" w:eastAsia="en-AU"/>
              </w:rPr>
            </w:pPr>
            <w:r w:rsidRPr="00DB1030">
              <w:rPr>
                <w:rFonts w:ascii="Calibri" w:eastAsia="Times New Roman" w:hAnsi="Calibri" w:cs="Times New Roman"/>
                <w:color w:val="000000"/>
                <w:lang w:val="en-AU" w:eastAsia="en-AU"/>
              </w:rPr>
              <w:t> </w:t>
            </w:r>
          </w:p>
        </w:tc>
        <w:tc>
          <w:tcPr>
            <w:tcW w:w="2560" w:type="dxa"/>
            <w:tcBorders>
              <w:top w:val="nil"/>
              <w:left w:val="nil"/>
              <w:bottom w:val="single" w:sz="4" w:space="0" w:color="auto"/>
              <w:right w:val="single" w:sz="4" w:space="0" w:color="auto"/>
            </w:tcBorders>
            <w:shd w:val="clear" w:color="000000" w:fill="D8DCDB"/>
            <w:vAlign w:val="center"/>
            <w:hideMark/>
          </w:tcPr>
          <w:p w14:paraId="34652DA3"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b/>
                <w:bCs/>
                <w:color w:val="495965"/>
                <w:sz w:val="18"/>
                <w:szCs w:val="18"/>
                <w:u w:val="single"/>
                <w:lang w:eastAsia="en-AU"/>
              </w:rPr>
              <w:t>Outcome 10</w:t>
            </w:r>
            <w:r w:rsidRPr="00DB1030">
              <w:rPr>
                <w:rFonts w:ascii="Calibri Light" w:eastAsia="Times New Roman" w:hAnsi="Calibri Light" w:cstheme="minorHAnsi"/>
                <w:b/>
                <w:bCs/>
                <w:color w:val="495965"/>
                <w:sz w:val="18"/>
                <w:szCs w:val="18"/>
                <w:lang w:eastAsia="en-AU"/>
              </w:rPr>
              <w:t>:</w:t>
            </w:r>
            <w:r w:rsidRPr="00DB1030">
              <w:rPr>
                <w:rFonts w:ascii="Calibri Light" w:eastAsia="Times New Roman" w:hAnsi="Calibri Light" w:cstheme="minorHAnsi"/>
                <w:color w:val="495965"/>
                <w:sz w:val="18"/>
                <w:szCs w:val="18"/>
                <w:lang w:eastAsia="en-AU"/>
              </w:rPr>
              <w:t xml:space="preserve"> Pakistan Aid Program is more consolidated over time</w:t>
            </w:r>
          </w:p>
        </w:tc>
        <w:tc>
          <w:tcPr>
            <w:tcW w:w="3160" w:type="dxa"/>
            <w:tcBorders>
              <w:top w:val="nil"/>
              <w:left w:val="nil"/>
              <w:bottom w:val="single" w:sz="4" w:space="0" w:color="auto"/>
              <w:right w:val="single" w:sz="4" w:space="0" w:color="auto"/>
            </w:tcBorders>
            <w:shd w:val="clear" w:color="000000" w:fill="FFFFFF"/>
            <w:vAlign w:val="center"/>
            <w:hideMark/>
          </w:tcPr>
          <w:p w14:paraId="289491D2" w14:textId="77777777" w:rsidR="00DB1030" w:rsidRPr="00DB1030" w:rsidRDefault="00DB1030" w:rsidP="00DB1030">
            <w:pPr>
              <w:suppressAutoHyphens w:val="0"/>
              <w:spacing w:before="0" w:after="0" w:line="240" w:lineRule="auto"/>
              <w:rPr>
                <w:rFonts w:ascii="Calibri Light" w:eastAsia="Times New Roman" w:hAnsi="Calibri Light" w:cs="Times New Roman"/>
                <w:color w:val="495965"/>
                <w:sz w:val="20"/>
                <w:szCs w:val="20"/>
                <w:lang w:val="en-AU" w:eastAsia="en-AU"/>
              </w:rPr>
            </w:pPr>
            <w:r w:rsidRPr="00DB1030">
              <w:rPr>
                <w:rFonts w:ascii="Calibri Light" w:eastAsia="Times New Roman" w:hAnsi="Calibri Light" w:cstheme="minorHAnsi"/>
                <w:color w:val="495965"/>
                <w:sz w:val="20"/>
                <w:szCs w:val="20"/>
                <w:lang w:eastAsia="en-AU"/>
              </w:rPr>
              <w:t>17.</w:t>
            </w:r>
            <w:r w:rsidRPr="00DB1030">
              <w:rPr>
                <w:rFonts w:ascii="Times New Roman" w:eastAsia="Times New Roman" w:hAnsi="Times New Roman" w:cs="Times New Roman"/>
                <w:color w:val="495965"/>
                <w:sz w:val="14"/>
                <w:szCs w:val="14"/>
                <w:lang w:eastAsia="en-AU"/>
              </w:rPr>
              <w:t xml:space="preserve"> </w:t>
            </w:r>
            <w:r w:rsidRPr="00DB1030">
              <w:rPr>
                <w:rFonts w:ascii="Calibri Light" w:eastAsia="Times New Roman" w:hAnsi="Calibri Light" w:cstheme="minorHAnsi"/>
                <w:color w:val="495965"/>
                <w:sz w:val="20"/>
                <w:szCs w:val="20"/>
                <w:lang w:eastAsia="en-AU"/>
              </w:rPr>
              <w:t># of initiatives in the Pakistan development program fund (AID PROGRAM STRATEGIC TARGET - CONSOLIDATION)</w:t>
            </w:r>
            <w:r w:rsidRPr="00DB1030">
              <w:rPr>
                <w:rFonts w:ascii="Calibri Light" w:eastAsia="Times New Roman" w:hAnsi="Calibri Light" w:cstheme="minorHAnsi"/>
                <w:color w:val="495965"/>
                <w:sz w:val="20"/>
                <w:szCs w:val="20"/>
                <w:lang w:eastAsia="en-AU"/>
              </w:rPr>
              <w:br/>
              <w:t>Data source: PK1 Program Fund Plan</w:t>
            </w:r>
          </w:p>
        </w:tc>
        <w:tc>
          <w:tcPr>
            <w:tcW w:w="1400" w:type="dxa"/>
            <w:tcBorders>
              <w:top w:val="nil"/>
              <w:left w:val="nil"/>
              <w:bottom w:val="single" w:sz="4" w:space="0" w:color="auto"/>
              <w:right w:val="single" w:sz="4" w:space="0" w:color="auto"/>
            </w:tcBorders>
            <w:shd w:val="clear" w:color="000000" w:fill="FFFFFF"/>
            <w:vAlign w:val="center"/>
            <w:hideMark/>
          </w:tcPr>
          <w:p w14:paraId="66AAE354"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14 initiatives</w:t>
            </w:r>
          </w:p>
        </w:tc>
        <w:tc>
          <w:tcPr>
            <w:tcW w:w="1400" w:type="dxa"/>
            <w:tcBorders>
              <w:top w:val="nil"/>
              <w:left w:val="nil"/>
              <w:bottom w:val="single" w:sz="4" w:space="0" w:color="auto"/>
              <w:right w:val="single" w:sz="4" w:space="0" w:color="auto"/>
            </w:tcBorders>
            <w:shd w:val="clear" w:color="000000" w:fill="FFFFFF"/>
            <w:vAlign w:val="center"/>
            <w:hideMark/>
          </w:tcPr>
          <w:p w14:paraId="44DFF6A4"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14 initiatives</w:t>
            </w:r>
          </w:p>
        </w:tc>
        <w:tc>
          <w:tcPr>
            <w:tcW w:w="1400" w:type="dxa"/>
            <w:tcBorders>
              <w:top w:val="nil"/>
              <w:left w:val="nil"/>
              <w:bottom w:val="single" w:sz="4" w:space="0" w:color="auto"/>
              <w:right w:val="single" w:sz="4" w:space="0" w:color="auto"/>
            </w:tcBorders>
            <w:shd w:val="clear" w:color="000000" w:fill="FFFFFF"/>
            <w:vAlign w:val="center"/>
            <w:hideMark/>
          </w:tcPr>
          <w:p w14:paraId="5F05C559" w14:textId="77777777" w:rsidR="00DB1030" w:rsidRPr="00DB1030" w:rsidRDefault="00DB1030" w:rsidP="00DB1030">
            <w:pPr>
              <w:suppressAutoHyphens w:val="0"/>
              <w:spacing w:before="0" w:after="0" w:line="240" w:lineRule="auto"/>
              <w:jc w:val="center"/>
              <w:rPr>
                <w:rFonts w:ascii="Calibri Light" w:eastAsia="Times New Roman" w:hAnsi="Calibri Light" w:cs="Times New Roman"/>
                <w:color w:val="495965"/>
                <w:sz w:val="18"/>
                <w:szCs w:val="18"/>
                <w:lang w:val="en-AU" w:eastAsia="en-AU"/>
              </w:rPr>
            </w:pPr>
            <w:r w:rsidRPr="00DB1030">
              <w:rPr>
                <w:rFonts w:ascii="Calibri Light" w:eastAsia="Times New Roman" w:hAnsi="Calibri Light" w:cstheme="minorHAnsi"/>
                <w:color w:val="495965"/>
                <w:sz w:val="18"/>
                <w:szCs w:val="18"/>
                <w:lang w:eastAsia="en-AU"/>
              </w:rPr>
              <w:t>14 initiatives</w:t>
            </w:r>
          </w:p>
        </w:tc>
      </w:tr>
    </w:tbl>
    <w:p w14:paraId="25A74B4F" w14:textId="1AE3492B" w:rsidR="00A92CF2" w:rsidRPr="005C78DB" w:rsidRDefault="00A92CF2" w:rsidP="00DB1030">
      <w:pPr>
        <w:pStyle w:val="Subtitle"/>
      </w:pPr>
    </w:p>
    <w:sectPr w:rsidR="00A92CF2" w:rsidRPr="005C78DB" w:rsidSect="00DB1030">
      <w:headerReference w:type="default" r:id="rId31"/>
      <w:pgSz w:w="16838" w:h="11906" w:orient="landscape" w:code="9"/>
      <w:pgMar w:top="1134" w:right="1527" w:bottom="1134" w:left="851"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20B69" w14:textId="77777777" w:rsidR="0043662C" w:rsidRDefault="0043662C" w:rsidP="00EF4574">
      <w:pPr>
        <w:spacing w:before="0" w:after="0" w:line="240" w:lineRule="auto"/>
      </w:pPr>
      <w:r>
        <w:separator/>
      </w:r>
    </w:p>
  </w:endnote>
  <w:endnote w:type="continuationSeparator" w:id="0">
    <w:p w14:paraId="60A0A9F9" w14:textId="77777777" w:rsidR="0043662C" w:rsidRDefault="0043662C"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0E3BF" w14:textId="77777777" w:rsidR="006972D1" w:rsidRDefault="00697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69264" w14:textId="77777777" w:rsidR="0043662C" w:rsidRDefault="0043662C" w:rsidP="004839E3">
    <w:pPr>
      <w:pStyle w:val="Footer"/>
      <w:rPr>
        <w:lang w:val="en-AU"/>
      </w:rPr>
    </w:pPr>
  </w:p>
  <w:p w14:paraId="444ADB5F" w14:textId="77777777" w:rsidR="0043662C" w:rsidRDefault="0043662C" w:rsidP="004839E3">
    <w:pPr>
      <w:pStyle w:val="Footer"/>
    </w:pPr>
  </w:p>
  <w:p w14:paraId="06CEAB93" w14:textId="77777777" w:rsidR="0043662C" w:rsidRPr="00CD0E4B" w:rsidRDefault="0043662C" w:rsidP="004839E3">
    <w:pPr>
      <w:pStyle w:val="Footer"/>
    </w:pPr>
    <w:r w:rsidRPr="00CD0E4B">
      <w:rPr>
        <w:noProof/>
        <w:lang w:val="en-AU" w:eastAsia="en-AU"/>
      </w:rPr>
      <w:drawing>
        <wp:inline distT="0" distB="0" distL="0" distR="0" wp14:anchorId="4485CE13" wp14:editId="5C3F9B19">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4198D4A2" w14:textId="77777777" w:rsidR="0043662C" w:rsidRPr="00CD0E4B" w:rsidRDefault="0043662C" w:rsidP="004839E3">
    <w:pPr>
      <w:pStyle w:val="Footer"/>
      <w:rPr>
        <w:color w:val="ACD08C" w:themeColor="accent3"/>
      </w:rPr>
    </w:pPr>
    <w:r w:rsidRPr="00CD0E4B">
      <w:rPr>
        <w:color w:val="ACD08C" w:themeColor="accent3"/>
      </w:rPr>
      <w:t>DFAT.GOV.AU</w:t>
    </w:r>
  </w:p>
  <w:p w14:paraId="1F222777" w14:textId="77777777" w:rsidR="0043662C" w:rsidRPr="004839E3" w:rsidRDefault="0043662C"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5A99" w14:textId="77777777" w:rsidR="0043662C" w:rsidRPr="004839E3" w:rsidRDefault="0043662C"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0AE218FE" wp14:editId="1EE5814C">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14:paraId="778C682F" w14:textId="77777777" w:rsidR="0043662C" w:rsidRDefault="0043662C"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C6500" w14:textId="77777777" w:rsidR="0043662C" w:rsidRDefault="0043662C" w:rsidP="004839E3">
    <w:pPr>
      <w:pStyle w:val="Footer"/>
      <w:rPr>
        <w:lang w:val="en-AU"/>
      </w:rPr>
    </w:pPr>
  </w:p>
  <w:p w14:paraId="1B1B9183" w14:textId="77777777" w:rsidR="0043662C" w:rsidRDefault="0043662C" w:rsidP="004839E3">
    <w:pPr>
      <w:pStyle w:val="Footer"/>
    </w:pPr>
  </w:p>
  <w:p w14:paraId="0BAA0045" w14:textId="77777777" w:rsidR="0043662C" w:rsidRPr="00CD0E4B" w:rsidRDefault="0043662C" w:rsidP="004839E3">
    <w:pPr>
      <w:pStyle w:val="Footer"/>
    </w:pPr>
    <w:r w:rsidRPr="00CD0E4B">
      <w:rPr>
        <w:noProof/>
        <w:lang w:val="en-AU" w:eastAsia="en-AU"/>
      </w:rPr>
      <w:drawing>
        <wp:inline distT="0" distB="0" distL="0" distR="0" wp14:anchorId="2CA5D55B" wp14:editId="70F6D7E7">
          <wp:extent cx="90000" cy="74520"/>
          <wp:effectExtent l="0" t="0" r="5715" b="190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13D91AF4" w14:textId="77777777" w:rsidR="0043662C" w:rsidRPr="00CD0E4B" w:rsidRDefault="0043662C" w:rsidP="004839E3">
    <w:pPr>
      <w:pStyle w:val="Footer"/>
      <w:rPr>
        <w:color w:val="ACD08C" w:themeColor="accent3"/>
      </w:rPr>
    </w:pPr>
    <w:r w:rsidRPr="00CD0E4B">
      <w:rPr>
        <w:color w:val="ACD08C" w:themeColor="accent3"/>
      </w:rPr>
      <w:t>DFAT.GOV.AU</w:t>
    </w:r>
  </w:p>
  <w:p w14:paraId="0AEBCBD9" w14:textId="77777777" w:rsidR="0043662C" w:rsidRPr="004839E3" w:rsidRDefault="0043662C"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BF934" w14:textId="77777777" w:rsidR="0043662C" w:rsidRPr="008C5A0E" w:rsidRDefault="0043662C" w:rsidP="001D663E">
      <w:pPr>
        <w:pStyle w:val="Footer"/>
        <w:pBdr>
          <w:top w:val="single" w:sz="4" w:space="1" w:color="495965" w:themeColor="text2"/>
        </w:pBdr>
      </w:pPr>
    </w:p>
  </w:footnote>
  <w:footnote w:type="continuationSeparator" w:id="0">
    <w:p w14:paraId="01C9C96F" w14:textId="77777777" w:rsidR="0043662C" w:rsidRDefault="0043662C" w:rsidP="00EF4574">
      <w:pPr>
        <w:spacing w:before="0" w:after="0" w:line="240" w:lineRule="auto"/>
      </w:pPr>
      <w:r>
        <w:continuationSeparator/>
      </w:r>
    </w:p>
  </w:footnote>
  <w:footnote w:id="1">
    <w:p w14:paraId="6E686317" w14:textId="77777777" w:rsidR="0043662C" w:rsidRPr="00270B60" w:rsidRDefault="0043662C" w:rsidP="00AB069C">
      <w:pPr>
        <w:pStyle w:val="FootnoteText"/>
        <w:rPr>
          <w:lang w:val="en-AU"/>
        </w:rPr>
      </w:pPr>
      <w:r>
        <w:rPr>
          <w:rStyle w:val="FootnoteReference"/>
        </w:rPr>
        <w:footnoteRef/>
      </w:r>
      <w:r>
        <w:t xml:space="preserve"> See OECD/DAC reporting at </w:t>
      </w:r>
      <w:r w:rsidRPr="000C44EF">
        <w:t>http://www2.compareyourcountry.org/aid-statistics?cr=665&amp;lg=en&amp;page=21</w:t>
      </w:r>
    </w:p>
  </w:footnote>
  <w:footnote w:id="2">
    <w:p w14:paraId="7E506F0E" w14:textId="77777777" w:rsidR="0043662C" w:rsidRPr="00983C6E" w:rsidRDefault="0043662C" w:rsidP="006D1404">
      <w:pPr>
        <w:pStyle w:val="FootnoteText"/>
        <w:rPr>
          <w:lang w:val="en-AU"/>
        </w:rPr>
      </w:pPr>
      <w:r w:rsidRPr="006D1404">
        <w:rPr>
          <w:lang w:val="en-AU"/>
        </w:rPr>
        <w:footnoteRef/>
      </w:r>
      <w:r w:rsidRPr="006D1404">
        <w:rPr>
          <w:lang w:val="en-AU"/>
        </w:rPr>
        <w:t xml:space="preserve"> Figures from MDF's 11th Semester Reports and the draft Annual Aggregation of Results Report</w:t>
      </w:r>
    </w:p>
  </w:footnote>
  <w:footnote w:id="3">
    <w:p w14:paraId="6EC167A4" w14:textId="77777777" w:rsidR="0043662C" w:rsidRPr="005F78EC" w:rsidRDefault="0043662C">
      <w:pPr>
        <w:pStyle w:val="FootnoteText"/>
        <w:rPr>
          <w:lang w:val="en-AU"/>
        </w:rPr>
      </w:pPr>
      <w:r>
        <w:rPr>
          <w:rStyle w:val="FootnoteReference"/>
        </w:rPr>
        <w:footnoteRef/>
      </w:r>
      <w:r>
        <w:t xml:space="preserve"> WFP 2016 Standard Project Report</w:t>
      </w:r>
    </w:p>
  </w:footnote>
  <w:footnote w:id="4">
    <w:p w14:paraId="0CB1ECA7" w14:textId="77777777" w:rsidR="0043662C" w:rsidRPr="00202CB8" w:rsidRDefault="0043662C">
      <w:pPr>
        <w:pStyle w:val="FootnoteText"/>
        <w:rPr>
          <w:lang w:val="en-AU"/>
        </w:rPr>
      </w:pPr>
      <w:r>
        <w:rPr>
          <w:rStyle w:val="FootnoteReference"/>
        </w:rPr>
        <w:footnoteRef/>
      </w:r>
      <w:r>
        <w:t xml:space="preserve"> </w:t>
      </w:r>
      <w:r>
        <w:rPr>
          <w:lang w:val="en-AU"/>
        </w:rPr>
        <w:t>These figures will increase once targets for AusABBA II and AVCCR become available later in 2017.</w:t>
      </w:r>
    </w:p>
  </w:footnote>
  <w:footnote w:id="5">
    <w:p w14:paraId="20D06FB4" w14:textId="77777777" w:rsidR="0043662C" w:rsidRPr="00933F76" w:rsidRDefault="0043662C">
      <w:pPr>
        <w:pStyle w:val="FootnoteText"/>
        <w:rPr>
          <w:lang w:val="en-AU"/>
        </w:rPr>
      </w:pPr>
      <w:r>
        <w:rPr>
          <w:rStyle w:val="FootnoteReference"/>
        </w:rPr>
        <w:footnoteRef/>
      </w:r>
      <w:r>
        <w:t xml:space="preserve"> </w:t>
      </w:r>
      <w:r>
        <w:rPr>
          <w:lang w:val="en-AU"/>
        </w:rPr>
        <w:t>The target for 2017/18 is for BA and SRSP. The 2018/19 target figure will include targets for AusABBA II which will be available later in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9826E" w14:textId="77777777" w:rsidR="006972D1" w:rsidRDefault="00697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946C" w14:textId="77777777" w:rsidR="0043662C" w:rsidRPr="00333501" w:rsidRDefault="0043662C" w:rsidP="008F56A8">
    <w:pPr>
      <w:pStyle w:val="Header"/>
      <w:jc w:val="left"/>
    </w:pPr>
    <w:r>
      <w:rPr>
        <w:noProof/>
        <w:lang w:val="en-AU" w:eastAsia="en-AU"/>
      </w:rPr>
      <w:drawing>
        <wp:anchor distT="0" distB="0" distL="114300" distR="114300" simplePos="0" relativeHeight="251671552" behindDoc="1" locked="1" layoutInCell="1" allowOverlap="1" wp14:anchorId="199DDDDA" wp14:editId="5854B3E2">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656CD" w14:textId="77777777" w:rsidR="0043662C" w:rsidRPr="003D352D" w:rsidRDefault="0043662C" w:rsidP="003D352D">
    <w:pPr>
      <w:pStyle w:val="Header"/>
      <w:jc w:val="left"/>
    </w:pPr>
    <w:r>
      <w:rPr>
        <w:noProof/>
        <w:lang w:val="en-AU" w:eastAsia="en-AU"/>
      </w:rPr>
      <w:drawing>
        <wp:anchor distT="0" distB="0" distL="114300" distR="114300" simplePos="0" relativeHeight="251669504" behindDoc="1" locked="1" layoutInCell="1" allowOverlap="1" wp14:anchorId="0F2DF304" wp14:editId="70D08743">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57BD2" w14:textId="77777777" w:rsidR="0043662C" w:rsidRPr="00333501" w:rsidRDefault="0043662C" w:rsidP="008F56A8">
    <w:pPr>
      <w:pStyle w:val="Header"/>
      <w:jc w:val="left"/>
    </w:pPr>
    <w:r>
      <w:rPr>
        <w:noProof/>
        <w:lang w:val="en-AU" w:eastAsia="en-AU"/>
      </w:rPr>
      <w:drawing>
        <wp:anchor distT="0" distB="0" distL="114300" distR="114300" simplePos="0" relativeHeight="251685888" behindDoc="1" locked="1" layoutInCell="1" allowOverlap="1" wp14:anchorId="659DFCDA" wp14:editId="78FA1288">
          <wp:simplePos x="0" y="0"/>
          <wp:positionH relativeFrom="margin">
            <wp:posOffset>-652145</wp:posOffset>
          </wp:positionH>
          <wp:positionV relativeFrom="page">
            <wp:posOffset>122555</wp:posOffset>
          </wp:positionV>
          <wp:extent cx="7409815" cy="10589895"/>
          <wp:effectExtent l="0" t="0" r="635" b="190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0A4B8" w14:textId="11940268" w:rsidR="0043662C" w:rsidRPr="003D352D" w:rsidRDefault="0043662C" w:rsidP="003D352D">
    <w:pPr>
      <w:pStyle w:val="Header"/>
      <w:jc w:val="left"/>
    </w:pPr>
    <w:r>
      <w:rPr>
        <w:noProof/>
        <w:lang w:val="en-AU" w:eastAsia="en-AU"/>
      </w:rPr>
      <w:drawing>
        <wp:anchor distT="0" distB="0" distL="114300" distR="114300" simplePos="0" relativeHeight="251696128" behindDoc="1" locked="1" layoutInCell="1" allowOverlap="1" wp14:anchorId="762D1D1B" wp14:editId="723C63AF">
          <wp:simplePos x="0" y="0"/>
          <wp:positionH relativeFrom="page">
            <wp:posOffset>8522335</wp:posOffset>
          </wp:positionH>
          <wp:positionV relativeFrom="page">
            <wp:posOffset>160020</wp:posOffset>
          </wp:positionV>
          <wp:extent cx="771525" cy="390525"/>
          <wp:effectExtent l="0" t="0" r="9525" b="9525"/>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rotWithShape="1">
                  <a:blip r:embed="rId1">
                    <a:extLst>
                      <a:ext uri="{28A0092B-C50C-407E-A947-70E740481C1C}">
                        <a14:useLocalDpi xmlns:a14="http://schemas.microsoft.com/office/drawing/2010/main" val="0"/>
                      </a:ext>
                    </a:extLst>
                  </a:blip>
                  <a:srcRect l="78712" t="3189" r="11085" b="93181"/>
                  <a:stretch/>
                </pic:blipFill>
                <pic:spPr bwMode="auto">
                  <a:xfrm>
                    <a:off x="0" y="0"/>
                    <a:ext cx="771525" cy="390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73600" behindDoc="1" locked="1" layoutInCell="1" allowOverlap="1" wp14:anchorId="48C59C93" wp14:editId="3E0E9BDE">
          <wp:simplePos x="0" y="0"/>
          <wp:positionH relativeFrom="page">
            <wp:align>left</wp:align>
          </wp:positionH>
          <wp:positionV relativeFrom="page">
            <wp:align>top</wp:align>
          </wp:positionV>
          <wp:extent cx="10694035" cy="7477125"/>
          <wp:effectExtent l="0" t="0" r="0" b="9525"/>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77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E0834" w14:textId="4500E8E1" w:rsidR="0043662C" w:rsidRPr="00333501" w:rsidRDefault="0043662C" w:rsidP="008F56A8">
    <w:pPr>
      <w:pStyle w:val="Header"/>
      <w:jc w:val="left"/>
    </w:pPr>
    <w:r>
      <w:rPr>
        <w:noProof/>
        <w:lang w:val="en-AU" w:eastAsia="en-AU"/>
      </w:rPr>
      <w:drawing>
        <wp:anchor distT="0" distB="0" distL="114300" distR="114300" simplePos="0" relativeHeight="251694080" behindDoc="1" locked="1" layoutInCell="1" allowOverlap="1" wp14:anchorId="4EF2C80B" wp14:editId="07305AE0">
          <wp:simplePos x="0" y="0"/>
          <wp:positionH relativeFrom="page">
            <wp:posOffset>8667750</wp:posOffset>
          </wp:positionH>
          <wp:positionV relativeFrom="page">
            <wp:posOffset>266700</wp:posOffset>
          </wp:positionV>
          <wp:extent cx="771525" cy="390525"/>
          <wp:effectExtent l="0" t="0" r="9525" b="9525"/>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rotWithShape="1">
                  <a:blip r:embed="rId1">
                    <a:extLst>
                      <a:ext uri="{28A0092B-C50C-407E-A947-70E740481C1C}">
                        <a14:useLocalDpi xmlns:a14="http://schemas.microsoft.com/office/drawing/2010/main" val="0"/>
                      </a:ext>
                    </a:extLst>
                  </a:blip>
                  <a:srcRect l="78712" t="3189" r="11085" b="93181"/>
                  <a:stretch/>
                </pic:blipFill>
                <pic:spPr bwMode="auto">
                  <a:xfrm>
                    <a:off x="0" y="0"/>
                    <a:ext cx="771525" cy="390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87936" behindDoc="1" locked="1" layoutInCell="1" allowOverlap="1" wp14:anchorId="0D19F09E" wp14:editId="373087BC">
          <wp:simplePos x="0" y="0"/>
          <wp:positionH relativeFrom="page">
            <wp:posOffset>40640</wp:posOffset>
          </wp:positionH>
          <wp:positionV relativeFrom="margin">
            <wp:posOffset>-721995</wp:posOffset>
          </wp:positionV>
          <wp:extent cx="10754360" cy="7082790"/>
          <wp:effectExtent l="0" t="0" r="8890" b="381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ABDD7" w14:textId="77777777" w:rsidR="0043662C" w:rsidRPr="003D352D" w:rsidRDefault="0043662C" w:rsidP="003D352D">
    <w:pPr>
      <w:pStyle w:val="Header"/>
      <w:jc w:val="left"/>
    </w:pPr>
    <w:r>
      <w:rPr>
        <w:noProof/>
        <w:lang w:val="en-AU" w:eastAsia="en-AU"/>
      </w:rPr>
      <w:drawing>
        <wp:anchor distT="0" distB="0" distL="114300" distR="114300" simplePos="0" relativeHeight="251675648" behindDoc="1" locked="1" layoutInCell="1" allowOverlap="1" wp14:anchorId="5BD402D3" wp14:editId="6F7D3616">
          <wp:simplePos x="0" y="0"/>
          <wp:positionH relativeFrom="page">
            <wp:posOffset>-15875</wp:posOffset>
          </wp:positionH>
          <wp:positionV relativeFrom="page">
            <wp:posOffset>0</wp:posOffset>
          </wp:positionV>
          <wp:extent cx="10702290" cy="7458075"/>
          <wp:effectExtent l="0" t="0" r="3810" b="9525"/>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3EDD" w14:textId="3E0C17C9" w:rsidR="0043662C" w:rsidRPr="00333501" w:rsidRDefault="0043662C" w:rsidP="008F56A8">
    <w:pPr>
      <w:pStyle w:val="Header"/>
      <w:jc w:val="left"/>
    </w:pPr>
    <w:r>
      <w:rPr>
        <w:noProof/>
        <w:lang w:val="en-AU" w:eastAsia="en-AU"/>
      </w:rPr>
      <w:drawing>
        <wp:anchor distT="0" distB="0" distL="114300" distR="114300" simplePos="0" relativeHeight="251683840" behindDoc="1" locked="1" layoutInCell="1" allowOverlap="1" wp14:anchorId="3190D73D" wp14:editId="3F99ECD1">
          <wp:simplePos x="0" y="0"/>
          <wp:positionH relativeFrom="page">
            <wp:posOffset>46990</wp:posOffset>
          </wp:positionH>
          <wp:positionV relativeFrom="page">
            <wp:posOffset>95250</wp:posOffset>
          </wp:positionV>
          <wp:extent cx="7561580" cy="10757535"/>
          <wp:effectExtent l="0" t="0" r="1270" b="5715"/>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71511" w14:textId="5C105AC6" w:rsidR="0043662C" w:rsidRPr="008B2F77" w:rsidRDefault="00DB1030" w:rsidP="008B2F77">
    <w:pPr>
      <w:pStyle w:val="Header"/>
    </w:pPr>
    <w:r>
      <w:rPr>
        <w:noProof/>
        <w:lang w:val="en-AU" w:eastAsia="en-AU"/>
      </w:rPr>
      <w:drawing>
        <wp:anchor distT="0" distB="0" distL="114300" distR="114300" simplePos="0" relativeHeight="251698176" behindDoc="1" locked="1" layoutInCell="1" allowOverlap="1" wp14:anchorId="7A773EF5" wp14:editId="27222E56">
          <wp:simplePos x="0" y="0"/>
          <wp:positionH relativeFrom="page">
            <wp:align>right</wp:align>
          </wp:positionH>
          <wp:positionV relativeFrom="page">
            <wp:posOffset>39370</wp:posOffset>
          </wp:positionV>
          <wp:extent cx="10606405" cy="7465695"/>
          <wp:effectExtent l="0" t="0" r="4445" b="190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0640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D28F9"/>
    <w:multiLevelType w:val="hybridMultilevel"/>
    <w:tmpl w:val="33A83A38"/>
    <w:lvl w:ilvl="0" w:tplc="D346C8B8">
      <w:start w:val="1"/>
      <w:numFmt w:val="decimal"/>
      <w:lvlText w:val="%1."/>
      <w:lvlJc w:val="left"/>
      <w:pPr>
        <w:ind w:left="7447"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3832E5E"/>
    <w:multiLevelType w:val="hybridMultilevel"/>
    <w:tmpl w:val="45A4308A"/>
    <w:lvl w:ilvl="0" w:tplc="59E4D7B2">
      <w:start w:val="5"/>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826F5D"/>
    <w:multiLevelType w:val="hybridMultilevel"/>
    <w:tmpl w:val="C02271DE"/>
    <w:lvl w:ilvl="0" w:tplc="A100E726">
      <w:start w:val="1"/>
      <w:numFmt w:val="decimal"/>
      <w:pStyle w:val="Background"/>
      <w:lvlText w:val="%1."/>
      <w:lvlJc w:val="left"/>
      <w:pPr>
        <w:ind w:left="360" w:hanging="360"/>
      </w:pPr>
      <w:rPr>
        <w:rFonts w:ascii="Calibri Light" w:hAnsi="Calibri Light" w:cs="Times New Roman" w:hint="default"/>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9B3D49"/>
    <w:multiLevelType w:val="hybridMultilevel"/>
    <w:tmpl w:val="33A83A38"/>
    <w:lvl w:ilvl="0" w:tplc="D346C8B8">
      <w:start w:val="1"/>
      <w:numFmt w:val="decimal"/>
      <w:lvlText w:val="%1."/>
      <w:lvlJc w:val="left"/>
      <w:pPr>
        <w:ind w:left="2486"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2233C5"/>
    <w:multiLevelType w:val="hybridMultilevel"/>
    <w:tmpl w:val="16844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D3C1EA7"/>
    <w:multiLevelType w:val="multilevel"/>
    <w:tmpl w:val="43428892"/>
    <w:numStyleLink w:val="BulletsList"/>
  </w:abstractNum>
  <w:abstractNum w:abstractNumId="2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6D3015A5"/>
    <w:multiLevelType w:val="hybridMultilevel"/>
    <w:tmpl w:val="6D640B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EB134B"/>
    <w:multiLevelType w:val="hybridMultilevel"/>
    <w:tmpl w:val="1B10A002"/>
    <w:lvl w:ilvl="0" w:tplc="542ED8E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EA6030"/>
    <w:multiLevelType w:val="hybridMultilevel"/>
    <w:tmpl w:val="5824D256"/>
    <w:lvl w:ilvl="0" w:tplc="F32ED5BE">
      <w:start w:val="5"/>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3"/>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15"/>
  </w:num>
  <w:num w:numId="23">
    <w:abstractNumId w:val="15"/>
  </w:num>
  <w:num w:numId="24">
    <w:abstractNumId w:val="24"/>
  </w:num>
  <w:num w:numId="25">
    <w:abstractNumId w:val="24"/>
  </w:num>
  <w:num w:numId="26">
    <w:abstractNumId w:val="24"/>
  </w:num>
  <w:num w:numId="27">
    <w:abstractNumId w:val="23"/>
  </w:num>
  <w:num w:numId="28">
    <w:abstractNumId w:val="11"/>
  </w:num>
  <w:num w:numId="29">
    <w:abstractNumId w:val="11"/>
  </w:num>
  <w:num w:numId="30">
    <w:abstractNumId w:val="11"/>
  </w:num>
  <w:num w:numId="31">
    <w:abstractNumId w:val="16"/>
  </w:num>
  <w:num w:numId="32">
    <w:abstractNumId w:val="21"/>
  </w:num>
  <w:num w:numId="33">
    <w:abstractNumId w:val="29"/>
  </w:num>
  <w:num w:numId="34">
    <w:abstractNumId w:val="19"/>
  </w:num>
  <w:num w:numId="35">
    <w:abstractNumId w:val="14"/>
  </w:num>
  <w:num w:numId="36">
    <w:abstractNumId w:val="17"/>
  </w:num>
  <w:num w:numId="37">
    <w:abstractNumId w:val="26"/>
  </w:num>
  <w:num w:numId="38">
    <w:abstractNumId w:val="22"/>
  </w:num>
  <w:num w:numId="39">
    <w:abstractNumId w:val="13"/>
  </w:num>
  <w:num w:numId="40">
    <w:abstractNumId w:val="30"/>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41ED"/>
    <w:rsid w:val="00015316"/>
    <w:rsid w:val="00017714"/>
    <w:rsid w:val="0002080A"/>
    <w:rsid w:val="000228D0"/>
    <w:rsid w:val="00023A08"/>
    <w:rsid w:val="0002782F"/>
    <w:rsid w:val="00031512"/>
    <w:rsid w:val="00042475"/>
    <w:rsid w:val="00043DD7"/>
    <w:rsid w:val="00046F98"/>
    <w:rsid w:val="00050293"/>
    <w:rsid w:val="00052AB9"/>
    <w:rsid w:val="00054E4D"/>
    <w:rsid w:val="00057C66"/>
    <w:rsid w:val="00060033"/>
    <w:rsid w:val="00060073"/>
    <w:rsid w:val="00060268"/>
    <w:rsid w:val="00076806"/>
    <w:rsid w:val="0007725A"/>
    <w:rsid w:val="000835CF"/>
    <w:rsid w:val="00084483"/>
    <w:rsid w:val="000A41FF"/>
    <w:rsid w:val="000B0BFC"/>
    <w:rsid w:val="000C415A"/>
    <w:rsid w:val="000C44A4"/>
    <w:rsid w:val="000C44EF"/>
    <w:rsid w:val="000C698B"/>
    <w:rsid w:val="000D1357"/>
    <w:rsid w:val="000D5D4D"/>
    <w:rsid w:val="000D66D6"/>
    <w:rsid w:val="000E1E2C"/>
    <w:rsid w:val="000E314A"/>
    <w:rsid w:val="000E5414"/>
    <w:rsid w:val="000F729F"/>
    <w:rsid w:val="00117E2A"/>
    <w:rsid w:val="00120BB1"/>
    <w:rsid w:val="001229E8"/>
    <w:rsid w:val="00123768"/>
    <w:rsid w:val="001251C4"/>
    <w:rsid w:val="00140748"/>
    <w:rsid w:val="00141AA1"/>
    <w:rsid w:val="001448BC"/>
    <w:rsid w:val="001469E2"/>
    <w:rsid w:val="001529CF"/>
    <w:rsid w:val="001541EA"/>
    <w:rsid w:val="0016006B"/>
    <w:rsid w:val="00162DE2"/>
    <w:rsid w:val="001654FE"/>
    <w:rsid w:val="00166DDA"/>
    <w:rsid w:val="00167A62"/>
    <w:rsid w:val="001827E8"/>
    <w:rsid w:val="00184F1E"/>
    <w:rsid w:val="0018675B"/>
    <w:rsid w:val="00194AC3"/>
    <w:rsid w:val="001A2B52"/>
    <w:rsid w:val="001B2A40"/>
    <w:rsid w:val="001B79DF"/>
    <w:rsid w:val="001C0292"/>
    <w:rsid w:val="001C4E07"/>
    <w:rsid w:val="001D663E"/>
    <w:rsid w:val="001E0CF5"/>
    <w:rsid w:val="001E1DC0"/>
    <w:rsid w:val="001E7B38"/>
    <w:rsid w:val="001F68F4"/>
    <w:rsid w:val="002029E5"/>
    <w:rsid w:val="00202CB8"/>
    <w:rsid w:val="00205208"/>
    <w:rsid w:val="002123E4"/>
    <w:rsid w:val="00214581"/>
    <w:rsid w:val="002219B4"/>
    <w:rsid w:val="00222D10"/>
    <w:rsid w:val="002231C7"/>
    <w:rsid w:val="002268FC"/>
    <w:rsid w:val="00230324"/>
    <w:rsid w:val="00236A53"/>
    <w:rsid w:val="00236AE4"/>
    <w:rsid w:val="00252810"/>
    <w:rsid w:val="002542A6"/>
    <w:rsid w:val="00255880"/>
    <w:rsid w:val="00255BE6"/>
    <w:rsid w:val="00257BB4"/>
    <w:rsid w:val="00270B60"/>
    <w:rsid w:val="00270C75"/>
    <w:rsid w:val="00273377"/>
    <w:rsid w:val="002750D1"/>
    <w:rsid w:val="00275DB7"/>
    <w:rsid w:val="002773F1"/>
    <w:rsid w:val="00284957"/>
    <w:rsid w:val="0028602A"/>
    <w:rsid w:val="0028777A"/>
    <w:rsid w:val="002974E2"/>
    <w:rsid w:val="002A4A0E"/>
    <w:rsid w:val="002A51CA"/>
    <w:rsid w:val="002A52C2"/>
    <w:rsid w:val="002A62C8"/>
    <w:rsid w:val="002A6B9B"/>
    <w:rsid w:val="002B26EA"/>
    <w:rsid w:val="002B3771"/>
    <w:rsid w:val="002B3E95"/>
    <w:rsid w:val="002B5E10"/>
    <w:rsid w:val="002B6A77"/>
    <w:rsid w:val="002C70E7"/>
    <w:rsid w:val="002E10B4"/>
    <w:rsid w:val="002E6A3C"/>
    <w:rsid w:val="002F01BD"/>
    <w:rsid w:val="002F04BF"/>
    <w:rsid w:val="003002C0"/>
    <w:rsid w:val="00301144"/>
    <w:rsid w:val="003148B7"/>
    <w:rsid w:val="003158C3"/>
    <w:rsid w:val="00324AE2"/>
    <w:rsid w:val="00326F72"/>
    <w:rsid w:val="003274CD"/>
    <w:rsid w:val="003278FF"/>
    <w:rsid w:val="00327A1A"/>
    <w:rsid w:val="003315EC"/>
    <w:rsid w:val="00333501"/>
    <w:rsid w:val="00333888"/>
    <w:rsid w:val="003338A6"/>
    <w:rsid w:val="0033503A"/>
    <w:rsid w:val="00336CE9"/>
    <w:rsid w:val="0034503A"/>
    <w:rsid w:val="003457C4"/>
    <w:rsid w:val="0035119D"/>
    <w:rsid w:val="0035122F"/>
    <w:rsid w:val="00353365"/>
    <w:rsid w:val="00355299"/>
    <w:rsid w:val="003618C1"/>
    <w:rsid w:val="00373AF5"/>
    <w:rsid w:val="0037717D"/>
    <w:rsid w:val="003774D9"/>
    <w:rsid w:val="00380104"/>
    <w:rsid w:val="00381778"/>
    <w:rsid w:val="003843E7"/>
    <w:rsid w:val="0038626B"/>
    <w:rsid w:val="003A0440"/>
    <w:rsid w:val="003A53E6"/>
    <w:rsid w:val="003B4F12"/>
    <w:rsid w:val="003B7BFF"/>
    <w:rsid w:val="003C14B0"/>
    <w:rsid w:val="003D067C"/>
    <w:rsid w:val="003D352D"/>
    <w:rsid w:val="003E305C"/>
    <w:rsid w:val="003F0F36"/>
    <w:rsid w:val="00400B0F"/>
    <w:rsid w:val="00401FD3"/>
    <w:rsid w:val="00402ACC"/>
    <w:rsid w:val="00402F55"/>
    <w:rsid w:val="004120EC"/>
    <w:rsid w:val="00414E61"/>
    <w:rsid w:val="00423F31"/>
    <w:rsid w:val="00427B76"/>
    <w:rsid w:val="00431899"/>
    <w:rsid w:val="0043662C"/>
    <w:rsid w:val="004377A1"/>
    <w:rsid w:val="00443043"/>
    <w:rsid w:val="004507B4"/>
    <w:rsid w:val="004548BE"/>
    <w:rsid w:val="00471793"/>
    <w:rsid w:val="00471F7F"/>
    <w:rsid w:val="004720D6"/>
    <w:rsid w:val="00474606"/>
    <w:rsid w:val="004763A2"/>
    <w:rsid w:val="00477EFF"/>
    <w:rsid w:val="00480422"/>
    <w:rsid w:val="00480CF2"/>
    <w:rsid w:val="004839E3"/>
    <w:rsid w:val="00483C97"/>
    <w:rsid w:val="00486804"/>
    <w:rsid w:val="00496AE9"/>
    <w:rsid w:val="004977A1"/>
    <w:rsid w:val="004A3C57"/>
    <w:rsid w:val="004B3775"/>
    <w:rsid w:val="004D0B6B"/>
    <w:rsid w:val="004D0BA0"/>
    <w:rsid w:val="004D2ACD"/>
    <w:rsid w:val="004E0264"/>
    <w:rsid w:val="004E058F"/>
    <w:rsid w:val="004E2CF0"/>
    <w:rsid w:val="004E3B87"/>
    <w:rsid w:val="004E69A3"/>
    <w:rsid w:val="004F638A"/>
    <w:rsid w:val="00502086"/>
    <w:rsid w:val="00504A11"/>
    <w:rsid w:val="00510921"/>
    <w:rsid w:val="00510AD3"/>
    <w:rsid w:val="0051121D"/>
    <w:rsid w:val="00513348"/>
    <w:rsid w:val="005152FB"/>
    <w:rsid w:val="005164CC"/>
    <w:rsid w:val="00526531"/>
    <w:rsid w:val="005305DD"/>
    <w:rsid w:val="00533B5D"/>
    <w:rsid w:val="00540B15"/>
    <w:rsid w:val="00543B19"/>
    <w:rsid w:val="00545337"/>
    <w:rsid w:val="00547813"/>
    <w:rsid w:val="005511BF"/>
    <w:rsid w:val="00553AF2"/>
    <w:rsid w:val="00557281"/>
    <w:rsid w:val="005621ED"/>
    <w:rsid w:val="0056404B"/>
    <w:rsid w:val="00566313"/>
    <w:rsid w:val="00576CF9"/>
    <w:rsid w:val="00582A24"/>
    <w:rsid w:val="005864EC"/>
    <w:rsid w:val="005865AD"/>
    <w:rsid w:val="0059146A"/>
    <w:rsid w:val="00594E0D"/>
    <w:rsid w:val="0059544C"/>
    <w:rsid w:val="005A28DE"/>
    <w:rsid w:val="005A2FEE"/>
    <w:rsid w:val="005A4C00"/>
    <w:rsid w:val="005B3945"/>
    <w:rsid w:val="005B5769"/>
    <w:rsid w:val="005B6CF8"/>
    <w:rsid w:val="005C2A3E"/>
    <w:rsid w:val="005C78DB"/>
    <w:rsid w:val="005C7EB0"/>
    <w:rsid w:val="005D2928"/>
    <w:rsid w:val="005D3655"/>
    <w:rsid w:val="005D3A9A"/>
    <w:rsid w:val="005E17D3"/>
    <w:rsid w:val="005E4962"/>
    <w:rsid w:val="005E5A76"/>
    <w:rsid w:val="005E606B"/>
    <w:rsid w:val="005F2E4D"/>
    <w:rsid w:val="005F35C6"/>
    <w:rsid w:val="005F5BC6"/>
    <w:rsid w:val="005F7738"/>
    <w:rsid w:val="005F78EC"/>
    <w:rsid w:val="00612897"/>
    <w:rsid w:val="006203F2"/>
    <w:rsid w:val="00623BA1"/>
    <w:rsid w:val="006301F3"/>
    <w:rsid w:val="0063265E"/>
    <w:rsid w:val="006332A1"/>
    <w:rsid w:val="006346BC"/>
    <w:rsid w:val="00636738"/>
    <w:rsid w:val="0063787A"/>
    <w:rsid w:val="006437E0"/>
    <w:rsid w:val="006455AB"/>
    <w:rsid w:val="00650E22"/>
    <w:rsid w:val="006511C3"/>
    <w:rsid w:val="006541DC"/>
    <w:rsid w:val="0066652A"/>
    <w:rsid w:val="006706EF"/>
    <w:rsid w:val="00675DEC"/>
    <w:rsid w:val="00680522"/>
    <w:rsid w:val="00681F08"/>
    <w:rsid w:val="00682167"/>
    <w:rsid w:val="00682360"/>
    <w:rsid w:val="0068278B"/>
    <w:rsid w:val="00684EC5"/>
    <w:rsid w:val="00695730"/>
    <w:rsid w:val="006972D1"/>
    <w:rsid w:val="006B2676"/>
    <w:rsid w:val="006B58FC"/>
    <w:rsid w:val="006B6B73"/>
    <w:rsid w:val="006C42AF"/>
    <w:rsid w:val="006C4D3B"/>
    <w:rsid w:val="006D1404"/>
    <w:rsid w:val="006D6DBA"/>
    <w:rsid w:val="006E0DD6"/>
    <w:rsid w:val="006E5733"/>
    <w:rsid w:val="006E68FD"/>
    <w:rsid w:val="006F27B1"/>
    <w:rsid w:val="006F6F59"/>
    <w:rsid w:val="006F7572"/>
    <w:rsid w:val="00711D8E"/>
    <w:rsid w:val="00712672"/>
    <w:rsid w:val="00717166"/>
    <w:rsid w:val="00730E90"/>
    <w:rsid w:val="00734CA3"/>
    <w:rsid w:val="00734E3F"/>
    <w:rsid w:val="00736985"/>
    <w:rsid w:val="00745DF5"/>
    <w:rsid w:val="00747794"/>
    <w:rsid w:val="00751AC4"/>
    <w:rsid w:val="0076250F"/>
    <w:rsid w:val="007643C1"/>
    <w:rsid w:val="00771B53"/>
    <w:rsid w:val="00784031"/>
    <w:rsid w:val="00790DEF"/>
    <w:rsid w:val="007A6119"/>
    <w:rsid w:val="007A61AD"/>
    <w:rsid w:val="007A6F49"/>
    <w:rsid w:val="007A715C"/>
    <w:rsid w:val="007B6200"/>
    <w:rsid w:val="007C142D"/>
    <w:rsid w:val="007C4111"/>
    <w:rsid w:val="007C53B2"/>
    <w:rsid w:val="007C7CED"/>
    <w:rsid w:val="007D1071"/>
    <w:rsid w:val="007D4955"/>
    <w:rsid w:val="007F3395"/>
    <w:rsid w:val="007F35DD"/>
    <w:rsid w:val="00801B9F"/>
    <w:rsid w:val="00803559"/>
    <w:rsid w:val="008057FD"/>
    <w:rsid w:val="00812509"/>
    <w:rsid w:val="00820158"/>
    <w:rsid w:val="00820304"/>
    <w:rsid w:val="00826EE4"/>
    <w:rsid w:val="008310FA"/>
    <w:rsid w:val="00832837"/>
    <w:rsid w:val="00836B8C"/>
    <w:rsid w:val="00840668"/>
    <w:rsid w:val="00842CFF"/>
    <w:rsid w:val="00845E65"/>
    <w:rsid w:val="008475F0"/>
    <w:rsid w:val="008524DD"/>
    <w:rsid w:val="0085596D"/>
    <w:rsid w:val="00856C55"/>
    <w:rsid w:val="00860B2C"/>
    <w:rsid w:val="00863754"/>
    <w:rsid w:val="00864210"/>
    <w:rsid w:val="00873B37"/>
    <w:rsid w:val="00876ECA"/>
    <w:rsid w:val="00877B0E"/>
    <w:rsid w:val="00882C74"/>
    <w:rsid w:val="008869E6"/>
    <w:rsid w:val="00897E5D"/>
    <w:rsid w:val="008A124F"/>
    <w:rsid w:val="008A5AFE"/>
    <w:rsid w:val="008B2F77"/>
    <w:rsid w:val="008B68D7"/>
    <w:rsid w:val="008C2F58"/>
    <w:rsid w:val="008C3D5A"/>
    <w:rsid w:val="008C5A0E"/>
    <w:rsid w:val="008C6A9B"/>
    <w:rsid w:val="008C70AF"/>
    <w:rsid w:val="008D2B0E"/>
    <w:rsid w:val="008D4779"/>
    <w:rsid w:val="008D6632"/>
    <w:rsid w:val="008D75A3"/>
    <w:rsid w:val="008D76DE"/>
    <w:rsid w:val="008E035F"/>
    <w:rsid w:val="008E1138"/>
    <w:rsid w:val="008E4C41"/>
    <w:rsid w:val="008E7AFA"/>
    <w:rsid w:val="008F2667"/>
    <w:rsid w:val="008F56A8"/>
    <w:rsid w:val="00911C1B"/>
    <w:rsid w:val="00916FB1"/>
    <w:rsid w:val="0092561A"/>
    <w:rsid w:val="00930B44"/>
    <w:rsid w:val="00933C22"/>
    <w:rsid w:val="00933F76"/>
    <w:rsid w:val="00935F98"/>
    <w:rsid w:val="0094354F"/>
    <w:rsid w:val="00944CB1"/>
    <w:rsid w:val="009458EC"/>
    <w:rsid w:val="00946681"/>
    <w:rsid w:val="00946D45"/>
    <w:rsid w:val="00952729"/>
    <w:rsid w:val="00956906"/>
    <w:rsid w:val="00962BE4"/>
    <w:rsid w:val="00967FAB"/>
    <w:rsid w:val="00981B14"/>
    <w:rsid w:val="00983C6E"/>
    <w:rsid w:val="00985DA2"/>
    <w:rsid w:val="009903F3"/>
    <w:rsid w:val="00992C76"/>
    <w:rsid w:val="009A0A81"/>
    <w:rsid w:val="009A1967"/>
    <w:rsid w:val="009A42BF"/>
    <w:rsid w:val="009A7142"/>
    <w:rsid w:val="009B02C4"/>
    <w:rsid w:val="009B4D3B"/>
    <w:rsid w:val="009B670B"/>
    <w:rsid w:val="009B7309"/>
    <w:rsid w:val="009C3D59"/>
    <w:rsid w:val="009C45F2"/>
    <w:rsid w:val="009C4DDD"/>
    <w:rsid w:val="009C7A64"/>
    <w:rsid w:val="009C7DAA"/>
    <w:rsid w:val="009D5E77"/>
    <w:rsid w:val="009D7407"/>
    <w:rsid w:val="009D7C4C"/>
    <w:rsid w:val="009E0866"/>
    <w:rsid w:val="009E2975"/>
    <w:rsid w:val="009F5488"/>
    <w:rsid w:val="009F6423"/>
    <w:rsid w:val="00A008F4"/>
    <w:rsid w:val="00A068F4"/>
    <w:rsid w:val="00A07759"/>
    <w:rsid w:val="00A1023F"/>
    <w:rsid w:val="00A1352F"/>
    <w:rsid w:val="00A23447"/>
    <w:rsid w:val="00A24A62"/>
    <w:rsid w:val="00A24D7E"/>
    <w:rsid w:val="00A31C9F"/>
    <w:rsid w:val="00A3685D"/>
    <w:rsid w:val="00A4144F"/>
    <w:rsid w:val="00A42DF5"/>
    <w:rsid w:val="00A56F14"/>
    <w:rsid w:val="00A66FEE"/>
    <w:rsid w:val="00A80F95"/>
    <w:rsid w:val="00A8197B"/>
    <w:rsid w:val="00A84162"/>
    <w:rsid w:val="00A92CF2"/>
    <w:rsid w:val="00A9434E"/>
    <w:rsid w:val="00A94E8A"/>
    <w:rsid w:val="00A9767F"/>
    <w:rsid w:val="00AA26BC"/>
    <w:rsid w:val="00AA4768"/>
    <w:rsid w:val="00AA4806"/>
    <w:rsid w:val="00AA7BE3"/>
    <w:rsid w:val="00AB069C"/>
    <w:rsid w:val="00AB250B"/>
    <w:rsid w:val="00AB5E7F"/>
    <w:rsid w:val="00AC164A"/>
    <w:rsid w:val="00AC39E0"/>
    <w:rsid w:val="00AC3D1A"/>
    <w:rsid w:val="00AD0558"/>
    <w:rsid w:val="00AD3363"/>
    <w:rsid w:val="00AE1BDB"/>
    <w:rsid w:val="00AF0F3F"/>
    <w:rsid w:val="00AF1B85"/>
    <w:rsid w:val="00AF2050"/>
    <w:rsid w:val="00AF4DAB"/>
    <w:rsid w:val="00AF7E94"/>
    <w:rsid w:val="00B03BC1"/>
    <w:rsid w:val="00B03CA8"/>
    <w:rsid w:val="00B12980"/>
    <w:rsid w:val="00B13C41"/>
    <w:rsid w:val="00B16B12"/>
    <w:rsid w:val="00B24FBD"/>
    <w:rsid w:val="00B32EAD"/>
    <w:rsid w:val="00B331DC"/>
    <w:rsid w:val="00B33233"/>
    <w:rsid w:val="00B341EE"/>
    <w:rsid w:val="00B36BBA"/>
    <w:rsid w:val="00B42CD2"/>
    <w:rsid w:val="00B42DE4"/>
    <w:rsid w:val="00B438D3"/>
    <w:rsid w:val="00B4697A"/>
    <w:rsid w:val="00B477E5"/>
    <w:rsid w:val="00B53544"/>
    <w:rsid w:val="00B55E19"/>
    <w:rsid w:val="00B63C1F"/>
    <w:rsid w:val="00B72DF2"/>
    <w:rsid w:val="00B754C8"/>
    <w:rsid w:val="00B81BF0"/>
    <w:rsid w:val="00B8475C"/>
    <w:rsid w:val="00B907C7"/>
    <w:rsid w:val="00BA4B6D"/>
    <w:rsid w:val="00BA716A"/>
    <w:rsid w:val="00BB0641"/>
    <w:rsid w:val="00BB26C5"/>
    <w:rsid w:val="00BB3E8F"/>
    <w:rsid w:val="00BD2277"/>
    <w:rsid w:val="00BD4597"/>
    <w:rsid w:val="00BE1BEB"/>
    <w:rsid w:val="00BE5760"/>
    <w:rsid w:val="00BE6469"/>
    <w:rsid w:val="00BF3260"/>
    <w:rsid w:val="00BF49F8"/>
    <w:rsid w:val="00BF4DE6"/>
    <w:rsid w:val="00C1005B"/>
    <w:rsid w:val="00C145E6"/>
    <w:rsid w:val="00C16074"/>
    <w:rsid w:val="00C256F4"/>
    <w:rsid w:val="00C42CDE"/>
    <w:rsid w:val="00C46097"/>
    <w:rsid w:val="00C5182A"/>
    <w:rsid w:val="00C523F9"/>
    <w:rsid w:val="00C53278"/>
    <w:rsid w:val="00C53776"/>
    <w:rsid w:val="00C570EC"/>
    <w:rsid w:val="00C63EE9"/>
    <w:rsid w:val="00C65D83"/>
    <w:rsid w:val="00C6626C"/>
    <w:rsid w:val="00C7139B"/>
    <w:rsid w:val="00C85B61"/>
    <w:rsid w:val="00C87E67"/>
    <w:rsid w:val="00C953C2"/>
    <w:rsid w:val="00CA2694"/>
    <w:rsid w:val="00CA37B1"/>
    <w:rsid w:val="00CA69AE"/>
    <w:rsid w:val="00CA7522"/>
    <w:rsid w:val="00CB1959"/>
    <w:rsid w:val="00CB2292"/>
    <w:rsid w:val="00CB436B"/>
    <w:rsid w:val="00CC07D8"/>
    <w:rsid w:val="00CC4767"/>
    <w:rsid w:val="00CC57E3"/>
    <w:rsid w:val="00CD0E4B"/>
    <w:rsid w:val="00CD1652"/>
    <w:rsid w:val="00CD3F77"/>
    <w:rsid w:val="00CD7E6E"/>
    <w:rsid w:val="00CE0155"/>
    <w:rsid w:val="00CE1672"/>
    <w:rsid w:val="00CF670F"/>
    <w:rsid w:val="00D00802"/>
    <w:rsid w:val="00D0083A"/>
    <w:rsid w:val="00D0296C"/>
    <w:rsid w:val="00D11A5C"/>
    <w:rsid w:val="00D146A2"/>
    <w:rsid w:val="00D15A00"/>
    <w:rsid w:val="00D16703"/>
    <w:rsid w:val="00D24CF8"/>
    <w:rsid w:val="00D25A54"/>
    <w:rsid w:val="00D2653F"/>
    <w:rsid w:val="00D421B9"/>
    <w:rsid w:val="00D47BE4"/>
    <w:rsid w:val="00D515F6"/>
    <w:rsid w:val="00D529DB"/>
    <w:rsid w:val="00D646BF"/>
    <w:rsid w:val="00D649A7"/>
    <w:rsid w:val="00D64BD1"/>
    <w:rsid w:val="00D72760"/>
    <w:rsid w:val="00D73E3E"/>
    <w:rsid w:val="00D81D89"/>
    <w:rsid w:val="00D86C26"/>
    <w:rsid w:val="00D91B04"/>
    <w:rsid w:val="00DA6110"/>
    <w:rsid w:val="00DA79CD"/>
    <w:rsid w:val="00DB0593"/>
    <w:rsid w:val="00DB1030"/>
    <w:rsid w:val="00DB23E8"/>
    <w:rsid w:val="00DC4887"/>
    <w:rsid w:val="00DC60E7"/>
    <w:rsid w:val="00DD1038"/>
    <w:rsid w:val="00DD1986"/>
    <w:rsid w:val="00DD3FAF"/>
    <w:rsid w:val="00DD790C"/>
    <w:rsid w:val="00DE0409"/>
    <w:rsid w:val="00DE084C"/>
    <w:rsid w:val="00DE1DB6"/>
    <w:rsid w:val="00DE68EF"/>
    <w:rsid w:val="00DF0945"/>
    <w:rsid w:val="00DF382C"/>
    <w:rsid w:val="00E0771D"/>
    <w:rsid w:val="00E07E0B"/>
    <w:rsid w:val="00E16116"/>
    <w:rsid w:val="00E16CBB"/>
    <w:rsid w:val="00E17CA6"/>
    <w:rsid w:val="00E2354D"/>
    <w:rsid w:val="00E23CC4"/>
    <w:rsid w:val="00E24260"/>
    <w:rsid w:val="00E357B7"/>
    <w:rsid w:val="00E45F26"/>
    <w:rsid w:val="00E4605F"/>
    <w:rsid w:val="00E51091"/>
    <w:rsid w:val="00E51A1F"/>
    <w:rsid w:val="00E53800"/>
    <w:rsid w:val="00E57EEC"/>
    <w:rsid w:val="00E60111"/>
    <w:rsid w:val="00E6081F"/>
    <w:rsid w:val="00E65105"/>
    <w:rsid w:val="00E660A4"/>
    <w:rsid w:val="00E66DF8"/>
    <w:rsid w:val="00E66F22"/>
    <w:rsid w:val="00E71E9E"/>
    <w:rsid w:val="00E73C1D"/>
    <w:rsid w:val="00E8003B"/>
    <w:rsid w:val="00E8153A"/>
    <w:rsid w:val="00E874D3"/>
    <w:rsid w:val="00E95783"/>
    <w:rsid w:val="00E96479"/>
    <w:rsid w:val="00EA04B2"/>
    <w:rsid w:val="00EA20F3"/>
    <w:rsid w:val="00EB402D"/>
    <w:rsid w:val="00EC1011"/>
    <w:rsid w:val="00ED1CD6"/>
    <w:rsid w:val="00ED2831"/>
    <w:rsid w:val="00ED43D1"/>
    <w:rsid w:val="00ED797E"/>
    <w:rsid w:val="00EE2801"/>
    <w:rsid w:val="00EE4EE1"/>
    <w:rsid w:val="00EF4574"/>
    <w:rsid w:val="00EF4AD9"/>
    <w:rsid w:val="00F03172"/>
    <w:rsid w:val="00F032A8"/>
    <w:rsid w:val="00F06182"/>
    <w:rsid w:val="00F07842"/>
    <w:rsid w:val="00F15003"/>
    <w:rsid w:val="00F152FE"/>
    <w:rsid w:val="00F2621F"/>
    <w:rsid w:val="00F2684E"/>
    <w:rsid w:val="00F3263B"/>
    <w:rsid w:val="00F4140A"/>
    <w:rsid w:val="00F4275A"/>
    <w:rsid w:val="00F51D19"/>
    <w:rsid w:val="00F5404C"/>
    <w:rsid w:val="00F674ED"/>
    <w:rsid w:val="00F729EF"/>
    <w:rsid w:val="00F7717D"/>
    <w:rsid w:val="00F77CAE"/>
    <w:rsid w:val="00F82271"/>
    <w:rsid w:val="00F83428"/>
    <w:rsid w:val="00F84C3A"/>
    <w:rsid w:val="00F86B73"/>
    <w:rsid w:val="00F94BE7"/>
    <w:rsid w:val="00F96BB9"/>
    <w:rsid w:val="00F97803"/>
    <w:rsid w:val="00FA6293"/>
    <w:rsid w:val="00FB4F75"/>
    <w:rsid w:val="00FC33FA"/>
    <w:rsid w:val="00FD4934"/>
    <w:rsid w:val="00FD5A17"/>
    <w:rsid w:val="00FD6E41"/>
    <w:rsid w:val="00FE6D51"/>
    <w:rsid w:val="00FF09F3"/>
    <w:rsid w:val="00FF0C20"/>
    <w:rsid w:val="00FF1A9D"/>
    <w:rsid w:val="00FF3DEA"/>
    <w:rsid w:val="00FF72C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768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Comic Sans MS" w:hAnsi="Comic Sans MS"/>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3E8F"/>
    <w:pPr>
      <w:ind w:left="720"/>
      <w:contextualSpacing/>
    </w:pPr>
  </w:style>
  <w:style w:type="paragraph" w:customStyle="1" w:styleId="Default">
    <w:name w:val="Default"/>
    <w:basedOn w:val="Normal"/>
    <w:uiPriority w:val="99"/>
    <w:rsid w:val="0033503A"/>
    <w:pPr>
      <w:suppressAutoHyphens w:val="0"/>
      <w:autoSpaceDE w:val="0"/>
      <w:autoSpaceDN w:val="0"/>
      <w:spacing w:before="0" w:after="0" w:line="240" w:lineRule="auto"/>
    </w:pPr>
    <w:rPr>
      <w:rFonts w:ascii="Calibri Light" w:hAnsi="Calibri Light" w:cs="Times New Roman"/>
      <w:color w:val="000000"/>
      <w:sz w:val="24"/>
      <w:szCs w:val="24"/>
      <w:lang w:val="en-AU"/>
    </w:rPr>
  </w:style>
  <w:style w:type="paragraph" w:customStyle="1" w:styleId="Background">
    <w:name w:val="Background"/>
    <w:basedOn w:val="Normal"/>
    <w:uiPriority w:val="99"/>
    <w:rsid w:val="002231C7"/>
    <w:pPr>
      <w:numPr>
        <w:numId w:val="41"/>
      </w:numPr>
      <w:suppressAutoHyphens w:val="0"/>
      <w:spacing w:after="360" w:line="288" w:lineRule="auto"/>
    </w:pPr>
    <w:rPr>
      <w:rFonts w:ascii="Calibri Light" w:hAnsi="Calibri Light" w:cs="Times New Roman"/>
      <w:color w:val="595959"/>
      <w:sz w:val="24"/>
      <w:szCs w:val="24"/>
      <w:lang w:val="en-AU" w:eastAsia="ja-JP"/>
    </w:rPr>
  </w:style>
  <w:style w:type="paragraph" w:customStyle="1" w:styleId="Box1Heading">
    <w:name w:val="Box 1 Heading"/>
    <w:basedOn w:val="Normal"/>
    <w:rsid w:val="009C45F2"/>
    <w:pPr>
      <w:keepNext/>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300" w:lineRule="atLeast"/>
      <w:ind w:left="284" w:right="284"/>
    </w:pPr>
    <w:rPr>
      <w:b/>
      <w:sz w:val="26"/>
      <w:lang w:val="en-AU"/>
    </w:rPr>
  </w:style>
  <w:style w:type="character" w:styleId="CommentReference">
    <w:name w:val="annotation reference"/>
    <w:basedOn w:val="DefaultParagraphFont"/>
    <w:uiPriority w:val="99"/>
    <w:semiHidden/>
    <w:unhideWhenUsed/>
    <w:rsid w:val="00B03BC1"/>
    <w:rPr>
      <w:sz w:val="16"/>
      <w:szCs w:val="16"/>
    </w:rPr>
  </w:style>
  <w:style w:type="paragraph" w:styleId="CommentText">
    <w:name w:val="annotation text"/>
    <w:basedOn w:val="Normal"/>
    <w:link w:val="CommentTextChar"/>
    <w:uiPriority w:val="99"/>
    <w:unhideWhenUsed/>
    <w:rsid w:val="00B03BC1"/>
    <w:pPr>
      <w:spacing w:line="240" w:lineRule="auto"/>
    </w:pPr>
    <w:rPr>
      <w:sz w:val="20"/>
      <w:szCs w:val="20"/>
    </w:rPr>
  </w:style>
  <w:style w:type="character" w:customStyle="1" w:styleId="CommentTextChar">
    <w:name w:val="Comment Text Char"/>
    <w:basedOn w:val="DefaultParagraphFont"/>
    <w:link w:val="CommentText"/>
    <w:uiPriority w:val="99"/>
    <w:rsid w:val="00B03BC1"/>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B03BC1"/>
    <w:rPr>
      <w:b/>
      <w:bCs/>
    </w:rPr>
  </w:style>
  <w:style w:type="character" w:customStyle="1" w:styleId="CommentSubjectChar">
    <w:name w:val="Comment Subject Char"/>
    <w:basedOn w:val="CommentTextChar"/>
    <w:link w:val="CommentSubject"/>
    <w:uiPriority w:val="99"/>
    <w:semiHidden/>
    <w:rsid w:val="00B03BC1"/>
    <w:rPr>
      <w:b/>
      <w:bCs/>
      <w:color w:val="495965" w:themeColor="text2"/>
      <w:sz w:val="20"/>
      <w:szCs w:val="20"/>
      <w:lang w:val="en-GB"/>
    </w:rPr>
  </w:style>
  <w:style w:type="paragraph" w:styleId="Revision">
    <w:name w:val="Revision"/>
    <w:hidden/>
    <w:uiPriority w:val="99"/>
    <w:semiHidden/>
    <w:rsid w:val="00427B76"/>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4107">
      <w:bodyDiv w:val="1"/>
      <w:marLeft w:val="0"/>
      <w:marRight w:val="0"/>
      <w:marTop w:val="0"/>
      <w:marBottom w:val="0"/>
      <w:divBdr>
        <w:top w:val="none" w:sz="0" w:space="0" w:color="auto"/>
        <w:left w:val="none" w:sz="0" w:space="0" w:color="auto"/>
        <w:bottom w:val="none" w:sz="0" w:space="0" w:color="auto"/>
        <w:right w:val="none" w:sz="0" w:space="0" w:color="auto"/>
      </w:divBdr>
    </w:div>
    <w:div w:id="77674346">
      <w:bodyDiv w:val="1"/>
      <w:marLeft w:val="0"/>
      <w:marRight w:val="0"/>
      <w:marTop w:val="0"/>
      <w:marBottom w:val="0"/>
      <w:divBdr>
        <w:top w:val="none" w:sz="0" w:space="0" w:color="auto"/>
        <w:left w:val="none" w:sz="0" w:space="0" w:color="auto"/>
        <w:bottom w:val="none" w:sz="0" w:space="0" w:color="auto"/>
        <w:right w:val="none" w:sz="0" w:space="0" w:color="auto"/>
      </w:divBdr>
    </w:div>
    <w:div w:id="181669917">
      <w:bodyDiv w:val="1"/>
      <w:marLeft w:val="0"/>
      <w:marRight w:val="0"/>
      <w:marTop w:val="0"/>
      <w:marBottom w:val="0"/>
      <w:divBdr>
        <w:top w:val="none" w:sz="0" w:space="0" w:color="auto"/>
        <w:left w:val="none" w:sz="0" w:space="0" w:color="auto"/>
        <w:bottom w:val="none" w:sz="0" w:space="0" w:color="auto"/>
        <w:right w:val="none" w:sz="0" w:space="0" w:color="auto"/>
      </w:divBdr>
    </w:div>
    <w:div w:id="217909698">
      <w:bodyDiv w:val="1"/>
      <w:marLeft w:val="0"/>
      <w:marRight w:val="0"/>
      <w:marTop w:val="0"/>
      <w:marBottom w:val="0"/>
      <w:divBdr>
        <w:top w:val="none" w:sz="0" w:space="0" w:color="auto"/>
        <w:left w:val="none" w:sz="0" w:space="0" w:color="auto"/>
        <w:bottom w:val="none" w:sz="0" w:space="0" w:color="auto"/>
        <w:right w:val="none" w:sz="0" w:space="0" w:color="auto"/>
      </w:divBdr>
    </w:div>
    <w:div w:id="236323615">
      <w:bodyDiv w:val="1"/>
      <w:marLeft w:val="0"/>
      <w:marRight w:val="0"/>
      <w:marTop w:val="0"/>
      <w:marBottom w:val="0"/>
      <w:divBdr>
        <w:top w:val="none" w:sz="0" w:space="0" w:color="auto"/>
        <w:left w:val="none" w:sz="0" w:space="0" w:color="auto"/>
        <w:bottom w:val="none" w:sz="0" w:space="0" w:color="auto"/>
        <w:right w:val="none" w:sz="0" w:space="0" w:color="auto"/>
      </w:divBdr>
    </w:div>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339163660">
      <w:bodyDiv w:val="1"/>
      <w:marLeft w:val="0"/>
      <w:marRight w:val="0"/>
      <w:marTop w:val="0"/>
      <w:marBottom w:val="0"/>
      <w:divBdr>
        <w:top w:val="none" w:sz="0" w:space="0" w:color="auto"/>
        <w:left w:val="none" w:sz="0" w:space="0" w:color="auto"/>
        <w:bottom w:val="none" w:sz="0" w:space="0" w:color="auto"/>
        <w:right w:val="none" w:sz="0" w:space="0" w:color="auto"/>
      </w:divBdr>
    </w:div>
    <w:div w:id="359208292">
      <w:bodyDiv w:val="1"/>
      <w:marLeft w:val="0"/>
      <w:marRight w:val="0"/>
      <w:marTop w:val="0"/>
      <w:marBottom w:val="0"/>
      <w:divBdr>
        <w:top w:val="none" w:sz="0" w:space="0" w:color="auto"/>
        <w:left w:val="none" w:sz="0" w:space="0" w:color="auto"/>
        <w:bottom w:val="none" w:sz="0" w:space="0" w:color="auto"/>
        <w:right w:val="none" w:sz="0" w:space="0" w:color="auto"/>
      </w:divBdr>
    </w:div>
    <w:div w:id="425542893">
      <w:bodyDiv w:val="1"/>
      <w:marLeft w:val="0"/>
      <w:marRight w:val="0"/>
      <w:marTop w:val="0"/>
      <w:marBottom w:val="0"/>
      <w:divBdr>
        <w:top w:val="none" w:sz="0" w:space="0" w:color="auto"/>
        <w:left w:val="none" w:sz="0" w:space="0" w:color="auto"/>
        <w:bottom w:val="none" w:sz="0" w:space="0" w:color="auto"/>
        <w:right w:val="none" w:sz="0" w:space="0" w:color="auto"/>
      </w:divBdr>
    </w:div>
    <w:div w:id="426585709">
      <w:bodyDiv w:val="1"/>
      <w:marLeft w:val="0"/>
      <w:marRight w:val="0"/>
      <w:marTop w:val="0"/>
      <w:marBottom w:val="0"/>
      <w:divBdr>
        <w:top w:val="none" w:sz="0" w:space="0" w:color="auto"/>
        <w:left w:val="none" w:sz="0" w:space="0" w:color="auto"/>
        <w:bottom w:val="none" w:sz="0" w:space="0" w:color="auto"/>
        <w:right w:val="none" w:sz="0" w:space="0" w:color="auto"/>
      </w:divBdr>
    </w:div>
    <w:div w:id="494298679">
      <w:bodyDiv w:val="1"/>
      <w:marLeft w:val="0"/>
      <w:marRight w:val="0"/>
      <w:marTop w:val="0"/>
      <w:marBottom w:val="0"/>
      <w:divBdr>
        <w:top w:val="none" w:sz="0" w:space="0" w:color="auto"/>
        <w:left w:val="none" w:sz="0" w:space="0" w:color="auto"/>
        <w:bottom w:val="none" w:sz="0" w:space="0" w:color="auto"/>
        <w:right w:val="none" w:sz="0" w:space="0" w:color="auto"/>
      </w:divBdr>
    </w:div>
    <w:div w:id="545215802">
      <w:bodyDiv w:val="1"/>
      <w:marLeft w:val="0"/>
      <w:marRight w:val="0"/>
      <w:marTop w:val="0"/>
      <w:marBottom w:val="0"/>
      <w:divBdr>
        <w:top w:val="none" w:sz="0" w:space="0" w:color="auto"/>
        <w:left w:val="none" w:sz="0" w:space="0" w:color="auto"/>
        <w:bottom w:val="none" w:sz="0" w:space="0" w:color="auto"/>
        <w:right w:val="none" w:sz="0" w:space="0" w:color="auto"/>
      </w:divBdr>
    </w:div>
    <w:div w:id="560755079">
      <w:bodyDiv w:val="1"/>
      <w:marLeft w:val="0"/>
      <w:marRight w:val="0"/>
      <w:marTop w:val="0"/>
      <w:marBottom w:val="0"/>
      <w:divBdr>
        <w:top w:val="none" w:sz="0" w:space="0" w:color="auto"/>
        <w:left w:val="none" w:sz="0" w:space="0" w:color="auto"/>
        <w:bottom w:val="none" w:sz="0" w:space="0" w:color="auto"/>
        <w:right w:val="none" w:sz="0" w:space="0" w:color="auto"/>
      </w:divBdr>
    </w:div>
    <w:div w:id="609435533">
      <w:bodyDiv w:val="1"/>
      <w:marLeft w:val="0"/>
      <w:marRight w:val="0"/>
      <w:marTop w:val="0"/>
      <w:marBottom w:val="0"/>
      <w:divBdr>
        <w:top w:val="none" w:sz="0" w:space="0" w:color="auto"/>
        <w:left w:val="none" w:sz="0" w:space="0" w:color="auto"/>
        <w:bottom w:val="none" w:sz="0" w:space="0" w:color="auto"/>
        <w:right w:val="none" w:sz="0" w:space="0" w:color="auto"/>
      </w:divBdr>
    </w:div>
    <w:div w:id="691610963">
      <w:bodyDiv w:val="1"/>
      <w:marLeft w:val="0"/>
      <w:marRight w:val="0"/>
      <w:marTop w:val="0"/>
      <w:marBottom w:val="0"/>
      <w:divBdr>
        <w:top w:val="none" w:sz="0" w:space="0" w:color="auto"/>
        <w:left w:val="none" w:sz="0" w:space="0" w:color="auto"/>
        <w:bottom w:val="none" w:sz="0" w:space="0" w:color="auto"/>
        <w:right w:val="none" w:sz="0" w:space="0" w:color="auto"/>
      </w:divBdr>
    </w:div>
    <w:div w:id="722095520">
      <w:bodyDiv w:val="1"/>
      <w:marLeft w:val="0"/>
      <w:marRight w:val="0"/>
      <w:marTop w:val="0"/>
      <w:marBottom w:val="0"/>
      <w:divBdr>
        <w:top w:val="none" w:sz="0" w:space="0" w:color="auto"/>
        <w:left w:val="none" w:sz="0" w:space="0" w:color="auto"/>
        <w:bottom w:val="none" w:sz="0" w:space="0" w:color="auto"/>
        <w:right w:val="none" w:sz="0" w:space="0" w:color="auto"/>
      </w:divBdr>
    </w:div>
    <w:div w:id="812909473">
      <w:bodyDiv w:val="1"/>
      <w:marLeft w:val="0"/>
      <w:marRight w:val="0"/>
      <w:marTop w:val="0"/>
      <w:marBottom w:val="0"/>
      <w:divBdr>
        <w:top w:val="none" w:sz="0" w:space="0" w:color="auto"/>
        <w:left w:val="none" w:sz="0" w:space="0" w:color="auto"/>
        <w:bottom w:val="none" w:sz="0" w:space="0" w:color="auto"/>
        <w:right w:val="none" w:sz="0" w:space="0" w:color="auto"/>
      </w:divBdr>
    </w:div>
    <w:div w:id="826435546">
      <w:bodyDiv w:val="1"/>
      <w:marLeft w:val="0"/>
      <w:marRight w:val="0"/>
      <w:marTop w:val="0"/>
      <w:marBottom w:val="0"/>
      <w:divBdr>
        <w:top w:val="none" w:sz="0" w:space="0" w:color="auto"/>
        <w:left w:val="none" w:sz="0" w:space="0" w:color="auto"/>
        <w:bottom w:val="none" w:sz="0" w:space="0" w:color="auto"/>
        <w:right w:val="none" w:sz="0" w:space="0" w:color="auto"/>
      </w:divBdr>
    </w:div>
    <w:div w:id="861089110">
      <w:bodyDiv w:val="1"/>
      <w:marLeft w:val="0"/>
      <w:marRight w:val="0"/>
      <w:marTop w:val="0"/>
      <w:marBottom w:val="0"/>
      <w:divBdr>
        <w:top w:val="none" w:sz="0" w:space="0" w:color="auto"/>
        <w:left w:val="none" w:sz="0" w:space="0" w:color="auto"/>
        <w:bottom w:val="none" w:sz="0" w:space="0" w:color="auto"/>
        <w:right w:val="none" w:sz="0" w:space="0" w:color="auto"/>
      </w:divBdr>
    </w:div>
    <w:div w:id="939525771">
      <w:bodyDiv w:val="1"/>
      <w:marLeft w:val="0"/>
      <w:marRight w:val="0"/>
      <w:marTop w:val="0"/>
      <w:marBottom w:val="0"/>
      <w:divBdr>
        <w:top w:val="none" w:sz="0" w:space="0" w:color="auto"/>
        <w:left w:val="none" w:sz="0" w:space="0" w:color="auto"/>
        <w:bottom w:val="none" w:sz="0" w:space="0" w:color="auto"/>
        <w:right w:val="none" w:sz="0" w:space="0" w:color="auto"/>
      </w:divBdr>
    </w:div>
    <w:div w:id="958338033">
      <w:bodyDiv w:val="1"/>
      <w:marLeft w:val="0"/>
      <w:marRight w:val="0"/>
      <w:marTop w:val="0"/>
      <w:marBottom w:val="0"/>
      <w:divBdr>
        <w:top w:val="none" w:sz="0" w:space="0" w:color="auto"/>
        <w:left w:val="none" w:sz="0" w:space="0" w:color="auto"/>
        <w:bottom w:val="none" w:sz="0" w:space="0" w:color="auto"/>
        <w:right w:val="none" w:sz="0" w:space="0" w:color="auto"/>
      </w:divBdr>
    </w:div>
    <w:div w:id="969243561">
      <w:bodyDiv w:val="1"/>
      <w:marLeft w:val="0"/>
      <w:marRight w:val="0"/>
      <w:marTop w:val="0"/>
      <w:marBottom w:val="0"/>
      <w:divBdr>
        <w:top w:val="none" w:sz="0" w:space="0" w:color="auto"/>
        <w:left w:val="none" w:sz="0" w:space="0" w:color="auto"/>
        <w:bottom w:val="none" w:sz="0" w:space="0" w:color="auto"/>
        <w:right w:val="none" w:sz="0" w:space="0" w:color="auto"/>
      </w:divBdr>
    </w:div>
    <w:div w:id="979847214">
      <w:bodyDiv w:val="1"/>
      <w:marLeft w:val="0"/>
      <w:marRight w:val="0"/>
      <w:marTop w:val="0"/>
      <w:marBottom w:val="0"/>
      <w:divBdr>
        <w:top w:val="none" w:sz="0" w:space="0" w:color="auto"/>
        <w:left w:val="none" w:sz="0" w:space="0" w:color="auto"/>
        <w:bottom w:val="none" w:sz="0" w:space="0" w:color="auto"/>
        <w:right w:val="none" w:sz="0" w:space="0" w:color="auto"/>
      </w:divBdr>
    </w:div>
    <w:div w:id="1037781935">
      <w:bodyDiv w:val="1"/>
      <w:marLeft w:val="0"/>
      <w:marRight w:val="0"/>
      <w:marTop w:val="0"/>
      <w:marBottom w:val="0"/>
      <w:divBdr>
        <w:top w:val="none" w:sz="0" w:space="0" w:color="auto"/>
        <w:left w:val="none" w:sz="0" w:space="0" w:color="auto"/>
        <w:bottom w:val="none" w:sz="0" w:space="0" w:color="auto"/>
        <w:right w:val="none" w:sz="0" w:space="0" w:color="auto"/>
      </w:divBdr>
    </w:div>
    <w:div w:id="1131435586">
      <w:bodyDiv w:val="1"/>
      <w:marLeft w:val="0"/>
      <w:marRight w:val="0"/>
      <w:marTop w:val="0"/>
      <w:marBottom w:val="0"/>
      <w:divBdr>
        <w:top w:val="none" w:sz="0" w:space="0" w:color="auto"/>
        <w:left w:val="none" w:sz="0" w:space="0" w:color="auto"/>
        <w:bottom w:val="none" w:sz="0" w:space="0" w:color="auto"/>
        <w:right w:val="none" w:sz="0" w:space="0" w:color="auto"/>
      </w:divBdr>
    </w:div>
    <w:div w:id="1202550864">
      <w:bodyDiv w:val="1"/>
      <w:marLeft w:val="0"/>
      <w:marRight w:val="0"/>
      <w:marTop w:val="0"/>
      <w:marBottom w:val="0"/>
      <w:divBdr>
        <w:top w:val="none" w:sz="0" w:space="0" w:color="auto"/>
        <w:left w:val="none" w:sz="0" w:space="0" w:color="auto"/>
        <w:bottom w:val="none" w:sz="0" w:space="0" w:color="auto"/>
        <w:right w:val="none" w:sz="0" w:space="0" w:color="auto"/>
      </w:divBdr>
    </w:div>
    <w:div w:id="1544516855">
      <w:bodyDiv w:val="1"/>
      <w:marLeft w:val="0"/>
      <w:marRight w:val="0"/>
      <w:marTop w:val="0"/>
      <w:marBottom w:val="0"/>
      <w:divBdr>
        <w:top w:val="none" w:sz="0" w:space="0" w:color="auto"/>
        <w:left w:val="none" w:sz="0" w:space="0" w:color="auto"/>
        <w:bottom w:val="none" w:sz="0" w:space="0" w:color="auto"/>
        <w:right w:val="none" w:sz="0" w:space="0" w:color="auto"/>
      </w:divBdr>
    </w:div>
    <w:div w:id="1558855637">
      <w:bodyDiv w:val="1"/>
      <w:marLeft w:val="0"/>
      <w:marRight w:val="0"/>
      <w:marTop w:val="0"/>
      <w:marBottom w:val="0"/>
      <w:divBdr>
        <w:top w:val="none" w:sz="0" w:space="0" w:color="auto"/>
        <w:left w:val="none" w:sz="0" w:space="0" w:color="auto"/>
        <w:bottom w:val="none" w:sz="0" w:space="0" w:color="auto"/>
        <w:right w:val="none" w:sz="0" w:space="0" w:color="auto"/>
      </w:divBdr>
    </w:div>
    <w:div w:id="1591087280">
      <w:bodyDiv w:val="1"/>
      <w:marLeft w:val="0"/>
      <w:marRight w:val="0"/>
      <w:marTop w:val="0"/>
      <w:marBottom w:val="0"/>
      <w:divBdr>
        <w:top w:val="none" w:sz="0" w:space="0" w:color="auto"/>
        <w:left w:val="none" w:sz="0" w:space="0" w:color="auto"/>
        <w:bottom w:val="none" w:sz="0" w:space="0" w:color="auto"/>
        <w:right w:val="none" w:sz="0" w:space="0" w:color="auto"/>
      </w:divBdr>
    </w:div>
    <w:div w:id="1592659357">
      <w:bodyDiv w:val="1"/>
      <w:marLeft w:val="0"/>
      <w:marRight w:val="0"/>
      <w:marTop w:val="0"/>
      <w:marBottom w:val="0"/>
      <w:divBdr>
        <w:top w:val="none" w:sz="0" w:space="0" w:color="auto"/>
        <w:left w:val="none" w:sz="0" w:space="0" w:color="auto"/>
        <w:bottom w:val="none" w:sz="0" w:space="0" w:color="auto"/>
        <w:right w:val="none" w:sz="0" w:space="0" w:color="auto"/>
      </w:divBdr>
    </w:div>
    <w:div w:id="1756050923">
      <w:bodyDiv w:val="1"/>
      <w:marLeft w:val="0"/>
      <w:marRight w:val="0"/>
      <w:marTop w:val="0"/>
      <w:marBottom w:val="0"/>
      <w:divBdr>
        <w:top w:val="none" w:sz="0" w:space="0" w:color="auto"/>
        <w:left w:val="none" w:sz="0" w:space="0" w:color="auto"/>
        <w:bottom w:val="none" w:sz="0" w:space="0" w:color="auto"/>
        <w:right w:val="none" w:sz="0" w:space="0" w:color="auto"/>
      </w:divBdr>
    </w:div>
    <w:div w:id="2008245103">
      <w:bodyDiv w:val="1"/>
      <w:marLeft w:val="0"/>
      <w:marRight w:val="0"/>
      <w:marTop w:val="0"/>
      <w:marBottom w:val="0"/>
      <w:divBdr>
        <w:top w:val="none" w:sz="0" w:space="0" w:color="auto"/>
        <w:left w:val="none" w:sz="0" w:space="0" w:color="auto"/>
        <w:bottom w:val="none" w:sz="0" w:space="0" w:color="auto"/>
        <w:right w:val="none" w:sz="0" w:space="0" w:color="auto"/>
      </w:divBdr>
    </w:div>
    <w:div w:id="2068991277">
      <w:bodyDiv w:val="1"/>
      <w:marLeft w:val="0"/>
      <w:marRight w:val="0"/>
      <w:marTop w:val="0"/>
      <w:marBottom w:val="0"/>
      <w:divBdr>
        <w:top w:val="none" w:sz="0" w:space="0" w:color="auto"/>
        <w:left w:val="none" w:sz="0" w:space="0" w:color="auto"/>
        <w:bottom w:val="none" w:sz="0" w:space="0" w:color="auto"/>
        <w:right w:val="none" w:sz="0" w:space="0" w:color="auto"/>
      </w:divBdr>
    </w:div>
    <w:div w:id="21070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header" Target="header6.xml"/><Relationship Id="rId36"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customXml" Target="../customXml/item3.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8FB962-BDAA-42CE-A90D-52DA02BDA17E}"/>
</file>

<file path=customXml/itemProps2.xml><?xml version="1.0" encoding="utf-8"?>
<ds:datastoreItem xmlns:ds="http://schemas.openxmlformats.org/officeDocument/2006/customXml" ds:itemID="{4DF70AE2-D599-4625-8A61-8A0DF2D2CD55}"/>
</file>

<file path=customXml/itemProps3.xml><?xml version="1.0" encoding="utf-8"?>
<ds:datastoreItem xmlns:ds="http://schemas.openxmlformats.org/officeDocument/2006/customXml" ds:itemID="{1EEC8BFD-75BF-46AD-A21F-A951F8FA2B36}"/>
</file>

<file path=customXml/itemProps4.xml><?xml version="1.0" encoding="utf-8"?>
<ds:datastoreItem xmlns:ds="http://schemas.openxmlformats.org/officeDocument/2006/customXml" ds:itemID="{78A5D0F5-7652-4DBA-8610-83C4FDE81218}"/>
</file>

<file path=docProps/app.xml><?xml version="1.0" encoding="utf-8"?>
<Properties xmlns="http://schemas.openxmlformats.org/officeDocument/2006/extended-properties" xmlns:vt="http://schemas.openxmlformats.org/officeDocument/2006/docPropsVTypes">
  <Template>Normal.dotm</Template>
  <TotalTime>0</TotalTime>
  <Pages>24</Pages>
  <Words>8593</Words>
  <Characters>48983</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Pakistan Aid Program Performance Report 2016-17</vt:lpstr>
    </vt:vector>
  </TitlesOfParts>
  <Company/>
  <LinksUpToDate>false</LinksUpToDate>
  <CharactersWithSpaces>57462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 Aid Program Performance Report 2016-17</dc:title>
  <dc:subject/>
  <dc:creator/>
  <cp:keywords/>
  <dc:description/>
  <cp:lastModifiedBy/>
  <cp:revision>1</cp:revision>
  <dcterms:created xsi:type="dcterms:W3CDTF">2017-09-21T03:33:00Z</dcterms:created>
  <dcterms:modified xsi:type="dcterms:W3CDTF">2017-09-21T03:34:00Z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a2529b71-d721-4f13-bfd7-eb1642b28ec4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1124600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