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7B6234AB" wp14:editId="018B7EDC">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5F8E5F43" wp14:editId="73E98706">
            <wp:simplePos x="0" y="0"/>
            <wp:positionH relativeFrom="page">
              <wp:posOffset>8890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2015-16</w:t>
      </w:r>
    </w:p>
    <w:p w:rsidR="00C6626C" w:rsidRDefault="00033CFA" w:rsidP="00A56F14">
      <w:r>
        <w:rPr>
          <w:sz w:val="40"/>
        </w:rPr>
        <w:t>Pakistan</w:t>
      </w:r>
    </w:p>
    <w:p w:rsidR="00C6626C" w:rsidRPr="007F577F" w:rsidRDefault="0092619D" w:rsidP="00A56F14">
      <w:pPr>
        <w:rPr>
          <w:sz w:val="24"/>
        </w:rPr>
        <w:sectPr w:rsidR="00C6626C" w:rsidRPr="007F577F" w:rsidSect="007C6028">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docGrid w:linePitch="360"/>
        </w:sectPr>
      </w:pPr>
      <w:r>
        <w:rPr>
          <w:sz w:val="24"/>
        </w:rPr>
        <w:t>September 2016</w:t>
      </w:r>
    </w:p>
    <w:p w:rsidR="00D779D8" w:rsidRPr="00B137E1" w:rsidRDefault="00C6626C" w:rsidP="002A51CA">
      <w:pPr>
        <w:pStyle w:val="ListBullet"/>
        <w:tabs>
          <w:tab w:val="clear" w:pos="284"/>
        </w:tabs>
        <w:spacing w:before="360"/>
        <w:rPr>
          <w:rFonts w:ascii="Helvetica" w:hAnsi="Helvetica" w:cs="Arial"/>
          <w:color w:val="007FAD"/>
          <w:kern w:val="28"/>
          <w:sz w:val="28"/>
          <w:szCs w:val="28"/>
        </w:rPr>
      </w:pPr>
      <w:r w:rsidRPr="00B137E1">
        <w:rPr>
          <w:rFonts w:asciiTheme="majorHAnsi" w:eastAsiaTheme="majorEastAsia" w:hAnsiTheme="majorHAnsi" w:cstheme="majorBidi"/>
          <w:caps/>
          <w:color w:val="495965" w:themeColor="text2"/>
          <w:sz w:val="38"/>
          <w:szCs w:val="26"/>
          <w:lang w:val="en-GB" w:eastAsia="en-US"/>
        </w:rPr>
        <w:lastRenderedPageBreak/>
        <w:t>Key Messages</w:t>
      </w:r>
      <w:r w:rsidRPr="00B137E1">
        <w:rPr>
          <w:rFonts w:ascii="Helvetica" w:hAnsi="Helvetica" w:cs="Arial"/>
          <w:color w:val="007FAD"/>
          <w:kern w:val="28"/>
          <w:sz w:val="28"/>
          <w:szCs w:val="28"/>
        </w:rPr>
        <w:tab/>
      </w:r>
    </w:p>
    <w:p w:rsidR="00C6626C" w:rsidRDefault="00765E37" w:rsidP="002A51CA">
      <w:r w:rsidRPr="00B137E1">
        <w:t xml:space="preserve">This Aid </w:t>
      </w:r>
      <w:r w:rsidR="007B03E4">
        <w:t xml:space="preserve">Program </w:t>
      </w:r>
      <w:r w:rsidRPr="00B137E1">
        <w:t xml:space="preserve">Performance Report (APPR) assesses the performance of Australia’s </w:t>
      </w:r>
      <w:r w:rsidR="005C6110" w:rsidRPr="00B137E1">
        <w:t xml:space="preserve">aid program in Pakistan in </w:t>
      </w:r>
      <w:r w:rsidR="00456F58">
        <w:t>2015-16</w:t>
      </w:r>
      <w:r w:rsidR="000D235D">
        <w:t xml:space="preserve"> </w:t>
      </w:r>
      <w:r w:rsidR="00FF5F62">
        <w:t>against</w:t>
      </w:r>
      <w:r w:rsidRPr="00B137E1">
        <w:t xml:space="preserve"> the strategic objectives </w:t>
      </w:r>
      <w:r w:rsidR="00FF5F62">
        <w:t>of</w:t>
      </w:r>
      <w:r w:rsidRPr="00B137E1">
        <w:t xml:space="preserve"> DFAT’s </w:t>
      </w:r>
      <w:r w:rsidR="00B137E1" w:rsidRPr="00B137E1">
        <w:t xml:space="preserve">Pakistan </w:t>
      </w:r>
      <w:r w:rsidRPr="00B137E1">
        <w:t>Aid Investment Plan</w:t>
      </w:r>
      <w:r w:rsidR="00C6626C" w:rsidRPr="00B137E1">
        <w:t xml:space="preserve">. </w:t>
      </w:r>
      <w:r w:rsidR="00D62136" w:rsidRPr="00B137E1">
        <w:t>This report finds</w:t>
      </w:r>
      <w:r w:rsidR="00895FF5">
        <w:t>:</w:t>
      </w:r>
      <w:r w:rsidR="00895FF5" w:rsidRPr="00B137E1">
        <w:t xml:space="preserve"> </w:t>
      </w:r>
    </w:p>
    <w:p w:rsidR="00EE65E1" w:rsidRDefault="00B137E1" w:rsidP="0011486E">
      <w:pPr>
        <w:pStyle w:val="ListParagraph"/>
        <w:numPr>
          <w:ilvl w:val="0"/>
          <w:numId w:val="24"/>
        </w:numPr>
        <w:spacing w:line="240" w:lineRule="auto"/>
      </w:pPr>
      <w:r>
        <w:t>Australia</w:t>
      </w:r>
      <w:r w:rsidR="007B03E4">
        <w:t>n</w:t>
      </w:r>
      <w:r>
        <w:t xml:space="preserve"> aid continued to make a </w:t>
      </w:r>
      <w:r w:rsidR="00EA317C">
        <w:t xml:space="preserve">sound </w:t>
      </w:r>
      <w:r>
        <w:t>contribution to development outcomes in Pakistan in 2015</w:t>
      </w:r>
      <w:r w:rsidR="00456F58">
        <w:t>-</w:t>
      </w:r>
      <w:r>
        <w:t>16. Our investments in agriculture and market development led to over 8,800 people increasing their incomes and trained over 7,500 people (67</w:t>
      </w:r>
      <w:r w:rsidR="00D45C4A">
        <w:t>per cent</w:t>
      </w:r>
      <w:r>
        <w:t xml:space="preserve"> women) in advanced agricultural</w:t>
      </w:r>
      <w:r w:rsidR="004241B7">
        <w:t xml:space="preserve"> technologies and practices.</w:t>
      </w:r>
      <w:r>
        <w:t xml:space="preserve"> Over 37,000 children (16,100 girls) were supported to</w:t>
      </w:r>
      <w:r w:rsidR="00874EA5">
        <w:t xml:space="preserve"> get</w:t>
      </w:r>
      <w:r>
        <w:t xml:space="preserve"> access </w:t>
      </w:r>
      <w:r w:rsidR="00874EA5">
        <w:t xml:space="preserve">to </w:t>
      </w:r>
      <w:r>
        <w:t>quality education in Khyber Pakhtunkhwa</w:t>
      </w:r>
      <w:r w:rsidR="004241B7">
        <w:t>;</w:t>
      </w:r>
      <w:r>
        <w:t xml:space="preserve"> our ending violence against women investment resulted in over 3,800 women survivors of gender</w:t>
      </w:r>
      <w:r w:rsidR="007B03E4">
        <w:t>-</w:t>
      </w:r>
      <w:r>
        <w:t>based violence</w:t>
      </w:r>
      <w:r w:rsidR="00874EA5">
        <w:t xml:space="preserve"> getting</w:t>
      </w:r>
      <w:r>
        <w:t xml:space="preserve"> </w:t>
      </w:r>
      <w:r w:rsidR="007B03E4">
        <w:t>access</w:t>
      </w:r>
      <w:r w:rsidR="00874EA5">
        <w:t xml:space="preserve"> to</w:t>
      </w:r>
      <w:r w:rsidR="007B03E4">
        <w:t xml:space="preserve"> </w:t>
      </w:r>
      <w:r>
        <w:t>temporary safe housing, counselling, health and legal se</w:t>
      </w:r>
      <w:r w:rsidR="004241B7">
        <w:t>rvices</w:t>
      </w:r>
      <w:r w:rsidR="007B03E4">
        <w:t>,</w:t>
      </w:r>
      <w:r w:rsidR="004241B7">
        <w:t xml:space="preserve"> and livelihoods support; </w:t>
      </w:r>
      <w:r>
        <w:t xml:space="preserve">and our nutrition investment supported </w:t>
      </w:r>
      <w:r w:rsidR="007B03E4">
        <w:t xml:space="preserve">provision of Vitamin A Supplementation to </w:t>
      </w:r>
      <w:r>
        <w:t>over 300,000 children.</w:t>
      </w:r>
    </w:p>
    <w:p w:rsidR="000B1B1B" w:rsidRDefault="000B1B1B" w:rsidP="000B1B1B">
      <w:pPr>
        <w:pStyle w:val="ListParagraph"/>
        <w:spacing w:line="240" w:lineRule="auto"/>
      </w:pPr>
    </w:p>
    <w:p w:rsidR="00CD5E30" w:rsidRDefault="0011486E" w:rsidP="00B40671">
      <w:pPr>
        <w:pStyle w:val="ListParagraph"/>
        <w:numPr>
          <w:ilvl w:val="0"/>
          <w:numId w:val="24"/>
        </w:numPr>
        <w:spacing w:line="240" w:lineRule="auto"/>
      </w:pPr>
      <w:r>
        <w:t>These successes were tempered by persistent operational challenges for aid delivery in Pakistan</w:t>
      </w:r>
      <w:r w:rsidR="00CD5E30">
        <w:t>. T</w:t>
      </w:r>
      <w:r>
        <w:t xml:space="preserve">he security environment and capacity of </w:t>
      </w:r>
      <w:r w:rsidR="00874EA5">
        <w:t>p</w:t>
      </w:r>
      <w:r>
        <w:t xml:space="preserve">rovincial </w:t>
      </w:r>
      <w:r w:rsidR="00874EA5">
        <w:t>g</w:t>
      </w:r>
      <w:r>
        <w:t>overnment</w:t>
      </w:r>
      <w:r w:rsidR="00CD5E30">
        <w:t>s</w:t>
      </w:r>
      <w:r>
        <w:t xml:space="preserve"> </w:t>
      </w:r>
      <w:r w:rsidR="00CD5E30">
        <w:t xml:space="preserve">continued to </w:t>
      </w:r>
      <w:r>
        <w:t>affect progress and manag</w:t>
      </w:r>
      <w:r w:rsidR="00B40671">
        <w:t>ement of</w:t>
      </w:r>
      <w:r w:rsidR="009314E5">
        <w:t xml:space="preserve"> investments in 2015-16.  </w:t>
      </w:r>
      <w:r w:rsidR="002E7534">
        <w:t xml:space="preserve">Our </w:t>
      </w:r>
      <w:r>
        <w:t>economic growth objective</w:t>
      </w:r>
      <w:r w:rsidR="002E7534">
        <w:t xml:space="preserve"> is on track</w:t>
      </w:r>
      <w:r>
        <w:t xml:space="preserve">, with most of our agriculture and rural development investments delivering strong results.  </w:t>
      </w:r>
      <w:r w:rsidR="00CD5E30">
        <w:t xml:space="preserve">Against </w:t>
      </w:r>
      <w:r w:rsidR="00B40671">
        <w:t xml:space="preserve">our social development objective, our key investments in education and challenging gender-based violence are performing well. However, there have been serious delays in implementation of our nutrition investment, particularly in Khyber Pakhtunkhwa province. </w:t>
      </w:r>
      <w:r w:rsidR="002E7534">
        <w:t>Similarly, as a result of</w:t>
      </w:r>
      <w:r w:rsidR="002E7534" w:rsidRPr="002E7534">
        <w:t xml:space="preserve"> </w:t>
      </w:r>
      <w:r w:rsidR="002E7534">
        <w:t xml:space="preserve">the Government of Pakistan’s </w:t>
      </w:r>
      <w:r w:rsidR="002E7534" w:rsidRPr="005F69A4">
        <w:t>stricter regulation of International NGOs</w:t>
      </w:r>
      <w:r w:rsidR="002E7534">
        <w:t>, o</w:t>
      </w:r>
      <w:r w:rsidR="00B40671">
        <w:t xml:space="preserve">ur infant, maternal and child health investment had to close in Balochistan </w:t>
      </w:r>
      <w:r w:rsidR="002E7534">
        <w:t xml:space="preserve">in 2015 </w:t>
      </w:r>
      <w:r w:rsidR="00B40671">
        <w:t>and transfer to Sindh Province in 2016</w:t>
      </w:r>
      <w:r w:rsidR="002E7534">
        <w:t>.</w:t>
      </w:r>
      <w:r w:rsidR="00B40671">
        <w:t xml:space="preserve">  </w:t>
      </w:r>
    </w:p>
    <w:p w:rsidR="00CD5E30" w:rsidRDefault="00CD5E30" w:rsidP="00CD5E30">
      <w:pPr>
        <w:pStyle w:val="ListParagraph"/>
      </w:pPr>
    </w:p>
    <w:p w:rsidR="0011486E" w:rsidRDefault="00CD5E30" w:rsidP="005C52CC">
      <w:pPr>
        <w:pStyle w:val="ListParagraph"/>
        <w:numPr>
          <w:ilvl w:val="0"/>
          <w:numId w:val="24"/>
        </w:numPr>
        <w:spacing w:line="240" w:lineRule="auto"/>
      </w:pPr>
      <w:r>
        <w:t xml:space="preserve">While achieving important gains in some investments, promoting gender equality and women’s empowerment continued to be </w:t>
      </w:r>
      <w:r w:rsidR="005C52CC">
        <w:t xml:space="preserve">challenging </w:t>
      </w:r>
      <w:r w:rsidR="00456F58">
        <w:t xml:space="preserve">in </w:t>
      </w:r>
      <w:r>
        <w:t>the conservative context</w:t>
      </w:r>
      <w:r w:rsidR="00456F58">
        <w:t>s</w:t>
      </w:r>
      <w:r>
        <w:t xml:space="preserve"> in which Australia’s aid program operates. Strengthening gender equality and women’s empowerment was a key focus of our work </w:t>
      </w:r>
      <w:r w:rsidR="005C52CC">
        <w:t>this year</w:t>
      </w:r>
      <w:r>
        <w:t xml:space="preserve">, </w:t>
      </w:r>
      <w:r w:rsidR="005C52CC">
        <w:t xml:space="preserve">with opportunities to improve </w:t>
      </w:r>
      <w:r w:rsidR="009314E5">
        <w:t xml:space="preserve">several investments </w:t>
      </w:r>
      <w:r w:rsidR="005C52CC">
        <w:t xml:space="preserve">identified, </w:t>
      </w:r>
      <w:r>
        <w:t xml:space="preserve">and sustained advocacy with partners </w:t>
      </w:r>
      <w:r w:rsidR="0005418A">
        <w:t>ongoing</w:t>
      </w:r>
      <w:r w:rsidR="005C52CC">
        <w:t>.</w:t>
      </w:r>
    </w:p>
    <w:p w:rsidR="00CD5E30" w:rsidRDefault="00CD5E30" w:rsidP="005C52CC">
      <w:pPr>
        <w:pStyle w:val="ListParagraph"/>
        <w:spacing w:line="240" w:lineRule="auto"/>
      </w:pPr>
    </w:p>
    <w:p w:rsidR="00CD5E30" w:rsidRDefault="00DD012C" w:rsidP="00DD012C">
      <w:pPr>
        <w:pStyle w:val="ListParagraph"/>
        <w:numPr>
          <w:ilvl w:val="0"/>
          <w:numId w:val="24"/>
        </w:numPr>
        <w:spacing w:line="240" w:lineRule="auto"/>
      </w:pPr>
      <w:r w:rsidRPr="005F69A4">
        <w:t>In 2015-16</w:t>
      </w:r>
      <w:r w:rsidR="002E7534">
        <w:t>,</w:t>
      </w:r>
      <w:r w:rsidRPr="005F69A4">
        <w:t xml:space="preserve"> Australia’s bilateral aid program decreased by 40 per cent to $39.4 million from $65.6 million in 2014-15</w:t>
      </w:r>
      <w:r>
        <w:t>, in line with the global reduction of Australia’s aid budget</w:t>
      </w:r>
      <w:r w:rsidRPr="005F69A4">
        <w:t xml:space="preserve">. Consequently, </w:t>
      </w:r>
      <w:r>
        <w:t xml:space="preserve">this was a year of consolidation and re-prioritisation, </w:t>
      </w:r>
      <w:r w:rsidRPr="005F69A4">
        <w:t>in line with Australia’s aid policy</w:t>
      </w:r>
      <w:r>
        <w:t xml:space="preserve">. </w:t>
      </w:r>
      <w:r w:rsidR="00B40671">
        <w:t xml:space="preserve">Our support </w:t>
      </w:r>
      <w:r>
        <w:t xml:space="preserve">in education and health </w:t>
      </w:r>
      <w:r w:rsidR="00B40671">
        <w:t xml:space="preserve">was </w:t>
      </w:r>
      <w:r>
        <w:t>rationalised to maintain core investments in nutrition, education, and stabilisation</w:t>
      </w:r>
      <w:r w:rsidR="00B40671">
        <w:t>, while we increased our focus on aid for trade support</w:t>
      </w:r>
      <w:r>
        <w:t xml:space="preserve">. The program managed this change well, but has identified scope for further evolution, </w:t>
      </w:r>
      <w:r w:rsidR="002E7534">
        <w:t xml:space="preserve">including </w:t>
      </w:r>
      <w:r>
        <w:t xml:space="preserve">to maintain </w:t>
      </w:r>
      <w:r w:rsidR="000D235D">
        <w:t xml:space="preserve">consistent </w:t>
      </w:r>
      <w:r>
        <w:t>Australian support for protracted humanitarian crises in Pakistan.</w:t>
      </w:r>
      <w:r w:rsidR="002E7534">
        <w:t xml:space="preserve"> </w:t>
      </w:r>
    </w:p>
    <w:p w:rsidR="00DD012C" w:rsidRDefault="00DD012C" w:rsidP="00CD5E30">
      <w:pPr>
        <w:pStyle w:val="ListParagraph"/>
        <w:spacing w:line="240" w:lineRule="auto"/>
      </w:pPr>
    </w:p>
    <w:p w:rsidR="001C7BFE" w:rsidRDefault="00010639" w:rsidP="00E71C54">
      <w:pPr>
        <w:pStyle w:val="ListParagraph"/>
        <w:numPr>
          <w:ilvl w:val="0"/>
          <w:numId w:val="24"/>
        </w:numPr>
        <w:spacing w:line="240" w:lineRule="auto"/>
      </w:pPr>
      <w:r>
        <w:t>W</w:t>
      </w:r>
      <w:r w:rsidR="00CD5E30">
        <w:t xml:space="preserve">hile the program performed well this year, </w:t>
      </w:r>
      <w:r w:rsidR="00874EA5">
        <w:t xml:space="preserve">achieving 6 out of 7 benchmarks, </w:t>
      </w:r>
      <w:r w:rsidR="00CD5E30">
        <w:t>in many cases exceeding targets,</w:t>
      </w:r>
      <w:r w:rsidR="00E71C54">
        <w:t xml:space="preserve"> our quality assessments indicate </w:t>
      </w:r>
      <w:r w:rsidR="00CD5E30">
        <w:t xml:space="preserve">a number of investments </w:t>
      </w:r>
      <w:r w:rsidR="005C52CC">
        <w:t xml:space="preserve">can be strengthened </w:t>
      </w:r>
      <w:r w:rsidR="00CD5E30">
        <w:t xml:space="preserve">to ensure we achieve </w:t>
      </w:r>
      <w:r w:rsidR="005C52CC">
        <w:t xml:space="preserve">overall </w:t>
      </w:r>
      <w:r w:rsidR="00CD5E30">
        <w:t>program objectives and desired development outcomes</w:t>
      </w:r>
      <w:r w:rsidR="005C52CC">
        <w:t>.  Similar</w:t>
      </w:r>
      <w:r w:rsidR="000D235D">
        <w:t>l</w:t>
      </w:r>
      <w:r w:rsidR="005C52CC">
        <w:t xml:space="preserve">y, we have identified </w:t>
      </w:r>
      <w:r w:rsidR="00506A73">
        <w:t xml:space="preserve">further </w:t>
      </w:r>
      <w:r w:rsidR="005C52CC">
        <w:t>opportunities to adjust our strategy to reflect program consolidation</w:t>
      </w:r>
      <w:r w:rsidR="00CD5E30">
        <w:t>.</w:t>
      </w:r>
      <w:r w:rsidR="00CD5E30" w:rsidRPr="00CD5E30">
        <w:t xml:space="preserve"> </w:t>
      </w:r>
      <w:r w:rsidR="00CD5E30">
        <w:t xml:space="preserve">This includes revising the program </w:t>
      </w:r>
      <w:r w:rsidR="00E71C54">
        <w:t xml:space="preserve">performance </w:t>
      </w:r>
      <w:r w:rsidR="00874EA5">
        <w:t>f</w:t>
      </w:r>
      <w:r w:rsidR="00CD5E30">
        <w:t xml:space="preserve">ramework to better reflect </w:t>
      </w:r>
      <w:r w:rsidR="005C52CC">
        <w:t>the ambitions of our evolving program.</w:t>
      </w:r>
    </w:p>
    <w:p w:rsidR="005D307E" w:rsidRDefault="005D307E"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 xml:space="preserve">Context </w:t>
      </w:r>
      <w:r w:rsidRPr="002A51CA">
        <w:rPr>
          <w:rFonts w:asciiTheme="majorHAnsi" w:eastAsiaTheme="majorEastAsia" w:hAnsiTheme="majorHAnsi" w:cstheme="majorBidi"/>
          <w:caps/>
          <w:color w:val="495965" w:themeColor="text2"/>
          <w:sz w:val="38"/>
          <w:szCs w:val="26"/>
          <w:lang w:val="en-GB" w:eastAsia="en-US"/>
        </w:rPr>
        <w:tab/>
      </w:r>
      <w:r w:rsidRPr="00C61187">
        <w:rPr>
          <w:rFonts w:ascii="Helvetica" w:hAnsi="Helvetica" w:cs="Arial"/>
          <w:color w:val="007FAD"/>
          <w:kern w:val="28"/>
          <w:sz w:val="32"/>
          <w:szCs w:val="32"/>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r w:rsidRPr="00C61187">
        <w:rPr>
          <w:color w:val="007FAD"/>
          <w:kern w:val="28"/>
        </w:rPr>
        <w:tab/>
      </w:r>
    </w:p>
    <w:p w:rsidR="006E0298" w:rsidRPr="00473B0C" w:rsidRDefault="00AA3396" w:rsidP="006E0298">
      <w:r w:rsidRPr="00473B0C">
        <w:t xml:space="preserve">Pakistan is confronted by significant economic, governance and security challenges to sustainable development. </w:t>
      </w:r>
      <w:r w:rsidR="005B133C" w:rsidRPr="00473B0C">
        <w:rPr>
          <w:b/>
        </w:rPr>
        <w:t>Pakistan is the sixth most populous nation in the world</w:t>
      </w:r>
      <w:r w:rsidR="005B133C" w:rsidRPr="00473B0C">
        <w:t xml:space="preserve"> with an estimated population of 190 </w:t>
      </w:r>
      <w:r w:rsidR="005B133C" w:rsidRPr="00473B0C">
        <w:lastRenderedPageBreak/>
        <w:t>million</w:t>
      </w:r>
      <w:r w:rsidR="005B133C" w:rsidRPr="00473B0C">
        <w:rPr>
          <w:rStyle w:val="FootnoteReference"/>
        </w:rPr>
        <w:footnoteReference w:id="1"/>
      </w:r>
      <w:r w:rsidR="005B133C" w:rsidRPr="00473B0C">
        <w:t xml:space="preserve">.  With an annual </w:t>
      </w:r>
      <w:r w:rsidR="006E6872" w:rsidRPr="00473B0C">
        <w:t xml:space="preserve">population </w:t>
      </w:r>
      <w:r w:rsidR="005B133C" w:rsidRPr="00473B0C">
        <w:t xml:space="preserve">growth rate of 1.92 per cent, this is expected to double by 2050. </w:t>
      </w:r>
      <w:r w:rsidR="006E0298" w:rsidRPr="00473B0C">
        <w:rPr>
          <w:b/>
          <w:lang w:val="en-US"/>
        </w:rPr>
        <w:t>Economic growth continues to be constrained</w:t>
      </w:r>
      <w:r w:rsidR="006E0298" w:rsidRPr="00473B0C">
        <w:rPr>
          <w:lang w:val="en-US"/>
        </w:rPr>
        <w:t xml:space="preserve"> </w:t>
      </w:r>
      <w:r w:rsidR="006E0298" w:rsidRPr="00473B0C">
        <w:rPr>
          <w:b/>
          <w:lang w:val="en-US"/>
        </w:rPr>
        <w:t>by energy and infrastructure deficits, skills shortages, regional instability, population pressures and other barriers to trade.</w:t>
      </w:r>
      <w:r w:rsidR="006E0298" w:rsidRPr="00473B0C">
        <w:rPr>
          <w:lang w:val="en-US"/>
        </w:rPr>
        <w:t xml:space="preserve"> Pakistan'</w:t>
      </w:r>
      <w:r w:rsidR="00581043" w:rsidRPr="00473B0C">
        <w:rPr>
          <w:lang w:val="en-US"/>
        </w:rPr>
        <w:t xml:space="preserve">s trade as a percentage of GDP </w:t>
      </w:r>
      <w:r w:rsidR="006E0298" w:rsidRPr="00473B0C">
        <w:rPr>
          <w:lang w:val="en-US"/>
        </w:rPr>
        <w:t>stands at around 31 per cent, well behind the average across South Asia of around 50 per cent</w:t>
      </w:r>
      <w:r w:rsidR="006E0298" w:rsidRPr="00473B0C">
        <w:rPr>
          <w:rStyle w:val="FootnoteReference"/>
          <w:lang w:val="en-US"/>
        </w:rPr>
        <w:footnoteReference w:id="2"/>
      </w:r>
      <w:r w:rsidR="006E0298" w:rsidRPr="00473B0C">
        <w:rPr>
          <w:lang w:val="en-US"/>
        </w:rPr>
        <w:t>. The Pakistan Government is making efforts to strengthen its economy, assisted by lower international oil prices and the implementation of the IMF's reform program. In 2015 GDP growth increased to 4.2 per cent and is expected to reach 4.5 per cent in 2016</w:t>
      </w:r>
      <w:r w:rsidR="006E0298" w:rsidRPr="00473B0C">
        <w:rPr>
          <w:rStyle w:val="FootnoteReference"/>
          <w:lang w:val="en-US"/>
        </w:rPr>
        <w:footnoteReference w:id="3"/>
      </w:r>
      <w:r w:rsidR="006E0298" w:rsidRPr="00473B0C">
        <w:rPr>
          <w:lang w:val="en-US"/>
        </w:rPr>
        <w:t xml:space="preserve">. </w:t>
      </w:r>
      <w:r w:rsidR="006E0298" w:rsidRPr="00473B0C">
        <w:t>Whil</w:t>
      </w:r>
      <w:r w:rsidR="00874EA5">
        <w:t>e</w:t>
      </w:r>
      <w:r w:rsidR="006E0298" w:rsidRPr="00473B0C">
        <w:t xml:space="preserve"> continuing to make incremental gains, Pakistan needs to double the current rate of inclusive economic growth to make positive headway in the face of population growth.</w:t>
      </w:r>
    </w:p>
    <w:p w:rsidR="006E0298" w:rsidRPr="00473B0C" w:rsidRDefault="006E0298" w:rsidP="000F6CB0">
      <w:pPr>
        <w:widowControl w:val="0"/>
      </w:pPr>
      <w:r w:rsidRPr="00473B0C">
        <w:rPr>
          <w:b/>
        </w:rPr>
        <w:t>Agriculture i</w:t>
      </w:r>
      <w:r w:rsidR="00874EA5">
        <w:rPr>
          <w:b/>
        </w:rPr>
        <w:t>s central to Pakistan’s economy</w:t>
      </w:r>
      <w:r w:rsidRPr="00473B0C">
        <w:rPr>
          <w:b/>
        </w:rPr>
        <w:t>, accounting for 44 per cent of the labour force and 25 per cent of Gross Domestic Product (GDP).</w:t>
      </w:r>
      <w:r w:rsidRPr="00473B0C">
        <w:t xml:space="preserve"> </w:t>
      </w:r>
      <w:r w:rsidR="00517AC5" w:rsidRPr="00473B0C">
        <w:t>G</w:t>
      </w:r>
      <w:r w:rsidRPr="00473B0C">
        <w:t xml:space="preserve">rowth in the sector </w:t>
      </w:r>
      <w:r w:rsidR="00517AC5" w:rsidRPr="00473B0C">
        <w:t xml:space="preserve">needs </w:t>
      </w:r>
      <w:r w:rsidR="003F2EBB" w:rsidRPr="00473B0C">
        <w:t>to</w:t>
      </w:r>
      <w:r w:rsidR="00517AC5" w:rsidRPr="00473B0C">
        <w:t xml:space="preserve"> be </w:t>
      </w:r>
      <w:r w:rsidR="003F2EBB" w:rsidRPr="00473B0C">
        <w:t>more</w:t>
      </w:r>
      <w:r w:rsidR="00517AC5" w:rsidRPr="00473B0C">
        <w:t xml:space="preserve"> inclusive and is </w:t>
      </w:r>
      <w:r w:rsidR="005B133C" w:rsidRPr="00473B0C">
        <w:t xml:space="preserve">undermined </w:t>
      </w:r>
      <w:r w:rsidRPr="00473B0C">
        <w:t xml:space="preserve">by weak markets, production inefficiencies, land ownership issues, unregulated labour conditions, adverse weather conditions and significant water shortages.  Despite having sufficient national production to meet the needs of the current population, </w:t>
      </w:r>
      <w:r w:rsidR="00654254" w:rsidRPr="00473B0C">
        <w:t>Pakistan</w:t>
      </w:r>
      <w:r w:rsidRPr="00473B0C">
        <w:t xml:space="preserve"> struggles with extreme levels of food insecurity</w:t>
      </w:r>
      <w:r w:rsidR="009314E5" w:rsidRPr="00473B0C">
        <w:t>.</w:t>
      </w:r>
      <w:r w:rsidRPr="00473B0C">
        <w:rPr>
          <w:rStyle w:val="FootnoteReference"/>
        </w:rPr>
        <w:footnoteReference w:id="4"/>
      </w:r>
      <w:r w:rsidRPr="00473B0C">
        <w:t xml:space="preserve"> </w:t>
      </w:r>
      <w:r w:rsidR="00517AC5" w:rsidRPr="00473B0C">
        <w:t>Rapid population growth will intensify shortages in basic services and commodities, food, water and energy, and will impede Pakistan’s chances of realising the Sustainable Development Goals (SDGs).</w:t>
      </w:r>
    </w:p>
    <w:p w:rsidR="00DD012C" w:rsidRPr="00473B0C" w:rsidRDefault="00DD012C" w:rsidP="00DD012C">
      <w:r w:rsidRPr="00473B0C">
        <w:rPr>
          <w:b/>
        </w:rPr>
        <w:t>Pakistan’s low human development indicators undermine its economic growth and labour force productivity</w:t>
      </w:r>
      <w:r w:rsidRPr="00473B0C">
        <w:t>. In 2015, Pakistan ranked 147 out of 188 countries on the Human Development Index, classifying Pakistan as a Low Human Development Country</w:t>
      </w:r>
      <w:r w:rsidRPr="00473B0C">
        <w:rPr>
          <w:rStyle w:val="FootnoteReference"/>
        </w:rPr>
        <w:footnoteReference w:id="5"/>
      </w:r>
      <w:r w:rsidRPr="00473B0C">
        <w:t xml:space="preserve"> , well behind most South Asian </w:t>
      </w:r>
      <w:r w:rsidR="00874EA5">
        <w:t>c</w:t>
      </w:r>
      <w:r w:rsidRPr="00473B0C">
        <w:t xml:space="preserve">ountries. </w:t>
      </w:r>
      <w:r w:rsidRPr="00473B0C">
        <w:rPr>
          <w:lang w:val="en-US"/>
        </w:rPr>
        <w:t xml:space="preserve">Pakistan's access to a strong and healthy workforce is affected by high malnutrition rates, poor water and sanitation practices and other health issues.  </w:t>
      </w:r>
      <w:r w:rsidRPr="00473B0C">
        <w:rPr>
          <w:b/>
          <w:lang w:val="en-US"/>
        </w:rPr>
        <w:t>Poor nutrition is estimated to costs the economy up to 3</w:t>
      </w:r>
      <w:r w:rsidR="000D235D" w:rsidRPr="00473B0C">
        <w:rPr>
          <w:b/>
          <w:lang w:val="en-US"/>
        </w:rPr>
        <w:t xml:space="preserve"> per cent </w:t>
      </w:r>
      <w:r w:rsidRPr="00473B0C">
        <w:rPr>
          <w:b/>
          <w:lang w:val="en-US"/>
        </w:rPr>
        <w:t>of GDP, more than the energy deficit.</w:t>
      </w:r>
      <w:r w:rsidRPr="00473B0C">
        <w:rPr>
          <w:lang w:val="en-US"/>
        </w:rPr>
        <w:t xml:space="preserve"> Stunting affects some 45</w:t>
      </w:r>
      <w:r w:rsidR="008511BA">
        <w:rPr>
          <w:lang w:val="en-US"/>
        </w:rPr>
        <w:t xml:space="preserve"> </w:t>
      </w:r>
      <w:r w:rsidR="00D45C4A">
        <w:rPr>
          <w:lang w:val="en-US"/>
        </w:rPr>
        <w:t>per cent</w:t>
      </w:r>
      <w:r w:rsidRPr="00473B0C">
        <w:rPr>
          <w:lang w:val="en-US"/>
        </w:rPr>
        <w:t xml:space="preserve"> of children under five</w:t>
      </w:r>
      <w:r w:rsidRPr="00473B0C">
        <w:rPr>
          <w:rStyle w:val="FootnoteReference"/>
          <w:lang w:val="en-US"/>
        </w:rPr>
        <w:footnoteReference w:id="6"/>
      </w:r>
      <w:r w:rsidRPr="00473B0C">
        <w:rPr>
          <w:lang w:val="en-US"/>
        </w:rPr>
        <w:t xml:space="preserve">. </w:t>
      </w:r>
      <w:r w:rsidRPr="00473B0C">
        <w:t>Only</w:t>
      </w:r>
      <w:r w:rsidRPr="00473B0C">
        <w:rPr>
          <w:rFonts w:cs="Times New Roman"/>
        </w:rPr>
        <w:t xml:space="preserve"> 52 per cent of births are attended by a trained medical professional</w:t>
      </w:r>
      <w:r w:rsidRPr="00473B0C">
        <w:rPr>
          <w:rStyle w:val="FootnoteReference"/>
          <w:rFonts w:cs="Times New Roman"/>
        </w:rPr>
        <w:footnoteReference w:id="7"/>
      </w:r>
      <w:r w:rsidRPr="00473B0C">
        <w:rPr>
          <w:rFonts w:cs="Times New Roman"/>
        </w:rPr>
        <w:t xml:space="preserve">  and it is estimated that for every 100,000 live births, 260 women die from pregnancy related causes.</w:t>
      </w:r>
      <w:r w:rsidRPr="00473B0C">
        <w:rPr>
          <w:rStyle w:val="FootnoteReference"/>
          <w:rFonts w:cs="Times New Roman"/>
        </w:rPr>
        <w:footnoteReference w:id="8"/>
      </w:r>
      <w:r w:rsidRPr="00473B0C">
        <w:rPr>
          <w:rFonts w:cs="Times New Roman"/>
        </w:rPr>
        <w:t xml:space="preserve"> </w:t>
      </w:r>
      <w:r w:rsidRPr="00473B0C">
        <w:t>Pakistan has some of the poorest education indicators in the world. It is estimated that over 45</w:t>
      </w:r>
      <w:r w:rsidR="000D235D" w:rsidRPr="00473B0C">
        <w:t xml:space="preserve"> per cent </w:t>
      </w:r>
      <w:r w:rsidRPr="00473B0C">
        <w:t>of the adult population is illiterate</w:t>
      </w:r>
      <w:r w:rsidRPr="00473B0C">
        <w:rPr>
          <w:rStyle w:val="FootnoteReference"/>
        </w:rPr>
        <w:footnoteReference w:id="9"/>
      </w:r>
      <w:r w:rsidRPr="00473B0C">
        <w:t xml:space="preserve"> and 12 million children are out of school of which 75</w:t>
      </w:r>
      <w:r w:rsidR="000D235D" w:rsidRPr="00473B0C">
        <w:t xml:space="preserve"> per cent </w:t>
      </w:r>
      <w:r w:rsidRPr="00473B0C">
        <w:t>are girls</w:t>
      </w:r>
      <w:r w:rsidRPr="00473B0C">
        <w:rPr>
          <w:rStyle w:val="FootnoteReference"/>
        </w:rPr>
        <w:footnoteReference w:id="10"/>
      </w:r>
      <w:r w:rsidRPr="00473B0C">
        <w:t>. In addition, 48 per cent of government schools lack basic facilities.</w:t>
      </w:r>
    </w:p>
    <w:p w:rsidR="006E0298" w:rsidRPr="00473B0C" w:rsidRDefault="0008180A" w:rsidP="006E0298">
      <w:r w:rsidRPr="00473B0C">
        <w:t xml:space="preserve">Despite </w:t>
      </w:r>
      <w:r w:rsidR="006E0298" w:rsidRPr="00473B0C">
        <w:t xml:space="preserve">steps to improve gender equality – </w:t>
      </w:r>
      <w:r w:rsidR="008511BA">
        <w:t>for example,</w:t>
      </w:r>
      <w:r w:rsidR="006E0298" w:rsidRPr="00473B0C">
        <w:t xml:space="preserve"> the passing of Punjab Protection of </w:t>
      </w:r>
      <w:r w:rsidR="00581043" w:rsidRPr="00473B0C">
        <w:t xml:space="preserve">Women </w:t>
      </w:r>
      <w:proofErr w:type="gramStart"/>
      <w:r w:rsidR="00581043" w:rsidRPr="00473B0C">
        <w:t>Against</w:t>
      </w:r>
      <w:proofErr w:type="gramEnd"/>
      <w:r w:rsidR="00581043" w:rsidRPr="00473B0C">
        <w:t xml:space="preserve"> Violence Act 2016</w:t>
      </w:r>
      <w:r w:rsidR="00517AC5" w:rsidRPr="00473B0C">
        <w:t xml:space="preserve"> -</w:t>
      </w:r>
      <w:r w:rsidR="006E0298" w:rsidRPr="00473B0C">
        <w:t xml:space="preserve"> </w:t>
      </w:r>
      <w:r w:rsidR="006E0298" w:rsidRPr="00473B0C">
        <w:rPr>
          <w:rFonts w:cs="Times New Roman"/>
          <w:b/>
        </w:rPr>
        <w:t xml:space="preserve">Pakistan remains one of the most inequitable countries </w:t>
      </w:r>
      <w:r w:rsidR="00517AC5" w:rsidRPr="00473B0C">
        <w:rPr>
          <w:rFonts w:cs="Times New Roman"/>
          <w:b/>
        </w:rPr>
        <w:t xml:space="preserve">in </w:t>
      </w:r>
      <w:r w:rsidR="006E0298" w:rsidRPr="00473B0C">
        <w:rPr>
          <w:rFonts w:cs="Times New Roman"/>
          <w:b/>
        </w:rPr>
        <w:t>the world for women</w:t>
      </w:r>
      <w:r w:rsidR="006E0298" w:rsidRPr="00473B0C">
        <w:rPr>
          <w:b/>
        </w:rPr>
        <w:t>.</w:t>
      </w:r>
      <w:r w:rsidR="006E0298" w:rsidRPr="00473B0C">
        <w:t xml:space="preserve"> In 2015, Pakistan ranked 121 out of 155 countries on the Gender Inequality Index</w:t>
      </w:r>
      <w:r w:rsidR="006E0298" w:rsidRPr="00473B0C">
        <w:rPr>
          <w:rStyle w:val="FootnoteReference"/>
        </w:rPr>
        <w:footnoteReference w:id="11"/>
      </w:r>
      <w:r w:rsidR="006E0298" w:rsidRPr="00473B0C">
        <w:t xml:space="preserve">. </w:t>
      </w:r>
      <w:r w:rsidR="00BD6FCB" w:rsidRPr="00473B0C">
        <w:rPr>
          <w:rFonts w:cs="Times New Roman"/>
        </w:rPr>
        <w:t xml:space="preserve">Up to 90 per cent of Pakistani women are </w:t>
      </w:r>
      <w:r w:rsidR="002E5E31">
        <w:rPr>
          <w:rFonts w:cs="Times New Roman"/>
        </w:rPr>
        <w:t xml:space="preserve">estimated to experience </w:t>
      </w:r>
      <w:r w:rsidR="00BD6FCB" w:rsidRPr="00473B0C">
        <w:rPr>
          <w:rFonts w:cs="Times New Roman"/>
        </w:rPr>
        <w:t>gender</w:t>
      </w:r>
      <w:r w:rsidR="00E71C54">
        <w:rPr>
          <w:rFonts w:cs="Times New Roman"/>
        </w:rPr>
        <w:t>-</w:t>
      </w:r>
      <w:r w:rsidR="00BD6FCB" w:rsidRPr="00473B0C">
        <w:rPr>
          <w:rFonts w:cs="Times New Roman"/>
        </w:rPr>
        <w:t>based violence.</w:t>
      </w:r>
      <w:r w:rsidR="00BD6FCB" w:rsidRPr="00473B0C">
        <w:rPr>
          <w:rStyle w:val="FootnoteReference"/>
          <w:rFonts w:cs="Times New Roman"/>
        </w:rPr>
        <w:footnoteReference w:id="12"/>
      </w:r>
      <w:r w:rsidR="00BD6FCB" w:rsidRPr="00473B0C">
        <w:rPr>
          <w:rFonts w:cs="Times New Roman"/>
        </w:rPr>
        <w:t xml:space="preserve"> </w:t>
      </w:r>
      <w:r w:rsidR="006E0298" w:rsidRPr="00473B0C">
        <w:rPr>
          <w:rFonts w:cs="Times New Roman"/>
        </w:rPr>
        <w:t>Women’s participation in labour markets is 24.4 per cent compared to 82.9 per cent for men and only 19.3 per cent of girls complete secondary education compared to 46 per cent males.</w:t>
      </w:r>
      <w:r w:rsidR="006E0298" w:rsidRPr="00473B0C">
        <w:rPr>
          <w:rStyle w:val="FootnoteReference"/>
          <w:rFonts w:cs="Times New Roman"/>
        </w:rPr>
        <w:footnoteReference w:id="13"/>
      </w:r>
      <w:r w:rsidR="006E0298" w:rsidRPr="00473B0C">
        <w:rPr>
          <w:rFonts w:cs="Times New Roman"/>
        </w:rPr>
        <w:t xml:space="preserve"> </w:t>
      </w:r>
      <w:r w:rsidR="006E0298" w:rsidRPr="00473B0C">
        <w:t>Women are further constrained by cultural values inhibit</w:t>
      </w:r>
      <w:r w:rsidR="00104A39" w:rsidRPr="00473B0C">
        <w:t>ing</w:t>
      </w:r>
      <w:r w:rsidR="006E0298" w:rsidRPr="00473B0C">
        <w:t xml:space="preserve"> access </w:t>
      </w:r>
      <w:r w:rsidR="00104A39" w:rsidRPr="00473B0C">
        <w:t xml:space="preserve">to </w:t>
      </w:r>
      <w:r w:rsidR="006E0298" w:rsidRPr="00473B0C">
        <w:t xml:space="preserve">health and other essential services and </w:t>
      </w:r>
      <w:r w:rsidR="00517AC5" w:rsidRPr="00473B0C">
        <w:t xml:space="preserve">are </w:t>
      </w:r>
      <w:r w:rsidR="006E0298" w:rsidRPr="00473B0C">
        <w:t xml:space="preserve">marginalised in the formal economy and decision making. </w:t>
      </w:r>
    </w:p>
    <w:p w:rsidR="00DD012C" w:rsidRPr="00473B0C" w:rsidRDefault="00DD012C" w:rsidP="000D14EA">
      <w:pPr>
        <w:widowControl w:val="0"/>
      </w:pPr>
      <w:r w:rsidRPr="00093B2E">
        <w:t xml:space="preserve">Conflict in regions bordering Afghanistan significantly impedes development and has caused large scale </w:t>
      </w:r>
      <w:r w:rsidRPr="00093B2E">
        <w:lastRenderedPageBreak/>
        <w:t>human displacement.</w:t>
      </w:r>
      <w:r w:rsidRPr="00473B0C">
        <w:rPr>
          <w:b/>
        </w:rPr>
        <w:t xml:space="preserve"> </w:t>
      </w:r>
      <w:r w:rsidRPr="00473B0C">
        <w:t xml:space="preserve">Overlapping this, </w:t>
      </w:r>
      <w:r w:rsidRPr="00473B0C">
        <w:rPr>
          <w:b/>
        </w:rPr>
        <w:t xml:space="preserve">Pakistan also </w:t>
      </w:r>
      <w:r w:rsidR="000A3095">
        <w:rPr>
          <w:b/>
        </w:rPr>
        <w:t>ha</w:t>
      </w:r>
      <w:r w:rsidRPr="00473B0C">
        <w:rPr>
          <w:b/>
        </w:rPr>
        <w:t>s the world’s second largest and longest protracted refugee situation</w:t>
      </w:r>
      <w:r w:rsidR="00093B2E">
        <w:rPr>
          <w:b/>
        </w:rPr>
        <w:t xml:space="preserve"> </w:t>
      </w:r>
      <w:r w:rsidR="00093B2E" w:rsidRPr="00093B2E">
        <w:t>(37 years)</w:t>
      </w:r>
      <w:r w:rsidR="00093B2E" w:rsidRPr="00473B0C">
        <w:rPr>
          <w:b/>
        </w:rPr>
        <w:t xml:space="preserve"> </w:t>
      </w:r>
      <w:r w:rsidRPr="00473B0C">
        <w:rPr>
          <w:rStyle w:val="FootnoteReference"/>
        </w:rPr>
        <w:footnoteReference w:id="14"/>
      </w:r>
      <w:r w:rsidRPr="00473B0C">
        <w:t xml:space="preserve">, with approximately 1.5 million registered Afghan refugees and </w:t>
      </w:r>
      <w:r w:rsidR="00EA317C">
        <w:t xml:space="preserve">an estimated </w:t>
      </w:r>
      <w:r w:rsidRPr="00473B0C">
        <w:t>0.75</w:t>
      </w:r>
      <w:r w:rsidR="00093B2E">
        <w:t xml:space="preserve"> million</w:t>
      </w:r>
      <w:r w:rsidRPr="00473B0C">
        <w:t xml:space="preserve"> unregistered, placing pressure on the country’s already stretched social and public </w:t>
      </w:r>
      <w:r w:rsidRPr="000A3095">
        <w:t xml:space="preserve">infrastructure.  Although there has been a reduction in violent attacks since mid-2014, </w:t>
      </w:r>
      <w:r w:rsidR="00B65E87" w:rsidRPr="000A3095">
        <w:t>following the Zarb</w:t>
      </w:r>
      <w:r w:rsidRPr="000A3095">
        <w:t xml:space="preserve"> -e-Azb military campaign and the Government’s National Acton Plan, the security situation in Pakistan remains volatile.</w:t>
      </w:r>
      <w:r w:rsidR="009314E5" w:rsidRPr="000A3095">
        <w:rPr>
          <w:rStyle w:val="FootnoteReference"/>
        </w:rPr>
        <w:footnoteReference w:id="15"/>
      </w:r>
      <w:r w:rsidRPr="000A3095">
        <w:t xml:space="preserve"> Ongoing security operations in the North West of the country resulted in 1.6</w:t>
      </w:r>
      <w:r w:rsidR="00EA317C" w:rsidRPr="000A3095">
        <w:t xml:space="preserve"> </w:t>
      </w:r>
      <w:r w:rsidRPr="000A3095">
        <w:t xml:space="preserve">million people becoming displaced.  In 2016, it is estimated 3.6 million </w:t>
      </w:r>
      <w:r w:rsidR="00C2528E" w:rsidRPr="000A3095">
        <w:t>people</w:t>
      </w:r>
      <w:r w:rsidRPr="000A3095">
        <w:t xml:space="preserve"> will require some form of humanitarian assistance.</w:t>
      </w:r>
      <w:r w:rsidRPr="000A3095">
        <w:rPr>
          <w:rStyle w:val="FootnoteReference"/>
        </w:rPr>
        <w:footnoteReference w:id="16"/>
      </w:r>
    </w:p>
    <w:p w:rsidR="006E0298" w:rsidRPr="00473B0C" w:rsidRDefault="006E0298" w:rsidP="006E0298">
      <w:pPr>
        <w:rPr>
          <w:rFonts w:cs="Arial"/>
          <w:szCs w:val="20"/>
        </w:rPr>
      </w:pPr>
      <w:r w:rsidRPr="00473B0C">
        <w:rPr>
          <w:rFonts w:cs="Arial"/>
          <w:b/>
          <w:szCs w:val="20"/>
        </w:rPr>
        <w:t xml:space="preserve">Pakistan is exceptionally vulnerable to </w:t>
      </w:r>
      <w:r w:rsidR="00654254" w:rsidRPr="00473B0C">
        <w:rPr>
          <w:rFonts w:cs="Arial"/>
          <w:b/>
          <w:szCs w:val="20"/>
        </w:rPr>
        <w:t>frequent natural</w:t>
      </w:r>
      <w:r w:rsidRPr="00473B0C">
        <w:rPr>
          <w:rFonts w:cs="Arial"/>
          <w:b/>
          <w:szCs w:val="20"/>
        </w:rPr>
        <w:t xml:space="preserve"> hazards</w:t>
      </w:r>
      <w:r w:rsidRPr="00473B0C">
        <w:rPr>
          <w:rFonts w:cs="Arial"/>
          <w:szCs w:val="20"/>
        </w:rPr>
        <w:t xml:space="preserve">, including floods, earthquakes, droughts and cyclones. </w:t>
      </w:r>
      <w:r w:rsidRPr="00473B0C">
        <w:t xml:space="preserve">It is estimated that between 1990 and 2013, over 71.2 million people </w:t>
      </w:r>
      <w:r w:rsidR="0092619D" w:rsidRPr="00473B0C">
        <w:t>were</w:t>
      </w:r>
      <w:r w:rsidRPr="00473B0C">
        <w:t xml:space="preserve"> affected by natural disasters</w:t>
      </w:r>
      <w:r w:rsidRPr="00473B0C">
        <w:rPr>
          <w:rStyle w:val="FootnoteReference"/>
        </w:rPr>
        <w:footnoteReference w:id="17"/>
      </w:r>
      <w:r w:rsidRPr="00473B0C">
        <w:t xml:space="preserve">.  </w:t>
      </w:r>
      <w:r w:rsidRPr="00473B0C">
        <w:rPr>
          <w:rFonts w:cs="Arial"/>
          <w:szCs w:val="20"/>
        </w:rPr>
        <w:t xml:space="preserve">As a consequence, Pakistan experiences an </w:t>
      </w:r>
      <w:r w:rsidR="00AA3396" w:rsidRPr="00473B0C">
        <w:rPr>
          <w:rFonts w:cs="Arial"/>
          <w:szCs w:val="20"/>
        </w:rPr>
        <w:t xml:space="preserve">estimated </w:t>
      </w:r>
      <w:r w:rsidRPr="00473B0C">
        <w:rPr>
          <w:rFonts w:cs="Arial"/>
          <w:szCs w:val="20"/>
        </w:rPr>
        <w:t>annual average loss of USD1.3 billion (equivalent to 4.4</w:t>
      </w:r>
      <w:r w:rsidR="000D235D" w:rsidRPr="00473B0C">
        <w:rPr>
          <w:rFonts w:cs="Arial"/>
          <w:szCs w:val="20"/>
        </w:rPr>
        <w:t xml:space="preserve"> per cent </w:t>
      </w:r>
      <w:r w:rsidRPr="00473B0C">
        <w:rPr>
          <w:rFonts w:cs="Arial"/>
          <w:szCs w:val="20"/>
        </w:rPr>
        <w:t>of 2013 public expenditure)</w:t>
      </w:r>
      <w:r w:rsidRPr="00473B0C">
        <w:rPr>
          <w:rStyle w:val="FootnoteReference"/>
          <w:rFonts w:cs="Arial"/>
        </w:rPr>
        <w:footnoteReference w:id="18"/>
      </w:r>
      <w:r w:rsidRPr="00473B0C">
        <w:rPr>
          <w:rFonts w:cs="Arial"/>
          <w:szCs w:val="20"/>
        </w:rPr>
        <w:t xml:space="preserve">. </w:t>
      </w:r>
    </w:p>
    <w:p w:rsidR="0092619D" w:rsidRPr="00473B0C" w:rsidRDefault="00304297" w:rsidP="002A51CA">
      <w:pPr>
        <w:rPr>
          <w:rFonts w:cs="Arial"/>
          <w:szCs w:val="20"/>
        </w:rPr>
      </w:pPr>
      <w:r w:rsidRPr="00473B0C">
        <w:rPr>
          <w:rFonts w:cs="Arial"/>
          <w:szCs w:val="20"/>
        </w:rPr>
        <w:t xml:space="preserve">The </w:t>
      </w:r>
      <w:r w:rsidRPr="00C2528E">
        <w:rPr>
          <w:rFonts w:cs="Arial"/>
          <w:b/>
          <w:szCs w:val="20"/>
        </w:rPr>
        <w:t>Government</w:t>
      </w:r>
      <w:r w:rsidR="00EA526F" w:rsidRPr="00C2528E">
        <w:rPr>
          <w:rFonts w:cs="Arial"/>
          <w:b/>
          <w:szCs w:val="20"/>
        </w:rPr>
        <w:t xml:space="preserve"> of</w:t>
      </w:r>
      <w:r w:rsidRPr="00C2528E">
        <w:rPr>
          <w:rFonts w:cs="Arial"/>
          <w:b/>
          <w:szCs w:val="20"/>
        </w:rPr>
        <w:t xml:space="preserve"> </w:t>
      </w:r>
      <w:r w:rsidR="00EA526F" w:rsidRPr="00C2528E">
        <w:rPr>
          <w:rFonts w:cs="Arial"/>
          <w:b/>
          <w:szCs w:val="20"/>
        </w:rPr>
        <w:t xml:space="preserve">Pakistan’s introduction of </w:t>
      </w:r>
      <w:r w:rsidRPr="00C2528E">
        <w:rPr>
          <w:rFonts w:cs="Arial"/>
          <w:b/>
          <w:szCs w:val="20"/>
        </w:rPr>
        <w:t>stricter regulation of International NGOs</w:t>
      </w:r>
      <w:r w:rsidRPr="00473B0C">
        <w:rPr>
          <w:rFonts w:cs="Arial"/>
          <w:szCs w:val="20"/>
        </w:rPr>
        <w:t xml:space="preserve"> (INGOs) </w:t>
      </w:r>
      <w:r w:rsidR="00DD012C" w:rsidRPr="00473B0C">
        <w:rPr>
          <w:rFonts w:cs="Arial"/>
          <w:szCs w:val="20"/>
        </w:rPr>
        <w:t>during</w:t>
      </w:r>
      <w:r w:rsidRPr="00473B0C">
        <w:rPr>
          <w:rFonts w:cs="Arial"/>
          <w:szCs w:val="20"/>
        </w:rPr>
        <w:t xml:space="preserve"> 2015</w:t>
      </w:r>
      <w:r w:rsidR="00C2528E">
        <w:rPr>
          <w:rFonts w:cs="Arial"/>
          <w:szCs w:val="20"/>
        </w:rPr>
        <w:t>,</w:t>
      </w:r>
      <w:r w:rsidR="00BF2E23" w:rsidRPr="00473B0C">
        <w:rPr>
          <w:rFonts w:cs="Arial"/>
          <w:szCs w:val="20"/>
        </w:rPr>
        <w:t xml:space="preserve"> </w:t>
      </w:r>
      <w:r w:rsidR="00C2528E" w:rsidRPr="00473B0C">
        <w:rPr>
          <w:rFonts w:cs="Arial"/>
          <w:szCs w:val="20"/>
        </w:rPr>
        <w:t>including a mandatory re-registration process and civil society framework to guide INGO activities</w:t>
      </w:r>
      <w:r w:rsidR="00C2528E">
        <w:rPr>
          <w:rFonts w:cs="Arial"/>
          <w:szCs w:val="20"/>
        </w:rPr>
        <w:t>,</w:t>
      </w:r>
      <w:r w:rsidR="00C2528E" w:rsidRPr="00473B0C">
        <w:rPr>
          <w:rFonts w:cs="Arial"/>
          <w:szCs w:val="20"/>
        </w:rPr>
        <w:t xml:space="preserve"> </w:t>
      </w:r>
      <w:r w:rsidRPr="00473B0C">
        <w:rPr>
          <w:rFonts w:cs="Arial"/>
          <w:szCs w:val="20"/>
        </w:rPr>
        <w:t>was a key</w:t>
      </w:r>
      <w:r w:rsidR="00C2528E">
        <w:rPr>
          <w:rFonts w:cs="Arial"/>
          <w:szCs w:val="20"/>
        </w:rPr>
        <w:t xml:space="preserve"> change in the reporting period</w:t>
      </w:r>
      <w:r w:rsidRPr="00473B0C">
        <w:rPr>
          <w:rFonts w:cs="Arial"/>
          <w:szCs w:val="20"/>
        </w:rPr>
        <w:t xml:space="preserve">. </w:t>
      </w:r>
      <w:r w:rsidR="003F2EBB" w:rsidRPr="00473B0C">
        <w:rPr>
          <w:rFonts w:cs="Arial"/>
          <w:szCs w:val="20"/>
        </w:rPr>
        <w:t>This significant</w:t>
      </w:r>
      <w:r w:rsidR="00EA526F" w:rsidRPr="00473B0C">
        <w:rPr>
          <w:rFonts w:cs="Arial"/>
          <w:szCs w:val="20"/>
        </w:rPr>
        <w:t>ly</w:t>
      </w:r>
      <w:r w:rsidR="003F2EBB" w:rsidRPr="00473B0C">
        <w:rPr>
          <w:rFonts w:cs="Arial"/>
          <w:szCs w:val="20"/>
        </w:rPr>
        <w:t xml:space="preserve"> </w:t>
      </w:r>
      <w:r w:rsidR="000A3095">
        <w:rPr>
          <w:rFonts w:cs="Arial"/>
          <w:szCs w:val="20"/>
        </w:rPr>
        <w:t>affected</w:t>
      </w:r>
      <w:r w:rsidR="003F2EBB" w:rsidRPr="00473B0C">
        <w:rPr>
          <w:rFonts w:cs="Arial"/>
          <w:szCs w:val="20"/>
        </w:rPr>
        <w:t xml:space="preserve"> Australian partners and investments, including deferral of some proposed projects under the Australian NGO Cooperation Program</w:t>
      </w:r>
      <w:r w:rsidR="00DE7AE8" w:rsidRPr="00473B0C">
        <w:rPr>
          <w:rFonts w:cs="Arial"/>
          <w:szCs w:val="20"/>
        </w:rPr>
        <w:t>.</w:t>
      </w:r>
      <w:r w:rsidR="00C51BE5" w:rsidRPr="00473B0C">
        <w:rPr>
          <w:rFonts w:cs="Arial"/>
          <w:szCs w:val="20"/>
        </w:rPr>
        <w:t xml:space="preserve"> </w:t>
      </w:r>
      <w:r w:rsidR="00BD6FCB" w:rsidRPr="00473B0C">
        <w:rPr>
          <w:rFonts w:cs="Arial"/>
          <w:szCs w:val="20"/>
        </w:rPr>
        <w:t>While re-</w:t>
      </w:r>
      <w:r w:rsidRPr="00473B0C">
        <w:rPr>
          <w:rFonts w:cs="Arial"/>
          <w:szCs w:val="20"/>
        </w:rPr>
        <w:t xml:space="preserve">registration </w:t>
      </w:r>
      <w:r w:rsidR="00BD6FCB" w:rsidRPr="00473B0C">
        <w:rPr>
          <w:rFonts w:cs="Arial"/>
          <w:szCs w:val="20"/>
        </w:rPr>
        <w:t>proceeds</w:t>
      </w:r>
      <w:r w:rsidR="00C51BE5" w:rsidRPr="00473B0C">
        <w:rPr>
          <w:rFonts w:cs="Arial"/>
          <w:szCs w:val="20"/>
        </w:rPr>
        <w:t xml:space="preserve">, </w:t>
      </w:r>
      <w:r w:rsidR="00BD6FCB" w:rsidRPr="00473B0C">
        <w:rPr>
          <w:rFonts w:cs="Arial"/>
          <w:szCs w:val="20"/>
        </w:rPr>
        <w:t>INGOs</w:t>
      </w:r>
      <w:r w:rsidR="00C51BE5" w:rsidRPr="00473B0C">
        <w:rPr>
          <w:rFonts w:cs="Arial"/>
          <w:szCs w:val="20"/>
        </w:rPr>
        <w:t xml:space="preserve"> have been </w:t>
      </w:r>
      <w:r w:rsidR="0092619D" w:rsidRPr="00473B0C">
        <w:rPr>
          <w:rFonts w:cs="Arial"/>
          <w:szCs w:val="20"/>
        </w:rPr>
        <w:t xml:space="preserve">granted </w:t>
      </w:r>
      <w:r w:rsidRPr="00473B0C">
        <w:rPr>
          <w:rFonts w:cs="Arial"/>
          <w:szCs w:val="20"/>
        </w:rPr>
        <w:t xml:space="preserve">interim </w:t>
      </w:r>
      <w:r w:rsidR="0092619D" w:rsidRPr="00473B0C">
        <w:rPr>
          <w:rFonts w:cs="Arial"/>
          <w:szCs w:val="20"/>
        </w:rPr>
        <w:t>permission</w:t>
      </w:r>
      <w:r w:rsidR="00C51BE5" w:rsidRPr="00473B0C">
        <w:rPr>
          <w:rFonts w:cs="Arial"/>
          <w:szCs w:val="20"/>
        </w:rPr>
        <w:t xml:space="preserve"> to continue </w:t>
      </w:r>
      <w:r w:rsidR="003F2EBB" w:rsidRPr="00473B0C">
        <w:rPr>
          <w:rFonts w:cs="Arial"/>
          <w:szCs w:val="20"/>
        </w:rPr>
        <w:t>operations though</w:t>
      </w:r>
      <w:r w:rsidR="00A91F00">
        <w:rPr>
          <w:rFonts w:cs="Arial"/>
          <w:szCs w:val="20"/>
        </w:rPr>
        <w:t xml:space="preserve"> a number</w:t>
      </w:r>
      <w:r w:rsidRPr="00473B0C">
        <w:rPr>
          <w:rFonts w:cs="Arial"/>
          <w:szCs w:val="20"/>
        </w:rPr>
        <w:t xml:space="preserve">, including some of Australia’s partners, </w:t>
      </w:r>
      <w:r w:rsidR="00EA526F" w:rsidRPr="00473B0C">
        <w:rPr>
          <w:rFonts w:cs="Arial"/>
          <w:szCs w:val="20"/>
        </w:rPr>
        <w:t>had</w:t>
      </w:r>
      <w:r w:rsidRPr="00473B0C">
        <w:rPr>
          <w:rFonts w:cs="Arial"/>
          <w:szCs w:val="20"/>
        </w:rPr>
        <w:t xml:space="preserve"> to </w:t>
      </w:r>
      <w:r w:rsidR="00EA526F" w:rsidRPr="00473B0C">
        <w:rPr>
          <w:rFonts w:cs="Arial"/>
          <w:szCs w:val="20"/>
        </w:rPr>
        <w:t xml:space="preserve">cease </w:t>
      </w:r>
      <w:r w:rsidRPr="00473B0C">
        <w:rPr>
          <w:rFonts w:cs="Arial"/>
          <w:szCs w:val="20"/>
        </w:rPr>
        <w:t xml:space="preserve">operations in some </w:t>
      </w:r>
      <w:r w:rsidR="003F2EBB" w:rsidRPr="00473B0C">
        <w:rPr>
          <w:rFonts w:cs="Arial"/>
          <w:szCs w:val="20"/>
        </w:rPr>
        <w:t xml:space="preserve">locations. </w:t>
      </w:r>
      <w:r w:rsidR="00C51BE5" w:rsidRPr="00473B0C">
        <w:rPr>
          <w:rFonts w:cs="Arial"/>
          <w:szCs w:val="20"/>
        </w:rPr>
        <w:t>A number of Australia’s partners await</w:t>
      </w:r>
      <w:r w:rsidR="00A91F00">
        <w:rPr>
          <w:rFonts w:cs="Arial"/>
          <w:szCs w:val="20"/>
        </w:rPr>
        <w:t xml:space="preserve"> </w:t>
      </w:r>
      <w:r w:rsidR="00C51BE5" w:rsidRPr="00473B0C">
        <w:rPr>
          <w:rFonts w:cs="Arial"/>
          <w:szCs w:val="20"/>
        </w:rPr>
        <w:t>the outcome of the</w:t>
      </w:r>
      <w:r w:rsidR="00A91F00">
        <w:rPr>
          <w:rFonts w:cs="Arial"/>
          <w:szCs w:val="20"/>
        </w:rPr>
        <w:t>ir</w:t>
      </w:r>
      <w:r w:rsidR="00C51BE5" w:rsidRPr="00473B0C">
        <w:rPr>
          <w:rFonts w:cs="Arial"/>
          <w:szCs w:val="20"/>
        </w:rPr>
        <w:t xml:space="preserve"> application</w:t>
      </w:r>
      <w:r w:rsidR="000A3095">
        <w:rPr>
          <w:rFonts w:cs="Arial"/>
          <w:szCs w:val="20"/>
        </w:rPr>
        <w:t>s</w:t>
      </w:r>
      <w:r w:rsidR="00C51BE5" w:rsidRPr="00473B0C">
        <w:rPr>
          <w:rFonts w:cs="Arial"/>
          <w:szCs w:val="20"/>
        </w:rPr>
        <w:t>.</w:t>
      </w:r>
      <w:r w:rsidR="00BD6FCB" w:rsidRPr="00473B0C">
        <w:rPr>
          <w:rFonts w:cs="Arial"/>
          <w:szCs w:val="20"/>
        </w:rPr>
        <w:t xml:space="preserve"> </w:t>
      </w:r>
    </w:p>
    <w:p w:rsidR="00765E37" w:rsidRPr="00654254" w:rsidRDefault="00765E37" w:rsidP="00654254">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654254">
        <w:rPr>
          <w:rFonts w:asciiTheme="majorHAnsi" w:eastAsiaTheme="majorEastAsia" w:hAnsiTheme="majorHAnsi" w:cstheme="majorBidi"/>
          <w:caps/>
          <w:color w:val="495965" w:themeColor="text2"/>
          <w:sz w:val="38"/>
          <w:szCs w:val="26"/>
          <w:lang w:val="en-GB" w:eastAsia="en-US"/>
        </w:rPr>
        <w:t>Australian aid program</w:t>
      </w:r>
    </w:p>
    <w:p w:rsidR="00765E37" w:rsidRPr="00473B0C" w:rsidRDefault="00304297" w:rsidP="002A51CA">
      <w:pPr>
        <w:rPr>
          <w:rFonts w:cs="Arial"/>
          <w:szCs w:val="20"/>
        </w:rPr>
      </w:pPr>
      <w:r w:rsidRPr="00473B0C">
        <w:rPr>
          <w:rFonts w:cs="Arial"/>
          <w:szCs w:val="20"/>
        </w:rPr>
        <w:t xml:space="preserve"> </w:t>
      </w:r>
      <w:r w:rsidR="00765E37" w:rsidRPr="00473B0C">
        <w:rPr>
          <w:rFonts w:cs="Arial"/>
          <w:szCs w:val="20"/>
        </w:rPr>
        <w:t xml:space="preserve">Australia </w:t>
      </w:r>
      <w:r w:rsidRPr="00473B0C">
        <w:rPr>
          <w:rFonts w:cs="Arial"/>
          <w:szCs w:val="20"/>
        </w:rPr>
        <w:t xml:space="preserve">maintains </w:t>
      </w:r>
      <w:r w:rsidR="00765E37" w:rsidRPr="00473B0C">
        <w:rPr>
          <w:rFonts w:cs="Arial"/>
          <w:szCs w:val="20"/>
        </w:rPr>
        <w:t>strong interests in Pakistan given its size, economic potential and strategic position in South Asia</w:t>
      </w:r>
      <w:r w:rsidRPr="00473B0C">
        <w:rPr>
          <w:rFonts w:cs="Arial"/>
          <w:szCs w:val="20"/>
        </w:rPr>
        <w:t>.  Australia is</w:t>
      </w:r>
      <w:r w:rsidR="00765E37" w:rsidRPr="00473B0C">
        <w:rPr>
          <w:rFonts w:cs="Arial"/>
          <w:szCs w:val="20"/>
        </w:rPr>
        <w:t xml:space="preserve"> committed to supporting Pakistan to build </w:t>
      </w:r>
      <w:r w:rsidR="00CF15C3" w:rsidRPr="00473B0C">
        <w:rPr>
          <w:rFonts w:cs="Arial"/>
          <w:szCs w:val="20"/>
        </w:rPr>
        <w:t xml:space="preserve">stability and </w:t>
      </w:r>
      <w:r w:rsidR="00765E37" w:rsidRPr="00473B0C">
        <w:rPr>
          <w:rFonts w:cs="Arial"/>
          <w:szCs w:val="20"/>
        </w:rPr>
        <w:t>economic prosperity</w:t>
      </w:r>
      <w:r w:rsidR="00644653" w:rsidRPr="00473B0C">
        <w:rPr>
          <w:rFonts w:cs="Arial"/>
          <w:szCs w:val="20"/>
        </w:rPr>
        <w:t xml:space="preserve"> and reduce poverty</w:t>
      </w:r>
      <w:r w:rsidR="00765E37" w:rsidRPr="00473B0C">
        <w:rPr>
          <w:rFonts w:cs="Arial"/>
          <w:szCs w:val="20"/>
        </w:rPr>
        <w:t xml:space="preserve"> </w:t>
      </w:r>
      <w:r w:rsidR="00EA526F" w:rsidRPr="00473B0C">
        <w:rPr>
          <w:rFonts w:cs="Arial"/>
          <w:szCs w:val="20"/>
        </w:rPr>
        <w:t>through</w:t>
      </w:r>
      <w:r w:rsidR="00765E37" w:rsidRPr="00473B0C">
        <w:rPr>
          <w:rFonts w:cs="Arial"/>
          <w:szCs w:val="20"/>
        </w:rPr>
        <w:t xml:space="preserve"> sustainable development.</w:t>
      </w:r>
      <w:r w:rsidR="007F0BFA" w:rsidRPr="00473B0C">
        <w:rPr>
          <w:rFonts w:cs="Arial"/>
          <w:szCs w:val="20"/>
        </w:rPr>
        <w:t xml:space="preserve"> </w:t>
      </w:r>
      <w:r w:rsidR="00C17C5B" w:rsidRPr="00473B0C">
        <w:rPr>
          <w:rFonts w:cs="Arial"/>
          <w:szCs w:val="20"/>
        </w:rPr>
        <w:t xml:space="preserve">Our aid </w:t>
      </w:r>
      <w:r w:rsidR="007F0BFA" w:rsidRPr="00473B0C">
        <w:rPr>
          <w:rFonts w:cs="Arial"/>
          <w:szCs w:val="20"/>
        </w:rPr>
        <w:t xml:space="preserve">program aligns with the Australian </w:t>
      </w:r>
      <w:r w:rsidR="003F2EBB" w:rsidRPr="00473B0C">
        <w:rPr>
          <w:rFonts w:cs="Arial"/>
          <w:szCs w:val="20"/>
        </w:rPr>
        <w:t xml:space="preserve">Government’s </w:t>
      </w:r>
      <w:r w:rsidR="007F0BFA" w:rsidRPr="00473B0C">
        <w:rPr>
          <w:rFonts w:cs="Arial"/>
          <w:szCs w:val="20"/>
        </w:rPr>
        <w:t>policy</w:t>
      </w:r>
      <w:r w:rsidR="00D147CE" w:rsidRPr="00473B0C">
        <w:rPr>
          <w:rFonts w:cs="Arial"/>
          <w:szCs w:val="20"/>
        </w:rPr>
        <w:t>,</w:t>
      </w:r>
      <w:r w:rsidR="007F0BFA" w:rsidRPr="00473B0C">
        <w:rPr>
          <w:rFonts w:cs="Arial"/>
          <w:szCs w:val="20"/>
        </w:rPr>
        <w:t xml:space="preserve"> </w:t>
      </w:r>
      <w:r w:rsidR="00D147CE" w:rsidRPr="00473B0C">
        <w:rPr>
          <w:rFonts w:cs="Arial"/>
          <w:i/>
          <w:szCs w:val="20"/>
        </w:rPr>
        <w:t>A</w:t>
      </w:r>
      <w:r w:rsidR="007F0BFA" w:rsidRPr="00473B0C">
        <w:rPr>
          <w:rFonts w:cs="Arial"/>
          <w:i/>
          <w:szCs w:val="20"/>
        </w:rPr>
        <w:t>ustralian aid: Promoting prosperity, reducing poverty, enhancing stability</w:t>
      </w:r>
      <w:r w:rsidR="00D147CE" w:rsidRPr="00473B0C">
        <w:rPr>
          <w:rStyle w:val="FootnoteReference"/>
          <w:rFonts w:cs="Arial"/>
          <w:i/>
          <w:szCs w:val="20"/>
        </w:rPr>
        <w:footnoteReference w:id="19"/>
      </w:r>
      <w:r w:rsidR="00D147CE" w:rsidRPr="00473B0C">
        <w:rPr>
          <w:rFonts w:cs="Arial"/>
          <w:szCs w:val="20"/>
        </w:rPr>
        <w:t xml:space="preserve">, </w:t>
      </w:r>
      <w:r w:rsidR="007F0BFA" w:rsidRPr="00473B0C">
        <w:rPr>
          <w:rFonts w:cs="Arial"/>
          <w:szCs w:val="20"/>
        </w:rPr>
        <w:t xml:space="preserve">and the Government of Pakistan’s </w:t>
      </w:r>
      <w:r w:rsidR="000D235D" w:rsidRPr="00473B0C">
        <w:rPr>
          <w:rFonts w:cs="Arial"/>
          <w:i/>
          <w:szCs w:val="20"/>
        </w:rPr>
        <w:t>Vision 2025: one nation-one vision</w:t>
      </w:r>
      <w:r w:rsidR="000D235D" w:rsidRPr="00473B0C">
        <w:rPr>
          <w:rFonts w:cs="Arial"/>
          <w:szCs w:val="20"/>
        </w:rPr>
        <w:t xml:space="preserve"> </w:t>
      </w:r>
      <w:r w:rsidR="00046E0E" w:rsidRPr="00473B0C">
        <w:rPr>
          <w:rFonts w:cs="Arial"/>
          <w:szCs w:val="20"/>
        </w:rPr>
        <w:t>development</w:t>
      </w:r>
      <w:r w:rsidR="007F0BFA" w:rsidRPr="00473B0C">
        <w:rPr>
          <w:rFonts w:cs="Arial"/>
          <w:szCs w:val="20"/>
        </w:rPr>
        <w:t xml:space="preserve"> </w:t>
      </w:r>
      <w:r w:rsidR="00B65E87" w:rsidRPr="00473B0C">
        <w:rPr>
          <w:rFonts w:cs="Arial"/>
          <w:szCs w:val="20"/>
        </w:rPr>
        <w:t>priorities.</w:t>
      </w:r>
      <w:r w:rsidR="00D147CE" w:rsidRPr="00473B0C">
        <w:rPr>
          <w:rStyle w:val="FootnoteReference"/>
          <w:rFonts w:cs="Arial"/>
          <w:szCs w:val="20"/>
        </w:rPr>
        <w:footnoteReference w:id="20"/>
      </w:r>
    </w:p>
    <w:p w:rsidR="00506A73" w:rsidRPr="00473B0C" w:rsidRDefault="00C17C5B" w:rsidP="00506A73">
      <w:pPr>
        <w:rPr>
          <w:rFonts w:cs="Arial"/>
          <w:szCs w:val="20"/>
        </w:rPr>
      </w:pPr>
      <w:r w:rsidRPr="00473B0C">
        <w:rPr>
          <w:rFonts w:cs="Arial"/>
          <w:szCs w:val="20"/>
        </w:rPr>
        <w:t xml:space="preserve">In 2015-16, Australia’s bilateral aid program decreased by 40 per cent to $39.4 million from $65.6 million in 2014-15. </w:t>
      </w:r>
      <w:r w:rsidR="00506A73" w:rsidRPr="00473B0C">
        <w:rPr>
          <w:rFonts w:cs="Arial"/>
          <w:szCs w:val="20"/>
        </w:rPr>
        <w:t>Consequently, the program consolidated and re-prioritised its investments, as presented in our Pakistan Aid Investment Plan (2015-19).</w:t>
      </w:r>
      <w:r w:rsidR="00506A73" w:rsidRPr="00506A73">
        <w:rPr>
          <w:rStyle w:val="FootnoteReference"/>
          <w:rFonts w:cs="Arial"/>
          <w:szCs w:val="20"/>
        </w:rPr>
        <w:t xml:space="preserve"> </w:t>
      </w:r>
      <w:r w:rsidR="00506A73" w:rsidRPr="00473B0C">
        <w:rPr>
          <w:rStyle w:val="FootnoteReference"/>
          <w:rFonts w:cs="Arial"/>
          <w:szCs w:val="20"/>
        </w:rPr>
        <w:footnoteReference w:id="21"/>
      </w:r>
      <w:r w:rsidR="00506A73" w:rsidRPr="00473B0C">
        <w:rPr>
          <w:rFonts w:cs="Arial"/>
          <w:szCs w:val="20"/>
        </w:rPr>
        <w:t xml:space="preserve">  </w:t>
      </w:r>
    </w:p>
    <w:p w:rsidR="00765E37" w:rsidRPr="00473B0C" w:rsidRDefault="00765E37" w:rsidP="00765E37">
      <w:pPr>
        <w:rPr>
          <w:rFonts w:cs="Arial"/>
          <w:szCs w:val="20"/>
        </w:rPr>
      </w:pPr>
      <w:r w:rsidRPr="00473B0C">
        <w:rPr>
          <w:rFonts w:cs="Arial"/>
          <w:szCs w:val="20"/>
        </w:rPr>
        <w:t>Australia</w:t>
      </w:r>
      <w:r w:rsidR="00644653" w:rsidRPr="00473B0C">
        <w:rPr>
          <w:rFonts w:cs="Arial"/>
          <w:szCs w:val="20"/>
        </w:rPr>
        <w:t>’s</w:t>
      </w:r>
      <w:r w:rsidR="004E2C86" w:rsidRPr="00473B0C">
        <w:rPr>
          <w:rFonts w:cs="Arial"/>
          <w:szCs w:val="20"/>
        </w:rPr>
        <w:t xml:space="preserve"> </w:t>
      </w:r>
      <w:r w:rsidR="00644653" w:rsidRPr="00473B0C">
        <w:rPr>
          <w:rFonts w:cs="Arial"/>
          <w:szCs w:val="20"/>
        </w:rPr>
        <w:t>contribution</w:t>
      </w:r>
      <w:r w:rsidRPr="00473B0C">
        <w:rPr>
          <w:rFonts w:cs="Arial"/>
          <w:szCs w:val="20"/>
        </w:rPr>
        <w:t xml:space="preserve"> to Pakistan</w:t>
      </w:r>
      <w:r w:rsidR="00644653" w:rsidRPr="00473B0C">
        <w:rPr>
          <w:rFonts w:cs="Arial"/>
          <w:szCs w:val="20"/>
        </w:rPr>
        <w:t>’s development</w:t>
      </w:r>
      <w:r w:rsidRPr="00473B0C">
        <w:rPr>
          <w:rFonts w:cs="Arial"/>
          <w:szCs w:val="20"/>
        </w:rPr>
        <w:t xml:space="preserve"> </w:t>
      </w:r>
      <w:r w:rsidR="00644653" w:rsidRPr="00473B0C">
        <w:rPr>
          <w:rFonts w:cs="Arial"/>
          <w:szCs w:val="20"/>
        </w:rPr>
        <w:t xml:space="preserve">has </w:t>
      </w:r>
      <w:r w:rsidRPr="00473B0C">
        <w:rPr>
          <w:rFonts w:cs="Arial"/>
          <w:szCs w:val="20"/>
        </w:rPr>
        <w:t>two strategic objectives:</w:t>
      </w:r>
    </w:p>
    <w:p w:rsidR="00765E37" w:rsidRPr="00473B0C" w:rsidRDefault="00445FB4" w:rsidP="00A676AF">
      <w:pPr>
        <w:pStyle w:val="ListParagraph"/>
        <w:numPr>
          <w:ilvl w:val="0"/>
          <w:numId w:val="11"/>
        </w:numPr>
        <w:rPr>
          <w:rFonts w:cs="Arial"/>
          <w:szCs w:val="20"/>
        </w:rPr>
      </w:pPr>
      <w:r w:rsidRPr="00473B0C">
        <w:rPr>
          <w:rFonts w:cs="Arial"/>
          <w:szCs w:val="20"/>
        </w:rPr>
        <w:t>Generating sustainable, inclusive growth and employment through improved agricultural productivity and market development, increased trade and investment, and water resources management</w:t>
      </w:r>
    </w:p>
    <w:p w:rsidR="00765E37" w:rsidRPr="00473B0C" w:rsidRDefault="00765E37" w:rsidP="00A676AF">
      <w:pPr>
        <w:pStyle w:val="ListParagraph"/>
        <w:numPr>
          <w:ilvl w:val="0"/>
          <w:numId w:val="11"/>
        </w:numPr>
        <w:rPr>
          <w:rFonts w:cs="Arial"/>
          <w:szCs w:val="20"/>
        </w:rPr>
      </w:pPr>
      <w:r w:rsidRPr="00473B0C">
        <w:rPr>
          <w:rFonts w:cs="Arial"/>
          <w:szCs w:val="20"/>
        </w:rPr>
        <w:t>Investing in Pakistan’s people through health and education</w:t>
      </w:r>
    </w:p>
    <w:p w:rsidR="00C04B10" w:rsidRDefault="00C17C5B" w:rsidP="00C17C5B">
      <w:pPr>
        <w:rPr>
          <w:rFonts w:cs="Arial"/>
          <w:szCs w:val="20"/>
        </w:rPr>
      </w:pPr>
      <w:r w:rsidRPr="00473B0C">
        <w:rPr>
          <w:rFonts w:cs="Arial"/>
          <w:szCs w:val="20"/>
        </w:rPr>
        <w:t>Through all of our aid investments and policy engagement Australia emphasises support for women's empowerment, stability and governance in Pakistan.</w:t>
      </w:r>
      <w:r w:rsidR="00C04B10" w:rsidRPr="00C04B10">
        <w:rPr>
          <w:rFonts w:cs="Arial"/>
          <w:szCs w:val="20"/>
        </w:rPr>
        <w:t xml:space="preserve"> </w:t>
      </w:r>
    </w:p>
    <w:p w:rsidR="00E71C54" w:rsidRPr="006E202E" w:rsidRDefault="00C04B10" w:rsidP="006E202E">
      <w:pPr>
        <w:rPr>
          <w:rFonts w:cs="Arial"/>
          <w:szCs w:val="20"/>
        </w:rPr>
      </w:pPr>
      <w:r>
        <w:rPr>
          <w:rFonts w:cs="Arial"/>
          <w:szCs w:val="20"/>
        </w:rPr>
        <w:lastRenderedPageBreak/>
        <w:t xml:space="preserve">Overall, </w:t>
      </w:r>
      <w:r w:rsidRPr="00473B0C">
        <w:rPr>
          <w:rFonts w:cs="Arial"/>
          <w:szCs w:val="20"/>
        </w:rPr>
        <w:t>Australian Official Development Assistance (ODA) in 2015-16 was approximately 0.03</w:t>
      </w:r>
      <w:r>
        <w:rPr>
          <w:rFonts w:cs="Arial"/>
          <w:szCs w:val="20"/>
        </w:rPr>
        <w:t xml:space="preserve"> per cent</w:t>
      </w:r>
      <w:r w:rsidRPr="00473B0C">
        <w:rPr>
          <w:rFonts w:cs="Arial"/>
          <w:szCs w:val="20"/>
        </w:rPr>
        <w:t xml:space="preserve"> of Pakistan’s estimated 2014 </w:t>
      </w:r>
      <w:r>
        <w:rPr>
          <w:rFonts w:cs="Arial"/>
          <w:szCs w:val="20"/>
        </w:rPr>
        <w:t>GDP</w:t>
      </w:r>
      <w:r w:rsidRPr="00473B0C">
        <w:rPr>
          <w:rFonts w:cs="Arial"/>
          <w:szCs w:val="20"/>
        </w:rPr>
        <w:t xml:space="preserve">. </w:t>
      </w:r>
    </w:p>
    <w:p w:rsidR="00967B66" w:rsidRPr="00E71C54" w:rsidRDefault="00C6626C" w:rsidP="00E71C54">
      <w:pPr>
        <w:pStyle w:val="ListBullet"/>
        <w:tabs>
          <w:tab w:val="clear" w:pos="284"/>
        </w:tabs>
        <w:spacing w:before="360"/>
        <w:rPr>
          <w:rFonts w:asciiTheme="majorHAnsi" w:eastAsiaTheme="majorEastAsia" w:hAnsiTheme="majorHAnsi" w:cstheme="majorBidi"/>
          <w:caps/>
          <w:sz w:val="38"/>
          <w:szCs w:val="26"/>
        </w:rPr>
      </w:pPr>
      <w:r w:rsidRPr="00A02CB3">
        <w:rPr>
          <w:rFonts w:asciiTheme="majorHAnsi" w:eastAsiaTheme="majorEastAsia" w:hAnsiTheme="majorHAnsi" w:cstheme="majorBidi"/>
          <w:caps/>
          <w:color w:val="495965" w:themeColor="text2"/>
          <w:sz w:val="38"/>
          <w:szCs w:val="26"/>
          <w:lang w:val="en-GB" w:eastAsia="en-US"/>
        </w:rPr>
        <w:t>Expenditure</w:t>
      </w:r>
      <w:r w:rsidR="00967B66" w:rsidRPr="00E71C54">
        <w:rPr>
          <w:rFonts w:asciiTheme="majorHAnsi" w:eastAsiaTheme="majorEastAsia" w:hAnsiTheme="majorHAnsi" w:cstheme="majorBidi"/>
          <w:caps/>
          <w:color w:val="495965" w:themeColor="text2"/>
          <w:sz w:val="38"/>
          <w:szCs w:val="26"/>
          <w:lang w:val="en-GB" w:eastAsia="en-US"/>
        </w:rPr>
        <w:t xml:space="preserve"> </w:t>
      </w:r>
    </w:p>
    <w:p w:rsidR="00967B66" w:rsidRPr="008C2F58" w:rsidRDefault="00967B66" w:rsidP="00967B66">
      <w:pPr>
        <w:rPr>
          <w:b/>
          <w:sz w:val="24"/>
        </w:rPr>
      </w:pPr>
      <w:r w:rsidRPr="008C2F58">
        <w:rPr>
          <w:b/>
          <w:sz w:val="24"/>
        </w:rPr>
        <w:t>Table</w:t>
      </w:r>
      <w:r w:rsidR="00E71C54">
        <w:rPr>
          <w:b/>
          <w:sz w:val="24"/>
        </w:rPr>
        <w:t xml:space="preserve"> -</w:t>
      </w:r>
      <w:r w:rsidRPr="008C2F58">
        <w:rPr>
          <w:b/>
          <w:sz w:val="24"/>
        </w:rPr>
        <w:t xml:space="preserve"> Total ODA Expenditure in FY 2015-16</w:t>
      </w:r>
    </w:p>
    <w:tbl>
      <w:tblPr>
        <w:tblStyle w:val="TableGrid"/>
        <w:tblpPr w:leftFromText="180" w:rightFromText="180" w:vertAnchor="text" w:horzAnchor="margin" w:tblpY="237"/>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967B66" w:rsidRPr="003B0793" w:rsidTr="007C6028">
        <w:tc>
          <w:tcPr>
            <w:tcW w:w="6204" w:type="dxa"/>
            <w:tcBorders>
              <w:top w:val="single" w:sz="12" w:space="0" w:color="auto"/>
              <w:bottom w:val="nil"/>
            </w:tcBorders>
            <w:shd w:val="clear" w:color="auto" w:fill="D8DCDB" w:themeFill="background2"/>
          </w:tcPr>
          <w:p w:rsidR="00967B66" w:rsidRPr="003B0793" w:rsidRDefault="00967B66" w:rsidP="00967B66">
            <w:pPr>
              <w:keepNext/>
              <w:spacing w:after="160" w:line="280" w:lineRule="exact"/>
              <w:rPr>
                <w:rFonts w:eastAsia="Times New Roman"/>
                <w:b/>
                <w:sz w:val="17"/>
                <w:szCs w:val="17"/>
              </w:rPr>
            </w:pPr>
            <w:r w:rsidRPr="003B0793">
              <w:rPr>
                <w:rFonts w:eastAsia="Times New Roman"/>
                <w:b/>
                <w:sz w:val="17"/>
                <w:szCs w:val="17"/>
              </w:rPr>
              <w:t>Objective</w:t>
            </w:r>
          </w:p>
        </w:tc>
        <w:tc>
          <w:tcPr>
            <w:tcW w:w="992" w:type="dxa"/>
            <w:tcBorders>
              <w:top w:val="single" w:sz="12" w:space="0" w:color="auto"/>
              <w:bottom w:val="nil"/>
            </w:tcBorders>
            <w:shd w:val="clear" w:color="auto" w:fill="D8DCDB" w:themeFill="background2"/>
          </w:tcPr>
          <w:p w:rsidR="00967B66" w:rsidRPr="003B0793" w:rsidRDefault="00967B66" w:rsidP="00967B66">
            <w:pPr>
              <w:keepNext/>
              <w:spacing w:after="160" w:line="280" w:lineRule="exact"/>
              <w:rPr>
                <w:rFonts w:eastAsia="Times New Roman"/>
                <w:sz w:val="17"/>
                <w:szCs w:val="17"/>
              </w:rPr>
            </w:pPr>
            <w:r w:rsidRPr="003B0793">
              <w:rPr>
                <w:rFonts w:eastAsia="Times New Roman"/>
                <w:b/>
                <w:sz w:val="17"/>
                <w:szCs w:val="17"/>
              </w:rPr>
              <w:t>A$ million</w:t>
            </w:r>
          </w:p>
        </w:tc>
        <w:tc>
          <w:tcPr>
            <w:tcW w:w="1525" w:type="dxa"/>
            <w:tcBorders>
              <w:top w:val="single" w:sz="12" w:space="0" w:color="auto"/>
              <w:bottom w:val="nil"/>
            </w:tcBorders>
            <w:shd w:val="clear" w:color="auto" w:fill="D8DCDB" w:themeFill="background2"/>
          </w:tcPr>
          <w:p w:rsidR="00967B66" w:rsidRPr="003B0793" w:rsidRDefault="00967B66" w:rsidP="00967B66">
            <w:pPr>
              <w:keepNext/>
              <w:spacing w:after="160" w:line="280" w:lineRule="exact"/>
              <w:rPr>
                <w:rFonts w:eastAsia="Times New Roman"/>
                <w:sz w:val="17"/>
                <w:szCs w:val="17"/>
              </w:rPr>
            </w:pPr>
            <w:r w:rsidRPr="003B0793">
              <w:rPr>
                <w:rFonts w:eastAsia="Times New Roman"/>
                <w:b/>
                <w:sz w:val="17"/>
                <w:szCs w:val="17"/>
              </w:rPr>
              <w:t>% of total ODA</w:t>
            </w:r>
          </w:p>
        </w:tc>
      </w:tr>
      <w:tr w:rsidR="00967B66" w:rsidRPr="003B0793" w:rsidTr="00473B0C">
        <w:trPr>
          <w:trHeight w:val="265"/>
        </w:trPr>
        <w:tc>
          <w:tcPr>
            <w:tcW w:w="6204" w:type="dxa"/>
            <w:tcBorders>
              <w:top w:val="nil"/>
            </w:tcBorders>
          </w:tcPr>
          <w:p w:rsidR="00967B66" w:rsidRPr="00473B0C" w:rsidRDefault="00967B66" w:rsidP="009314E5">
            <w:pPr>
              <w:keepNext/>
              <w:spacing w:before="0" w:after="0" w:line="280" w:lineRule="exact"/>
              <w:rPr>
                <w:rFonts w:eastAsia="Times New Roman"/>
                <w:b/>
                <w:sz w:val="17"/>
                <w:szCs w:val="17"/>
              </w:rPr>
            </w:pPr>
            <w:r w:rsidRPr="00473B0C">
              <w:rPr>
                <w:rFonts w:eastAsia="Times New Roman"/>
                <w:b/>
                <w:sz w:val="17"/>
                <w:szCs w:val="17"/>
              </w:rPr>
              <w:t xml:space="preserve">Bilateral </w:t>
            </w:r>
          </w:p>
        </w:tc>
        <w:tc>
          <w:tcPr>
            <w:tcW w:w="992" w:type="dxa"/>
            <w:tcBorders>
              <w:top w:val="nil"/>
            </w:tcBorders>
          </w:tcPr>
          <w:p w:rsidR="00967B66" w:rsidRPr="003B0793" w:rsidRDefault="00967B66" w:rsidP="00473B0C">
            <w:pPr>
              <w:keepNext/>
              <w:spacing w:before="0" w:after="0" w:line="280" w:lineRule="exact"/>
              <w:rPr>
                <w:rFonts w:eastAsia="Times New Roman"/>
                <w:b/>
                <w:sz w:val="17"/>
                <w:szCs w:val="17"/>
              </w:rPr>
            </w:pPr>
          </w:p>
        </w:tc>
        <w:tc>
          <w:tcPr>
            <w:tcW w:w="1525" w:type="dxa"/>
            <w:tcBorders>
              <w:top w:val="nil"/>
            </w:tcBorders>
          </w:tcPr>
          <w:p w:rsidR="00967B66" w:rsidRPr="003B0793" w:rsidRDefault="00967B66" w:rsidP="00473B0C">
            <w:pPr>
              <w:keepNext/>
              <w:spacing w:before="0" w:after="0" w:line="280" w:lineRule="exact"/>
              <w:rPr>
                <w:rFonts w:eastAsia="Times New Roman"/>
                <w:b/>
                <w:sz w:val="17"/>
                <w:szCs w:val="17"/>
              </w:rPr>
            </w:pPr>
          </w:p>
        </w:tc>
      </w:tr>
      <w:tr w:rsidR="00967B66" w:rsidRPr="003B0793" w:rsidTr="00967B66">
        <w:tc>
          <w:tcPr>
            <w:tcW w:w="6204"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Generating sustainable growth and employment</w:t>
            </w:r>
          </w:p>
        </w:tc>
        <w:tc>
          <w:tcPr>
            <w:tcW w:w="992"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19.7</w:t>
            </w:r>
          </w:p>
        </w:tc>
        <w:tc>
          <w:tcPr>
            <w:tcW w:w="1525"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37</w:t>
            </w:r>
            <w:r w:rsidR="007C6028">
              <w:rPr>
                <w:rFonts w:eastAsia="Times New Roman"/>
                <w:sz w:val="17"/>
                <w:szCs w:val="17"/>
              </w:rPr>
              <w:t>%</w:t>
            </w:r>
          </w:p>
        </w:tc>
      </w:tr>
      <w:tr w:rsidR="00967B66" w:rsidRPr="003B0793" w:rsidTr="00967B66">
        <w:tc>
          <w:tcPr>
            <w:tcW w:w="6204" w:type="dxa"/>
          </w:tcPr>
          <w:p w:rsidR="00967B66" w:rsidRPr="007E554A" w:rsidRDefault="00967B66" w:rsidP="00967B66">
            <w:pPr>
              <w:keepNext/>
              <w:spacing w:before="40" w:after="40" w:line="280" w:lineRule="exact"/>
              <w:rPr>
                <w:rFonts w:eastAsia="Times New Roman"/>
                <w:sz w:val="17"/>
                <w:szCs w:val="17"/>
              </w:rPr>
            </w:pPr>
            <w:r w:rsidRPr="007E554A">
              <w:rPr>
                <w:rFonts w:eastAsia="Times New Roman"/>
                <w:sz w:val="17"/>
                <w:szCs w:val="17"/>
              </w:rPr>
              <w:t>Investing in Pakistan’s people</w:t>
            </w:r>
          </w:p>
        </w:tc>
        <w:tc>
          <w:tcPr>
            <w:tcW w:w="992" w:type="dxa"/>
          </w:tcPr>
          <w:p w:rsidR="00967B66" w:rsidRPr="007E554A" w:rsidRDefault="00967B66" w:rsidP="00967B66">
            <w:pPr>
              <w:keepNext/>
              <w:spacing w:before="40" w:after="40" w:line="280" w:lineRule="exact"/>
              <w:rPr>
                <w:rFonts w:eastAsia="Times New Roman"/>
                <w:sz w:val="17"/>
                <w:szCs w:val="17"/>
              </w:rPr>
            </w:pPr>
            <w:r w:rsidRPr="007E554A">
              <w:rPr>
                <w:rFonts w:eastAsia="Times New Roman"/>
                <w:sz w:val="17"/>
                <w:szCs w:val="17"/>
              </w:rPr>
              <w:t>26.7</w:t>
            </w:r>
          </w:p>
        </w:tc>
        <w:tc>
          <w:tcPr>
            <w:tcW w:w="1525"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50</w:t>
            </w:r>
            <w:r w:rsidR="007C6028">
              <w:rPr>
                <w:rFonts w:eastAsia="Times New Roman"/>
                <w:sz w:val="17"/>
                <w:szCs w:val="17"/>
              </w:rPr>
              <w:t>%</w:t>
            </w:r>
          </w:p>
        </w:tc>
      </w:tr>
      <w:tr w:rsidR="00967B66" w:rsidRPr="003B0793" w:rsidTr="00967B66">
        <w:tc>
          <w:tcPr>
            <w:tcW w:w="6204" w:type="dxa"/>
          </w:tcPr>
          <w:p w:rsidR="00967B66" w:rsidRPr="007E554A" w:rsidRDefault="00967B66" w:rsidP="00967B66">
            <w:pPr>
              <w:keepNext/>
              <w:spacing w:after="160" w:line="280" w:lineRule="exact"/>
              <w:rPr>
                <w:rFonts w:eastAsia="Times New Roman"/>
                <w:b/>
                <w:sz w:val="17"/>
                <w:szCs w:val="17"/>
              </w:rPr>
            </w:pPr>
            <w:r w:rsidRPr="007E554A">
              <w:rPr>
                <w:rFonts w:eastAsia="Times New Roman"/>
                <w:b/>
                <w:sz w:val="17"/>
                <w:szCs w:val="17"/>
              </w:rPr>
              <w:t>Sub-Total Bilateral</w:t>
            </w:r>
          </w:p>
        </w:tc>
        <w:tc>
          <w:tcPr>
            <w:tcW w:w="992" w:type="dxa"/>
          </w:tcPr>
          <w:p w:rsidR="00967B66" w:rsidRPr="007E554A" w:rsidRDefault="00967B66" w:rsidP="00967B66">
            <w:pPr>
              <w:keepNext/>
              <w:spacing w:after="160" w:line="280" w:lineRule="exact"/>
              <w:rPr>
                <w:rFonts w:eastAsia="Times New Roman"/>
                <w:b/>
                <w:sz w:val="17"/>
                <w:szCs w:val="17"/>
              </w:rPr>
            </w:pPr>
            <w:r w:rsidRPr="007E554A">
              <w:rPr>
                <w:rFonts w:eastAsia="Times New Roman"/>
                <w:b/>
                <w:sz w:val="17"/>
                <w:szCs w:val="17"/>
              </w:rPr>
              <w:t>46.4</w:t>
            </w:r>
          </w:p>
        </w:tc>
        <w:tc>
          <w:tcPr>
            <w:tcW w:w="1525" w:type="dxa"/>
          </w:tcPr>
          <w:p w:rsidR="00967B66" w:rsidRPr="003B0793" w:rsidRDefault="00967B66" w:rsidP="00967B66">
            <w:pPr>
              <w:keepNext/>
              <w:spacing w:after="160" w:line="280" w:lineRule="exact"/>
              <w:rPr>
                <w:rFonts w:eastAsia="Times New Roman"/>
                <w:sz w:val="17"/>
                <w:szCs w:val="17"/>
              </w:rPr>
            </w:pPr>
          </w:p>
        </w:tc>
      </w:tr>
      <w:tr w:rsidR="00967B66" w:rsidRPr="003B0793" w:rsidTr="00967B66">
        <w:tc>
          <w:tcPr>
            <w:tcW w:w="6204" w:type="dxa"/>
          </w:tcPr>
          <w:p w:rsidR="00967B66" w:rsidRPr="003B0793" w:rsidRDefault="00967B66" w:rsidP="00967B66">
            <w:pPr>
              <w:keepNext/>
              <w:spacing w:before="40" w:after="40" w:line="280" w:lineRule="exact"/>
              <w:rPr>
                <w:rFonts w:eastAsia="Times New Roman"/>
                <w:sz w:val="17"/>
                <w:szCs w:val="17"/>
              </w:rPr>
            </w:pPr>
            <w:r w:rsidRPr="003B0793">
              <w:rPr>
                <w:rFonts w:eastAsia="Times New Roman"/>
                <w:sz w:val="17"/>
                <w:szCs w:val="17"/>
              </w:rPr>
              <w:t>Regional and Global</w:t>
            </w:r>
          </w:p>
        </w:tc>
        <w:tc>
          <w:tcPr>
            <w:tcW w:w="992"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6.9</w:t>
            </w:r>
          </w:p>
        </w:tc>
        <w:tc>
          <w:tcPr>
            <w:tcW w:w="1525"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13</w:t>
            </w:r>
            <w:r w:rsidR="007C6028">
              <w:rPr>
                <w:rFonts w:eastAsia="Times New Roman"/>
                <w:sz w:val="17"/>
                <w:szCs w:val="17"/>
              </w:rPr>
              <w:t>%</w:t>
            </w:r>
          </w:p>
        </w:tc>
      </w:tr>
      <w:tr w:rsidR="00967B66" w:rsidRPr="003B0793" w:rsidTr="00967B66">
        <w:tc>
          <w:tcPr>
            <w:tcW w:w="6204" w:type="dxa"/>
          </w:tcPr>
          <w:p w:rsidR="00967B66" w:rsidRPr="003B0793" w:rsidRDefault="00967B66" w:rsidP="00967B66">
            <w:pPr>
              <w:keepNext/>
              <w:spacing w:before="40" w:after="40" w:line="280" w:lineRule="exact"/>
              <w:rPr>
                <w:rFonts w:eastAsia="Times New Roman"/>
                <w:sz w:val="17"/>
                <w:szCs w:val="17"/>
              </w:rPr>
            </w:pPr>
            <w:r w:rsidRPr="003B0793">
              <w:rPr>
                <w:rFonts w:eastAsia="Times New Roman"/>
                <w:sz w:val="17"/>
                <w:szCs w:val="17"/>
              </w:rPr>
              <w:t>Other Government Departments</w:t>
            </w:r>
          </w:p>
        </w:tc>
        <w:tc>
          <w:tcPr>
            <w:tcW w:w="992"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0.2</w:t>
            </w:r>
          </w:p>
        </w:tc>
        <w:tc>
          <w:tcPr>
            <w:tcW w:w="1525" w:type="dxa"/>
          </w:tcPr>
          <w:p w:rsidR="00967B66" w:rsidRPr="003B0793" w:rsidRDefault="00967B66" w:rsidP="00967B66">
            <w:pPr>
              <w:keepNext/>
              <w:spacing w:before="40" w:after="40" w:line="280" w:lineRule="exact"/>
              <w:rPr>
                <w:rFonts w:eastAsia="Times New Roman"/>
                <w:sz w:val="17"/>
                <w:szCs w:val="17"/>
              </w:rPr>
            </w:pPr>
            <w:r>
              <w:rPr>
                <w:rFonts w:eastAsia="Times New Roman"/>
                <w:sz w:val="17"/>
                <w:szCs w:val="17"/>
              </w:rPr>
              <w:t>0.3</w:t>
            </w:r>
            <w:r w:rsidR="007C6028">
              <w:rPr>
                <w:rFonts w:eastAsia="Times New Roman"/>
                <w:sz w:val="17"/>
                <w:szCs w:val="17"/>
              </w:rPr>
              <w:t>%</w:t>
            </w:r>
          </w:p>
        </w:tc>
      </w:tr>
      <w:tr w:rsidR="00967B66" w:rsidRPr="003B0793" w:rsidTr="00967B66">
        <w:tc>
          <w:tcPr>
            <w:tcW w:w="6204" w:type="dxa"/>
          </w:tcPr>
          <w:p w:rsidR="00967B66" w:rsidRPr="003B0793" w:rsidRDefault="00967B66" w:rsidP="00967B66">
            <w:pPr>
              <w:keepNext/>
              <w:spacing w:after="160" w:line="280" w:lineRule="exact"/>
              <w:rPr>
                <w:rFonts w:eastAsia="Times New Roman"/>
                <w:b/>
                <w:sz w:val="17"/>
                <w:szCs w:val="17"/>
              </w:rPr>
            </w:pPr>
            <w:r w:rsidRPr="003B0793">
              <w:rPr>
                <w:rFonts w:eastAsia="Times New Roman"/>
                <w:b/>
                <w:sz w:val="17"/>
                <w:szCs w:val="17"/>
              </w:rPr>
              <w:t>Total ODA Expenditure</w:t>
            </w:r>
          </w:p>
        </w:tc>
        <w:tc>
          <w:tcPr>
            <w:tcW w:w="992" w:type="dxa"/>
          </w:tcPr>
          <w:p w:rsidR="00967B66" w:rsidRPr="007F076B" w:rsidRDefault="00967B66" w:rsidP="00967B66">
            <w:pPr>
              <w:keepNext/>
              <w:spacing w:after="160" w:line="280" w:lineRule="exact"/>
              <w:rPr>
                <w:rFonts w:eastAsia="Times New Roman"/>
                <w:b/>
                <w:sz w:val="17"/>
                <w:szCs w:val="17"/>
              </w:rPr>
            </w:pPr>
            <w:r w:rsidRPr="007F076B">
              <w:rPr>
                <w:rFonts w:eastAsia="Times New Roman"/>
                <w:b/>
                <w:sz w:val="17"/>
                <w:szCs w:val="17"/>
              </w:rPr>
              <w:t>5</w:t>
            </w:r>
            <w:r>
              <w:rPr>
                <w:rFonts w:eastAsia="Times New Roman"/>
                <w:b/>
                <w:sz w:val="17"/>
                <w:szCs w:val="17"/>
              </w:rPr>
              <w:t>3</w:t>
            </w:r>
            <w:r w:rsidRPr="007F076B">
              <w:rPr>
                <w:rFonts w:eastAsia="Times New Roman"/>
                <w:b/>
                <w:sz w:val="17"/>
                <w:szCs w:val="17"/>
              </w:rPr>
              <w:t>.</w:t>
            </w:r>
            <w:r>
              <w:rPr>
                <w:rFonts w:eastAsia="Times New Roman"/>
                <w:b/>
                <w:sz w:val="17"/>
                <w:szCs w:val="17"/>
              </w:rPr>
              <w:t>5</w:t>
            </w:r>
          </w:p>
        </w:tc>
        <w:tc>
          <w:tcPr>
            <w:tcW w:w="1525" w:type="dxa"/>
          </w:tcPr>
          <w:p w:rsidR="00967B66" w:rsidRPr="003B0793" w:rsidRDefault="00967B66" w:rsidP="00967B66">
            <w:pPr>
              <w:keepNext/>
              <w:spacing w:after="160" w:line="280" w:lineRule="exact"/>
              <w:rPr>
                <w:rFonts w:eastAsia="Times New Roman"/>
                <w:sz w:val="17"/>
                <w:szCs w:val="17"/>
              </w:rPr>
            </w:pPr>
          </w:p>
        </w:tc>
      </w:tr>
    </w:tbl>
    <w:p w:rsidR="00C6626C"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967B66" w:rsidRDefault="00967B66" w:rsidP="00D8447F">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967B66" w:rsidRDefault="00967B66" w:rsidP="00D8447F">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9C7E1E" w:rsidRDefault="009C7E1E" w:rsidP="00967B66">
      <w:pPr>
        <w:rPr>
          <w:rFonts w:cs="Arial"/>
          <w:color w:val="auto"/>
          <w:szCs w:val="20"/>
        </w:rPr>
      </w:pPr>
    </w:p>
    <w:p w:rsidR="009C7E1E" w:rsidRDefault="009C7E1E" w:rsidP="00967B66">
      <w:pPr>
        <w:rPr>
          <w:rFonts w:cs="Arial"/>
          <w:color w:val="auto"/>
          <w:szCs w:val="20"/>
        </w:rPr>
      </w:pPr>
    </w:p>
    <w:p w:rsidR="009C7E1E" w:rsidRDefault="009C7E1E" w:rsidP="00967B66">
      <w:pPr>
        <w:rPr>
          <w:rFonts w:cs="Arial"/>
          <w:color w:val="auto"/>
          <w:szCs w:val="20"/>
        </w:rPr>
      </w:pPr>
    </w:p>
    <w:p w:rsidR="009C7E1E" w:rsidRDefault="009C7E1E" w:rsidP="00967B66">
      <w:pPr>
        <w:rPr>
          <w:rFonts w:cs="Arial"/>
          <w:color w:val="auto"/>
          <w:szCs w:val="20"/>
        </w:rPr>
      </w:pPr>
    </w:p>
    <w:p w:rsidR="009C4C73" w:rsidRDefault="009C4C73" w:rsidP="00967B66">
      <w:pPr>
        <w:rPr>
          <w:rFonts w:cs="Arial"/>
          <w:color w:val="auto"/>
          <w:szCs w:val="20"/>
        </w:rPr>
      </w:pPr>
    </w:p>
    <w:p w:rsidR="00D8447F" w:rsidRPr="002A51CA" w:rsidRDefault="00D8447F" w:rsidP="00D8447F">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Progress towards Objectives</w:t>
      </w:r>
      <w:r w:rsidRPr="002A51CA">
        <w:rPr>
          <w:rFonts w:asciiTheme="majorHAnsi" w:eastAsiaTheme="majorEastAsia" w:hAnsiTheme="majorHAnsi" w:cstheme="majorBidi"/>
          <w:caps/>
          <w:color w:val="495965" w:themeColor="text2"/>
          <w:sz w:val="38"/>
          <w:szCs w:val="26"/>
          <w:lang w:val="en-GB" w:eastAsia="en-US"/>
        </w:rPr>
        <w:tab/>
      </w:r>
    </w:p>
    <w:p w:rsidR="00D8447F" w:rsidRPr="00473B0C" w:rsidRDefault="00D8447F" w:rsidP="00D8447F">
      <w:pPr>
        <w:rPr>
          <w:rFonts w:cs="Arial"/>
          <w:szCs w:val="20"/>
        </w:rPr>
      </w:pPr>
      <w:r w:rsidRPr="00473B0C">
        <w:rPr>
          <w:rFonts w:cs="Arial"/>
          <w:szCs w:val="20"/>
        </w:rPr>
        <w:t xml:space="preserve">This </w:t>
      </w:r>
      <w:r w:rsidR="00295AA8" w:rsidRPr="00473B0C">
        <w:rPr>
          <w:rFonts w:cs="Arial"/>
          <w:szCs w:val="20"/>
        </w:rPr>
        <w:t xml:space="preserve">report </w:t>
      </w:r>
      <w:r w:rsidRPr="00473B0C">
        <w:rPr>
          <w:rFonts w:cs="Arial"/>
          <w:szCs w:val="20"/>
        </w:rPr>
        <w:t xml:space="preserve">assesses progress and results against the </w:t>
      </w:r>
      <w:r w:rsidR="00F76249" w:rsidRPr="00473B0C">
        <w:rPr>
          <w:rFonts w:cs="Arial"/>
          <w:szCs w:val="20"/>
        </w:rPr>
        <w:t>Pakistan Aid Investment Plan, 2015-16 to 2018-19 (AIP</w:t>
      </w:r>
      <w:r w:rsidR="00B65E87" w:rsidRPr="00473B0C">
        <w:rPr>
          <w:rFonts w:cs="Arial"/>
          <w:szCs w:val="20"/>
        </w:rPr>
        <w:t>) strategic</w:t>
      </w:r>
      <w:r w:rsidRPr="00473B0C">
        <w:rPr>
          <w:rFonts w:cs="Arial"/>
          <w:szCs w:val="20"/>
        </w:rPr>
        <w:t xml:space="preserve"> </w:t>
      </w:r>
      <w:r w:rsidR="00B65E87" w:rsidRPr="00473B0C">
        <w:rPr>
          <w:rFonts w:cs="Arial"/>
          <w:szCs w:val="20"/>
        </w:rPr>
        <w:t>objectives.</w:t>
      </w:r>
      <w:r w:rsidRPr="00473B0C">
        <w:rPr>
          <w:rFonts w:cs="Arial"/>
          <w:szCs w:val="20"/>
        </w:rPr>
        <w:t xml:space="preserve">  Ratings are based on assessments against the program’s Performance Assessment Framework (PAF)</w:t>
      </w:r>
      <w:r w:rsidR="00F76249" w:rsidRPr="00473B0C">
        <w:rPr>
          <w:rFonts w:cs="Arial"/>
          <w:szCs w:val="20"/>
        </w:rPr>
        <w:t xml:space="preserve"> and investment quality reporting</w:t>
      </w:r>
      <w:r w:rsidRPr="00473B0C">
        <w:rPr>
          <w:rFonts w:cs="Arial"/>
          <w:szCs w:val="20"/>
        </w:rPr>
        <w:t xml:space="preserve">. </w:t>
      </w:r>
    </w:p>
    <w:p w:rsidR="00D8447F" w:rsidRPr="008C2F58" w:rsidRDefault="00D8447F" w:rsidP="00D8447F">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360AC3">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5000" w:type="pct"/>
        <w:tblLook w:val="0000" w:firstRow="0" w:lastRow="0" w:firstColumn="0" w:lastColumn="0" w:noHBand="0" w:noVBand="0"/>
      </w:tblPr>
      <w:tblGrid>
        <w:gridCol w:w="7046"/>
        <w:gridCol w:w="1157"/>
        <w:gridCol w:w="479"/>
        <w:gridCol w:w="1228"/>
      </w:tblGrid>
      <w:tr w:rsidR="00D8447F" w:rsidRPr="003B0793" w:rsidTr="007C6028">
        <w:trPr>
          <w:cnfStyle w:val="000000010000" w:firstRow="0" w:lastRow="0" w:firstColumn="0" w:lastColumn="0" w:oddVBand="0" w:evenVBand="0" w:oddHBand="0" w:evenHBand="1" w:firstRowFirstColumn="0" w:firstRowLastColumn="0" w:lastRowFirstColumn="0" w:lastRowLastColumn="0"/>
          <w:trHeight w:val="651"/>
        </w:trPr>
        <w:tc>
          <w:tcPr>
            <w:tcW w:w="7004" w:type="dxa"/>
            <w:tcBorders>
              <w:top w:val="single" w:sz="12" w:space="0" w:color="000000" w:themeColor="text1"/>
            </w:tcBorders>
            <w:shd w:val="clear" w:color="auto" w:fill="D8DCDB" w:themeFill="background2"/>
          </w:tcPr>
          <w:p w:rsidR="00D8447F" w:rsidRPr="003B0793" w:rsidRDefault="00D8447F" w:rsidP="00D8447F">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81792" behindDoc="0" locked="0" layoutInCell="1" allowOverlap="1" wp14:anchorId="04F999E0" wp14:editId="7690CB89">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Objective</w:t>
            </w:r>
          </w:p>
        </w:tc>
        <w:tc>
          <w:tcPr>
            <w:tcW w:w="1129" w:type="dxa"/>
            <w:tcBorders>
              <w:top w:val="single" w:sz="12" w:space="0" w:color="000000" w:themeColor="text1"/>
            </w:tcBorders>
            <w:shd w:val="clear" w:color="auto" w:fill="D8DCDB" w:themeFill="background2"/>
          </w:tcPr>
          <w:p w:rsidR="00D8447F" w:rsidRPr="003B0793" w:rsidRDefault="00D8447F" w:rsidP="00D8447F">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Previous Rating</w:t>
            </w:r>
          </w:p>
        </w:tc>
        <w:tc>
          <w:tcPr>
            <w:tcW w:w="451" w:type="dxa"/>
            <w:tcBorders>
              <w:top w:val="single" w:sz="12" w:space="0" w:color="000000" w:themeColor="text1"/>
            </w:tcBorders>
            <w:shd w:val="clear" w:color="auto" w:fill="D8DCDB" w:themeFill="background2"/>
          </w:tcPr>
          <w:p w:rsidR="00D8447F" w:rsidRPr="003B0793" w:rsidRDefault="00D8447F" w:rsidP="00D8447F">
            <w:pPr>
              <w:keepLines/>
              <w:spacing w:before="80" w:after="80" w:line="200" w:lineRule="atLeast"/>
              <w:jc w:val="center"/>
              <w:rPr>
                <w:rFonts w:asciiTheme="minorHAnsi" w:eastAsia="Times New Roman" w:hAnsiTheme="minorHAnsi"/>
                <w:b/>
                <w:iCs/>
                <w:szCs w:val="17"/>
                <w:lang w:eastAsia="en-US"/>
              </w:rPr>
            </w:pPr>
          </w:p>
        </w:tc>
        <w:tc>
          <w:tcPr>
            <w:tcW w:w="1186" w:type="dxa"/>
            <w:tcBorders>
              <w:top w:val="single" w:sz="12" w:space="0" w:color="000000" w:themeColor="text1"/>
            </w:tcBorders>
            <w:shd w:val="clear" w:color="auto" w:fill="D8DCDB" w:themeFill="background2"/>
          </w:tcPr>
          <w:p w:rsidR="00D8447F" w:rsidRPr="003B0793" w:rsidRDefault="00D8447F" w:rsidP="00D8447F">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Current Rating</w:t>
            </w:r>
          </w:p>
        </w:tc>
      </w:tr>
      <w:tr w:rsidR="00D8447F" w:rsidRPr="003B0793" w:rsidTr="00F950F3">
        <w:trPr>
          <w:cnfStyle w:val="000000010000" w:firstRow="0" w:lastRow="0" w:firstColumn="0" w:lastColumn="0" w:oddVBand="0" w:evenVBand="0" w:oddHBand="0" w:evenHBand="1" w:firstRowFirstColumn="0" w:firstRowLastColumn="0" w:lastRowFirstColumn="0" w:lastRowLastColumn="0"/>
          <w:trHeight w:val="657"/>
        </w:trPr>
        <w:tc>
          <w:tcPr>
            <w:tcW w:w="7004" w:type="dxa"/>
          </w:tcPr>
          <w:p w:rsidR="00D8447F" w:rsidRPr="003B0793" w:rsidRDefault="00D8447F" w:rsidP="00D8447F">
            <w:pPr>
              <w:keepLines/>
              <w:spacing w:before="40" w:after="40" w:line="200" w:lineRule="atLeast"/>
              <w:rPr>
                <w:rFonts w:asciiTheme="minorHAnsi" w:eastAsia="Times New Roman" w:hAnsiTheme="minorHAnsi"/>
                <w:iCs/>
                <w:szCs w:val="17"/>
                <w:lang w:eastAsia="en-US"/>
              </w:rPr>
            </w:pPr>
            <w:r w:rsidRPr="00F950F3">
              <w:rPr>
                <w:rFonts w:asciiTheme="minorHAnsi" w:eastAsia="Times New Roman" w:hAnsiTheme="minorHAnsi"/>
                <w:b/>
                <w:iCs/>
                <w:szCs w:val="17"/>
                <w:lang w:eastAsia="en-US"/>
              </w:rPr>
              <w:t>Objective 1</w:t>
            </w:r>
            <w:r>
              <w:rPr>
                <w:rFonts w:asciiTheme="minorHAnsi" w:eastAsia="Times New Roman" w:hAnsiTheme="minorHAnsi"/>
                <w:iCs/>
                <w:szCs w:val="17"/>
                <w:lang w:eastAsia="en-US"/>
              </w:rPr>
              <w:t xml:space="preserve">: </w:t>
            </w:r>
            <w:r w:rsidR="00CE0AFC" w:rsidRPr="00445FB4">
              <w:rPr>
                <w:rFonts w:asciiTheme="minorHAnsi" w:eastAsia="Times New Roman" w:hAnsiTheme="minorHAnsi"/>
                <w:iCs/>
                <w:szCs w:val="17"/>
                <w:lang w:eastAsia="en-US"/>
              </w:rPr>
              <w:t xml:space="preserve">Generating sustainable inclusive growth and employment through </w:t>
            </w:r>
            <w:r w:rsidR="00CE0AFC">
              <w:rPr>
                <w:rFonts w:asciiTheme="minorHAnsi" w:eastAsia="Times New Roman" w:hAnsiTheme="minorHAnsi"/>
                <w:iCs/>
                <w:szCs w:val="17"/>
                <w:lang w:eastAsia="en-US"/>
              </w:rPr>
              <w:t>i</w:t>
            </w:r>
            <w:r w:rsidR="00CE0AFC" w:rsidRPr="00243685">
              <w:rPr>
                <w:rFonts w:asciiTheme="minorHAnsi" w:eastAsia="Times New Roman" w:hAnsiTheme="minorHAnsi"/>
                <w:iCs/>
                <w:szCs w:val="17"/>
                <w:lang w:eastAsia="en-US"/>
              </w:rPr>
              <w:t>mproved agricultural productivity and market development</w:t>
            </w:r>
            <w:r w:rsidR="00CE0AFC">
              <w:rPr>
                <w:rFonts w:asciiTheme="minorHAnsi" w:eastAsia="Times New Roman" w:hAnsiTheme="minorHAnsi"/>
                <w:iCs/>
                <w:szCs w:val="17"/>
                <w:lang w:eastAsia="en-US"/>
              </w:rPr>
              <w:t>,</w:t>
            </w:r>
            <w:r w:rsidR="00CE0AFC" w:rsidRPr="00CE0AFC">
              <w:rPr>
                <w:rFonts w:asciiTheme="minorHAnsi" w:eastAsia="Times New Roman" w:hAnsiTheme="minorHAnsi"/>
                <w:iCs/>
                <w:szCs w:val="17"/>
                <w:lang w:eastAsia="en-US"/>
              </w:rPr>
              <w:t xml:space="preserve"> </w:t>
            </w:r>
            <w:r w:rsidR="00CE0AFC" w:rsidRPr="00445FB4">
              <w:rPr>
                <w:rFonts w:asciiTheme="minorHAnsi" w:eastAsia="Times New Roman" w:hAnsiTheme="minorHAnsi"/>
                <w:iCs/>
                <w:szCs w:val="17"/>
                <w:lang w:eastAsia="en-US"/>
              </w:rPr>
              <w:t>increased  trade and investment, and water resources management</w:t>
            </w:r>
            <w:r w:rsidR="00CE0AFC" w:rsidRPr="00445FB4" w:rsidDel="00C0725E">
              <w:rPr>
                <w:rFonts w:asciiTheme="minorHAnsi" w:eastAsia="Times New Roman" w:hAnsiTheme="minorHAnsi"/>
                <w:iCs/>
                <w:szCs w:val="17"/>
                <w:lang w:eastAsia="en-US"/>
              </w:rPr>
              <w:t xml:space="preserve"> </w:t>
            </w:r>
          </w:p>
        </w:tc>
        <w:tc>
          <w:tcPr>
            <w:tcW w:w="1129" w:type="dxa"/>
            <w:shd w:val="clear" w:color="auto" w:fill="FF6600"/>
            <w:noWrap/>
          </w:tcPr>
          <w:p w:rsidR="00D8447F" w:rsidRPr="003B0793" w:rsidRDefault="00D8447F" w:rsidP="00D8447F">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 xml:space="preserve">Amber </w:t>
            </w:r>
          </w:p>
        </w:tc>
        <w:tc>
          <w:tcPr>
            <w:tcW w:w="451" w:type="dxa"/>
          </w:tcPr>
          <w:p w:rsidR="00D8447F" w:rsidRPr="003B0793" w:rsidRDefault="00D8447F" w:rsidP="00D8447F">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92D050"/>
            <w:noWrap/>
          </w:tcPr>
          <w:p w:rsidR="00D8447F" w:rsidRPr="000D3330" w:rsidRDefault="00EA317C" w:rsidP="00D8447F">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r w:rsidR="00D8447F" w:rsidRPr="003B0793" w:rsidTr="00D8447F">
        <w:trPr>
          <w:cnfStyle w:val="000000010000" w:firstRow="0" w:lastRow="0" w:firstColumn="0" w:lastColumn="0" w:oddVBand="0" w:evenVBand="0" w:oddHBand="0" w:evenHBand="1" w:firstRowFirstColumn="0" w:firstRowLastColumn="0" w:lastRowFirstColumn="0" w:lastRowLastColumn="0"/>
        </w:trPr>
        <w:tc>
          <w:tcPr>
            <w:tcW w:w="7004" w:type="dxa"/>
          </w:tcPr>
          <w:p w:rsidR="00D8447F" w:rsidRPr="003B0793" w:rsidRDefault="00D8447F" w:rsidP="00D8447F">
            <w:pPr>
              <w:keepLines/>
              <w:spacing w:before="40" w:after="40" w:line="200" w:lineRule="atLeast"/>
              <w:rPr>
                <w:rFonts w:asciiTheme="minorHAnsi" w:eastAsia="Times New Roman" w:hAnsiTheme="minorHAnsi"/>
                <w:iCs/>
                <w:szCs w:val="17"/>
                <w:lang w:eastAsia="en-US"/>
              </w:rPr>
            </w:pPr>
            <w:r w:rsidRPr="00F950F3">
              <w:rPr>
                <w:rFonts w:asciiTheme="minorHAnsi" w:eastAsia="Times New Roman" w:hAnsiTheme="minorHAnsi"/>
                <w:b/>
                <w:iCs/>
                <w:szCs w:val="17"/>
                <w:lang w:eastAsia="en-US"/>
              </w:rPr>
              <w:t>Objective 2</w:t>
            </w:r>
            <w:r>
              <w:rPr>
                <w:rFonts w:asciiTheme="minorHAnsi" w:eastAsia="Times New Roman" w:hAnsiTheme="minorHAnsi"/>
                <w:iCs/>
                <w:szCs w:val="17"/>
                <w:lang w:eastAsia="en-US"/>
              </w:rPr>
              <w:t>: Investing in Pakistan’s people through health and education</w:t>
            </w:r>
          </w:p>
        </w:tc>
        <w:tc>
          <w:tcPr>
            <w:tcW w:w="1129" w:type="dxa"/>
            <w:shd w:val="clear" w:color="auto" w:fill="FF6600"/>
            <w:noWrap/>
          </w:tcPr>
          <w:p w:rsidR="00D8447F" w:rsidRPr="003B0793" w:rsidRDefault="00D8447F" w:rsidP="00D8447F">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Amber</w:t>
            </w:r>
          </w:p>
        </w:tc>
        <w:tc>
          <w:tcPr>
            <w:tcW w:w="451" w:type="dxa"/>
          </w:tcPr>
          <w:p w:rsidR="00D8447F" w:rsidRPr="003B0793" w:rsidRDefault="00D8447F" w:rsidP="00D8447F">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FF6600"/>
            <w:noWrap/>
          </w:tcPr>
          <w:p w:rsidR="00D8447F" w:rsidRPr="000D3330" w:rsidRDefault="00D8447F" w:rsidP="00D8447F">
            <w:pPr>
              <w:keepLines/>
              <w:spacing w:before="40" w:after="40" w:line="200" w:lineRule="atLeast"/>
              <w:jc w:val="center"/>
              <w:rPr>
                <w:rFonts w:asciiTheme="minorHAnsi" w:eastAsia="Times New Roman" w:hAnsiTheme="minorHAnsi"/>
                <w:iCs/>
                <w:color w:val="FFFFFF" w:themeColor="background1"/>
                <w:szCs w:val="17"/>
                <w:lang w:eastAsia="en-US"/>
              </w:rPr>
            </w:pPr>
            <w:r w:rsidRPr="000D3330">
              <w:rPr>
                <w:rFonts w:asciiTheme="minorHAnsi" w:eastAsia="Times New Roman" w:hAnsiTheme="minorHAnsi"/>
                <w:iCs/>
                <w:color w:val="FFFFFF" w:themeColor="background1"/>
                <w:szCs w:val="17"/>
                <w:lang w:eastAsia="en-US"/>
              </w:rPr>
              <w:t>Amber</w:t>
            </w:r>
          </w:p>
        </w:tc>
      </w:tr>
    </w:tbl>
    <w:p w:rsidR="00D8447F" w:rsidRPr="003B0793" w:rsidRDefault="00D8447F" w:rsidP="00D8447F">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D8447F" w:rsidRPr="003B0793" w:rsidRDefault="00D8447F" w:rsidP="00D8447F">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rsidR="00D8447F" w:rsidRPr="003B0793" w:rsidRDefault="00D8447F" w:rsidP="00D8447F">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rsidR="00D8447F" w:rsidRPr="003B0793" w:rsidRDefault="00D8447F" w:rsidP="00D8447F">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rsidR="00D8447F" w:rsidRPr="003B0793" w:rsidRDefault="00D8447F" w:rsidP="00D8447F">
      <w:pPr>
        <w:spacing w:before="20" w:after="20" w:line="180" w:lineRule="atLeast"/>
        <w:jc w:val="both"/>
        <w:rPr>
          <w:rFonts w:eastAsia="Times New Roman"/>
          <w:b/>
          <w:sz w:val="14"/>
          <w:szCs w:val="14"/>
        </w:rPr>
      </w:pPr>
      <w:r w:rsidRPr="003B0793">
        <w:rPr>
          <w:rFonts w:eastAsia="Times New Roman"/>
          <w:b/>
          <w:sz w:val="14"/>
          <w:szCs w:val="14"/>
        </w:rPr>
        <w:t xml:space="preserve">  </w:t>
      </w:r>
    </w:p>
    <w:p w:rsidR="00CE0AFC" w:rsidRPr="00552B9A" w:rsidRDefault="00D8447F" w:rsidP="00CE0AFC">
      <w:pPr>
        <w:spacing w:after="120" w:line="280" w:lineRule="exact"/>
        <w:rPr>
          <w:sz w:val="28"/>
          <w:szCs w:val="28"/>
        </w:rPr>
      </w:pPr>
      <w:r w:rsidRPr="00F950F3">
        <w:rPr>
          <w:rFonts w:asciiTheme="majorHAnsi" w:eastAsiaTheme="majorEastAsia" w:hAnsiTheme="majorHAnsi" w:cstheme="majorBidi"/>
          <w:b/>
          <w:caps/>
          <w:sz w:val="28"/>
          <w:szCs w:val="28"/>
        </w:rPr>
        <w:t>Objective 1:</w:t>
      </w:r>
      <w:r w:rsidRPr="00F950F3">
        <w:rPr>
          <w:rFonts w:asciiTheme="majorHAnsi" w:eastAsiaTheme="majorEastAsia" w:hAnsiTheme="majorHAnsi" w:cstheme="majorBidi"/>
          <w:caps/>
          <w:sz w:val="28"/>
          <w:szCs w:val="28"/>
        </w:rPr>
        <w:t xml:space="preserve"> </w:t>
      </w:r>
      <w:r w:rsidR="00CE0AFC" w:rsidRPr="00552B9A">
        <w:rPr>
          <w:b/>
          <w:sz w:val="28"/>
          <w:szCs w:val="28"/>
        </w:rPr>
        <w:t xml:space="preserve">Generating sustainable inclusive growth and employment through improved agricultural productivity and market development, </w:t>
      </w:r>
      <w:r w:rsidR="00BF2E23" w:rsidRPr="00552B9A">
        <w:rPr>
          <w:b/>
          <w:sz w:val="28"/>
          <w:szCs w:val="28"/>
        </w:rPr>
        <w:t>increased trade</w:t>
      </w:r>
      <w:r w:rsidR="00CE0AFC" w:rsidRPr="00552B9A">
        <w:rPr>
          <w:b/>
          <w:sz w:val="28"/>
          <w:szCs w:val="28"/>
        </w:rPr>
        <w:t xml:space="preserve"> and investment, and water resources management</w:t>
      </w:r>
      <w:r w:rsidR="00CE0AFC" w:rsidRPr="00552B9A" w:rsidDel="00C0725E">
        <w:rPr>
          <w:sz w:val="28"/>
          <w:szCs w:val="28"/>
        </w:rPr>
        <w:t xml:space="preserve"> </w:t>
      </w:r>
    </w:p>
    <w:p w:rsidR="00D8447F" w:rsidRPr="00CC2ED7" w:rsidRDefault="003C5F33" w:rsidP="00CC2ED7">
      <w:pPr>
        <w:widowControl w:val="0"/>
        <w:suppressAutoHyphens w:val="0"/>
        <w:spacing w:before="0" w:after="0" w:line="240" w:lineRule="auto"/>
      </w:pPr>
      <w:r w:rsidRPr="00CC2ED7">
        <w:t xml:space="preserve">This objective </w:t>
      </w:r>
      <w:r w:rsidR="00644653" w:rsidRPr="00CC2ED7">
        <w:t xml:space="preserve">is </w:t>
      </w:r>
      <w:r w:rsidRPr="00CC2ED7">
        <w:t>rated green with t</w:t>
      </w:r>
      <w:r w:rsidR="00D8447F" w:rsidRPr="00CC2ED7">
        <w:t xml:space="preserve">he majority of our agriculture and rural development investments </w:t>
      </w:r>
      <w:r w:rsidRPr="00CC2ED7">
        <w:t xml:space="preserve">delivering </w:t>
      </w:r>
      <w:r w:rsidR="00D8447F" w:rsidRPr="00CC2ED7">
        <w:t>strong results</w:t>
      </w:r>
      <w:r w:rsidR="00295AA8" w:rsidRPr="00CC2ED7">
        <w:t xml:space="preserve"> </w:t>
      </w:r>
      <w:r w:rsidR="00D8447F" w:rsidRPr="00CC2ED7">
        <w:t xml:space="preserve">against the PAF.  </w:t>
      </w:r>
      <w:r w:rsidR="00644653" w:rsidRPr="00CC2ED7">
        <w:t>Howe</w:t>
      </w:r>
      <w:r w:rsidR="009314E5" w:rsidRPr="00CC2ED7">
        <w:t xml:space="preserve">ver there were challenges with </w:t>
      </w:r>
      <w:r w:rsidR="00644653" w:rsidRPr="00CC2ED7">
        <w:t>linking our</w:t>
      </w:r>
      <w:r w:rsidR="006D6DAE" w:rsidRPr="00CC2ED7">
        <w:t xml:space="preserve"> </w:t>
      </w:r>
      <w:r w:rsidR="00644653" w:rsidRPr="00CC2ED7">
        <w:t xml:space="preserve">successful </w:t>
      </w:r>
      <w:r w:rsidR="006D6DAE" w:rsidRPr="00CC2ED7">
        <w:t xml:space="preserve">agricultural research </w:t>
      </w:r>
      <w:r w:rsidR="00644653" w:rsidRPr="00CC2ED7">
        <w:t>to broader development outcomes</w:t>
      </w:r>
      <w:r w:rsidR="009314E5" w:rsidRPr="00CC2ED7">
        <w:t xml:space="preserve">, </w:t>
      </w:r>
      <w:r w:rsidR="00BF2E23" w:rsidRPr="00CC2ED7">
        <w:t>and o</w:t>
      </w:r>
      <w:r w:rsidR="00DD012C" w:rsidRPr="00CC2ED7">
        <w:t xml:space="preserve">ur </w:t>
      </w:r>
      <w:r w:rsidR="00D8447F" w:rsidRPr="00CC2ED7">
        <w:t>trade policy</w:t>
      </w:r>
      <w:r w:rsidR="00DD012C" w:rsidRPr="00CC2ED7">
        <w:t xml:space="preserve"> </w:t>
      </w:r>
      <w:r w:rsidR="00644653" w:rsidRPr="00CC2ED7">
        <w:t xml:space="preserve">program experienced some </w:t>
      </w:r>
      <w:r w:rsidRPr="00CC2ED7">
        <w:t>delay</w:t>
      </w:r>
      <w:r w:rsidR="00644653" w:rsidRPr="00CC2ED7">
        <w:t>s</w:t>
      </w:r>
      <w:r w:rsidR="006D6DAE" w:rsidRPr="00CC2ED7">
        <w:t>. In addition,</w:t>
      </w:r>
      <w:r w:rsidR="00DD012C" w:rsidRPr="00CC2ED7">
        <w:t xml:space="preserve"> </w:t>
      </w:r>
      <w:r w:rsidR="00F17F34" w:rsidRPr="00CC2ED7">
        <w:t xml:space="preserve">some </w:t>
      </w:r>
      <w:r w:rsidR="00D8447F" w:rsidRPr="00CC2ED7">
        <w:t xml:space="preserve">investments rated unsatisfactorily on gender equality. </w:t>
      </w:r>
    </w:p>
    <w:p w:rsidR="005D307E" w:rsidRDefault="005D307E" w:rsidP="00D8447F">
      <w:pPr>
        <w:rPr>
          <w:b/>
        </w:rPr>
      </w:pPr>
    </w:p>
    <w:p w:rsidR="00D8447F" w:rsidRPr="00665B75" w:rsidRDefault="00D8447F" w:rsidP="00D8447F">
      <w:pPr>
        <w:rPr>
          <w:b/>
        </w:rPr>
      </w:pPr>
      <w:r w:rsidRPr="00665B75">
        <w:rPr>
          <w:b/>
        </w:rPr>
        <w:t>Outcome one: Poor women and men have increased incomes</w:t>
      </w:r>
    </w:p>
    <w:p w:rsidR="00D8447F" w:rsidRPr="008B3BC3" w:rsidRDefault="00D8447F" w:rsidP="009314E5">
      <w:pPr>
        <w:widowControl w:val="0"/>
        <w:suppressAutoHyphens w:val="0"/>
        <w:spacing w:before="0" w:after="0" w:line="240" w:lineRule="auto"/>
      </w:pPr>
      <w:r w:rsidRPr="008B3BC3">
        <w:t>Australia</w:t>
      </w:r>
      <w:r>
        <w:t>n investments in this area focus</w:t>
      </w:r>
      <w:r w:rsidRPr="008B3BC3">
        <w:t xml:space="preserve"> </w:t>
      </w:r>
      <w:r w:rsidR="003F2EBB" w:rsidRPr="008B3BC3">
        <w:t xml:space="preserve">on </w:t>
      </w:r>
      <w:r w:rsidR="003F2EBB">
        <w:t>improving</w:t>
      </w:r>
      <w:r>
        <w:t xml:space="preserve"> rural livelihoods through pro-poor market access and </w:t>
      </w:r>
      <w:r>
        <w:lastRenderedPageBreak/>
        <w:t>development</w:t>
      </w:r>
      <w:r w:rsidR="003F2EBB">
        <w:t>.</w:t>
      </w:r>
      <w:r w:rsidRPr="008B3BC3">
        <w:t xml:space="preserve"> </w:t>
      </w:r>
      <w:r>
        <w:t xml:space="preserve">Our </w:t>
      </w:r>
      <w:r w:rsidRPr="008B3BC3">
        <w:t xml:space="preserve">investment with the Food and Agriculture Organisation (FAO) </w:t>
      </w:r>
      <w:r w:rsidR="000A3095">
        <w:t>continued to affect</w:t>
      </w:r>
      <w:r w:rsidRPr="008B3BC3">
        <w:t xml:space="preserve"> farmers </w:t>
      </w:r>
      <w:r w:rsidR="0073217D">
        <w:t xml:space="preserve">positively </w:t>
      </w:r>
      <w:r w:rsidRPr="008B3BC3">
        <w:t xml:space="preserve">in six districts of </w:t>
      </w:r>
      <w:r w:rsidR="00654254">
        <w:t>Balochistan</w:t>
      </w:r>
      <w:r w:rsidRPr="008B3BC3">
        <w:t xml:space="preserve">. In </w:t>
      </w:r>
      <w:r w:rsidR="00456F58">
        <w:t>2015-16</w:t>
      </w:r>
      <w:r w:rsidR="00473B0C">
        <w:t xml:space="preserve">, </w:t>
      </w:r>
      <w:r w:rsidRPr="008B3BC3">
        <w:t xml:space="preserve">our investment exceeded targets for the overall number of people who increased their incomes </w:t>
      </w:r>
      <w:r w:rsidR="006B09E1">
        <w:t>(8,830 people, including 4,415 women</w:t>
      </w:r>
      <w:r w:rsidR="00A33530">
        <w:t>,</w:t>
      </w:r>
      <w:r w:rsidR="006B09E1">
        <w:t xml:space="preserve"> against a target of 6,179</w:t>
      </w:r>
      <w:r w:rsidR="00F950F3">
        <w:t>(</w:t>
      </w:r>
      <w:r w:rsidR="006B09E1">
        <w:t>927 women</w:t>
      </w:r>
      <w:r w:rsidR="00F950F3">
        <w:t>)</w:t>
      </w:r>
      <w:r w:rsidR="006B09E1">
        <w:t>)</w:t>
      </w:r>
      <w:r w:rsidR="00473B0C">
        <w:t>.</w:t>
      </w:r>
      <w:r w:rsidR="006B09E1">
        <w:rPr>
          <w:rStyle w:val="FootnoteReference"/>
        </w:rPr>
        <w:footnoteReference w:id="22"/>
      </w:r>
      <w:r w:rsidR="00473B0C">
        <w:t xml:space="preserve"> </w:t>
      </w:r>
      <w:r w:rsidRPr="008B3BC3">
        <w:t xml:space="preserve"> </w:t>
      </w:r>
      <w:r w:rsidR="003C5F33">
        <w:t>In</w:t>
      </w:r>
      <w:r w:rsidR="003C5F33" w:rsidRPr="007F577F">
        <w:rPr>
          <w:rStyle w:val="FootnoteReference"/>
        </w:rPr>
        <w:t xml:space="preserve"> </w:t>
      </w:r>
      <w:r w:rsidR="003C5F33" w:rsidRPr="008B3BC3">
        <w:t xml:space="preserve">addition, </w:t>
      </w:r>
      <w:r w:rsidR="003C5F33">
        <w:t>37</w:t>
      </w:r>
      <w:r w:rsidR="003C5F33" w:rsidRPr="008B3BC3">
        <w:t xml:space="preserve"> small businesses were established (against a target of </w:t>
      </w:r>
      <w:r w:rsidR="003C5F33">
        <w:t>25</w:t>
      </w:r>
      <w:r w:rsidR="00473B0C">
        <w:t xml:space="preserve">), </w:t>
      </w:r>
      <w:r w:rsidR="003C5F33">
        <w:t>including meeting the gender target</w:t>
      </w:r>
      <w:r w:rsidR="003C5F33" w:rsidRPr="008B3BC3">
        <w:t xml:space="preserve"> (</w:t>
      </w:r>
      <w:r w:rsidR="000A3095">
        <w:t>two</w:t>
      </w:r>
      <w:r w:rsidR="003C5F33">
        <w:t xml:space="preserve"> </w:t>
      </w:r>
      <w:r w:rsidR="003C5F33" w:rsidRPr="008B3BC3">
        <w:t>businesses esta</w:t>
      </w:r>
      <w:r w:rsidR="004E2C86">
        <w:t xml:space="preserve">blished against a target of </w:t>
      </w:r>
      <w:r w:rsidR="000A3095">
        <w:t>two</w:t>
      </w:r>
      <w:r w:rsidR="004E2C86">
        <w:t>).</w:t>
      </w:r>
      <w:r w:rsidRPr="008B3BC3">
        <w:t xml:space="preserve"> A mid-term review in </w:t>
      </w:r>
      <w:r>
        <w:t xml:space="preserve">late </w:t>
      </w:r>
      <w:r w:rsidR="00473B0C">
        <w:t xml:space="preserve">2015 </w:t>
      </w:r>
      <w:r w:rsidRPr="008B3BC3">
        <w:t>found that to continue delivering positive outcomes for the poor</w:t>
      </w:r>
      <w:r w:rsidR="000A3095">
        <w:t>,</w:t>
      </w:r>
      <w:r w:rsidRPr="008B3BC3">
        <w:t xml:space="preserve"> the program needed to shift its focus from food security to </w:t>
      </w:r>
      <w:r>
        <w:t xml:space="preserve">include </w:t>
      </w:r>
      <w:r w:rsidRPr="008B3BC3">
        <w:t>agribusiness, markets and value chain developments, with a specific focus on women’s empowerment.</w:t>
      </w:r>
      <w:r w:rsidR="00473B0C" w:rsidRPr="00473B0C">
        <w:rPr>
          <w:rStyle w:val="FootnoteReference"/>
        </w:rPr>
        <w:t xml:space="preserve"> </w:t>
      </w:r>
      <w:r w:rsidR="00473B0C">
        <w:rPr>
          <w:rStyle w:val="FootnoteReference"/>
        </w:rPr>
        <w:footnoteReference w:id="23"/>
      </w:r>
      <w:r w:rsidRPr="008B3BC3">
        <w:t xml:space="preserve"> In response, DFAT granted the program an extension through to July 2017</w:t>
      </w:r>
      <w:r>
        <w:t xml:space="preserve"> in order to commence this transition while a follow on phase is designed</w:t>
      </w:r>
      <w:r w:rsidRPr="008B3BC3">
        <w:t xml:space="preserve">.    </w:t>
      </w:r>
    </w:p>
    <w:p w:rsidR="004A241A" w:rsidRDefault="00473B0C" w:rsidP="004A241A">
      <w:r>
        <w:t xml:space="preserve">Despite slower than expected </w:t>
      </w:r>
      <w:r w:rsidR="00844F38">
        <w:t xml:space="preserve">initial </w:t>
      </w:r>
      <w:r>
        <w:t>progress, t</w:t>
      </w:r>
      <w:r w:rsidR="004A241A" w:rsidRPr="008B3BC3">
        <w:t>he M</w:t>
      </w:r>
      <w:r w:rsidR="00F17F34">
        <w:t xml:space="preserve">arket </w:t>
      </w:r>
      <w:r w:rsidR="004A241A" w:rsidRPr="008B3BC3">
        <w:t>D</w:t>
      </w:r>
      <w:r w:rsidR="00F17F34">
        <w:t xml:space="preserve">evelopment </w:t>
      </w:r>
      <w:r w:rsidR="004A241A" w:rsidRPr="008B3BC3">
        <w:t>F</w:t>
      </w:r>
      <w:r w:rsidR="00F17F34">
        <w:t>acility (MDF)</w:t>
      </w:r>
      <w:r w:rsidR="004A241A" w:rsidRPr="008B3BC3">
        <w:t xml:space="preserve"> exceeded targets</w:t>
      </w:r>
      <w:r w:rsidR="004A241A">
        <w:t xml:space="preserve"> </w:t>
      </w:r>
      <w:r>
        <w:t>to</w:t>
      </w:r>
      <w:r w:rsidR="004A241A" w:rsidRPr="008B3BC3">
        <w:t xml:space="preserve"> leverag</w:t>
      </w:r>
      <w:r>
        <w:t>e</w:t>
      </w:r>
      <w:r w:rsidR="004A241A" w:rsidRPr="008B3BC3">
        <w:t xml:space="preserve"> co-contributions of over USD1</w:t>
      </w:r>
      <w:proofErr w:type="gramStart"/>
      <w:r w:rsidR="004A241A" w:rsidRPr="008B3BC3">
        <w:t>,200,000</w:t>
      </w:r>
      <w:proofErr w:type="gramEnd"/>
      <w:r w:rsidR="004A241A" w:rsidRPr="008B3BC3">
        <w:t xml:space="preserve"> (against a target of USD800,0</w:t>
      </w:r>
      <w:r w:rsidR="004A241A">
        <w:t xml:space="preserve">00), </w:t>
      </w:r>
      <w:r w:rsidR="004A241A" w:rsidRPr="008B3BC3">
        <w:t>and generat</w:t>
      </w:r>
      <w:r>
        <w:t>e</w:t>
      </w:r>
      <w:r w:rsidR="004A241A" w:rsidRPr="008B3BC3">
        <w:t xml:space="preserve"> a nett income of USD2,409,000 (including USD531,000 for women</w:t>
      </w:r>
      <w:r w:rsidR="00A33530">
        <w:t>)</w:t>
      </w:r>
      <w:r w:rsidR="004A241A" w:rsidRPr="008B3BC3">
        <w:t>.</w:t>
      </w:r>
      <w:r w:rsidR="004A241A">
        <w:t xml:space="preserve"> An</w:t>
      </w:r>
      <w:r w:rsidR="004A241A" w:rsidRPr="008B3BC3">
        <w:t xml:space="preserve"> independent adv</w:t>
      </w:r>
      <w:r w:rsidR="004A241A">
        <w:t xml:space="preserve">isory mission in late 2015 noted </w:t>
      </w:r>
      <w:r w:rsidR="004A241A" w:rsidRPr="008B3BC3">
        <w:t xml:space="preserve">an increase in pace of activities </w:t>
      </w:r>
      <w:r w:rsidR="00844F38">
        <w:t>was</w:t>
      </w:r>
      <w:r w:rsidR="004A241A" w:rsidRPr="008B3BC3">
        <w:t xml:space="preserve"> required </w:t>
      </w:r>
      <w:r w:rsidR="004A241A">
        <w:t>to reach</w:t>
      </w:r>
      <w:r w:rsidR="004A241A" w:rsidRPr="008B3BC3">
        <w:t xml:space="preserve"> end</w:t>
      </w:r>
      <w:r w:rsidR="004A241A">
        <w:t>-</w:t>
      </w:r>
      <w:r w:rsidR="004A241A" w:rsidRPr="008B3BC3">
        <w:t>of</w:t>
      </w:r>
      <w:r w:rsidR="004A241A">
        <w:t>-</w:t>
      </w:r>
      <w:r w:rsidR="004A241A" w:rsidRPr="008B3BC3">
        <w:t>investment targets</w:t>
      </w:r>
      <w:r w:rsidR="004A241A">
        <w:t>.</w:t>
      </w:r>
      <w:r w:rsidR="00844F38" w:rsidRPr="00844F38">
        <w:rPr>
          <w:rStyle w:val="FootnoteReference"/>
        </w:rPr>
        <w:t xml:space="preserve"> </w:t>
      </w:r>
      <w:r w:rsidR="00844F38">
        <w:rPr>
          <w:rStyle w:val="FootnoteReference"/>
        </w:rPr>
        <w:footnoteReference w:id="24"/>
      </w:r>
      <w:r w:rsidR="004A241A">
        <w:t xml:space="preserve"> However, b</w:t>
      </w:r>
      <w:r w:rsidR="004A241A" w:rsidRPr="008B3BC3">
        <w:t xml:space="preserve">y the end of December 2015, </w:t>
      </w:r>
      <w:r w:rsidR="004A241A">
        <w:t>o</w:t>
      </w:r>
      <w:r w:rsidR="004A241A" w:rsidRPr="008B3BC3">
        <w:t>ur investment ha</w:t>
      </w:r>
      <w:r w:rsidR="00844F38">
        <w:t>d</w:t>
      </w:r>
      <w:r w:rsidR="004A241A" w:rsidRPr="008B3BC3">
        <w:t xml:space="preserve"> </w:t>
      </w:r>
      <w:r w:rsidR="004A241A">
        <w:t>facilitated</w:t>
      </w:r>
      <w:r w:rsidR="004A241A" w:rsidRPr="008B3BC3">
        <w:t xml:space="preserve"> income generating opportunities for 4,750 poor people (2,350 women). </w:t>
      </w:r>
      <w:r w:rsidR="004A241A" w:rsidRPr="0038211E">
        <w:t xml:space="preserve">A recent (July 2016) </w:t>
      </w:r>
      <w:r w:rsidR="00F17F34">
        <w:t>independent advisory</w:t>
      </w:r>
      <w:r w:rsidR="00F17F34" w:rsidRPr="0038211E">
        <w:t xml:space="preserve"> </w:t>
      </w:r>
      <w:r w:rsidR="004A241A" w:rsidRPr="0038211E">
        <w:t xml:space="preserve">mission concluded </w:t>
      </w:r>
      <w:r w:rsidR="00844F38">
        <w:t xml:space="preserve">progress has accelerated and </w:t>
      </w:r>
      <w:r w:rsidR="004A241A" w:rsidRPr="0038211E">
        <w:t xml:space="preserve">that the program is facilitating entrepreneurial and innovative solutions to impediments to inclusive development in the </w:t>
      </w:r>
      <w:r w:rsidR="004A241A">
        <w:t>d</w:t>
      </w:r>
      <w:r w:rsidR="004A241A" w:rsidRPr="0038211E">
        <w:t xml:space="preserve">airy, </w:t>
      </w:r>
      <w:r w:rsidR="004A241A">
        <w:t>m</w:t>
      </w:r>
      <w:r w:rsidR="004A241A" w:rsidRPr="0038211E">
        <w:t xml:space="preserve">eat, </w:t>
      </w:r>
      <w:r w:rsidR="004A241A">
        <w:t>l</w:t>
      </w:r>
      <w:r w:rsidR="004A241A" w:rsidRPr="0038211E">
        <w:t xml:space="preserve">eather and </w:t>
      </w:r>
      <w:r w:rsidR="004A241A">
        <w:t>h</w:t>
      </w:r>
      <w:r w:rsidR="004A241A" w:rsidRPr="0038211E">
        <w:t>orticulture sectors.</w:t>
      </w:r>
      <w:r w:rsidR="00F17F34">
        <w:rPr>
          <w:rStyle w:val="FootnoteReference"/>
        </w:rPr>
        <w:footnoteReference w:id="25"/>
      </w:r>
      <w:r w:rsidR="004A241A">
        <w:t xml:space="preserve"> </w:t>
      </w:r>
      <w:r w:rsidR="00CC2ED7" w:rsidRPr="00CC2ED7">
        <w:t>There has also been a positive cross-program investment between MDF and the FAO program.</w:t>
      </w:r>
    </w:p>
    <w:p w:rsidR="006F644E" w:rsidRDefault="008B3BC3" w:rsidP="008B3BC3">
      <w:r w:rsidRPr="008B3BC3">
        <w:t xml:space="preserve">In September 2015, the </w:t>
      </w:r>
      <w:proofErr w:type="spellStart"/>
      <w:r w:rsidR="00A33530" w:rsidRPr="00A33530">
        <w:t>Sarhad</w:t>
      </w:r>
      <w:proofErr w:type="spellEnd"/>
      <w:r w:rsidR="00A33530" w:rsidRPr="00A33530">
        <w:t xml:space="preserve"> Rural Support Program </w:t>
      </w:r>
      <w:r w:rsidR="00A33530">
        <w:t xml:space="preserve">(SRSP) </w:t>
      </w:r>
      <w:r w:rsidRPr="008B3BC3">
        <w:t xml:space="preserve">Project for Women's Economic Empowerment and Market Development commenced in </w:t>
      </w:r>
      <w:r w:rsidR="003F2EBB">
        <w:t>Khyber</w:t>
      </w:r>
      <w:r w:rsidR="00DC6F36">
        <w:t xml:space="preserve"> </w:t>
      </w:r>
      <w:r w:rsidR="003F2EBB">
        <w:t>Pakhtunkhwa</w:t>
      </w:r>
      <w:r w:rsidR="00DC6F36">
        <w:t xml:space="preserve"> Province (KP)</w:t>
      </w:r>
      <w:r w:rsidRPr="008B3BC3">
        <w:t xml:space="preserve">, building on the </w:t>
      </w:r>
      <w:r w:rsidR="00DC6F36">
        <w:t xml:space="preserve">previous </w:t>
      </w:r>
      <w:r w:rsidRPr="008B3BC3">
        <w:t xml:space="preserve">Australian funded Livelihood Strengthening Program Phase 1. </w:t>
      </w:r>
      <w:r w:rsidR="006F644E">
        <w:t>T</w:t>
      </w:r>
      <w:r w:rsidR="006F644E" w:rsidRPr="008B3BC3">
        <w:t>he project is tracking well and contribut</w:t>
      </w:r>
      <w:r w:rsidR="00A33530">
        <w:t>es</w:t>
      </w:r>
      <w:r w:rsidR="006F644E" w:rsidRPr="008B3BC3">
        <w:t xml:space="preserve"> to women’s economic empowerment and participation in household and community decision-making.</w:t>
      </w:r>
      <w:r w:rsidR="003F5094">
        <w:rPr>
          <w:rStyle w:val="FootnoteReference"/>
        </w:rPr>
        <w:footnoteReference w:id="26"/>
      </w:r>
    </w:p>
    <w:p w:rsidR="006F644E" w:rsidRPr="008B3BC3" w:rsidRDefault="003F2EBB" w:rsidP="008B3BC3">
      <w:r>
        <w:t>Nevertheless</w:t>
      </w:r>
      <w:r w:rsidR="00F46797">
        <w:t>, e</w:t>
      </w:r>
      <w:r w:rsidR="001C3CCC">
        <w:t xml:space="preserve">nsuring women benefit from investments under this objective remained a challenge. </w:t>
      </w:r>
      <w:r w:rsidR="000E3C42">
        <w:t xml:space="preserve">Where </w:t>
      </w:r>
      <w:r w:rsidR="000E3C42" w:rsidRPr="000A3095">
        <w:t xml:space="preserve">women’s empowerment was an explicit objective of </w:t>
      </w:r>
      <w:r w:rsidR="00DC6F36" w:rsidRPr="000A3095">
        <w:t>investments</w:t>
      </w:r>
      <w:r w:rsidR="000E3C42" w:rsidRPr="000A3095">
        <w:t>, results were more positive.</w:t>
      </w:r>
      <w:r w:rsidR="008B3BC3" w:rsidRPr="000A3095">
        <w:t xml:space="preserve"> Our investments with FAO and SRSP have improved </w:t>
      </w:r>
      <w:r w:rsidR="00F17F34" w:rsidRPr="000A3095">
        <w:t xml:space="preserve">their </w:t>
      </w:r>
      <w:r w:rsidR="008B3BC3" w:rsidRPr="000A3095">
        <w:t xml:space="preserve">performance on gender </w:t>
      </w:r>
      <w:r w:rsidR="001B1BE4" w:rsidRPr="000A3095">
        <w:t>equality;</w:t>
      </w:r>
      <w:r w:rsidR="008B3BC3" w:rsidRPr="000A3095">
        <w:t xml:space="preserve"> however attention is required to entrench positive practices. </w:t>
      </w:r>
      <w:r w:rsidR="000E3C42" w:rsidRPr="000A3095">
        <w:t>In comparison, our Agriculture Sector Linkages Program</w:t>
      </w:r>
      <w:r w:rsidR="00E63915" w:rsidRPr="000A3095">
        <w:t xml:space="preserve"> (ASLP)</w:t>
      </w:r>
      <w:r w:rsidR="000E3C42" w:rsidRPr="000A3095">
        <w:t xml:space="preserve"> </w:t>
      </w:r>
      <w:r w:rsidR="00DC6F36" w:rsidRPr="000A3095">
        <w:t>concluded with</w:t>
      </w:r>
      <w:r w:rsidR="00A900E2" w:rsidRPr="000A3095">
        <w:t xml:space="preserve"> </w:t>
      </w:r>
      <w:r w:rsidR="006F644E" w:rsidRPr="000A3095">
        <w:t xml:space="preserve">limited </w:t>
      </w:r>
      <w:r w:rsidR="003B1D7E" w:rsidRPr="000A3095">
        <w:t>evidence of benefit for poor small-holder farmers</w:t>
      </w:r>
      <w:r w:rsidR="00DC6F36" w:rsidRPr="000A3095">
        <w:t xml:space="preserve">, </w:t>
      </w:r>
      <w:r w:rsidR="003B1D7E" w:rsidRPr="000A3095">
        <w:t>particularly women</w:t>
      </w:r>
      <w:r w:rsidR="00CC2ED7" w:rsidRPr="000A3095">
        <w:t>.  T</w:t>
      </w:r>
      <w:r w:rsidR="0073217D" w:rsidRPr="000A3095">
        <w:t xml:space="preserve">he </w:t>
      </w:r>
      <w:r w:rsidR="00E63915" w:rsidRPr="000A3095">
        <w:t>M</w:t>
      </w:r>
      <w:r w:rsidR="000A3095">
        <w:t xml:space="preserve">arket </w:t>
      </w:r>
      <w:r w:rsidR="00E63915" w:rsidRPr="000A3095">
        <w:t>D</w:t>
      </w:r>
      <w:r w:rsidR="000A3095">
        <w:t xml:space="preserve">evelopment </w:t>
      </w:r>
      <w:r w:rsidR="00E63915" w:rsidRPr="000A3095">
        <w:t>F</w:t>
      </w:r>
      <w:r w:rsidR="000A3095">
        <w:t>acility</w:t>
      </w:r>
      <w:r w:rsidR="00E63915" w:rsidRPr="000A3095">
        <w:t xml:space="preserve"> struggled to translate </w:t>
      </w:r>
      <w:r w:rsidR="00CC2ED7" w:rsidRPr="000A3095">
        <w:t>its analysis</w:t>
      </w:r>
      <w:r w:rsidR="00A900E2" w:rsidRPr="000A3095">
        <w:t xml:space="preserve"> into </w:t>
      </w:r>
      <w:proofErr w:type="gramStart"/>
      <w:r w:rsidR="00A900E2" w:rsidRPr="000A3095">
        <w:t>practic</w:t>
      </w:r>
      <w:r w:rsidR="00E63915" w:rsidRPr="000A3095">
        <w:t>e</w:t>
      </w:r>
      <w:r w:rsidR="00CC2ED7" w:rsidRPr="000A3095">
        <w:t>,</w:t>
      </w:r>
      <w:proofErr w:type="gramEnd"/>
      <w:r w:rsidR="00CC2ED7" w:rsidRPr="000A3095">
        <w:t xml:space="preserve"> however establishment of the first women-only</w:t>
      </w:r>
      <w:r w:rsidR="00CC2ED7" w:rsidRPr="00CC2ED7">
        <w:t xml:space="preserve"> stitching line in a shoe factory may demonstrate broader potential for participation of women in the manufacturing sector.</w:t>
      </w:r>
      <w:r w:rsidR="00CC2ED7">
        <w:rPr>
          <w:color w:val="FF0000"/>
        </w:rPr>
        <w:t xml:space="preserve">  </w:t>
      </w:r>
      <w:r w:rsidR="006F644E" w:rsidRPr="00E63915">
        <w:t>We will continue to advocate for improved performance on gender equality with program partners, including</w:t>
      </w:r>
      <w:r w:rsidR="006F644E" w:rsidRPr="008B3BC3">
        <w:t xml:space="preserve"> collection of sex disaggregated data, </w:t>
      </w:r>
      <w:r w:rsidR="001954D7">
        <w:t xml:space="preserve">explicit gender targets and indicators in </w:t>
      </w:r>
      <w:r w:rsidR="006F644E" w:rsidRPr="008B3BC3">
        <w:t xml:space="preserve">reporting, and </w:t>
      </w:r>
      <w:r w:rsidR="001954D7">
        <w:t>adequate</w:t>
      </w:r>
      <w:r w:rsidR="001954D7" w:rsidRPr="008B3BC3">
        <w:t xml:space="preserve"> </w:t>
      </w:r>
      <w:r w:rsidR="006F644E" w:rsidRPr="008B3BC3">
        <w:t xml:space="preserve">gender </w:t>
      </w:r>
      <w:r w:rsidR="001954D7">
        <w:t>expertise</w:t>
      </w:r>
      <w:r w:rsidR="001954D7" w:rsidRPr="008B3BC3">
        <w:t xml:space="preserve"> </w:t>
      </w:r>
      <w:r w:rsidR="00F17F34">
        <w:t>in</w:t>
      </w:r>
      <w:r w:rsidR="006F644E" w:rsidRPr="008B3BC3">
        <w:t xml:space="preserve"> </w:t>
      </w:r>
      <w:r w:rsidR="001954D7">
        <w:t>investment delivery</w:t>
      </w:r>
      <w:r w:rsidR="006F644E" w:rsidRPr="008B3BC3">
        <w:t>.</w:t>
      </w:r>
      <w:r w:rsidR="00F72C40">
        <w:t xml:space="preserve"> </w:t>
      </w:r>
    </w:p>
    <w:p w:rsidR="008B3BC3" w:rsidRPr="008B3BC3" w:rsidRDefault="003F2EBB" w:rsidP="008B3BC3">
      <w:r>
        <w:t>In</w:t>
      </w:r>
      <w:r w:rsidR="001954D7">
        <w:t xml:space="preserve"> 2015-16, we continued to strengthen partner collaboration and integration of investments across this portfolio</w:t>
      </w:r>
      <w:r>
        <w:t xml:space="preserve">, </w:t>
      </w:r>
      <w:r w:rsidR="001954D7">
        <w:t xml:space="preserve">to </w:t>
      </w:r>
      <w:r w:rsidR="000A3095">
        <w:t>make best use of</w:t>
      </w:r>
      <w:r w:rsidR="008B3BC3" w:rsidRPr="008B3BC3">
        <w:t xml:space="preserve"> each </w:t>
      </w:r>
      <w:r>
        <w:t>partners’</w:t>
      </w:r>
      <w:r w:rsidR="001954D7">
        <w:t xml:space="preserve"> </w:t>
      </w:r>
      <w:r w:rsidR="00A25962">
        <w:t xml:space="preserve">knowledge </w:t>
      </w:r>
      <w:r w:rsidR="001954D7">
        <w:t xml:space="preserve">and </w:t>
      </w:r>
      <w:r w:rsidR="008B3BC3" w:rsidRPr="008B3BC3">
        <w:t>expertise</w:t>
      </w:r>
      <w:r w:rsidR="00844F38">
        <w:t xml:space="preserve"> for better outcomes.</w:t>
      </w:r>
      <w:r w:rsidR="008B3BC3" w:rsidRPr="008B3BC3">
        <w:t xml:space="preserve"> </w:t>
      </w:r>
      <w:r>
        <w:t>This</w:t>
      </w:r>
      <w:r w:rsidR="001954D7">
        <w:t xml:space="preserve"> culminated in </w:t>
      </w:r>
      <w:r w:rsidR="00DE7AE8">
        <w:t>a</w:t>
      </w:r>
      <w:r w:rsidR="00DE7AE8" w:rsidRPr="008B3BC3">
        <w:t xml:space="preserve"> </w:t>
      </w:r>
      <w:r w:rsidR="00B65E87">
        <w:t xml:space="preserve">workshop with </w:t>
      </w:r>
      <w:r w:rsidR="00A25962" w:rsidRPr="008B3BC3">
        <w:t xml:space="preserve">partners </w:t>
      </w:r>
      <w:r w:rsidR="008B3BC3" w:rsidRPr="008B3BC3">
        <w:t xml:space="preserve">to </w:t>
      </w:r>
      <w:r w:rsidR="00A25962">
        <w:t>exploit</w:t>
      </w:r>
      <w:r w:rsidR="00A25962" w:rsidRPr="008B3BC3">
        <w:t xml:space="preserve"> </w:t>
      </w:r>
      <w:r w:rsidR="008B3BC3" w:rsidRPr="008B3BC3">
        <w:t>synergies</w:t>
      </w:r>
      <w:r w:rsidR="001954D7">
        <w:t>,</w:t>
      </w:r>
      <w:r w:rsidR="008B3BC3" w:rsidRPr="008B3BC3">
        <w:t xml:space="preserve"> with a </w:t>
      </w:r>
      <w:r w:rsidR="00D31BBE">
        <w:t xml:space="preserve">specific </w:t>
      </w:r>
      <w:r w:rsidR="008B3BC3" w:rsidRPr="008B3BC3">
        <w:t xml:space="preserve">focus </w:t>
      </w:r>
      <w:r w:rsidR="001954D7">
        <w:t xml:space="preserve">on </w:t>
      </w:r>
      <w:r w:rsidR="008B3BC3" w:rsidRPr="008B3BC3">
        <w:t>gender outcomes and the link between nutrition</w:t>
      </w:r>
      <w:r w:rsidR="001954D7">
        <w:t>, agricultural development</w:t>
      </w:r>
      <w:r w:rsidR="00DD012C">
        <w:t>, water resources management</w:t>
      </w:r>
      <w:r w:rsidR="008B3BC3" w:rsidRPr="008B3BC3">
        <w:t xml:space="preserve"> and economic growth.</w:t>
      </w:r>
    </w:p>
    <w:p w:rsidR="00D66BBB" w:rsidRPr="008B3BC3" w:rsidRDefault="00D66BBB" w:rsidP="00D66BBB">
      <w:pPr>
        <w:rPr>
          <w:b/>
        </w:rPr>
      </w:pPr>
      <w:r w:rsidRPr="008B3BC3">
        <w:rPr>
          <w:b/>
        </w:rPr>
        <w:t>Outcome two: Governments, enterprises and smallholders adopt evidence based agriculture, water and trade policy reforms</w:t>
      </w:r>
    </w:p>
    <w:p w:rsidR="00E0621B" w:rsidRDefault="003426FC" w:rsidP="00E0621B">
      <w:r w:rsidRPr="003426FC">
        <w:t>Australia continued its policy engagement to support reforms in agriculture, water and trade.</w:t>
      </w:r>
      <w:r w:rsidR="00D31BBE">
        <w:t xml:space="preserve"> </w:t>
      </w:r>
      <w:r w:rsidRPr="003426FC">
        <w:t xml:space="preserve">Our co-investment with FAO supported two conferences (farmers and livestock) in Balochistan in recognition of 2015 as the Year of Agriculture. These conferences brought together </w:t>
      </w:r>
      <w:r w:rsidR="000A3095">
        <w:t>g</w:t>
      </w:r>
      <w:r w:rsidRPr="003426FC">
        <w:t>overnment and farmers to identify solutions to stimulate agricultural development and to reach a consensus between livestock farmers and the federal and provincial governments on key issues that hamper livestock development in Balochistan.</w:t>
      </w:r>
      <w:r w:rsidR="00E0621B">
        <w:t xml:space="preserve"> In </w:t>
      </w:r>
      <w:r w:rsidR="00E0621B">
        <w:lastRenderedPageBreak/>
        <w:t xml:space="preserve">addition, </w:t>
      </w:r>
      <w:r w:rsidR="00E0621B" w:rsidRPr="003426FC">
        <w:t xml:space="preserve">FAO almost doubled program </w:t>
      </w:r>
      <w:r w:rsidR="00161488" w:rsidRPr="003426FC">
        <w:t>targets</w:t>
      </w:r>
      <w:r w:rsidR="00161488">
        <w:t xml:space="preserve"> for </w:t>
      </w:r>
      <w:r w:rsidR="00E0621B" w:rsidRPr="003426FC">
        <w:t xml:space="preserve">training farmers in advanced agricultural </w:t>
      </w:r>
      <w:r w:rsidR="00161488" w:rsidRPr="003426FC">
        <w:t xml:space="preserve">technologies </w:t>
      </w:r>
      <w:r w:rsidR="00161488">
        <w:t xml:space="preserve">and </w:t>
      </w:r>
      <w:r w:rsidR="00E0621B" w:rsidRPr="003426FC">
        <w:t xml:space="preserve">practices (training 7,582 people against a target of 3,810) and achieved </w:t>
      </w:r>
      <w:r w:rsidR="00161488">
        <w:t xml:space="preserve">a </w:t>
      </w:r>
      <w:r w:rsidR="00E0621B" w:rsidRPr="003426FC">
        <w:t>female participation rate of 67</w:t>
      </w:r>
      <w:r w:rsidR="00D45C4A">
        <w:t xml:space="preserve"> per cent</w:t>
      </w:r>
      <w:r w:rsidR="00E0621B" w:rsidRPr="003426FC">
        <w:t xml:space="preserve"> (well above the target of 40 </w:t>
      </w:r>
      <w:r w:rsidR="00D45C4A">
        <w:t>per cent</w:t>
      </w:r>
      <w:r w:rsidR="00E0621B" w:rsidRPr="003426FC">
        <w:t xml:space="preserve">). </w:t>
      </w:r>
    </w:p>
    <w:p w:rsidR="00E0621B" w:rsidRDefault="00E0621B" w:rsidP="00E0621B">
      <w:r w:rsidRPr="003426FC">
        <w:t xml:space="preserve">Australia continued to build networks </w:t>
      </w:r>
      <w:r w:rsidR="00844F38">
        <w:t xml:space="preserve">with </w:t>
      </w:r>
      <w:r w:rsidR="00654254" w:rsidRPr="003426FC">
        <w:t>P</w:t>
      </w:r>
      <w:r w:rsidR="00844F38">
        <w:t>akistan</w:t>
      </w:r>
      <w:r w:rsidR="00654254" w:rsidRPr="003426FC">
        <w:t>’s</w:t>
      </w:r>
      <w:r w:rsidRPr="003426FC">
        <w:t xml:space="preserve"> water management </w:t>
      </w:r>
      <w:r w:rsidR="001B1BE4">
        <w:t>sector</w:t>
      </w:r>
      <w:r w:rsidRPr="003426FC">
        <w:t xml:space="preserve">. Through the </w:t>
      </w:r>
      <w:r w:rsidR="00704CD1">
        <w:t>Australia- Pakistan Indus</w:t>
      </w:r>
      <w:r w:rsidR="00573D0E">
        <w:t xml:space="preserve"> </w:t>
      </w:r>
      <w:r w:rsidRPr="003426FC">
        <w:t xml:space="preserve">Water </w:t>
      </w:r>
      <w:r w:rsidR="00704CD1">
        <w:t xml:space="preserve">Resource </w:t>
      </w:r>
      <w:r w:rsidRPr="003426FC">
        <w:t>Management Project,</w:t>
      </w:r>
      <w:r w:rsidR="000F5A18">
        <w:t xml:space="preserve"> delivered by CSIRO,</w:t>
      </w:r>
      <w:r w:rsidRPr="003426FC">
        <w:t xml:space="preserve"> </w:t>
      </w:r>
      <w:r>
        <w:t xml:space="preserve">Australia </w:t>
      </w:r>
      <w:r w:rsidR="000F5A18">
        <w:t>is supporting</w:t>
      </w:r>
      <w:r w:rsidRPr="003426FC">
        <w:t xml:space="preserve"> the </w:t>
      </w:r>
      <w:r w:rsidR="000A3095">
        <w:t>Pakistan Government</w:t>
      </w:r>
      <w:r w:rsidRPr="003426FC">
        <w:t xml:space="preserve"> to implement a new National Water Policy which includes a proposal to establish a National Water Commission</w:t>
      </w:r>
      <w:r w:rsidR="000A3095">
        <w:t xml:space="preserve"> drawing out the</w:t>
      </w:r>
      <w:r w:rsidRPr="003426FC">
        <w:t xml:space="preserve"> </w:t>
      </w:r>
      <w:r w:rsidR="000A3095">
        <w:t>model</w:t>
      </w:r>
      <w:r w:rsidR="00704CD1">
        <w:t xml:space="preserve"> </w:t>
      </w:r>
      <w:r w:rsidR="003F2EBB">
        <w:t>o</w:t>
      </w:r>
      <w:r w:rsidR="000A3095">
        <w:t>f</w:t>
      </w:r>
      <w:r w:rsidR="003F2EBB">
        <w:t xml:space="preserve"> </w:t>
      </w:r>
      <w:r w:rsidR="003F2EBB" w:rsidRPr="003426FC">
        <w:t>Australia’s</w:t>
      </w:r>
      <w:r w:rsidRPr="003426FC">
        <w:t xml:space="preserve"> Murray Darling Basin Authority.</w:t>
      </w:r>
      <w:r w:rsidR="00844F38">
        <w:rPr>
          <w:rStyle w:val="FootnoteReference"/>
        </w:rPr>
        <w:footnoteReference w:id="27"/>
      </w:r>
      <w:r w:rsidRPr="003426FC">
        <w:t xml:space="preserve"> </w:t>
      </w:r>
    </w:p>
    <w:p w:rsidR="00D31BBE" w:rsidRDefault="003426FC" w:rsidP="003426FC">
      <w:r w:rsidRPr="00C11FB1">
        <w:t xml:space="preserve">2015-16 was the </w:t>
      </w:r>
      <w:r w:rsidRPr="000A3095">
        <w:t>final year of the Agricultural Sector Linkages Program</w:t>
      </w:r>
      <w:r w:rsidR="00A25962" w:rsidRPr="000A3095">
        <w:t xml:space="preserve"> (ASLP)</w:t>
      </w:r>
      <w:r w:rsidRPr="000A3095">
        <w:t xml:space="preserve"> Phase II</w:t>
      </w:r>
      <w:r w:rsidR="000F5A18" w:rsidRPr="000A3095">
        <w:t>,</w:t>
      </w:r>
      <w:r w:rsidRPr="000A3095">
        <w:t xml:space="preserve"> delivered </w:t>
      </w:r>
      <w:r w:rsidR="006B09E1" w:rsidRPr="000A3095">
        <w:t xml:space="preserve">by </w:t>
      </w:r>
      <w:r w:rsidR="00A25962" w:rsidRPr="000A3095">
        <w:t xml:space="preserve">the </w:t>
      </w:r>
      <w:r w:rsidR="00D31BBE" w:rsidRPr="000A3095">
        <w:t>A</w:t>
      </w:r>
      <w:r w:rsidR="00A25962" w:rsidRPr="000A3095">
        <w:t xml:space="preserve">ustralian Centre for International Agricultural </w:t>
      </w:r>
      <w:r w:rsidR="004E2C86" w:rsidRPr="000A3095">
        <w:t>Research</w:t>
      </w:r>
      <w:r w:rsidR="00A25962" w:rsidRPr="000A3095">
        <w:t xml:space="preserve"> (ACIAR)</w:t>
      </w:r>
      <w:r w:rsidR="00006C45" w:rsidRPr="000A3095">
        <w:t xml:space="preserve">.  </w:t>
      </w:r>
      <w:r w:rsidR="00A25962" w:rsidRPr="000A3095">
        <w:t>Over eight years and two phases, the program generated significant government buy-in, with Pakistan investing $178 million in complementary projects modelled on ASLP since the program was initiated in 2006</w:t>
      </w:r>
      <w:r w:rsidR="00844F38" w:rsidRPr="000A3095">
        <w:t>.</w:t>
      </w:r>
      <w:r w:rsidR="00A25962" w:rsidRPr="000A3095">
        <w:rPr>
          <w:rStyle w:val="FootnoteReference"/>
        </w:rPr>
        <w:footnoteReference w:id="28"/>
      </w:r>
      <w:r w:rsidR="00844F38" w:rsidRPr="000A3095">
        <w:t xml:space="preserve"> </w:t>
      </w:r>
      <w:r w:rsidR="003B1D7E" w:rsidRPr="000A3095">
        <w:t xml:space="preserve"> </w:t>
      </w:r>
      <w:r w:rsidR="000A3095" w:rsidRPr="000A3095">
        <w:t>While</w:t>
      </w:r>
      <w:r w:rsidR="00A25962" w:rsidRPr="000A3095">
        <w:t xml:space="preserve"> </w:t>
      </w:r>
      <w:r w:rsidR="003B6E46" w:rsidRPr="000A3095">
        <w:t>delivering</w:t>
      </w:r>
      <w:r w:rsidRPr="000A3095">
        <w:t xml:space="preserve"> </w:t>
      </w:r>
      <w:r w:rsidR="00A25962" w:rsidRPr="000A3095">
        <w:t xml:space="preserve">good </w:t>
      </w:r>
      <w:r w:rsidRPr="000A3095">
        <w:t>research outcomes</w:t>
      </w:r>
      <w:r w:rsidR="003B1D7E" w:rsidRPr="000A3095">
        <w:t xml:space="preserve"> and increased agricultural capability</w:t>
      </w:r>
      <w:r w:rsidRPr="000A3095">
        <w:t xml:space="preserve">, </w:t>
      </w:r>
      <w:r w:rsidR="00A25962" w:rsidRPr="000A3095">
        <w:t>the program</w:t>
      </w:r>
      <w:r w:rsidR="00006C45" w:rsidRPr="000A3095">
        <w:t xml:space="preserve"> </w:t>
      </w:r>
      <w:r w:rsidR="003B1D7E" w:rsidRPr="000A3095">
        <w:t xml:space="preserve">could not demonstrate </w:t>
      </w:r>
      <w:r w:rsidRPr="000A3095">
        <w:t>improve</w:t>
      </w:r>
      <w:r w:rsidR="00006C45" w:rsidRPr="000A3095">
        <w:t>d</w:t>
      </w:r>
      <w:r w:rsidRPr="000A3095">
        <w:t xml:space="preserve"> livelihoods </w:t>
      </w:r>
      <w:r w:rsidR="00006C45" w:rsidRPr="000A3095">
        <w:t xml:space="preserve">for </w:t>
      </w:r>
      <w:r w:rsidRPr="000A3095">
        <w:t>poor</w:t>
      </w:r>
      <w:r w:rsidR="003B1D7E" w:rsidRPr="000A3095">
        <w:t xml:space="preserve"> smallholder farmers as intended</w:t>
      </w:r>
      <w:r w:rsidR="00844F38" w:rsidRPr="000A3095">
        <w:t xml:space="preserve">. </w:t>
      </w:r>
      <w:r w:rsidR="003F2EBB" w:rsidRPr="000A3095">
        <w:t>Consequently</w:t>
      </w:r>
      <w:r w:rsidR="00DE7AE8" w:rsidRPr="000A3095">
        <w:t xml:space="preserve">, </w:t>
      </w:r>
      <w:r w:rsidR="00A25962" w:rsidRPr="000A3095">
        <w:t>DFAT worked closely w</w:t>
      </w:r>
      <w:r w:rsidR="00844F38" w:rsidRPr="000A3095">
        <w:t xml:space="preserve">ith ACIAR in design of the new </w:t>
      </w:r>
      <w:r w:rsidR="00A25962" w:rsidRPr="000A3095">
        <w:t>Agricultural Value Chain Collaborative Research</w:t>
      </w:r>
      <w:r w:rsidR="00A25962" w:rsidRPr="004E2C86">
        <w:t xml:space="preserve"> Program (AVCCR) to </w:t>
      </w:r>
      <w:r w:rsidR="0091208E" w:rsidRPr="004E2C86">
        <w:t xml:space="preserve">focus </w:t>
      </w:r>
      <w:r w:rsidR="00A25962" w:rsidRPr="004E2C86">
        <w:t>on pro-poor value chains</w:t>
      </w:r>
      <w:r w:rsidR="0091208E" w:rsidRPr="004E2C86">
        <w:t>, understanding and increasing benefits to women</w:t>
      </w:r>
      <w:r w:rsidR="00844F38">
        <w:t>,</w:t>
      </w:r>
      <w:r w:rsidR="0091208E" w:rsidRPr="004E2C86">
        <w:t xml:space="preserve"> and appropriate monitoring and evaluation</w:t>
      </w:r>
      <w:r w:rsidR="00844F38">
        <w:t>.</w:t>
      </w:r>
    </w:p>
    <w:p w:rsidR="00D66BBB" w:rsidRDefault="00D66BBB" w:rsidP="00D66BBB">
      <w:pPr>
        <w:rPr>
          <w:b/>
        </w:rPr>
      </w:pPr>
      <w:r w:rsidRPr="008B3BC3">
        <w:rPr>
          <w:b/>
        </w:rPr>
        <w:t xml:space="preserve">Outcome three: Reduction in the time, cost and bureaucracy </w:t>
      </w:r>
      <w:r w:rsidR="00847845">
        <w:rPr>
          <w:b/>
        </w:rPr>
        <w:t>of</w:t>
      </w:r>
      <w:r w:rsidRPr="008B3BC3">
        <w:rPr>
          <w:b/>
        </w:rPr>
        <w:t xml:space="preserve"> movement of goods across target borders</w:t>
      </w:r>
    </w:p>
    <w:p w:rsidR="00157A95" w:rsidRPr="00157A95" w:rsidRDefault="00157A95" w:rsidP="00157A95">
      <w:pPr>
        <w:rPr>
          <w:color w:val="595959" w:themeColor="text1" w:themeTint="A6"/>
        </w:rPr>
      </w:pPr>
      <w:r w:rsidRPr="00157A95">
        <w:rPr>
          <w:color w:val="595959" w:themeColor="text1" w:themeTint="A6"/>
        </w:rPr>
        <w:t>Progress over the first year of Australia’s partnership with the World Bank to support efforts to increase regional trade and investment has been slower than expected</w:t>
      </w:r>
      <w:r w:rsidR="00844F38">
        <w:rPr>
          <w:color w:val="595959" w:themeColor="text1" w:themeTint="A6"/>
        </w:rPr>
        <w:t xml:space="preserve">. </w:t>
      </w:r>
      <w:r w:rsidR="002C6779">
        <w:rPr>
          <w:color w:val="595959" w:themeColor="text1" w:themeTint="A6"/>
        </w:rPr>
        <w:t xml:space="preserve">Commencement was delayed by several </w:t>
      </w:r>
      <w:r w:rsidR="00654254">
        <w:rPr>
          <w:color w:val="595959" w:themeColor="text1" w:themeTint="A6"/>
        </w:rPr>
        <w:t xml:space="preserve">months. </w:t>
      </w:r>
      <w:r w:rsidR="00654254" w:rsidRPr="00157A95">
        <w:rPr>
          <w:color w:val="595959" w:themeColor="text1" w:themeTint="A6"/>
        </w:rPr>
        <w:t>Several</w:t>
      </w:r>
      <w:r w:rsidRPr="00157A95">
        <w:rPr>
          <w:color w:val="595959" w:themeColor="text1" w:themeTint="A6"/>
        </w:rPr>
        <w:t xml:space="preserve"> studies have been completed or are underway to inform a comprehensive mid-</w:t>
      </w:r>
      <w:r w:rsidR="004A241A" w:rsidRPr="00157A95">
        <w:rPr>
          <w:color w:val="595959" w:themeColor="text1" w:themeTint="A6"/>
        </w:rPr>
        <w:t>term regional</w:t>
      </w:r>
      <w:r w:rsidRPr="00157A95">
        <w:rPr>
          <w:color w:val="595959" w:themeColor="text1" w:themeTint="A6"/>
        </w:rPr>
        <w:t xml:space="preserve"> trade strategy</w:t>
      </w:r>
      <w:r w:rsidR="002C6779">
        <w:rPr>
          <w:color w:val="595959" w:themeColor="text1" w:themeTint="A6"/>
        </w:rPr>
        <w:t xml:space="preserve">.  </w:t>
      </w:r>
      <w:r w:rsidR="00654254">
        <w:rPr>
          <w:color w:val="595959" w:themeColor="text1" w:themeTint="A6"/>
        </w:rPr>
        <w:t xml:space="preserve">This </w:t>
      </w:r>
      <w:r w:rsidR="00654254" w:rsidRPr="00157A95">
        <w:rPr>
          <w:color w:val="595959" w:themeColor="text1" w:themeTint="A6"/>
        </w:rPr>
        <w:t>will</w:t>
      </w:r>
      <w:r w:rsidRPr="00157A95">
        <w:rPr>
          <w:color w:val="595959" w:themeColor="text1" w:themeTint="A6"/>
        </w:rPr>
        <w:t xml:space="preserve"> form the basis of </w:t>
      </w:r>
      <w:r w:rsidR="002C6779">
        <w:rPr>
          <w:color w:val="595959" w:themeColor="text1" w:themeTint="A6"/>
        </w:rPr>
        <w:t>a</w:t>
      </w:r>
      <w:r w:rsidR="002C6779" w:rsidRPr="00157A95">
        <w:rPr>
          <w:color w:val="595959" w:themeColor="text1" w:themeTint="A6"/>
        </w:rPr>
        <w:t xml:space="preserve"> review of the Ministry of Commerce to provide recommendations to improve trade policy in Pakistan, </w:t>
      </w:r>
      <w:r w:rsidR="002C6779">
        <w:rPr>
          <w:color w:val="595959" w:themeColor="text1" w:themeTint="A6"/>
        </w:rPr>
        <w:t>as a</w:t>
      </w:r>
      <w:r w:rsidR="00844F38">
        <w:rPr>
          <w:color w:val="595959" w:themeColor="text1" w:themeTint="A6"/>
        </w:rPr>
        <w:t xml:space="preserve"> program objective. </w:t>
      </w:r>
      <w:r w:rsidR="000A3095">
        <w:rPr>
          <w:color w:val="595959" w:themeColor="text1" w:themeTint="A6"/>
        </w:rPr>
        <w:t>D</w:t>
      </w:r>
      <w:r w:rsidR="002C6779" w:rsidRPr="00157A95">
        <w:rPr>
          <w:color w:val="595959" w:themeColor="text1" w:themeTint="A6"/>
        </w:rPr>
        <w:t xml:space="preserve">ue </w:t>
      </w:r>
      <w:r w:rsidRPr="00157A95">
        <w:rPr>
          <w:color w:val="595959" w:themeColor="text1" w:themeTint="A6"/>
        </w:rPr>
        <w:t>to the complex political and security environment, the program would benefit from a political engagement component to maximise the technical research and improve the institutional capacity being delivered.</w:t>
      </w:r>
      <w:r w:rsidR="002C6779">
        <w:rPr>
          <w:rStyle w:val="FootnoteReference"/>
          <w:color w:val="595959" w:themeColor="text1" w:themeTint="A6"/>
        </w:rPr>
        <w:footnoteReference w:id="29"/>
      </w:r>
      <w:r w:rsidRPr="00157A95">
        <w:rPr>
          <w:color w:val="595959" w:themeColor="text1" w:themeTint="A6"/>
        </w:rPr>
        <w:t xml:space="preserve">  </w:t>
      </w:r>
    </w:p>
    <w:p w:rsidR="00157A95" w:rsidRDefault="004E5CCC" w:rsidP="00157A95">
      <w:pPr>
        <w:rPr>
          <w:color w:val="595959" w:themeColor="text1" w:themeTint="A6"/>
        </w:rPr>
      </w:pPr>
      <w:r>
        <w:rPr>
          <w:color w:val="595959" w:themeColor="text1" w:themeTint="A6"/>
        </w:rPr>
        <w:t>A</w:t>
      </w:r>
      <w:r w:rsidR="002C6779" w:rsidRPr="00157A95">
        <w:rPr>
          <w:color w:val="595959" w:themeColor="text1" w:themeTint="A6"/>
        </w:rPr>
        <w:t>naly</w:t>
      </w:r>
      <w:r w:rsidR="002C6779">
        <w:rPr>
          <w:color w:val="595959" w:themeColor="text1" w:themeTint="A6"/>
        </w:rPr>
        <w:t>sis</w:t>
      </w:r>
      <w:r w:rsidR="002C6779" w:rsidRPr="00157A95">
        <w:rPr>
          <w:color w:val="595959" w:themeColor="text1" w:themeTint="A6"/>
        </w:rPr>
        <w:t xml:space="preserve"> </w:t>
      </w:r>
      <w:r w:rsidR="00157A95" w:rsidRPr="00157A95">
        <w:rPr>
          <w:color w:val="595959" w:themeColor="text1" w:themeTint="A6"/>
        </w:rPr>
        <w:t xml:space="preserve">produced </w:t>
      </w:r>
      <w:r>
        <w:rPr>
          <w:color w:val="595959" w:themeColor="text1" w:themeTint="A6"/>
        </w:rPr>
        <w:t xml:space="preserve">as a component of the project </w:t>
      </w:r>
      <w:r w:rsidR="002C6779">
        <w:rPr>
          <w:color w:val="595959" w:themeColor="text1" w:themeTint="A6"/>
        </w:rPr>
        <w:t>supported</w:t>
      </w:r>
      <w:r w:rsidR="00157A95" w:rsidRPr="00157A95">
        <w:rPr>
          <w:color w:val="595959" w:themeColor="text1" w:themeTint="A6"/>
        </w:rPr>
        <w:t xml:space="preserve"> recommendations on mainstreaming gender in trade; insights into </w:t>
      </w:r>
      <w:r w:rsidR="002C6779">
        <w:rPr>
          <w:color w:val="595959" w:themeColor="text1" w:themeTint="A6"/>
        </w:rPr>
        <w:t xml:space="preserve">the </w:t>
      </w:r>
      <w:r w:rsidR="00157A95" w:rsidRPr="00157A95">
        <w:rPr>
          <w:color w:val="595959" w:themeColor="text1" w:themeTint="A6"/>
        </w:rPr>
        <w:t xml:space="preserve">customs cargo clearance regime between Pakistan and Afghanistan; and export competitiveness and transit trade and quantitative analysis of the first round of Pakistan China Free Trade Agreement. </w:t>
      </w:r>
      <w:r w:rsidR="003B6E46">
        <w:rPr>
          <w:color w:val="595959" w:themeColor="text1" w:themeTint="A6"/>
        </w:rPr>
        <w:t>Implementation</w:t>
      </w:r>
      <w:r w:rsidR="00157A95" w:rsidRPr="00157A95">
        <w:rPr>
          <w:color w:val="595959" w:themeColor="text1" w:themeTint="A6"/>
        </w:rPr>
        <w:t xml:space="preserve"> is expected </w:t>
      </w:r>
      <w:r w:rsidR="0091208E">
        <w:rPr>
          <w:color w:val="595959" w:themeColor="text1" w:themeTint="A6"/>
        </w:rPr>
        <w:t>to</w:t>
      </w:r>
      <w:r w:rsidR="00157A95" w:rsidRPr="00157A95">
        <w:rPr>
          <w:color w:val="595959" w:themeColor="text1" w:themeTint="A6"/>
        </w:rPr>
        <w:t xml:space="preserve"> </w:t>
      </w:r>
      <w:r w:rsidR="0091208E">
        <w:rPr>
          <w:color w:val="595959" w:themeColor="text1" w:themeTint="A6"/>
        </w:rPr>
        <w:t>catch</w:t>
      </w:r>
      <w:r w:rsidR="0091208E" w:rsidRPr="00157A95">
        <w:rPr>
          <w:color w:val="595959" w:themeColor="text1" w:themeTint="A6"/>
        </w:rPr>
        <w:t xml:space="preserve"> </w:t>
      </w:r>
      <w:r w:rsidR="00157A95" w:rsidRPr="00157A95">
        <w:rPr>
          <w:color w:val="595959" w:themeColor="text1" w:themeTint="A6"/>
        </w:rPr>
        <w:t xml:space="preserve">up as the program </w:t>
      </w:r>
      <w:r w:rsidR="0091208E">
        <w:rPr>
          <w:color w:val="595959" w:themeColor="text1" w:themeTint="A6"/>
        </w:rPr>
        <w:t>supports</w:t>
      </w:r>
      <w:r w:rsidR="002C6779">
        <w:rPr>
          <w:color w:val="595959" w:themeColor="text1" w:themeTint="A6"/>
        </w:rPr>
        <w:t xml:space="preserve"> </w:t>
      </w:r>
      <w:r w:rsidR="0091208E">
        <w:rPr>
          <w:color w:val="595959" w:themeColor="text1" w:themeTint="A6"/>
        </w:rPr>
        <w:t xml:space="preserve">development of </w:t>
      </w:r>
      <w:r w:rsidR="002C6779">
        <w:rPr>
          <w:color w:val="595959" w:themeColor="text1" w:themeTint="A6"/>
        </w:rPr>
        <w:t>policies based on this analysis</w:t>
      </w:r>
      <w:r w:rsidR="00157A95" w:rsidRPr="00157A95">
        <w:rPr>
          <w:color w:val="595959" w:themeColor="text1" w:themeTint="A6"/>
        </w:rPr>
        <w:t>.</w:t>
      </w:r>
      <w:r w:rsidR="00157A95" w:rsidRPr="00157A95">
        <w:rPr>
          <w:rStyle w:val="FootnoteReference"/>
          <w:color w:val="595959" w:themeColor="text1" w:themeTint="A6"/>
        </w:rPr>
        <w:footnoteReference w:id="30"/>
      </w:r>
      <w:r w:rsidR="00157A95" w:rsidRPr="00157A95">
        <w:rPr>
          <w:color w:val="595959" w:themeColor="text1" w:themeTint="A6"/>
        </w:rPr>
        <w:t xml:space="preserve"> In </w:t>
      </w:r>
      <w:r w:rsidR="00456F58">
        <w:rPr>
          <w:color w:val="595959" w:themeColor="text1" w:themeTint="A6"/>
        </w:rPr>
        <w:t>2016-17</w:t>
      </w:r>
      <w:r w:rsidR="0091208E">
        <w:rPr>
          <w:color w:val="595959" w:themeColor="text1" w:themeTint="A6"/>
        </w:rPr>
        <w:t>,</w:t>
      </w:r>
      <w:r w:rsidR="00157A95" w:rsidRPr="00157A95">
        <w:rPr>
          <w:color w:val="595959" w:themeColor="text1" w:themeTint="A6"/>
        </w:rPr>
        <w:t xml:space="preserve"> DFAT will conduct an independent review of the program to examine </w:t>
      </w:r>
      <w:r w:rsidR="002C6779">
        <w:rPr>
          <w:color w:val="595959" w:themeColor="text1" w:themeTint="A6"/>
        </w:rPr>
        <w:t>progress</w:t>
      </w:r>
      <w:r w:rsidR="002C6779" w:rsidRPr="00157A95">
        <w:rPr>
          <w:color w:val="595959" w:themeColor="text1" w:themeTint="A6"/>
        </w:rPr>
        <w:t xml:space="preserve"> </w:t>
      </w:r>
      <w:r w:rsidR="0091208E">
        <w:rPr>
          <w:color w:val="595959" w:themeColor="text1" w:themeTint="A6"/>
        </w:rPr>
        <w:t xml:space="preserve">and effectiveness, including </w:t>
      </w:r>
      <w:r w:rsidR="00157A95" w:rsidRPr="00157A95">
        <w:rPr>
          <w:color w:val="595959" w:themeColor="text1" w:themeTint="A6"/>
        </w:rPr>
        <w:t xml:space="preserve">options </w:t>
      </w:r>
      <w:r w:rsidR="002C6779">
        <w:rPr>
          <w:color w:val="595959" w:themeColor="text1" w:themeTint="A6"/>
        </w:rPr>
        <w:t xml:space="preserve">for improving </w:t>
      </w:r>
      <w:r w:rsidR="000A3095">
        <w:rPr>
          <w:color w:val="595959" w:themeColor="text1" w:themeTint="A6"/>
        </w:rPr>
        <w:t xml:space="preserve">its </w:t>
      </w:r>
      <w:r w:rsidR="002C6779">
        <w:rPr>
          <w:color w:val="595959" w:themeColor="text1" w:themeTint="A6"/>
        </w:rPr>
        <w:t>impact</w:t>
      </w:r>
      <w:r w:rsidR="0091208E">
        <w:rPr>
          <w:color w:val="595959" w:themeColor="text1" w:themeTint="A6"/>
        </w:rPr>
        <w:t xml:space="preserve"> through</w:t>
      </w:r>
      <w:r w:rsidR="004E2C86">
        <w:rPr>
          <w:color w:val="595959" w:themeColor="text1" w:themeTint="A6"/>
        </w:rPr>
        <w:t xml:space="preserve"> </w:t>
      </w:r>
      <w:r w:rsidR="0091208E">
        <w:rPr>
          <w:color w:val="595959" w:themeColor="text1" w:themeTint="A6"/>
        </w:rPr>
        <w:t>greater</w:t>
      </w:r>
      <w:r w:rsidR="004E2C86">
        <w:rPr>
          <w:color w:val="595959" w:themeColor="text1" w:themeTint="A6"/>
        </w:rPr>
        <w:t xml:space="preserve"> </w:t>
      </w:r>
      <w:r w:rsidR="00BF2E23">
        <w:rPr>
          <w:color w:val="595959" w:themeColor="text1" w:themeTint="A6"/>
        </w:rPr>
        <w:t>political engagement</w:t>
      </w:r>
      <w:r w:rsidR="0091208E">
        <w:rPr>
          <w:color w:val="595959" w:themeColor="text1" w:themeTint="A6"/>
        </w:rPr>
        <w:t>.</w:t>
      </w:r>
    </w:p>
    <w:p w:rsidR="00552B9A" w:rsidRPr="003B0793" w:rsidRDefault="00552B9A" w:rsidP="00552B9A">
      <w:pPr>
        <w:spacing w:before="20" w:after="20" w:line="180" w:lineRule="atLeast"/>
        <w:jc w:val="both"/>
        <w:rPr>
          <w:rFonts w:eastAsia="Times New Roman"/>
          <w:b/>
          <w:sz w:val="14"/>
          <w:szCs w:val="14"/>
        </w:rPr>
      </w:pPr>
      <w:r w:rsidRPr="003B0793">
        <w:rPr>
          <w:rFonts w:eastAsia="Times New Roman"/>
          <w:b/>
          <w:sz w:val="14"/>
          <w:szCs w:val="14"/>
        </w:rPr>
        <w:t xml:space="preserve">  </w:t>
      </w:r>
    </w:p>
    <w:p w:rsidR="00D32314" w:rsidRPr="003B6E46" w:rsidRDefault="00D66BBB" w:rsidP="002A51CA">
      <w:pPr>
        <w:spacing w:after="120" w:line="280" w:lineRule="exact"/>
        <w:rPr>
          <w:rFonts w:asciiTheme="majorHAnsi" w:eastAsiaTheme="majorEastAsia" w:hAnsiTheme="majorHAnsi" w:cstheme="majorBidi"/>
          <w:b/>
          <w:caps/>
          <w:sz w:val="28"/>
          <w:szCs w:val="28"/>
        </w:rPr>
      </w:pPr>
      <w:r w:rsidRPr="003B6E46">
        <w:rPr>
          <w:rFonts w:asciiTheme="majorHAnsi" w:eastAsiaTheme="majorEastAsia" w:hAnsiTheme="majorHAnsi" w:cstheme="majorBidi"/>
          <w:b/>
          <w:caps/>
          <w:sz w:val="28"/>
          <w:szCs w:val="28"/>
        </w:rPr>
        <w:t xml:space="preserve">Objective 2: </w:t>
      </w:r>
      <w:r w:rsidRPr="00552B9A">
        <w:rPr>
          <w:b/>
          <w:sz w:val="28"/>
          <w:szCs w:val="28"/>
        </w:rPr>
        <w:t xml:space="preserve">Investing in </w:t>
      </w:r>
      <w:r w:rsidR="002C6779" w:rsidRPr="00552B9A">
        <w:rPr>
          <w:b/>
          <w:sz w:val="28"/>
          <w:szCs w:val="28"/>
        </w:rPr>
        <w:t>P</w:t>
      </w:r>
      <w:r w:rsidRPr="00552B9A">
        <w:rPr>
          <w:b/>
          <w:sz w:val="28"/>
          <w:szCs w:val="28"/>
        </w:rPr>
        <w:t>akistan’s people through health and education</w:t>
      </w:r>
    </w:p>
    <w:p w:rsidR="004A241A" w:rsidRDefault="004A241A" w:rsidP="004A241A">
      <w:pPr>
        <w:spacing w:after="120" w:line="280" w:lineRule="exact"/>
        <w:rPr>
          <w:rFonts w:asciiTheme="majorHAnsi" w:eastAsiaTheme="majorEastAsia" w:hAnsiTheme="majorHAnsi" w:cstheme="majorBidi"/>
          <w:caps/>
          <w:sz w:val="38"/>
          <w:szCs w:val="26"/>
        </w:rPr>
      </w:pPr>
      <w:r>
        <w:t xml:space="preserve">Our key education and ending violence against women investments are performing </w:t>
      </w:r>
      <w:r w:rsidR="00CB32F9">
        <w:t>well</w:t>
      </w:r>
      <w:r w:rsidR="00BF43E5">
        <w:t xml:space="preserve">, </w:t>
      </w:r>
      <w:r w:rsidR="00654254">
        <w:t>achieving their</w:t>
      </w:r>
      <w:r>
        <w:t xml:space="preserve"> targets in the </w:t>
      </w:r>
      <w:r w:rsidR="000A3095">
        <w:t xml:space="preserve">Performance </w:t>
      </w:r>
      <w:r>
        <w:t>A</w:t>
      </w:r>
      <w:r w:rsidR="000A3095">
        <w:t xml:space="preserve">ssessment </w:t>
      </w:r>
      <w:r>
        <w:t>F</w:t>
      </w:r>
      <w:r w:rsidR="000A3095">
        <w:t>ramework</w:t>
      </w:r>
      <w:r>
        <w:t xml:space="preserve">. </w:t>
      </w:r>
      <w:r w:rsidR="00654254">
        <w:t>However</w:t>
      </w:r>
      <w:r w:rsidR="00BF43E5">
        <w:t>, t</w:t>
      </w:r>
      <w:r w:rsidRPr="00665B75">
        <w:t xml:space="preserve">his objective rated </w:t>
      </w:r>
      <w:r>
        <w:t>a</w:t>
      </w:r>
      <w:r w:rsidRPr="00665B75">
        <w:t>mber because</w:t>
      </w:r>
      <w:r>
        <w:t xml:space="preserve"> </w:t>
      </w:r>
      <w:r w:rsidR="00BF43E5">
        <w:t xml:space="preserve">while </w:t>
      </w:r>
      <w:r>
        <w:t xml:space="preserve">we saw some renewed progress in our nutrition investment in Balochistan in 2016, there remain </w:t>
      </w:r>
      <w:r w:rsidR="00654254">
        <w:t>serious delays</w:t>
      </w:r>
      <w:r>
        <w:t xml:space="preserve"> in </w:t>
      </w:r>
      <w:r w:rsidR="003B6E46">
        <w:t>its</w:t>
      </w:r>
      <w:r w:rsidR="001B1BE4">
        <w:t xml:space="preserve"> </w:t>
      </w:r>
      <w:r>
        <w:t xml:space="preserve">implementation, particularly in KP, due to weak government capacity and political impasse. In addition, our </w:t>
      </w:r>
      <w:r w:rsidR="006008A2">
        <w:t xml:space="preserve">infant, </w:t>
      </w:r>
      <w:r>
        <w:t xml:space="preserve">maternal and child health investment </w:t>
      </w:r>
      <w:r w:rsidR="006008A2">
        <w:t>was disrupted by</w:t>
      </w:r>
      <w:r>
        <w:t xml:space="preserve"> sudden closure in </w:t>
      </w:r>
      <w:r w:rsidR="00654254">
        <w:t>Balochistan</w:t>
      </w:r>
      <w:r>
        <w:t xml:space="preserve"> in</w:t>
      </w:r>
      <w:r w:rsidR="00226CE9">
        <w:t xml:space="preserve"> </w:t>
      </w:r>
      <w:r>
        <w:t xml:space="preserve">2015, and </w:t>
      </w:r>
      <w:r w:rsidR="006008A2">
        <w:t xml:space="preserve">a </w:t>
      </w:r>
      <w:r>
        <w:t xml:space="preserve">later shift to Sindh Province in 2016, as a result of increased regulation of INGO operations in Pakistan. </w:t>
      </w:r>
    </w:p>
    <w:p w:rsidR="00C225E5" w:rsidRPr="00BD4875" w:rsidRDefault="00C225E5" w:rsidP="002A51CA">
      <w:pPr>
        <w:spacing w:after="120" w:line="280" w:lineRule="exact"/>
        <w:rPr>
          <w:b/>
        </w:rPr>
      </w:pPr>
      <w:r w:rsidRPr="00BD4875">
        <w:rPr>
          <w:b/>
        </w:rPr>
        <w:t>Outcome four:</w:t>
      </w:r>
      <w:r w:rsidR="00FF4980" w:rsidRPr="00BD4875">
        <w:rPr>
          <w:b/>
        </w:rPr>
        <w:t xml:space="preserve"> More girls and boys in target districts complete basic education, and have higher learning outcomes</w:t>
      </w:r>
    </w:p>
    <w:p w:rsidR="00BD4875" w:rsidRPr="00BD4875" w:rsidRDefault="006030F5" w:rsidP="00DB2F3D">
      <w:pPr>
        <w:widowControl w:val="0"/>
      </w:pPr>
      <w:r>
        <w:t>Our education portfolio</w:t>
      </w:r>
      <w:r w:rsidR="000A3095">
        <w:t xml:space="preserve"> was</w:t>
      </w:r>
      <w:r>
        <w:t xml:space="preserve"> consolidated significantly in the reporting period, following the conclusion of several investments and budget re-</w:t>
      </w:r>
      <w:r w:rsidR="003F2EBB">
        <w:t>prioritisation</w:t>
      </w:r>
      <w:r>
        <w:t xml:space="preserve">.  We </w:t>
      </w:r>
      <w:r w:rsidR="00DF58D3">
        <w:t>retain</w:t>
      </w:r>
      <w:r>
        <w:t xml:space="preserve"> </w:t>
      </w:r>
      <w:r w:rsidR="0030678C">
        <w:t>one</w:t>
      </w:r>
      <w:r>
        <w:t xml:space="preserve"> </w:t>
      </w:r>
      <w:r w:rsidR="00BD4875" w:rsidRPr="00BD4875">
        <w:t xml:space="preserve">major </w:t>
      </w:r>
      <w:r w:rsidR="003F2EBB" w:rsidRPr="00BD4875">
        <w:t>investment in</w:t>
      </w:r>
      <w:r w:rsidR="00BD4875" w:rsidRPr="00BD4875">
        <w:t xml:space="preserve"> delegated cooperation with the UK</w:t>
      </w:r>
      <w:r w:rsidR="001B1BE4">
        <w:t>—</w:t>
      </w:r>
      <w:r w:rsidR="00DF58D3">
        <w:t xml:space="preserve"> the </w:t>
      </w:r>
      <w:r w:rsidR="00DF58D3" w:rsidRPr="00BD4875">
        <w:t>Khyber Pakhtunkhwa</w:t>
      </w:r>
      <w:r w:rsidR="00DF58D3">
        <w:t xml:space="preserve"> Education </w:t>
      </w:r>
      <w:r w:rsidR="00014482">
        <w:t>Sector</w:t>
      </w:r>
      <w:r w:rsidR="00DF58D3">
        <w:t xml:space="preserve"> Program (KESP</w:t>
      </w:r>
      <w:r w:rsidR="00654254">
        <w:t xml:space="preserve">). </w:t>
      </w:r>
      <w:r w:rsidRPr="00BD4875">
        <w:t>Five years</w:t>
      </w:r>
      <w:r>
        <w:t xml:space="preserve"> into this program,</w:t>
      </w:r>
      <w:r w:rsidRPr="00BD4875">
        <w:t xml:space="preserve"> </w:t>
      </w:r>
      <w:r w:rsidR="00BD4875" w:rsidRPr="00BD4875">
        <w:t xml:space="preserve">we are seeing progress in strengthening the </w:t>
      </w:r>
      <w:r w:rsidR="00654254">
        <w:t>provincial</w:t>
      </w:r>
      <w:r w:rsidR="00BD4875" w:rsidRPr="00BD4875">
        <w:t xml:space="preserve"> education system in a challenging environment. In 2015-</w:t>
      </w:r>
      <w:r w:rsidR="00BD4875" w:rsidRPr="00BD4875">
        <w:lastRenderedPageBreak/>
        <w:t>16</w:t>
      </w:r>
      <w:r w:rsidR="00DF58D3">
        <w:t>,</w:t>
      </w:r>
      <w:r w:rsidR="00BD4875" w:rsidRPr="00BD4875">
        <w:t xml:space="preserve"> we began to see the benefits of </w:t>
      </w:r>
      <w:r w:rsidR="00DF58D3">
        <w:t>a</w:t>
      </w:r>
      <w:r w:rsidR="00DF58D3" w:rsidRPr="00BD4875">
        <w:t xml:space="preserve"> </w:t>
      </w:r>
      <w:r w:rsidR="00BD4875" w:rsidRPr="00BD4875">
        <w:t xml:space="preserve">shift in the program’s focus from governance to providing access to quality education. </w:t>
      </w:r>
      <w:r w:rsidRPr="00BD4875">
        <w:t>Overall</w:t>
      </w:r>
      <w:r w:rsidR="00DF58D3">
        <w:t>,</w:t>
      </w:r>
      <w:r w:rsidRPr="00BD4875">
        <w:t xml:space="preserve"> KESP is supporting over 4 million children </w:t>
      </w:r>
      <w:r w:rsidR="001B1BE4">
        <w:t xml:space="preserve">in KP </w:t>
      </w:r>
      <w:r w:rsidRPr="00BD4875">
        <w:t>to</w:t>
      </w:r>
      <w:r w:rsidR="000A3095">
        <w:t xml:space="preserve"> get</w:t>
      </w:r>
      <w:r w:rsidRPr="00BD4875">
        <w:t xml:space="preserve"> access </w:t>
      </w:r>
      <w:r w:rsidR="000A3095">
        <w:t xml:space="preserve">to </w:t>
      </w:r>
      <w:r w:rsidRPr="00BD4875">
        <w:t>improved education.</w:t>
      </w:r>
      <w:r>
        <w:t xml:space="preserve"> </w:t>
      </w:r>
      <w:r w:rsidR="00BD4875" w:rsidRPr="00BD4875">
        <w:t>Australia’s contribution directly supported an additional 37,569 children, including 16,100 girls</w:t>
      </w:r>
      <w:r w:rsidR="00BD4875" w:rsidRPr="00BD4875">
        <w:rPr>
          <w:rStyle w:val="FootnoteReference"/>
        </w:rPr>
        <w:footnoteReference w:id="31"/>
      </w:r>
      <w:r w:rsidR="00BD4875" w:rsidRPr="00BD4875">
        <w:t xml:space="preserve"> </w:t>
      </w:r>
      <w:r w:rsidR="000A3095">
        <w:t xml:space="preserve">, </w:t>
      </w:r>
      <w:r w:rsidR="00BD4875" w:rsidRPr="00BD4875">
        <w:t xml:space="preserve">enrolling in school, exceeding the target of 23,000 children including 10,000 girls. </w:t>
      </w:r>
    </w:p>
    <w:p w:rsidR="00BD4875" w:rsidRPr="00BD4875" w:rsidRDefault="000A3095" w:rsidP="00BD4875">
      <w:r>
        <w:t>Helping to e</w:t>
      </w:r>
      <w:r w:rsidR="00BD4875" w:rsidRPr="00BD4875">
        <w:t>nsur</w:t>
      </w:r>
      <w:r>
        <w:t>e</w:t>
      </w:r>
      <w:r w:rsidR="00BD4875" w:rsidRPr="00BD4875">
        <w:t xml:space="preserve"> there were sufficient schools for students to attend across the province with qualified teachers remained a priority. </w:t>
      </w:r>
      <w:r w:rsidR="00DF58D3">
        <w:t>In 2015-16</w:t>
      </w:r>
      <w:r w:rsidR="00BD4875" w:rsidRPr="00BD4875">
        <w:t xml:space="preserve">, KESP supported the reopening of 58 per cent of non-functional schools (against a target of 50 per cent) reducing the number of non-functional schools to 257; over 55 per cent of surplus teachers were re-deployed to primary schools with teacher shortages with the aim of ensuring a minimum ratio of 1 teacher per 40 students; and 81 per cent of teachers in target districts </w:t>
      </w:r>
      <w:r w:rsidR="000D14EA">
        <w:t>received</w:t>
      </w:r>
      <w:r w:rsidR="00BD4875" w:rsidRPr="00BD4875">
        <w:t xml:space="preserve"> training.    </w:t>
      </w:r>
    </w:p>
    <w:p w:rsidR="00BD4875" w:rsidRPr="00BD4875" w:rsidRDefault="00BD4875" w:rsidP="00BD4875">
      <w:r w:rsidRPr="00BD4875">
        <w:t>We continued to advocate for girls education. Across KP, 1</w:t>
      </w:r>
      <w:r w:rsidR="003B6E46">
        <w:t>,</w:t>
      </w:r>
      <w:r w:rsidRPr="00BD4875">
        <w:t>413 Girls Community Schools were established to reduce gender disparity and promote access to education for children, particularly girls, in under</w:t>
      </w:r>
      <w:r w:rsidR="00DF58D3">
        <w:t>-</w:t>
      </w:r>
      <w:r w:rsidRPr="00BD4875">
        <w:t xml:space="preserve">served areas of the province. Over 68,399 students (45,368 girls and 23,031 boys) are enrolled and a recent study confirmed grade 2 students in </w:t>
      </w:r>
      <w:r w:rsidR="00DF58D3" w:rsidRPr="00BD4875">
        <w:t>girl</w:t>
      </w:r>
      <w:r w:rsidR="00DF58D3">
        <w:t>s’</w:t>
      </w:r>
      <w:r w:rsidR="00DF58D3" w:rsidRPr="00BD4875">
        <w:t xml:space="preserve"> </w:t>
      </w:r>
      <w:r w:rsidRPr="00BD4875">
        <w:t>community schools performed on par with government schools.</w:t>
      </w:r>
      <w:r w:rsidR="00844F38" w:rsidRPr="00BD4875">
        <w:rPr>
          <w:rStyle w:val="FootnoteReference"/>
        </w:rPr>
        <w:footnoteReference w:id="32"/>
      </w:r>
      <w:r w:rsidRPr="00BD4875">
        <w:t xml:space="preserve"> Australia will continue to advocate for inclusive education systems to ensure gender equality is prioritised.</w:t>
      </w:r>
    </w:p>
    <w:p w:rsidR="00BD4875" w:rsidRDefault="00DF1C09" w:rsidP="00BD4875">
      <w:r>
        <w:rPr>
          <w:rFonts w:eastAsia="Times New Roman"/>
        </w:rPr>
        <w:t xml:space="preserve">The school infrastructure component, </w:t>
      </w:r>
      <w:r>
        <w:t>a focus of Australian support,</w:t>
      </w:r>
      <w:r>
        <w:rPr>
          <w:rFonts w:eastAsia="Times New Roman"/>
        </w:rPr>
        <w:t xml:space="preserve"> </w:t>
      </w:r>
      <w:r>
        <w:t>is</w:t>
      </w:r>
      <w:r w:rsidRPr="00BD4875">
        <w:t xml:space="preserve"> </w:t>
      </w:r>
      <w:r w:rsidR="00D76417">
        <w:t>two</w:t>
      </w:r>
      <w:r w:rsidRPr="00BD4875">
        <w:t xml:space="preserve"> years </w:t>
      </w:r>
      <w:r>
        <w:t>behind due to difficulties</w:t>
      </w:r>
      <w:r w:rsidRPr="00BD4875">
        <w:t xml:space="preserve"> </w:t>
      </w:r>
      <w:r>
        <w:t>in government</w:t>
      </w:r>
      <w:r w:rsidRPr="00BD4875">
        <w:t xml:space="preserve"> approval</w:t>
      </w:r>
      <w:r>
        <w:t>s</w:t>
      </w:r>
      <w:r w:rsidRPr="00BD4875">
        <w:t xml:space="preserve"> and an increase in construction costs</w:t>
      </w:r>
      <w:r>
        <w:rPr>
          <w:rFonts w:eastAsia="Times New Roman"/>
        </w:rPr>
        <w:t xml:space="preserve">. As at June 2016, construction had commenced in 241 schools (65 high schools and 176 primary schools) with </w:t>
      </w:r>
      <w:r w:rsidR="00CB32F9">
        <w:rPr>
          <w:rFonts w:eastAsia="Times New Roman"/>
        </w:rPr>
        <w:t xml:space="preserve">87 </w:t>
      </w:r>
      <w:r>
        <w:rPr>
          <w:rFonts w:eastAsia="Times New Roman"/>
        </w:rPr>
        <w:t>schools completed, of a target of 320. With the scope of construction now agreed with the Go</w:t>
      </w:r>
      <w:r w:rsidR="00951C10">
        <w:rPr>
          <w:rFonts w:eastAsia="Times New Roman"/>
        </w:rPr>
        <w:t xml:space="preserve">vernment of </w:t>
      </w:r>
      <w:r>
        <w:rPr>
          <w:rFonts w:eastAsia="Times New Roman"/>
        </w:rPr>
        <w:t>K</w:t>
      </w:r>
      <w:r w:rsidR="00951C10">
        <w:rPr>
          <w:rFonts w:eastAsia="Times New Roman"/>
        </w:rPr>
        <w:t>hyber Pakhtunkhwa (GoKP)</w:t>
      </w:r>
      <w:r>
        <w:rPr>
          <w:rFonts w:eastAsia="Times New Roman"/>
        </w:rPr>
        <w:t xml:space="preserve">, </w:t>
      </w:r>
      <w:r w:rsidR="003C5F33">
        <w:rPr>
          <w:rFonts w:eastAsia="Times New Roman"/>
        </w:rPr>
        <w:t>we expect progress will pick up rapidly</w:t>
      </w:r>
      <w:r w:rsidR="00D76417">
        <w:rPr>
          <w:rFonts w:eastAsia="Times New Roman"/>
        </w:rPr>
        <w:t>.</w:t>
      </w:r>
      <w:r>
        <w:rPr>
          <w:rFonts w:eastAsia="Times New Roman"/>
        </w:rPr>
        <w:t xml:space="preserve"> A contract extension will be negotiated in </w:t>
      </w:r>
      <w:r w:rsidR="00456F58">
        <w:rPr>
          <w:rFonts w:eastAsia="Times New Roman"/>
        </w:rPr>
        <w:t>2016-17</w:t>
      </w:r>
      <w:r>
        <w:rPr>
          <w:rFonts w:eastAsia="Times New Roman"/>
        </w:rPr>
        <w:t xml:space="preserve"> to compensate for delays.</w:t>
      </w:r>
      <w:r w:rsidR="00D76417">
        <w:t xml:space="preserve"> </w:t>
      </w:r>
      <w:r w:rsidR="006030F5">
        <w:t>C</w:t>
      </w:r>
      <w:r w:rsidR="00BD4875" w:rsidRPr="00BD4875">
        <w:t xml:space="preserve">onditional grants were issued to 15,736 Parent Teacher Committees (against a program target of 4500) to improve small-scale school infrastructure including electricity, water, toilets and boundary walls. </w:t>
      </w:r>
    </w:p>
    <w:p w:rsidR="00FF4980" w:rsidRDefault="00BD4875" w:rsidP="00BD4875">
      <w:r w:rsidRPr="00BD4875">
        <w:t xml:space="preserve">KESP is beginning to show some significant signs of success, including improved sector planning and budget execution. This momentum will </w:t>
      </w:r>
      <w:r w:rsidR="0007556B">
        <w:t xml:space="preserve">now </w:t>
      </w:r>
      <w:r w:rsidRPr="00BD4875">
        <w:t xml:space="preserve">need to be maintained over a longer period to </w:t>
      </w:r>
      <w:r w:rsidR="00BF43E5">
        <w:t>embed changes and</w:t>
      </w:r>
      <w:r w:rsidRPr="00BD4875">
        <w:t xml:space="preserve"> implement education access and quality</w:t>
      </w:r>
      <w:r w:rsidR="00BF43E5" w:rsidRPr="00BF43E5">
        <w:t xml:space="preserve"> </w:t>
      </w:r>
      <w:r w:rsidR="00BF43E5" w:rsidRPr="00BD4875">
        <w:t>reforms</w:t>
      </w:r>
      <w:r w:rsidRPr="00BD4875">
        <w:t>, particularly for girls.</w:t>
      </w:r>
      <w:r>
        <w:t xml:space="preserve"> </w:t>
      </w:r>
    </w:p>
    <w:p w:rsidR="00FF4980" w:rsidRPr="00BD4875" w:rsidRDefault="00FF4980" w:rsidP="002A51CA">
      <w:pPr>
        <w:spacing w:after="120" w:line="280" w:lineRule="exact"/>
        <w:rPr>
          <w:b/>
        </w:rPr>
      </w:pPr>
      <w:r w:rsidRPr="00BD4875">
        <w:rPr>
          <w:b/>
        </w:rPr>
        <w:t>Outcome five: More citizens, particularly women and children, in target districts receive nutrition-related services</w:t>
      </w:r>
    </w:p>
    <w:p w:rsidR="007F5805" w:rsidRPr="00BD4875" w:rsidRDefault="00DD012C" w:rsidP="00BD4875">
      <w:r>
        <w:t>Australia</w:t>
      </w:r>
      <w:r w:rsidR="00BD4875" w:rsidRPr="00BD4875">
        <w:t xml:space="preserve"> works with the World Bank to increase capacity of </w:t>
      </w:r>
      <w:r w:rsidR="00F126CB" w:rsidRPr="00BD4875">
        <w:t xml:space="preserve">governments </w:t>
      </w:r>
      <w:r w:rsidR="00F126CB">
        <w:t xml:space="preserve">in the </w:t>
      </w:r>
      <w:r w:rsidR="00F126CB" w:rsidRPr="00BD4875">
        <w:t xml:space="preserve">provinces of </w:t>
      </w:r>
      <w:r w:rsidR="00654254">
        <w:t>Balochistan</w:t>
      </w:r>
      <w:r w:rsidR="00F126CB" w:rsidRPr="00BD4875">
        <w:t xml:space="preserve"> and KP </w:t>
      </w:r>
      <w:r w:rsidR="00654254" w:rsidRPr="00BD4875">
        <w:t>to</w:t>
      </w:r>
      <w:r w:rsidR="00BD4875" w:rsidRPr="00BD4875">
        <w:t xml:space="preserve"> address </w:t>
      </w:r>
      <w:r w:rsidR="00F126CB">
        <w:t>poor nutrition</w:t>
      </w:r>
      <w:r w:rsidR="00BD4875" w:rsidRPr="00BD4875">
        <w:t xml:space="preserve">. Our </w:t>
      </w:r>
      <w:r w:rsidR="00895691">
        <w:t xml:space="preserve">Nutrition Trust Fund </w:t>
      </w:r>
      <w:r w:rsidR="00BD4875" w:rsidRPr="00BD4875">
        <w:t>investment faced continued challenges</w:t>
      </w:r>
      <w:r w:rsidR="00BF43E5">
        <w:t xml:space="preserve"> and overall deterioration of progress in the year,</w:t>
      </w:r>
      <w:r w:rsidR="00BD4875" w:rsidRPr="00BD4875">
        <w:t xml:space="preserve"> working through low capacity government systems</w:t>
      </w:r>
      <w:r w:rsidR="00F126CB">
        <w:t>,</w:t>
      </w:r>
      <w:r w:rsidR="00BD4875" w:rsidRPr="00BD4875">
        <w:t xml:space="preserve"> </w:t>
      </w:r>
      <w:r w:rsidR="00895691" w:rsidRPr="00BD4875">
        <w:t xml:space="preserve">but nevertheless made </w:t>
      </w:r>
      <w:r w:rsidR="00895691">
        <w:t xml:space="preserve">some </w:t>
      </w:r>
      <w:r w:rsidR="00895691" w:rsidRPr="00BD4875">
        <w:t>incremental gains</w:t>
      </w:r>
      <w:r w:rsidR="005A652A">
        <w:t xml:space="preserve"> in provincial government capacity</w:t>
      </w:r>
      <w:r w:rsidR="00BD4875" w:rsidRPr="00BD4875">
        <w:t xml:space="preserve">. </w:t>
      </w:r>
      <w:r w:rsidR="00895691">
        <w:t>While well behind schedule,</w:t>
      </w:r>
      <w:r w:rsidR="00895691" w:rsidRPr="00895691">
        <w:t xml:space="preserve"> </w:t>
      </w:r>
      <w:r w:rsidR="00895691">
        <w:t>n</w:t>
      </w:r>
      <w:r w:rsidR="00BD4875" w:rsidRPr="00BD4875">
        <w:t>utrition related service delivery commenced in Balochistan</w:t>
      </w:r>
      <w:r w:rsidR="00895691" w:rsidRPr="00895691">
        <w:t xml:space="preserve"> </w:t>
      </w:r>
      <w:r w:rsidR="00895691">
        <w:t>i</w:t>
      </w:r>
      <w:r w:rsidR="00895691" w:rsidRPr="00BD4875">
        <w:t xml:space="preserve">n </w:t>
      </w:r>
      <w:r w:rsidR="00895691">
        <w:t>2016</w:t>
      </w:r>
      <w:r w:rsidR="003F2EBB">
        <w:t>.</w:t>
      </w:r>
      <w:r w:rsidR="00192B2C">
        <w:t xml:space="preserve">  Over </w:t>
      </w:r>
      <w:r w:rsidR="00BD4875" w:rsidRPr="00BD4875">
        <w:t xml:space="preserve">304, 000 children aged 6-59 months were provided with Vitamin A </w:t>
      </w:r>
      <w:r w:rsidR="00951C10">
        <w:t>s</w:t>
      </w:r>
      <w:r w:rsidR="00BD4875" w:rsidRPr="00BD4875">
        <w:t>upplementation, almost doubling the first year’s program target of 155,940.</w:t>
      </w:r>
      <w:r w:rsidR="00844F38" w:rsidRPr="00844F38">
        <w:rPr>
          <w:rStyle w:val="FootnoteReference"/>
        </w:rPr>
        <w:t xml:space="preserve"> </w:t>
      </w:r>
      <w:r w:rsidR="00844F38" w:rsidRPr="00BD4875">
        <w:rPr>
          <w:rStyle w:val="FootnoteReference"/>
        </w:rPr>
        <w:footnoteReference w:id="33"/>
      </w:r>
      <w:r w:rsidR="00BD4875" w:rsidRPr="00BD4875">
        <w:t xml:space="preserve"> </w:t>
      </w:r>
      <w:r w:rsidR="003F5094">
        <w:t>E</w:t>
      </w:r>
      <w:r w:rsidR="007F5805">
        <w:t>ducation and information sharing on nutrition related practices has commenced</w:t>
      </w:r>
      <w:r w:rsidR="007F5805" w:rsidRPr="00BD4875" w:rsidDel="00201C1D">
        <w:t xml:space="preserve"> </w:t>
      </w:r>
      <w:r w:rsidR="007F5805" w:rsidRPr="00BD4875">
        <w:t xml:space="preserve">in all 55 basic health units across </w:t>
      </w:r>
      <w:r w:rsidR="00951C10">
        <w:t>seven</w:t>
      </w:r>
      <w:r w:rsidR="007F5805" w:rsidRPr="00BD4875">
        <w:t xml:space="preserve"> districts through </w:t>
      </w:r>
      <w:r w:rsidR="007F5805">
        <w:t xml:space="preserve">the lady health visitors </w:t>
      </w:r>
      <w:r w:rsidR="0007556B">
        <w:t xml:space="preserve">component of </w:t>
      </w:r>
      <w:r w:rsidR="007F5805">
        <w:t>the People’s Primary Health Care Initiative</w:t>
      </w:r>
      <w:r w:rsidR="007F5805" w:rsidRPr="00BD4875">
        <w:rPr>
          <w:rStyle w:val="FootnoteReference"/>
        </w:rPr>
        <w:footnoteReference w:id="34"/>
      </w:r>
      <w:r w:rsidR="007F5805">
        <w:t xml:space="preserve">. </w:t>
      </w:r>
    </w:p>
    <w:p w:rsidR="00BD4875" w:rsidRDefault="00BD4875" w:rsidP="00BD4875">
      <w:r w:rsidRPr="00BD4875">
        <w:t xml:space="preserve">The Government of </w:t>
      </w:r>
      <w:r w:rsidR="00654254">
        <w:t>Balochistan</w:t>
      </w:r>
      <w:r w:rsidR="00654254" w:rsidRPr="00BD4875">
        <w:t>’s</w:t>
      </w:r>
      <w:r w:rsidR="00EE6946" w:rsidRPr="00BD4875">
        <w:t xml:space="preserve"> </w:t>
      </w:r>
      <w:r w:rsidRPr="00BD4875">
        <w:t>(GoB) com</w:t>
      </w:r>
      <w:r w:rsidR="00192B2C">
        <w:t>mitment to nutrition</w:t>
      </w:r>
      <w:r w:rsidRPr="00BD4875">
        <w:t xml:space="preserve"> increased substantially over the past year, indicating the </w:t>
      </w:r>
      <w:r w:rsidR="00192B2C">
        <w:t xml:space="preserve">GoB is realising the </w:t>
      </w:r>
      <w:r w:rsidR="0007556B">
        <w:t xml:space="preserve">development </w:t>
      </w:r>
      <w:r w:rsidR="00192B2C">
        <w:t xml:space="preserve">significance of </w:t>
      </w:r>
      <w:r w:rsidR="0007556B">
        <w:t>under-</w:t>
      </w:r>
      <w:r w:rsidR="00192B2C">
        <w:t>nutrition</w:t>
      </w:r>
      <w:r w:rsidRPr="00BD4875">
        <w:t xml:space="preserve">. </w:t>
      </w:r>
      <w:r w:rsidR="00456F58">
        <w:t>2015-16</w:t>
      </w:r>
      <w:r w:rsidR="00844F38">
        <w:t xml:space="preserve"> </w:t>
      </w:r>
      <w:r w:rsidRPr="00BD4875">
        <w:t xml:space="preserve">was the first year the GoB released budget of PKR 106 million (approx. AUD 1.4 million) for nutrition in its Annual Development Plan and in </w:t>
      </w:r>
      <w:r w:rsidR="00456F58">
        <w:t>2016-17</w:t>
      </w:r>
      <w:r w:rsidRPr="00BD4875">
        <w:t xml:space="preserve"> an additional PKR 96 million (approx. AUD1.2million)</w:t>
      </w:r>
      <w:r w:rsidR="00192B2C">
        <w:t xml:space="preserve"> was allocated</w:t>
      </w:r>
      <w:r w:rsidRPr="00BD4875">
        <w:t xml:space="preserve">. </w:t>
      </w:r>
      <w:r w:rsidR="00192B2C">
        <w:t>However</w:t>
      </w:r>
      <w:r w:rsidRPr="00BD4875">
        <w:t>, service delivery in K</w:t>
      </w:r>
      <w:r w:rsidR="00951C10">
        <w:t xml:space="preserve">hyber </w:t>
      </w:r>
      <w:r w:rsidR="00951C10" w:rsidRPr="00BD4875">
        <w:t>P</w:t>
      </w:r>
      <w:r w:rsidR="00951C10">
        <w:t>akhtunkhwa</w:t>
      </w:r>
      <w:r w:rsidR="00895691">
        <w:t xml:space="preserve"> has not commenced</w:t>
      </w:r>
      <w:r w:rsidRPr="00BD4875">
        <w:t xml:space="preserve"> </w:t>
      </w:r>
      <w:r w:rsidR="00895691">
        <w:t>as a</w:t>
      </w:r>
      <w:r w:rsidRPr="00BD4875">
        <w:t xml:space="preserve"> </w:t>
      </w:r>
      <w:r w:rsidR="007F5805">
        <w:t xml:space="preserve">revised </w:t>
      </w:r>
      <w:r w:rsidR="00F126CB">
        <w:t>province-</w:t>
      </w:r>
      <w:r w:rsidR="00F126CB" w:rsidRPr="00BD4875">
        <w:t xml:space="preserve">wide </w:t>
      </w:r>
      <w:r w:rsidRPr="00BD4875">
        <w:t xml:space="preserve">integrated health and nutrition development plan </w:t>
      </w:r>
      <w:r w:rsidR="00895691">
        <w:t>has not been approved</w:t>
      </w:r>
      <w:r w:rsidR="003F2EBB" w:rsidRPr="00BD4875">
        <w:t>.</w:t>
      </w:r>
      <w:r w:rsidRPr="00BD4875">
        <w:t xml:space="preserve">  </w:t>
      </w:r>
      <w:r w:rsidR="00895691">
        <w:t>Through its</w:t>
      </w:r>
      <w:r w:rsidR="0007556B" w:rsidRPr="0007556B">
        <w:t xml:space="preserve"> </w:t>
      </w:r>
      <w:r w:rsidR="0007556B">
        <w:t>Nutrition Trust</w:t>
      </w:r>
      <w:r w:rsidR="00895691">
        <w:t xml:space="preserve"> Fund engagement and in direct discussion</w:t>
      </w:r>
      <w:r w:rsidR="00EE6946">
        <w:t>,</w:t>
      </w:r>
      <w:r w:rsidR="00895691">
        <w:t xml:space="preserve"> </w:t>
      </w:r>
      <w:r w:rsidRPr="00BD4875">
        <w:t xml:space="preserve">Australia will continue to engage with the </w:t>
      </w:r>
      <w:r w:rsidR="003F2EBB" w:rsidRPr="00BD4875">
        <w:t>GoKP</w:t>
      </w:r>
      <w:r w:rsidR="003F2EBB">
        <w:t xml:space="preserve"> </w:t>
      </w:r>
      <w:r w:rsidR="003F2EBB" w:rsidRPr="00BD4875">
        <w:t>to</w:t>
      </w:r>
      <w:r w:rsidRPr="00BD4875">
        <w:t xml:space="preserve"> advocate for approval of the health and nutrition plan.</w:t>
      </w:r>
    </w:p>
    <w:p w:rsidR="004A241A" w:rsidRDefault="004A241A" w:rsidP="004A241A">
      <w:r>
        <w:lastRenderedPageBreak/>
        <w:t xml:space="preserve">An internal management review of our nutrition investment in 2015 resulted in successful negotiation with the </w:t>
      </w:r>
      <w:r w:rsidR="0007556B">
        <w:t xml:space="preserve">World </w:t>
      </w:r>
      <w:r>
        <w:t xml:space="preserve">Bank on management reforms to improve strategic and stakeholder management. </w:t>
      </w:r>
      <w:r w:rsidRPr="00BD4875">
        <w:t xml:space="preserve">Australia </w:t>
      </w:r>
      <w:r>
        <w:t xml:space="preserve">also </w:t>
      </w:r>
      <w:r w:rsidRPr="00BD4875">
        <w:t xml:space="preserve">worked closely with the Bank </w:t>
      </w:r>
      <w:r>
        <w:t>to establish an</w:t>
      </w:r>
      <w:r w:rsidRPr="00BD4875">
        <w:t xml:space="preserve"> overarching results framework for the program. </w:t>
      </w:r>
      <w:r>
        <w:t>W</w:t>
      </w:r>
      <w:r w:rsidRPr="00BD4875">
        <w:t xml:space="preserve">e have </w:t>
      </w:r>
      <w:r>
        <w:t>driven inclusion of</w:t>
      </w:r>
      <w:r w:rsidRPr="00BD4875">
        <w:t xml:space="preserve"> gender equality</w:t>
      </w:r>
      <w:r>
        <w:t xml:space="preserve"> indicators and sex disaggregated data in </w:t>
      </w:r>
      <w:r w:rsidRPr="00BD4875">
        <w:t>Dis</w:t>
      </w:r>
      <w:r>
        <w:t>trict Health Information Systems</w:t>
      </w:r>
      <w:r w:rsidRPr="00BD4875">
        <w:t xml:space="preserve"> in </w:t>
      </w:r>
      <w:r>
        <w:t>very</w:t>
      </w:r>
      <w:r w:rsidRPr="00BD4875">
        <w:t xml:space="preserve"> conservative areas of Pakistan</w:t>
      </w:r>
      <w:r>
        <w:t xml:space="preserve">, </w:t>
      </w:r>
      <w:r w:rsidR="00951C10">
        <w:t>but</w:t>
      </w:r>
      <w:r>
        <w:t xml:space="preserve"> </w:t>
      </w:r>
      <w:r w:rsidRPr="00BD4875">
        <w:t xml:space="preserve">it will take time to </w:t>
      </w:r>
      <w:r>
        <w:t xml:space="preserve">embed these changes in Balochistan and KP provincial government monitoring systems. </w:t>
      </w:r>
      <w:r w:rsidR="00F126CB">
        <w:t>Overall</w:t>
      </w:r>
      <w:r w:rsidR="00654254">
        <w:t>, the</w:t>
      </w:r>
      <w:r w:rsidR="00F126CB">
        <w:t xml:space="preserve"> diverging experiences of KP and </w:t>
      </w:r>
      <w:r w:rsidR="00654254">
        <w:t>Balochistan</w:t>
      </w:r>
      <w:r w:rsidR="00F126CB">
        <w:t xml:space="preserve"> suggest some re-scoping of the Fund’s activities, objectives and financial projections is now necessary.</w:t>
      </w:r>
    </w:p>
    <w:p w:rsidR="00EE6946" w:rsidRDefault="00951C10" w:rsidP="00BD4875">
      <w:r>
        <w:t>Australia’s</w:t>
      </w:r>
      <w:r w:rsidR="0007556B">
        <w:t xml:space="preserve"> </w:t>
      </w:r>
      <w:r w:rsidR="00F126CB">
        <w:t>Nutrition Trust Fund investment</w:t>
      </w:r>
      <w:r w:rsidR="00BD4875" w:rsidRPr="00BD4875">
        <w:t xml:space="preserve"> </w:t>
      </w:r>
      <w:r w:rsidR="00F126CB">
        <w:t>is</w:t>
      </w:r>
      <w:r w:rsidR="00F126CB" w:rsidRPr="00BD4875">
        <w:t xml:space="preserve"> </w:t>
      </w:r>
      <w:r w:rsidR="00BD4875" w:rsidRPr="00BD4875">
        <w:t>complemented by a</w:t>
      </w:r>
      <w:r w:rsidR="0007556B">
        <w:t>n Australian-</w:t>
      </w:r>
      <w:r w:rsidR="00BD4875" w:rsidRPr="00BD4875">
        <w:t>funded W</w:t>
      </w:r>
      <w:r w:rsidR="00192B2C">
        <w:t xml:space="preserve">orld </w:t>
      </w:r>
      <w:r w:rsidR="00BD4875" w:rsidRPr="00BD4875">
        <w:t>F</w:t>
      </w:r>
      <w:r w:rsidR="00192B2C">
        <w:t xml:space="preserve">ood </w:t>
      </w:r>
      <w:r w:rsidR="00BD4875" w:rsidRPr="00BD4875">
        <w:t>P</w:t>
      </w:r>
      <w:r w:rsidR="00192B2C">
        <w:t>rogramme (WFP)</w:t>
      </w:r>
      <w:r w:rsidR="00BD4875" w:rsidRPr="00BD4875">
        <w:t xml:space="preserve"> food fortification program.  In 2015-16, WFP deployed ten nutrition experts across four provinces to promote food fortification with federal and provincial governments and private sector partnerships for food fortification.</w:t>
      </w:r>
      <w:r w:rsidR="00284FEC">
        <w:t xml:space="preserve"> A National Food Fortification Strategy (including fortification standards), is being developed in consultation with provinces, federal government and development partners</w:t>
      </w:r>
      <w:r w:rsidR="00DE1AD6">
        <w:t xml:space="preserve"> </w:t>
      </w:r>
      <w:r w:rsidR="00DE1AD6" w:rsidRPr="00A90572">
        <w:t>and is on track</w:t>
      </w:r>
      <w:r w:rsidR="00284FEC" w:rsidRPr="00A90572">
        <w:t>.</w:t>
      </w:r>
      <w:r w:rsidR="000716A5" w:rsidRPr="00A90572">
        <w:rPr>
          <w:rStyle w:val="FootnoteReference"/>
        </w:rPr>
        <w:footnoteReference w:id="35"/>
      </w:r>
      <w:r w:rsidR="00284FEC" w:rsidRPr="00A90572">
        <w:t xml:space="preserve"> </w:t>
      </w:r>
      <w:r w:rsidR="00DE1AD6" w:rsidRPr="00A90572">
        <w:t>These</w:t>
      </w:r>
      <w:r w:rsidR="00DE1AD6" w:rsidRPr="00BD4875">
        <w:t xml:space="preserve"> efforts are showing early signs of take up</w:t>
      </w:r>
      <w:r w:rsidR="00DE1AD6" w:rsidRPr="007C6028">
        <w:t>.</w:t>
      </w:r>
      <w:r w:rsidR="00DE1AD6" w:rsidRPr="00761980">
        <w:t xml:space="preserve"> </w:t>
      </w:r>
      <w:r w:rsidR="00654254" w:rsidRPr="00BD4875">
        <w:t xml:space="preserve">In addition, </w:t>
      </w:r>
      <w:r w:rsidR="00DD012C">
        <w:t>Australia</w:t>
      </w:r>
      <w:r w:rsidR="00654254" w:rsidRPr="00BD4875">
        <w:t xml:space="preserve"> has led efforts to link WFP with our MDF partners to </w:t>
      </w:r>
      <w:r w:rsidR="00654254">
        <w:t>contribute to improved nutrition</w:t>
      </w:r>
      <w:r w:rsidR="00654254" w:rsidRPr="00BD4875">
        <w:t xml:space="preserve"> </w:t>
      </w:r>
      <w:r w:rsidR="00654254">
        <w:t>through</w:t>
      </w:r>
      <w:r w:rsidR="00654254" w:rsidRPr="00BD4875">
        <w:t xml:space="preserve"> </w:t>
      </w:r>
      <w:r w:rsidR="00654254">
        <w:t xml:space="preserve">food products. </w:t>
      </w:r>
      <w:r w:rsidR="00AE2B47">
        <w:t xml:space="preserve">There is an opportunity for increase </w:t>
      </w:r>
      <w:r w:rsidR="00AE2B47" w:rsidRPr="00360AC3">
        <w:t>nutrition-sensitive programming in Australia’s other aid investments with strong potential for nutrition outcomes</w:t>
      </w:r>
      <w:r w:rsidR="00AE2B47">
        <w:t xml:space="preserve">, and to coordinate with </w:t>
      </w:r>
      <w:r w:rsidR="00654254">
        <w:t xml:space="preserve">DFAT’s centrally managed, </w:t>
      </w:r>
      <w:r w:rsidR="00AE2B47">
        <w:t xml:space="preserve">Civil Society Water, </w:t>
      </w:r>
      <w:r w:rsidR="00654254">
        <w:t xml:space="preserve">Sanitation and Hygiene Fund in Pakistan. </w:t>
      </w:r>
    </w:p>
    <w:p w:rsidR="00BD4875" w:rsidRPr="00BD4875" w:rsidRDefault="003F2EBB" w:rsidP="00BD4875">
      <w:pPr>
        <w:rPr>
          <w:b/>
        </w:rPr>
      </w:pPr>
      <w:r w:rsidRPr="00BD4875">
        <w:rPr>
          <w:b/>
        </w:rPr>
        <w:t>Outcome</w:t>
      </w:r>
      <w:r w:rsidR="00BD4875" w:rsidRPr="00BD4875">
        <w:rPr>
          <w:b/>
        </w:rPr>
        <w:t xml:space="preserve"> six: Women have increased access to social services specific to their needs (maternal and neonatal health, counselling, and support services)</w:t>
      </w:r>
    </w:p>
    <w:p w:rsidR="00DE1AD6" w:rsidRPr="00C409D4" w:rsidRDefault="00951C10" w:rsidP="00DE1AD6">
      <w:r>
        <w:t>Australia’s</w:t>
      </w:r>
      <w:r w:rsidR="008B1C0C">
        <w:t xml:space="preserve"> </w:t>
      </w:r>
      <w:r w:rsidR="00DE1AD6">
        <w:t>Challenging Gender-</w:t>
      </w:r>
      <w:r w:rsidR="008B1C0C">
        <w:t>B</w:t>
      </w:r>
      <w:r w:rsidR="00DE1AD6">
        <w:t>ased Violence program continued to perform well in its second year. The program exceeded targets, with 3,813 survivors of gender</w:t>
      </w:r>
      <w:r w:rsidR="008B1C0C">
        <w:t>-</w:t>
      </w:r>
      <w:r w:rsidR="00DE1AD6">
        <w:t>based violence accessing quality support including temporary safe housing, counselling, health and legal services and livelihood support, against a target of 2,560.</w:t>
      </w:r>
      <w:r w:rsidR="000716A5">
        <w:rPr>
          <w:rStyle w:val="FootnoteReference"/>
        </w:rPr>
        <w:footnoteReference w:id="36"/>
      </w:r>
      <w:r w:rsidR="00DE1AD6">
        <w:t xml:space="preserve"> This is an increase of 33</w:t>
      </w:r>
      <w:r w:rsidR="000716A5">
        <w:t xml:space="preserve"> percent</w:t>
      </w:r>
      <w:r w:rsidR="00DE1AD6">
        <w:t xml:space="preserve"> from 2014-15.  </w:t>
      </w:r>
      <w:r w:rsidR="00DE1AD6" w:rsidRPr="00D96971">
        <w:t xml:space="preserve">In addition, 1045 police, judiciary, medical and legal officers were trained in handling gender based violence cases sensitively. </w:t>
      </w:r>
      <w:r w:rsidR="0000459D">
        <w:t xml:space="preserve"> However, i</w:t>
      </w:r>
      <w:r w:rsidR="00DE1AD6" w:rsidRPr="00D96971">
        <w:t xml:space="preserve">nstitutionalising and integrating gender sensitive training into </w:t>
      </w:r>
      <w:r w:rsidR="00DE1AD6">
        <w:t xml:space="preserve">police </w:t>
      </w:r>
      <w:r w:rsidR="00DE1AD6" w:rsidRPr="00D96971">
        <w:t>officer training courses remains very challenging</w:t>
      </w:r>
      <w:r w:rsidR="0000459D">
        <w:t xml:space="preserve">, and </w:t>
      </w:r>
      <w:r w:rsidR="0000459D" w:rsidRPr="00D96971">
        <w:t xml:space="preserve">it </w:t>
      </w:r>
      <w:r w:rsidR="0000459D">
        <w:t xml:space="preserve">was also </w:t>
      </w:r>
      <w:r w:rsidR="0000459D" w:rsidRPr="00D96971">
        <w:t>difficult to engage judges</w:t>
      </w:r>
      <w:r w:rsidR="00DE1AD6" w:rsidRPr="00D96971">
        <w:t xml:space="preserve">.  </w:t>
      </w:r>
      <w:r w:rsidR="0000459D">
        <w:t xml:space="preserve"> </w:t>
      </w:r>
      <w:r w:rsidR="00DE1AD6">
        <w:t xml:space="preserve">The </w:t>
      </w:r>
      <w:r w:rsidR="00DE1AD6" w:rsidRPr="00097EC0">
        <w:t xml:space="preserve">program launched a nationwide media campaign in November 2015, </w:t>
      </w:r>
      <w:r w:rsidR="00DE1AD6">
        <w:t>calling</w:t>
      </w:r>
      <w:r w:rsidR="00DE1AD6" w:rsidRPr="00097EC0">
        <w:t xml:space="preserve"> youth, men and women to affirm a commitment to challenge gender norms and practices that perpetuate and sustain the cycle of gender</w:t>
      </w:r>
      <w:r w:rsidR="008B1C0C">
        <w:t>-</w:t>
      </w:r>
      <w:r w:rsidR="00DE1AD6" w:rsidRPr="00097EC0">
        <w:t xml:space="preserve">based violence, with public service messages launched in early 2016 using TV, radio and print. As a result, there has been a 34 per cent increase </w:t>
      </w:r>
      <w:r w:rsidR="002D2764">
        <w:t>in witnesses to</w:t>
      </w:r>
      <w:r w:rsidR="00DE1AD6" w:rsidRPr="00097EC0">
        <w:t xml:space="preserve"> someone speaking out or taking action against gender</w:t>
      </w:r>
      <w:r w:rsidR="00DE1AD6">
        <w:t>-</w:t>
      </w:r>
      <w:r w:rsidR="00DE1AD6" w:rsidRPr="00097EC0">
        <w:t>based violence in their communities.</w:t>
      </w:r>
      <w:r w:rsidR="001C70F1" w:rsidRPr="001C70F1">
        <w:rPr>
          <w:rStyle w:val="FootnoteReference"/>
        </w:rPr>
        <w:t xml:space="preserve"> </w:t>
      </w:r>
      <w:r w:rsidR="001C70F1">
        <w:rPr>
          <w:rStyle w:val="FootnoteReference"/>
        </w:rPr>
        <w:footnoteReference w:id="37"/>
      </w:r>
      <w:r w:rsidR="00DE1AD6">
        <w:t xml:space="preserve"> </w:t>
      </w:r>
    </w:p>
    <w:p w:rsidR="006265C1" w:rsidRDefault="006265C1" w:rsidP="006265C1">
      <w:r>
        <w:t>Australia’s investment in maternal</w:t>
      </w:r>
      <w:r w:rsidR="00DE1AD6">
        <w:t xml:space="preserve">, </w:t>
      </w:r>
      <w:r>
        <w:t xml:space="preserve">neonatal </w:t>
      </w:r>
      <w:r w:rsidR="00DE1AD6">
        <w:t xml:space="preserve">and child </w:t>
      </w:r>
      <w:r>
        <w:t xml:space="preserve">health In </w:t>
      </w:r>
      <w:r w:rsidR="00654254">
        <w:t>Balochistan</w:t>
      </w:r>
      <w:r>
        <w:t>, managed by Save the Children (STC)</w:t>
      </w:r>
      <w:r w:rsidR="00DE1AD6">
        <w:t>,</w:t>
      </w:r>
      <w:r>
        <w:t xml:space="preserve"> </w:t>
      </w:r>
      <w:r w:rsidR="00DE1AD6">
        <w:t>closed prematurely</w:t>
      </w:r>
      <w:r>
        <w:t xml:space="preserve"> in October 2015 due to changes in the Pakistan Government’s regulation of INGO operations. STC has since relocated the project to Sindh </w:t>
      </w:r>
      <w:r w:rsidR="00226CE9">
        <w:t>Province,</w:t>
      </w:r>
      <w:r>
        <w:t xml:space="preserve"> re-commencing in June 2016. Disruption of the program </w:t>
      </w:r>
      <w:r w:rsidR="000716A5">
        <w:t>began</w:t>
      </w:r>
      <w:r>
        <w:t xml:space="preserve"> in May 2015, </w:t>
      </w:r>
      <w:r w:rsidR="00951C10">
        <w:t>causing</w:t>
      </w:r>
      <w:r>
        <w:t xml:space="preserve"> an almost twelve month hiatus.  Prior to the closure, IMNCH had performed well, exceeding </w:t>
      </w:r>
      <w:r w:rsidR="006008A2">
        <w:t xml:space="preserve">its </w:t>
      </w:r>
      <w:r>
        <w:t>targets</w:t>
      </w:r>
      <w:r w:rsidR="00654254">
        <w:t>.</w:t>
      </w:r>
      <w:r>
        <w:t xml:space="preserve"> Some examples include: </w:t>
      </w:r>
      <w:r w:rsidR="000716A5">
        <w:t>i</w:t>
      </w:r>
      <w:r>
        <w:t>mmuni</w:t>
      </w:r>
      <w:r w:rsidR="000716A5">
        <w:t>s</w:t>
      </w:r>
      <w:r>
        <w:t>ation rates in target districts increased by 23 per cent amongst children aged 12-23 months (against a target of 20</w:t>
      </w:r>
      <w:r w:rsidR="00951C10">
        <w:t xml:space="preserve"> </w:t>
      </w:r>
      <w:r w:rsidR="00D45C4A">
        <w:t>per cent</w:t>
      </w:r>
      <w:r>
        <w:t xml:space="preserve"> on initial program closure), 50 per cent increase in women undertaking ante-natal check-ups (against a target of 20 per cent)</w:t>
      </w:r>
      <w:r w:rsidR="000716A5">
        <w:t>.</w:t>
      </w:r>
      <w:r w:rsidR="000716A5">
        <w:rPr>
          <w:rStyle w:val="FootnoteReference"/>
        </w:rPr>
        <w:footnoteReference w:id="38"/>
      </w:r>
      <w:r>
        <w:t xml:space="preserve"> However, sustainability of these gains has been jeopardised by the sudden closure.</w:t>
      </w:r>
    </w:p>
    <w:p w:rsidR="00BD4875" w:rsidRPr="00BD4875" w:rsidRDefault="00BD4875" w:rsidP="00BD4875">
      <w:pPr>
        <w:rPr>
          <w:b/>
        </w:rPr>
      </w:pPr>
      <w:r w:rsidRPr="00BD4875">
        <w:rPr>
          <w:b/>
        </w:rPr>
        <w:t>Outcome seven: Targeted education and health departments have increased expertise and incentives to improve policy/service delivery</w:t>
      </w:r>
    </w:p>
    <w:p w:rsidR="004A241A" w:rsidRPr="00BD4875" w:rsidRDefault="004A241A" w:rsidP="00BD4875">
      <w:r w:rsidRPr="00BB7E0B">
        <w:t xml:space="preserve">In the education sector, Australia maintained strong relationships with </w:t>
      </w:r>
      <w:r w:rsidR="009E3FC1">
        <w:t>p</w:t>
      </w:r>
      <w:r w:rsidRPr="00BB7E0B">
        <w:t xml:space="preserve">rovincial </w:t>
      </w:r>
      <w:r w:rsidR="009E3FC1">
        <w:t>g</w:t>
      </w:r>
      <w:r w:rsidRPr="00BB7E0B">
        <w:t xml:space="preserve">overnments </w:t>
      </w:r>
      <w:r w:rsidR="0000459D" w:rsidRPr="00BB7E0B">
        <w:t>enab</w:t>
      </w:r>
      <w:r w:rsidR="0000459D">
        <w:t>ling</w:t>
      </w:r>
      <w:r w:rsidR="0000459D" w:rsidRPr="00BB7E0B">
        <w:t xml:space="preserve"> </w:t>
      </w:r>
      <w:r w:rsidRPr="00BB7E0B">
        <w:t>us to engage on education policy matters.</w:t>
      </w:r>
      <w:r>
        <w:t xml:space="preserve"> In late 2015, following a two year tenure as co-chair of the KP Education Development Partner Group, Australia passed on the role to </w:t>
      </w:r>
      <w:r w:rsidR="009E3FC1">
        <w:t>the United Kingdom</w:t>
      </w:r>
      <w:r>
        <w:t>. As co-chair we saw donors and the Go</w:t>
      </w:r>
      <w:r w:rsidR="00B01CF6">
        <w:t xml:space="preserve">vernment of </w:t>
      </w:r>
      <w:r>
        <w:t>K</w:t>
      </w:r>
      <w:r w:rsidR="00B01CF6">
        <w:t>hyber Pakhtunkhwa</w:t>
      </w:r>
      <w:r>
        <w:t xml:space="preserve"> working more closely to </w:t>
      </w:r>
      <w:r w:rsidR="00B01CF6">
        <w:t>advance</w:t>
      </w:r>
      <w:r>
        <w:t xml:space="preserve"> education reforms and </w:t>
      </w:r>
      <w:r w:rsidRPr="00D74048">
        <w:t xml:space="preserve">build </w:t>
      </w:r>
      <w:r w:rsidRPr="00D74048">
        <w:lastRenderedPageBreak/>
        <w:t xml:space="preserve">the capacity of KP’s 120,000 teacher </w:t>
      </w:r>
      <w:r w:rsidRPr="007C6028">
        <w:t xml:space="preserve">and the 28,000 Parent Teacher Committees. We also worked with </w:t>
      </w:r>
      <w:r w:rsidR="008B1C0C">
        <w:t xml:space="preserve">the KP </w:t>
      </w:r>
      <w:r w:rsidRPr="007C6028">
        <w:t>Education Department to establish taskforces to review KP’s Teacher Capability Framework a</w:t>
      </w:r>
      <w:r w:rsidR="008B1C0C">
        <w:t>nd</w:t>
      </w:r>
      <w:r w:rsidRPr="007C6028">
        <w:t xml:space="preserve"> aspects of the KP curriculum. Australia’s contribution was highly regarded by the </w:t>
      </w:r>
      <w:r w:rsidR="00DC33D1">
        <w:rPr>
          <w:rFonts w:eastAsia="Times New Roman"/>
        </w:rPr>
        <w:t>Government of Khyber Pakhtunkhwa</w:t>
      </w:r>
      <w:r w:rsidRPr="007C6028">
        <w:t xml:space="preserve"> and donors. There has been a clear commitment to reform. </w:t>
      </w:r>
      <w:r w:rsidR="00B01CF6">
        <w:t>The Government of Khyber Pakhtunkhwa</w:t>
      </w:r>
      <w:r w:rsidRPr="007C6028">
        <w:t xml:space="preserve"> was issued a 14 per cent increase in the education budget for</w:t>
      </w:r>
      <w:r w:rsidRPr="00BD4875">
        <w:t xml:space="preserve"> education in 2016-17</w:t>
      </w:r>
      <w:r w:rsidRPr="00BD4875">
        <w:rPr>
          <w:rStyle w:val="FootnoteReference"/>
        </w:rPr>
        <w:footnoteReference w:id="39"/>
      </w:r>
      <w:r w:rsidRPr="00BD4875">
        <w:t xml:space="preserve">. In 2015-16 the </w:t>
      </w:r>
      <w:r w:rsidR="00B01CF6">
        <w:t>Government of Khyber Pakhtunkhwa</w:t>
      </w:r>
      <w:r w:rsidRPr="00BD4875">
        <w:t>, finalised costings to achieve the outcomes set in the KP Education Sector Plan to 2020</w:t>
      </w:r>
      <w:r>
        <w:t>.</w:t>
      </w:r>
      <w:r w:rsidRPr="00BD4875">
        <w:t xml:space="preserve"> Progress against the</w:t>
      </w:r>
      <w:r>
        <w:t xml:space="preserve"> KP</w:t>
      </w:r>
      <w:r w:rsidRPr="00BD4875">
        <w:t xml:space="preserve"> Education Sector Plan is closely monitored through a Joint Review Framework</w:t>
      </w:r>
      <w:r w:rsidRPr="000A5746">
        <w:t xml:space="preserve"> </w:t>
      </w:r>
      <w:r>
        <w:t xml:space="preserve">covering teacher, infrastructure and data management reforms with annual targets </w:t>
      </w:r>
      <w:r w:rsidRPr="00BD4875">
        <w:t xml:space="preserve">mutually agreed between the </w:t>
      </w:r>
      <w:r w:rsidR="00B01CF6">
        <w:t>Government of Khyber Pakhtunkhwa</w:t>
      </w:r>
      <w:r w:rsidRPr="00BD4875">
        <w:t>, Australia, the UK and the EU.</w:t>
      </w:r>
      <w:r>
        <w:t xml:space="preserve">  </w:t>
      </w:r>
    </w:p>
    <w:p w:rsidR="00BD4875" w:rsidRDefault="00BD4875" w:rsidP="00BD4875">
      <w:r>
        <w:t xml:space="preserve">Our previous investment in the Education Development and Improvement Program in Gilgit Baltistan (GB) provided support for the review and revision of the Gilgit Baltistan Education Strategy. As a result, the Government of Gilgit Baltistan has remained committed to improving education and </w:t>
      </w:r>
      <w:r w:rsidR="004D690D">
        <w:t xml:space="preserve">plans to </w:t>
      </w:r>
      <w:r>
        <w:t xml:space="preserve">launch the strategy </w:t>
      </w:r>
      <w:r w:rsidR="003F5094">
        <w:t xml:space="preserve">formally </w:t>
      </w:r>
      <w:r>
        <w:t xml:space="preserve">in early </w:t>
      </w:r>
      <w:r w:rsidR="00456F58">
        <w:t>2016-17</w:t>
      </w:r>
      <w:r>
        <w:t xml:space="preserve">. </w:t>
      </w:r>
    </w:p>
    <w:p w:rsidR="004A241A" w:rsidRPr="008C4604" w:rsidRDefault="004A241A" w:rsidP="004A241A">
      <w:pPr>
        <w:rPr>
          <w:color w:val="auto"/>
        </w:rPr>
      </w:pPr>
      <w:r>
        <w:t xml:space="preserve">In the health sector, </w:t>
      </w:r>
      <w:r w:rsidR="0000459D">
        <w:t xml:space="preserve">prior to </w:t>
      </w:r>
      <w:r>
        <w:t xml:space="preserve">closure of the </w:t>
      </w:r>
      <w:r w:rsidR="00654254">
        <w:t>Balochistan</w:t>
      </w:r>
      <w:r>
        <w:t xml:space="preserve"> IMNCH project, there was a 98 per </w:t>
      </w:r>
      <w:r w:rsidR="00654254">
        <w:t>cent increase</w:t>
      </w:r>
      <w:r>
        <w:t xml:space="preserve"> in the health facilities reporting on a district health information systems assisting with planning and policy development.</w:t>
      </w:r>
      <w:r w:rsidR="0000459D" w:rsidRPr="0000459D">
        <w:rPr>
          <w:rStyle w:val="FootnoteReference"/>
        </w:rPr>
        <w:t xml:space="preserve"> </w:t>
      </w:r>
      <w:r w:rsidR="0000459D">
        <w:rPr>
          <w:rStyle w:val="FootnoteReference"/>
        </w:rPr>
        <w:footnoteReference w:id="40"/>
      </w:r>
      <w:r w:rsidR="0000459D">
        <w:t xml:space="preserve"> </w:t>
      </w:r>
      <w:r>
        <w:t xml:space="preserve">  </w:t>
      </w:r>
      <w:r w:rsidR="00B01CF6">
        <w:t>It</w:t>
      </w:r>
      <w:r w:rsidR="00654254">
        <w:t xml:space="preserve"> is uncertain whether this can be consolidated and sustained. </w:t>
      </w:r>
      <w:r w:rsidRPr="00BD4875">
        <w:t xml:space="preserve">Australia </w:t>
      </w:r>
      <w:r>
        <w:t>remained an active participant in do</w:t>
      </w:r>
      <w:r w:rsidR="00B01CF6">
        <w:t>nor coordination fora including</w:t>
      </w:r>
      <w:r>
        <w:t xml:space="preserve"> the Health Partners Nutrition and Population Group and the Pakistan Health and Population Interagency Coordination Consortium which consists of donors and the Ministry of Health.</w:t>
      </w:r>
    </w:p>
    <w:p w:rsidR="00FF4980" w:rsidRDefault="00BD4875" w:rsidP="003B6E46">
      <w:r w:rsidRPr="000716A5">
        <w:t>Our support through EVAW assisted</w:t>
      </w:r>
      <w:r w:rsidR="00B01CF6">
        <w:t xml:space="preserve"> in drafting Rules of Business </w:t>
      </w:r>
      <w:r w:rsidRPr="000716A5">
        <w:t xml:space="preserve">for Domestic Violence and Child Marriage Restraint Act 2013, which has been approved by the Sindh </w:t>
      </w:r>
      <w:r w:rsidR="00654254" w:rsidRPr="000716A5">
        <w:t>government;</w:t>
      </w:r>
      <w:r w:rsidRPr="000716A5">
        <w:t xml:space="preserve"> however there have been setbacks for domestic violence legislation in KP with the drafts of both the Domestic Violence Bill and Child Marriage Act strongly opposed by the Council of Islamic Ideology</w:t>
      </w:r>
      <w:r w:rsidR="0000459D" w:rsidRPr="000716A5">
        <w:t>.</w:t>
      </w:r>
    </w:p>
    <w:p w:rsidR="00FF4980" w:rsidRPr="003B6E46" w:rsidRDefault="00D45FA3" w:rsidP="003B6E46">
      <w:pPr>
        <w:pStyle w:val="ListBullet"/>
        <w:tabs>
          <w:tab w:val="clear" w:pos="284"/>
        </w:tabs>
        <w:spacing w:before="360"/>
        <w:rPr>
          <w:rFonts w:asciiTheme="majorHAnsi" w:eastAsiaTheme="majorEastAsia" w:hAnsiTheme="majorHAnsi" w:cstheme="majorBidi"/>
          <w:caps/>
          <w:sz w:val="38"/>
          <w:szCs w:val="26"/>
        </w:rPr>
      </w:pPr>
      <w:r w:rsidRPr="00A02CB3">
        <w:rPr>
          <w:rFonts w:asciiTheme="majorHAnsi" w:eastAsiaTheme="majorEastAsia" w:hAnsiTheme="majorHAnsi" w:cstheme="majorBidi"/>
          <w:caps/>
          <w:color w:val="495965" w:themeColor="text2"/>
          <w:sz w:val="38"/>
          <w:szCs w:val="26"/>
          <w:lang w:val="en-GB" w:eastAsia="en-US"/>
        </w:rPr>
        <w:t>Multi-sectoral priorities</w:t>
      </w:r>
    </w:p>
    <w:p w:rsidR="00FF4980" w:rsidRDefault="00407618" w:rsidP="002A51CA">
      <w:pPr>
        <w:spacing w:after="120" w:line="280" w:lineRule="exact"/>
        <w:rPr>
          <w:lang w:eastAsia="zh-CN"/>
        </w:rPr>
      </w:pPr>
      <w:r>
        <w:rPr>
          <w:lang w:eastAsia="zh-CN"/>
        </w:rPr>
        <w:t>Complementing and supporting</w:t>
      </w:r>
      <w:r w:rsidR="00FF4980">
        <w:rPr>
          <w:lang w:eastAsia="zh-CN"/>
        </w:rPr>
        <w:t xml:space="preserve"> </w:t>
      </w:r>
      <w:r>
        <w:rPr>
          <w:lang w:eastAsia="zh-CN"/>
        </w:rPr>
        <w:t xml:space="preserve">Australian </w:t>
      </w:r>
      <w:r w:rsidR="00FF4980" w:rsidRPr="00247AAC">
        <w:rPr>
          <w:lang w:eastAsia="zh-CN"/>
        </w:rPr>
        <w:t xml:space="preserve">investments </w:t>
      </w:r>
      <w:r>
        <w:rPr>
          <w:lang w:eastAsia="zh-CN"/>
        </w:rPr>
        <w:t>under</w:t>
      </w:r>
      <w:r w:rsidRPr="00247AAC">
        <w:rPr>
          <w:lang w:eastAsia="zh-CN"/>
        </w:rPr>
        <w:t xml:space="preserve"> </w:t>
      </w:r>
      <w:r>
        <w:rPr>
          <w:lang w:eastAsia="zh-CN"/>
        </w:rPr>
        <w:t xml:space="preserve">our </w:t>
      </w:r>
      <w:r w:rsidR="00FF4980">
        <w:rPr>
          <w:lang w:eastAsia="zh-CN"/>
        </w:rPr>
        <w:t>two</w:t>
      </w:r>
      <w:r w:rsidR="00FF4980" w:rsidRPr="00247AAC">
        <w:rPr>
          <w:lang w:eastAsia="zh-CN"/>
        </w:rPr>
        <w:t xml:space="preserve"> strategic objectives, </w:t>
      </w:r>
      <w:r w:rsidR="00FF4980">
        <w:rPr>
          <w:lang w:eastAsia="zh-CN"/>
        </w:rPr>
        <w:t xml:space="preserve">we </w:t>
      </w:r>
      <w:r w:rsidR="007F1919">
        <w:rPr>
          <w:lang w:eastAsia="zh-CN"/>
        </w:rPr>
        <w:t xml:space="preserve">support stabilisation </w:t>
      </w:r>
      <w:r>
        <w:rPr>
          <w:lang w:eastAsia="zh-CN"/>
        </w:rPr>
        <w:t xml:space="preserve">in crisis affected provinces, </w:t>
      </w:r>
      <w:r w:rsidR="007F1919">
        <w:rPr>
          <w:lang w:eastAsia="zh-CN"/>
        </w:rPr>
        <w:t xml:space="preserve">humanitarian assistance, </w:t>
      </w:r>
      <w:r>
        <w:rPr>
          <w:lang w:eastAsia="zh-CN"/>
        </w:rPr>
        <w:t>energetic policy advocacy for gender equality</w:t>
      </w:r>
      <w:r w:rsidR="00B01CF6">
        <w:rPr>
          <w:lang w:eastAsia="zh-CN"/>
        </w:rPr>
        <w:t xml:space="preserve"> and </w:t>
      </w:r>
      <w:r>
        <w:rPr>
          <w:lang w:eastAsia="zh-CN"/>
        </w:rPr>
        <w:t xml:space="preserve">women’s empowerment, and human resource development through </w:t>
      </w:r>
      <w:r w:rsidR="00654254">
        <w:rPr>
          <w:lang w:eastAsia="zh-CN"/>
        </w:rPr>
        <w:t>our Australia</w:t>
      </w:r>
      <w:r w:rsidR="007F1919" w:rsidRPr="00247AAC">
        <w:rPr>
          <w:lang w:eastAsia="zh-CN"/>
        </w:rPr>
        <w:t xml:space="preserve"> </w:t>
      </w:r>
      <w:r w:rsidR="007F1919">
        <w:rPr>
          <w:lang w:eastAsia="zh-CN"/>
        </w:rPr>
        <w:t>A</w:t>
      </w:r>
      <w:r w:rsidR="007F1919" w:rsidRPr="00247AAC">
        <w:rPr>
          <w:lang w:eastAsia="zh-CN"/>
        </w:rPr>
        <w:t xml:space="preserve">wards </w:t>
      </w:r>
      <w:r w:rsidR="007F1919">
        <w:rPr>
          <w:lang w:eastAsia="zh-CN"/>
        </w:rPr>
        <w:t>program</w:t>
      </w:r>
      <w:r>
        <w:rPr>
          <w:lang w:eastAsia="zh-CN"/>
        </w:rPr>
        <w:t xml:space="preserve">. </w:t>
      </w:r>
    </w:p>
    <w:p w:rsidR="007F1919" w:rsidRDefault="007F1919" w:rsidP="007F1919">
      <w:pPr>
        <w:spacing w:after="120" w:line="280" w:lineRule="exact"/>
        <w:rPr>
          <w:b/>
          <w:lang w:eastAsia="zh-CN"/>
        </w:rPr>
      </w:pPr>
      <w:r w:rsidRPr="00074D23">
        <w:rPr>
          <w:b/>
          <w:lang w:eastAsia="zh-CN"/>
        </w:rPr>
        <w:t>Stabilisation</w:t>
      </w:r>
    </w:p>
    <w:p w:rsidR="00C34131" w:rsidRDefault="00B01CF6" w:rsidP="00C34131">
      <w:r>
        <w:t>The World Bank managed</w:t>
      </w:r>
      <w:r w:rsidR="00C34131">
        <w:t xml:space="preserve"> Multi-</w:t>
      </w:r>
      <w:r w:rsidR="009276ED">
        <w:t>D</w:t>
      </w:r>
      <w:r w:rsidR="00C34131">
        <w:t xml:space="preserve">onor Trust Fund for KP, FATA and </w:t>
      </w:r>
      <w:r w:rsidR="00654254">
        <w:t>Balochistan</w:t>
      </w:r>
      <w:r w:rsidR="003A2439">
        <w:t xml:space="preserve"> (Border Areas)</w:t>
      </w:r>
      <w:r w:rsidR="00C34131">
        <w:t xml:space="preserve"> is Australia’s key stabilisation investment</w:t>
      </w:r>
      <w:r w:rsidR="008B1C0C">
        <w:t xml:space="preserve"> in Pakistan</w:t>
      </w:r>
      <w:r w:rsidR="00407618">
        <w:t xml:space="preserve">.  </w:t>
      </w:r>
      <w:r w:rsidR="00654254">
        <w:t xml:space="preserve">It responds to the reconstruction and service needs of crisis affected populations, following protracted conflict, military counter-insurgency campaigns and natural disasters, leading to large scale population displacement of up to 3 million people, destruction of infrastructure and loss of livelihoods. </w:t>
      </w:r>
      <w:r w:rsidR="00C34131">
        <w:t>As a long term multi-donor investment mechanism, implemented across two project rounds – Round I (2010-2016) and Round II (2016-2020</w:t>
      </w:r>
      <w:r w:rsidR="00407618">
        <w:t xml:space="preserve">) -  </w:t>
      </w:r>
      <w:r w:rsidR="00C34131">
        <w:t xml:space="preserve">the Fund provides on-budget assistance for health, education, small scale infrastructure, community rehabilitation, livelihoods and governance assistance.  It also seeks to support the establishment of an ongoing and legitimate state presence in KP, FATA and Balochistan by building the capacity of provincial governments to deliver services and support economic development.  </w:t>
      </w:r>
    </w:p>
    <w:p w:rsidR="00C34131" w:rsidRDefault="00C34131" w:rsidP="00C34131">
      <w:r>
        <w:t>Australia has contributed $41million to the Fund, of a total of</w:t>
      </w:r>
      <w:r w:rsidRPr="00B22B52">
        <w:t xml:space="preserve"> USD183</w:t>
      </w:r>
      <w:r w:rsidR="009276ED">
        <w:t xml:space="preserve"> million </w:t>
      </w:r>
      <w:r w:rsidRPr="00B22B52">
        <w:t>from 13 donors</w:t>
      </w:r>
      <w:r>
        <w:t xml:space="preserve"> to date, </w:t>
      </w:r>
      <w:r w:rsidR="00407618">
        <w:t xml:space="preserve">with </w:t>
      </w:r>
      <w:r>
        <w:t>c</w:t>
      </w:r>
      <w:r w:rsidRPr="00B22B52">
        <w:t xml:space="preserve">umulative </w:t>
      </w:r>
      <w:r w:rsidR="00654254" w:rsidRPr="00B22B52">
        <w:t>benefits</w:t>
      </w:r>
      <w:r w:rsidR="00654254">
        <w:t xml:space="preserve"> </w:t>
      </w:r>
      <w:r w:rsidR="00654254" w:rsidRPr="00B22B52">
        <w:t>including</w:t>
      </w:r>
      <w:r w:rsidR="00407618" w:rsidRPr="00B22B52">
        <w:t xml:space="preserve"> </w:t>
      </w:r>
      <w:r w:rsidRPr="00B22B52">
        <w:t xml:space="preserve">service delivery and local infrastructure improvements for 5.7 million people </w:t>
      </w:r>
      <w:r w:rsidR="00654254">
        <w:t>(</w:t>
      </w:r>
      <w:r w:rsidR="00654254" w:rsidRPr="00B22B52">
        <w:t>2.7</w:t>
      </w:r>
      <w:r w:rsidRPr="00B22B52">
        <w:t xml:space="preserve"> million women</w:t>
      </w:r>
      <w:r w:rsidR="00407618">
        <w:t>)</w:t>
      </w:r>
      <w:r w:rsidRPr="00B22B52">
        <w:t xml:space="preserve"> and improved livelihood opportunities for approximately 140,000 people.</w:t>
      </w:r>
      <w:r w:rsidR="000716A5" w:rsidRPr="00B22B52">
        <w:rPr>
          <w:rStyle w:val="FootnoteReference"/>
        </w:rPr>
        <w:footnoteReference w:id="41"/>
      </w:r>
      <w:r w:rsidRPr="00B22B52">
        <w:t xml:space="preserve"> </w:t>
      </w:r>
      <w:r w:rsidR="000716A5">
        <w:t xml:space="preserve"> </w:t>
      </w:r>
      <w:r>
        <w:t>An annual review of the Fund</w:t>
      </w:r>
      <w:r w:rsidR="00407618">
        <w:t xml:space="preserve"> in early 2016</w:t>
      </w:r>
      <w:r>
        <w:rPr>
          <w:rStyle w:val="FootnoteReference"/>
        </w:rPr>
        <w:footnoteReference w:id="42"/>
      </w:r>
      <w:r>
        <w:t>, and DFAT’s own internal management review</w:t>
      </w:r>
      <w:r w:rsidR="00407618">
        <w:t xml:space="preserve"> in late 2015</w:t>
      </w:r>
      <w:r w:rsidR="00654254">
        <w:t>, concurred</w:t>
      </w:r>
      <w:r w:rsidR="00B01CF6">
        <w:t xml:space="preserve"> that</w:t>
      </w:r>
      <w:r w:rsidR="00407618">
        <w:t xml:space="preserve"> </w:t>
      </w:r>
      <w:r>
        <w:lastRenderedPageBreak/>
        <w:t>the investment could do more to build synergies across various projects to serve</w:t>
      </w:r>
      <w:r w:rsidRPr="00B22B52">
        <w:t xml:space="preserve"> the overarching objective of </w:t>
      </w:r>
      <w:r w:rsidR="00B01CF6">
        <w:t xml:space="preserve">building </w:t>
      </w:r>
      <w:r w:rsidR="00B01CF6" w:rsidRPr="00B22B52">
        <w:t>state</w:t>
      </w:r>
      <w:r w:rsidRPr="00B22B52">
        <w:t>-citizen trust</w:t>
      </w:r>
      <w:r>
        <w:t xml:space="preserve"> in a post crisis environment</w:t>
      </w:r>
      <w:r w:rsidR="0097642D">
        <w:t xml:space="preserve"> - </w:t>
      </w:r>
      <w:r>
        <w:t xml:space="preserve">working with low capacity governments </w:t>
      </w:r>
      <w:r w:rsidR="00407618">
        <w:t xml:space="preserve">to </w:t>
      </w:r>
      <w:r>
        <w:t>strengthen approaches to gender, youth, public-pri</w:t>
      </w:r>
      <w:r w:rsidR="00B01CF6">
        <w:t xml:space="preserve">vate partnerships and fragility and </w:t>
      </w:r>
      <w:r>
        <w:t>conflict</w:t>
      </w:r>
      <w:r w:rsidR="00407618">
        <w:t>.</w:t>
      </w:r>
      <w:r w:rsidRPr="00B22B52">
        <w:t xml:space="preserve"> </w:t>
      </w:r>
      <w:r>
        <w:t xml:space="preserve"> In 2015-16, we committed to </w:t>
      </w:r>
      <w:r w:rsidRPr="00B22B52">
        <w:t xml:space="preserve">Round II </w:t>
      </w:r>
      <w:r>
        <w:t>which will</w:t>
      </w:r>
      <w:r w:rsidRPr="00B22B52">
        <w:t xml:space="preserve"> commence in 2016-17, </w:t>
      </w:r>
      <w:r>
        <w:t xml:space="preserve">with </w:t>
      </w:r>
      <w:r w:rsidR="00B01CF6">
        <w:t>a greater</w:t>
      </w:r>
      <w:r>
        <w:t xml:space="preserve"> focus on (</w:t>
      </w:r>
      <w:proofErr w:type="spellStart"/>
      <w:r>
        <w:t>i</w:t>
      </w:r>
      <w:proofErr w:type="spellEnd"/>
      <w:r>
        <w:t>) service delivery, (ii) job creation and (iii) policy reform and good governance</w:t>
      </w:r>
      <w:r w:rsidR="00407618">
        <w:t xml:space="preserve">, introducing </w:t>
      </w:r>
      <w:r>
        <w:t>a competitive window that will reward innovation and performance. Round II emphasises greater programme coherence and alignment to the dual goal of sustainable development and improved citizen-state trust.</w:t>
      </w:r>
    </w:p>
    <w:p w:rsidR="007F1919" w:rsidRDefault="007F1919" w:rsidP="007F1919">
      <w:pPr>
        <w:spacing w:after="120" w:line="280" w:lineRule="exact"/>
        <w:rPr>
          <w:b/>
          <w:lang w:eastAsia="zh-CN"/>
        </w:rPr>
      </w:pPr>
      <w:r w:rsidRPr="00FB3B69">
        <w:rPr>
          <w:b/>
          <w:lang w:eastAsia="zh-CN"/>
        </w:rPr>
        <w:t xml:space="preserve">Humanitarian assistance </w:t>
      </w:r>
    </w:p>
    <w:p w:rsidR="007F1919" w:rsidRPr="008C4604" w:rsidRDefault="007F1919" w:rsidP="007F1919">
      <w:pPr>
        <w:spacing w:after="120" w:line="280" w:lineRule="exact"/>
        <w:rPr>
          <w:lang w:eastAsia="zh-CN"/>
        </w:rPr>
      </w:pPr>
      <w:r w:rsidRPr="00FB3B69">
        <w:rPr>
          <w:lang w:eastAsia="zh-CN"/>
        </w:rPr>
        <w:t xml:space="preserve">In line with Australia’s </w:t>
      </w:r>
      <w:r w:rsidRPr="00FB3B69">
        <w:rPr>
          <w:i/>
          <w:lang w:eastAsia="zh-CN"/>
        </w:rPr>
        <w:t>Humanitarian Strategy</w:t>
      </w:r>
      <w:r w:rsidRPr="00FB3B69">
        <w:rPr>
          <w:lang w:eastAsia="zh-CN"/>
        </w:rPr>
        <w:t xml:space="preserve">, </w:t>
      </w:r>
      <w:r w:rsidR="00B01CF6">
        <w:rPr>
          <w:lang w:eastAsia="zh-CN"/>
        </w:rPr>
        <w:t>Australia</w:t>
      </w:r>
      <w:r w:rsidRPr="00FB3B69">
        <w:rPr>
          <w:lang w:eastAsia="zh-CN"/>
        </w:rPr>
        <w:t xml:space="preserve"> continued to provide effective and appropriate humanitarian assistance to displaced populations</w:t>
      </w:r>
      <w:r w:rsidR="00BA39F0">
        <w:rPr>
          <w:lang w:eastAsia="zh-CN"/>
        </w:rPr>
        <w:t xml:space="preserve"> in Pakistan</w:t>
      </w:r>
      <w:r w:rsidRPr="00FB3B69">
        <w:rPr>
          <w:lang w:eastAsia="zh-CN"/>
        </w:rPr>
        <w:t xml:space="preserve">. </w:t>
      </w:r>
      <w:r>
        <w:rPr>
          <w:lang w:eastAsia="zh-CN"/>
        </w:rPr>
        <w:t>In 2015-16, Australia provided $3million to the World Food Programme’s (WFP) interventions to support the Government’s Sustainable Returns and Rehabilitation Strategy</w:t>
      </w:r>
      <w:r w:rsidR="005C2724">
        <w:rPr>
          <w:lang w:eastAsia="zh-CN"/>
        </w:rPr>
        <w:t xml:space="preserve">, </w:t>
      </w:r>
      <w:r w:rsidR="00654254">
        <w:rPr>
          <w:lang w:eastAsia="zh-CN"/>
        </w:rPr>
        <w:t>supporting stability</w:t>
      </w:r>
      <w:r>
        <w:rPr>
          <w:lang w:eastAsia="zh-CN"/>
        </w:rPr>
        <w:t xml:space="preserve"> of the border areas between Pakistan and Afghanistan. Our </w:t>
      </w:r>
      <w:r w:rsidR="0063449F">
        <w:rPr>
          <w:lang w:eastAsia="zh-CN"/>
        </w:rPr>
        <w:t>funds</w:t>
      </w:r>
      <w:r>
        <w:rPr>
          <w:lang w:eastAsia="zh-CN"/>
        </w:rPr>
        <w:t xml:space="preserve"> covered milling, fortification, transportation and distribution of wheat donated by the </w:t>
      </w:r>
      <w:r w:rsidR="00B01CF6">
        <w:rPr>
          <w:lang w:eastAsia="zh-CN"/>
        </w:rPr>
        <w:t>Pakistan Government</w:t>
      </w:r>
      <w:r>
        <w:rPr>
          <w:lang w:eastAsia="zh-CN"/>
        </w:rPr>
        <w:t xml:space="preserve"> to support 102,00</w:t>
      </w:r>
      <w:r w:rsidR="00B01CF6">
        <w:rPr>
          <w:lang w:eastAsia="zh-CN"/>
        </w:rPr>
        <w:t xml:space="preserve">0 internally displaced persons </w:t>
      </w:r>
      <w:r>
        <w:rPr>
          <w:lang w:eastAsia="zh-CN"/>
        </w:rPr>
        <w:t xml:space="preserve">and returnees in the Federally Administered Tribal Areas (FATA). </w:t>
      </w:r>
    </w:p>
    <w:p w:rsidR="00FF4980" w:rsidRPr="00800CF1" w:rsidRDefault="00FF4980" w:rsidP="002A51CA">
      <w:pPr>
        <w:spacing w:after="120" w:line="280" w:lineRule="exact"/>
        <w:rPr>
          <w:b/>
          <w:lang w:eastAsia="zh-CN"/>
        </w:rPr>
      </w:pPr>
      <w:r w:rsidRPr="00800CF1">
        <w:rPr>
          <w:b/>
          <w:lang w:eastAsia="zh-CN"/>
        </w:rPr>
        <w:t>Australia Awards</w:t>
      </w:r>
    </w:p>
    <w:p w:rsidR="00ED66C8" w:rsidRDefault="003F2EBB" w:rsidP="00ED66C8">
      <w:pPr>
        <w:spacing w:after="120" w:line="280" w:lineRule="exact"/>
        <w:rPr>
          <w:lang w:eastAsia="zh-CN"/>
        </w:rPr>
      </w:pPr>
      <w:r>
        <w:rPr>
          <w:lang w:eastAsia="zh-CN"/>
        </w:rPr>
        <w:t xml:space="preserve">Australia Awards scholarships support Australia’s development, economic and public diplomacy agenda in Pakistan. </w:t>
      </w:r>
      <w:r w:rsidR="00B65E87">
        <w:rPr>
          <w:lang w:eastAsia="zh-CN"/>
        </w:rPr>
        <w:t xml:space="preserve">Twenty (12 female) </w:t>
      </w:r>
      <w:r w:rsidR="00F9435C">
        <w:rPr>
          <w:lang w:eastAsia="zh-CN"/>
        </w:rPr>
        <w:t xml:space="preserve">graduate </w:t>
      </w:r>
      <w:r w:rsidR="00B65E87">
        <w:rPr>
          <w:lang w:eastAsia="zh-CN"/>
        </w:rPr>
        <w:t>scholarships</w:t>
      </w:r>
      <w:r w:rsidR="00B65E87" w:rsidRPr="00926D66">
        <w:rPr>
          <w:lang w:eastAsia="zh-CN"/>
        </w:rPr>
        <w:t xml:space="preserve"> </w:t>
      </w:r>
      <w:r w:rsidR="00B65E87">
        <w:rPr>
          <w:lang w:eastAsia="zh-CN"/>
        </w:rPr>
        <w:t>were awarded in 2015-16, in: governance (7); economic growth (6); education (3); mining (1); public health (2); and water resources management (1).</w:t>
      </w:r>
      <w:r w:rsidR="00B65E87" w:rsidRPr="00926D66">
        <w:t xml:space="preserve"> </w:t>
      </w:r>
      <w:r>
        <w:rPr>
          <w:lang w:eastAsia="zh-CN"/>
        </w:rPr>
        <w:t>The</w:t>
      </w:r>
      <w:r w:rsidR="00B01CF6">
        <w:rPr>
          <w:lang w:eastAsia="zh-CN"/>
        </w:rPr>
        <w:t>y</w:t>
      </w:r>
      <w:r w:rsidR="00ED66C8">
        <w:rPr>
          <w:lang w:eastAsia="zh-CN"/>
        </w:rPr>
        <w:t xml:space="preserve"> joined </w:t>
      </w:r>
      <w:r w:rsidR="0021561B">
        <w:rPr>
          <w:lang w:eastAsia="zh-CN"/>
        </w:rPr>
        <w:t xml:space="preserve">sixty </w:t>
      </w:r>
      <w:r w:rsidR="00ED66C8">
        <w:rPr>
          <w:lang w:eastAsia="zh-CN"/>
        </w:rPr>
        <w:t>ongoing awardees studying</w:t>
      </w:r>
      <w:r w:rsidR="00926D66">
        <w:rPr>
          <w:lang w:eastAsia="zh-CN"/>
        </w:rPr>
        <w:t xml:space="preserve"> </w:t>
      </w:r>
      <w:r w:rsidR="00ED66C8">
        <w:rPr>
          <w:lang w:eastAsia="zh-CN"/>
        </w:rPr>
        <w:t xml:space="preserve">in </w:t>
      </w:r>
      <w:r>
        <w:rPr>
          <w:lang w:eastAsia="zh-CN"/>
        </w:rPr>
        <w:t>Australia. We</w:t>
      </w:r>
      <w:r w:rsidR="00ED66C8">
        <w:rPr>
          <w:lang w:eastAsia="zh-CN"/>
        </w:rPr>
        <w:t xml:space="preserve"> have taken a number of steps to ensure strong female representation in all components of </w:t>
      </w:r>
      <w:r w:rsidR="00F9435C">
        <w:rPr>
          <w:lang w:eastAsia="zh-CN"/>
        </w:rPr>
        <w:t xml:space="preserve">the </w:t>
      </w:r>
      <w:r w:rsidR="00ED66C8">
        <w:rPr>
          <w:lang w:eastAsia="zh-CN"/>
        </w:rPr>
        <w:t>Australia Awards</w:t>
      </w:r>
      <w:r w:rsidR="00F9435C" w:rsidRPr="00F9435C">
        <w:rPr>
          <w:lang w:eastAsia="zh-CN"/>
        </w:rPr>
        <w:t xml:space="preserve"> </w:t>
      </w:r>
      <w:r w:rsidR="00F9435C" w:rsidRPr="002D2764">
        <w:rPr>
          <w:lang w:eastAsia="zh-CN"/>
        </w:rPr>
        <w:t>program</w:t>
      </w:r>
      <w:r w:rsidR="00ED66C8">
        <w:rPr>
          <w:lang w:eastAsia="zh-CN"/>
        </w:rPr>
        <w:t>, including</w:t>
      </w:r>
      <w:r w:rsidR="00B01CF6">
        <w:rPr>
          <w:lang w:eastAsia="zh-CN"/>
        </w:rPr>
        <w:t xml:space="preserve"> by </w:t>
      </w:r>
      <w:r w:rsidR="00ED66C8">
        <w:rPr>
          <w:lang w:eastAsia="zh-CN"/>
        </w:rPr>
        <w:t xml:space="preserve">providing foundation awards to women to ensure they are well prepared for their scholarships; working with women-focused organisations to promote </w:t>
      </w:r>
      <w:r w:rsidR="00F9435C">
        <w:rPr>
          <w:lang w:eastAsia="zh-CN"/>
        </w:rPr>
        <w:t>the Awards</w:t>
      </w:r>
      <w:r w:rsidR="00ED66C8">
        <w:rPr>
          <w:lang w:eastAsia="zh-CN"/>
        </w:rPr>
        <w:t xml:space="preserve">; </w:t>
      </w:r>
      <w:r w:rsidR="00F9435C">
        <w:rPr>
          <w:lang w:eastAsia="zh-CN"/>
        </w:rPr>
        <w:t xml:space="preserve">and </w:t>
      </w:r>
      <w:r w:rsidR="00ED66C8">
        <w:rPr>
          <w:lang w:eastAsia="zh-CN"/>
        </w:rPr>
        <w:t>encouraging participation in the Australia Awards South and West Asia Women in Leadership Alumni.</w:t>
      </w:r>
    </w:p>
    <w:p w:rsidR="005C2724" w:rsidRDefault="003C5F33" w:rsidP="005C2724">
      <w:pPr>
        <w:spacing w:after="120" w:line="280" w:lineRule="exact"/>
        <w:rPr>
          <w:lang w:eastAsia="zh-CN"/>
        </w:rPr>
      </w:pPr>
      <w:r w:rsidRPr="002D2764">
        <w:rPr>
          <w:lang w:eastAsia="zh-CN"/>
        </w:rPr>
        <w:t xml:space="preserve">Short Courses and Informal Learning Opportunities (ILOs) are an expanding feature of the Australia Awards in Pakistan, and are an effective tool to support Australia’s foreign policy, economic diplomacy and aid objectives in Pakistan. </w:t>
      </w:r>
      <w:r w:rsidR="00137730">
        <w:rPr>
          <w:lang w:eastAsia="zh-CN"/>
        </w:rPr>
        <w:t>In</w:t>
      </w:r>
      <w:r w:rsidR="00137730">
        <w:t xml:space="preserve"> </w:t>
      </w:r>
      <w:r w:rsidR="00926D66">
        <w:rPr>
          <w:lang w:eastAsia="zh-CN"/>
        </w:rPr>
        <w:t>2015-16, the Pakistan program ran two Awards</w:t>
      </w:r>
      <w:r w:rsidR="00B24D73">
        <w:rPr>
          <w:lang w:eastAsia="zh-CN"/>
        </w:rPr>
        <w:t xml:space="preserve"> Short Courses</w:t>
      </w:r>
      <w:r w:rsidR="00ED66C8">
        <w:rPr>
          <w:lang w:eastAsia="zh-CN"/>
        </w:rPr>
        <w:t xml:space="preserve"> on:</w:t>
      </w:r>
      <w:r w:rsidR="005513FB">
        <w:rPr>
          <w:lang w:eastAsia="zh-CN"/>
        </w:rPr>
        <w:t xml:space="preserve"> </w:t>
      </w:r>
      <w:r w:rsidR="003E2AAF">
        <w:rPr>
          <w:lang w:eastAsia="zh-CN"/>
        </w:rPr>
        <w:t>i)</w:t>
      </w:r>
      <w:r w:rsidR="00B24D73">
        <w:rPr>
          <w:lang w:eastAsia="zh-CN"/>
        </w:rPr>
        <w:t xml:space="preserve"> Business Incubation Management</w:t>
      </w:r>
      <w:r w:rsidR="003E2AAF">
        <w:rPr>
          <w:lang w:eastAsia="zh-CN"/>
        </w:rPr>
        <w:t>, co-funded by the Pakis</w:t>
      </w:r>
      <w:r w:rsidR="00B01CF6">
        <w:rPr>
          <w:lang w:eastAsia="zh-CN"/>
        </w:rPr>
        <w:t xml:space="preserve">tan Higher Education Commission, which </w:t>
      </w:r>
      <w:r w:rsidR="003E2AAF">
        <w:rPr>
          <w:lang w:eastAsia="zh-CN"/>
        </w:rPr>
        <w:t>provided Pakistani academics and professionals practical guidance on managing, growing, and sustaining effective</w:t>
      </w:r>
      <w:r w:rsidR="005513FB">
        <w:rPr>
          <w:lang w:eastAsia="zh-CN"/>
        </w:rPr>
        <w:t xml:space="preserve"> </w:t>
      </w:r>
      <w:r w:rsidR="00B01CF6">
        <w:rPr>
          <w:lang w:eastAsia="zh-CN"/>
        </w:rPr>
        <w:t>b</w:t>
      </w:r>
      <w:r w:rsidR="005513FB">
        <w:rPr>
          <w:lang w:eastAsia="zh-CN"/>
        </w:rPr>
        <w:t xml:space="preserve">usiness </w:t>
      </w:r>
      <w:r w:rsidR="00B01CF6">
        <w:rPr>
          <w:lang w:eastAsia="zh-CN"/>
        </w:rPr>
        <w:t>i</w:t>
      </w:r>
      <w:r w:rsidR="005513FB">
        <w:rPr>
          <w:lang w:eastAsia="zh-CN"/>
        </w:rPr>
        <w:t xml:space="preserve">ncubation </w:t>
      </w:r>
      <w:r w:rsidR="00B01CF6">
        <w:rPr>
          <w:lang w:eastAsia="zh-CN"/>
        </w:rPr>
        <w:t>c</w:t>
      </w:r>
      <w:r w:rsidR="005513FB">
        <w:rPr>
          <w:lang w:eastAsia="zh-CN"/>
        </w:rPr>
        <w:t>entres</w:t>
      </w:r>
      <w:r w:rsidR="003E2AAF">
        <w:rPr>
          <w:lang w:eastAsia="zh-CN"/>
        </w:rPr>
        <w:t xml:space="preserve">; </w:t>
      </w:r>
      <w:r w:rsidR="00B24D73">
        <w:rPr>
          <w:lang w:eastAsia="zh-CN"/>
        </w:rPr>
        <w:t xml:space="preserve"> and</w:t>
      </w:r>
      <w:r w:rsidR="003E2AAF">
        <w:rPr>
          <w:lang w:eastAsia="zh-CN"/>
        </w:rPr>
        <w:t xml:space="preserve"> ii)</w:t>
      </w:r>
      <w:r w:rsidR="00B24D73">
        <w:rPr>
          <w:lang w:eastAsia="zh-CN"/>
        </w:rPr>
        <w:t>Effective and Efficient Managemen</w:t>
      </w:r>
      <w:r w:rsidR="003E2AAF">
        <w:rPr>
          <w:lang w:eastAsia="zh-CN"/>
        </w:rPr>
        <w:t xml:space="preserve">t of Parliamentarian Committees for </w:t>
      </w:r>
      <w:r>
        <w:rPr>
          <w:lang w:eastAsia="zh-CN"/>
        </w:rPr>
        <w:t>mid-</w:t>
      </w:r>
      <w:r w:rsidR="003E2AAF">
        <w:rPr>
          <w:lang w:eastAsia="zh-CN"/>
        </w:rPr>
        <w:t>senior Pakistani public servants working in national and provincial assemblies. This training has sparked an ongoing program of</w:t>
      </w:r>
      <w:r w:rsidR="00ED66C8">
        <w:rPr>
          <w:lang w:eastAsia="zh-CN"/>
        </w:rPr>
        <w:t xml:space="preserve"> </w:t>
      </w:r>
      <w:r w:rsidR="003E2AAF">
        <w:rPr>
          <w:lang w:eastAsia="zh-CN"/>
        </w:rPr>
        <w:t xml:space="preserve">in-house sessions on a range of issues aimed at improving parliamentary business. </w:t>
      </w:r>
      <w:r w:rsidR="00D45FA3">
        <w:rPr>
          <w:lang w:eastAsia="zh-CN"/>
        </w:rPr>
        <w:t xml:space="preserve">In addition, we supported eight </w:t>
      </w:r>
      <w:r w:rsidR="00137730">
        <w:rPr>
          <w:lang w:eastAsia="zh-CN"/>
        </w:rPr>
        <w:t>ILOs</w:t>
      </w:r>
      <w:r w:rsidR="00D45FA3">
        <w:rPr>
          <w:lang w:eastAsia="zh-CN"/>
        </w:rPr>
        <w:t xml:space="preserve"> </w:t>
      </w:r>
      <w:r w:rsidR="004D690D">
        <w:rPr>
          <w:lang w:eastAsia="zh-CN"/>
        </w:rPr>
        <w:t>with a</w:t>
      </w:r>
      <w:r w:rsidR="00D45FA3">
        <w:rPr>
          <w:lang w:eastAsia="zh-CN"/>
        </w:rPr>
        <w:t>ctivities largely focused on women’s empowerment; strengthen</w:t>
      </w:r>
      <w:r w:rsidR="00F9435C">
        <w:rPr>
          <w:lang w:eastAsia="zh-CN"/>
        </w:rPr>
        <w:t>ing</w:t>
      </w:r>
      <w:r w:rsidR="00D45FA3">
        <w:rPr>
          <w:lang w:eastAsia="zh-CN"/>
        </w:rPr>
        <w:t xml:space="preserve"> governance in education and nutrition; and innovation.</w:t>
      </w:r>
      <w:r w:rsidR="00354779">
        <w:rPr>
          <w:lang w:eastAsia="zh-CN"/>
        </w:rPr>
        <w:t xml:space="preserve">  </w:t>
      </w:r>
      <w:r w:rsidR="005C2724">
        <w:t xml:space="preserve">There </w:t>
      </w:r>
      <w:r w:rsidR="00F9435C">
        <w:t xml:space="preserve">are ongoing </w:t>
      </w:r>
      <w:r w:rsidR="005C2724">
        <w:t>opportunit</w:t>
      </w:r>
      <w:r w:rsidR="00F9435C">
        <w:t>ies</w:t>
      </w:r>
      <w:r w:rsidR="005C2724">
        <w:t xml:space="preserve"> for </w:t>
      </w:r>
      <w:r w:rsidR="003A2439">
        <w:t>more</w:t>
      </w:r>
      <w:r w:rsidR="00F9435C">
        <w:t xml:space="preserve"> </w:t>
      </w:r>
      <w:r w:rsidR="005C2724">
        <w:t xml:space="preserve">strategic use of these mechanisms to complement and enhance </w:t>
      </w:r>
      <w:r w:rsidR="003A2439">
        <w:t xml:space="preserve">Australian </w:t>
      </w:r>
      <w:r w:rsidR="005C2724">
        <w:t xml:space="preserve">aid and economic diplomacy objectives. </w:t>
      </w:r>
    </w:p>
    <w:p w:rsidR="00572323" w:rsidRPr="00654254" w:rsidRDefault="005513FB" w:rsidP="00572323">
      <w:pPr>
        <w:spacing w:after="120" w:line="280" w:lineRule="exact"/>
        <w:rPr>
          <w:b/>
          <w:lang w:eastAsia="zh-CN"/>
        </w:rPr>
      </w:pPr>
      <w:r>
        <w:rPr>
          <w:b/>
          <w:lang w:eastAsia="zh-CN"/>
        </w:rPr>
        <w:t xml:space="preserve">Gender Equality &amp; </w:t>
      </w:r>
      <w:r w:rsidR="00572323" w:rsidRPr="00E35910">
        <w:rPr>
          <w:b/>
          <w:lang w:eastAsia="zh-CN"/>
        </w:rPr>
        <w:t xml:space="preserve">Women’s </w:t>
      </w:r>
      <w:r w:rsidR="00B137E1">
        <w:rPr>
          <w:b/>
          <w:lang w:eastAsia="zh-CN"/>
        </w:rPr>
        <w:t>E</w:t>
      </w:r>
      <w:r w:rsidR="00572323" w:rsidRPr="00E35910">
        <w:rPr>
          <w:b/>
          <w:lang w:eastAsia="zh-CN"/>
        </w:rPr>
        <w:t>mpowerment</w:t>
      </w:r>
    </w:p>
    <w:p w:rsidR="00F9435C" w:rsidRDefault="003F2EBB" w:rsidP="00654254">
      <w:pPr>
        <w:spacing w:after="120" w:line="280" w:lineRule="exact"/>
        <w:rPr>
          <w:lang w:eastAsia="zh-CN"/>
        </w:rPr>
      </w:pPr>
      <w:r w:rsidRPr="00495FBD">
        <w:rPr>
          <w:lang w:eastAsia="zh-CN"/>
        </w:rPr>
        <w:t xml:space="preserve">Australia is considered one of the key donors promoting gender equality and women’s empowerment, supporting local leadership and initiatives in Pakistan. </w:t>
      </w:r>
      <w:r w:rsidR="005C2724" w:rsidRPr="00495FBD">
        <w:rPr>
          <w:lang w:eastAsia="zh-CN"/>
        </w:rPr>
        <w:t>I</w:t>
      </w:r>
      <w:r w:rsidR="005C2724">
        <w:rPr>
          <w:lang w:eastAsia="zh-CN"/>
        </w:rPr>
        <w:t>n</w:t>
      </w:r>
      <w:r w:rsidR="005C2724" w:rsidRPr="00495FBD">
        <w:rPr>
          <w:lang w:eastAsia="zh-CN"/>
        </w:rPr>
        <w:t xml:space="preserve"> </w:t>
      </w:r>
      <w:r w:rsidR="00687691" w:rsidRPr="00495FBD">
        <w:rPr>
          <w:lang w:eastAsia="zh-CN"/>
        </w:rPr>
        <w:t xml:space="preserve">2015-16, </w:t>
      </w:r>
      <w:r w:rsidR="005C2724">
        <w:rPr>
          <w:lang w:eastAsia="zh-CN"/>
        </w:rPr>
        <w:t xml:space="preserve">the Australian High </w:t>
      </w:r>
      <w:r w:rsidR="000716A5">
        <w:rPr>
          <w:lang w:eastAsia="zh-CN"/>
        </w:rPr>
        <w:t xml:space="preserve">Commission </w:t>
      </w:r>
      <w:r w:rsidR="005C2724">
        <w:rPr>
          <w:lang w:eastAsia="zh-CN"/>
        </w:rPr>
        <w:t>instituted</w:t>
      </w:r>
      <w:r w:rsidR="00572323" w:rsidRPr="00495FBD">
        <w:rPr>
          <w:lang w:eastAsia="zh-CN"/>
        </w:rPr>
        <w:t xml:space="preserve"> a</w:t>
      </w:r>
      <w:r w:rsidR="00687691" w:rsidRPr="00495FBD">
        <w:rPr>
          <w:lang w:eastAsia="zh-CN"/>
        </w:rPr>
        <w:t>n Australian</w:t>
      </w:r>
      <w:r w:rsidR="00572323" w:rsidRPr="00495FBD">
        <w:rPr>
          <w:lang w:eastAsia="zh-CN"/>
        </w:rPr>
        <w:t xml:space="preserve"> whole</w:t>
      </w:r>
      <w:r w:rsidR="00687691" w:rsidRPr="00495FBD">
        <w:rPr>
          <w:lang w:eastAsia="zh-CN"/>
        </w:rPr>
        <w:t>-</w:t>
      </w:r>
      <w:r w:rsidR="00572323" w:rsidRPr="00495FBD">
        <w:rPr>
          <w:lang w:eastAsia="zh-CN"/>
        </w:rPr>
        <w:t>of</w:t>
      </w:r>
      <w:r w:rsidR="00687691" w:rsidRPr="00495FBD">
        <w:rPr>
          <w:lang w:eastAsia="zh-CN"/>
        </w:rPr>
        <w:t>-</w:t>
      </w:r>
      <w:r w:rsidR="00572323" w:rsidRPr="00495FBD">
        <w:rPr>
          <w:lang w:eastAsia="zh-CN"/>
        </w:rPr>
        <w:t xml:space="preserve">government Pakistan Gender Strategy </w:t>
      </w:r>
      <w:r w:rsidR="00687691" w:rsidRPr="00495FBD">
        <w:rPr>
          <w:lang w:eastAsia="zh-CN"/>
        </w:rPr>
        <w:t>(</w:t>
      </w:r>
      <w:r w:rsidR="00572323" w:rsidRPr="00495FBD">
        <w:rPr>
          <w:lang w:eastAsia="zh-CN"/>
        </w:rPr>
        <w:t>2016-19</w:t>
      </w:r>
      <w:r w:rsidR="00687691" w:rsidRPr="00495FBD">
        <w:rPr>
          <w:lang w:eastAsia="zh-CN"/>
        </w:rPr>
        <w:t>)</w:t>
      </w:r>
      <w:r w:rsidR="00572323" w:rsidRPr="00495FBD">
        <w:rPr>
          <w:lang w:eastAsia="zh-CN"/>
        </w:rPr>
        <w:t xml:space="preserve">. </w:t>
      </w:r>
      <w:r w:rsidR="00203477" w:rsidRPr="00495FBD">
        <w:rPr>
          <w:lang w:eastAsia="zh-CN"/>
        </w:rPr>
        <w:t>A</w:t>
      </w:r>
      <w:r w:rsidR="0021561B">
        <w:rPr>
          <w:lang w:eastAsia="zh-CN"/>
        </w:rPr>
        <w:t>s</w:t>
      </w:r>
      <w:r w:rsidR="00203477" w:rsidRPr="00495FBD">
        <w:rPr>
          <w:lang w:eastAsia="zh-CN"/>
        </w:rPr>
        <w:t xml:space="preserve"> </w:t>
      </w:r>
      <w:r w:rsidR="0021561B">
        <w:rPr>
          <w:lang w:eastAsia="zh-CN"/>
        </w:rPr>
        <w:t>part of</w:t>
      </w:r>
      <w:r w:rsidR="00203477" w:rsidRPr="00495FBD">
        <w:rPr>
          <w:lang w:eastAsia="zh-CN"/>
        </w:rPr>
        <w:t xml:space="preserve"> the strategy Australia</w:t>
      </w:r>
      <w:r w:rsidR="0021561B">
        <w:rPr>
          <w:lang w:eastAsia="zh-CN"/>
        </w:rPr>
        <w:t xml:space="preserve"> was</w:t>
      </w:r>
      <w:r w:rsidR="004E2C86">
        <w:rPr>
          <w:lang w:eastAsia="zh-CN"/>
        </w:rPr>
        <w:t xml:space="preserve"> </w:t>
      </w:r>
      <w:r w:rsidR="0021561B">
        <w:rPr>
          <w:lang w:eastAsia="zh-CN"/>
        </w:rPr>
        <w:t>appointed</w:t>
      </w:r>
      <w:r w:rsidR="0021561B" w:rsidRPr="00495FBD">
        <w:rPr>
          <w:lang w:eastAsia="zh-CN"/>
        </w:rPr>
        <w:t xml:space="preserve"> </w:t>
      </w:r>
      <w:r w:rsidR="00203477" w:rsidRPr="00495FBD">
        <w:rPr>
          <w:lang w:eastAsia="zh-CN"/>
        </w:rPr>
        <w:t xml:space="preserve">as donor </w:t>
      </w:r>
      <w:r w:rsidR="00C66675">
        <w:rPr>
          <w:lang w:eastAsia="zh-CN"/>
        </w:rPr>
        <w:t>C</w:t>
      </w:r>
      <w:r w:rsidR="00203477" w:rsidRPr="00495FBD">
        <w:rPr>
          <w:lang w:eastAsia="zh-CN"/>
        </w:rPr>
        <w:t>o-</w:t>
      </w:r>
      <w:r w:rsidR="00C66675">
        <w:rPr>
          <w:lang w:eastAsia="zh-CN"/>
        </w:rPr>
        <w:t>C</w:t>
      </w:r>
      <w:r w:rsidR="00C66675" w:rsidRPr="00495FBD">
        <w:rPr>
          <w:lang w:eastAsia="zh-CN"/>
        </w:rPr>
        <w:t>hair</w:t>
      </w:r>
      <w:r w:rsidR="000716A5">
        <w:rPr>
          <w:lang w:eastAsia="zh-CN"/>
        </w:rPr>
        <w:t xml:space="preserve"> (</w:t>
      </w:r>
      <w:r w:rsidR="00C66675">
        <w:rPr>
          <w:lang w:eastAsia="zh-CN"/>
        </w:rPr>
        <w:t>with</w:t>
      </w:r>
      <w:r w:rsidR="00C66675" w:rsidRPr="00495FBD">
        <w:rPr>
          <w:lang w:eastAsia="zh-CN"/>
        </w:rPr>
        <w:t xml:space="preserve"> </w:t>
      </w:r>
      <w:r w:rsidR="00203477" w:rsidRPr="00495FBD">
        <w:rPr>
          <w:lang w:eastAsia="zh-CN"/>
        </w:rPr>
        <w:t>UN Women</w:t>
      </w:r>
      <w:r w:rsidR="000716A5">
        <w:rPr>
          <w:lang w:eastAsia="zh-CN"/>
        </w:rPr>
        <w:t>)</w:t>
      </w:r>
      <w:r w:rsidR="00203477" w:rsidRPr="00495FBD">
        <w:rPr>
          <w:lang w:eastAsia="zh-CN"/>
        </w:rPr>
        <w:t xml:space="preserve"> of the Inter-Agency Gender and Development Group (INGAD)</w:t>
      </w:r>
      <w:r w:rsidR="00FA3B9A" w:rsidRPr="00495FBD">
        <w:rPr>
          <w:lang w:eastAsia="zh-CN"/>
        </w:rPr>
        <w:t xml:space="preserve">, enabling Australia to take a leadership role in stakeholder engagement on gender. </w:t>
      </w:r>
      <w:r w:rsidR="000716A5">
        <w:rPr>
          <w:lang w:eastAsia="zh-CN"/>
        </w:rPr>
        <w:t>W</w:t>
      </w:r>
      <w:r w:rsidR="00FA3B9A" w:rsidRPr="00495FBD">
        <w:rPr>
          <w:lang w:eastAsia="zh-CN"/>
        </w:rPr>
        <w:t xml:space="preserve">e hosted a high-level panel debate on </w:t>
      </w:r>
      <w:r w:rsidR="00637540" w:rsidRPr="00495FBD">
        <w:rPr>
          <w:lang w:eastAsia="zh-CN"/>
        </w:rPr>
        <w:t>women’s</w:t>
      </w:r>
      <w:r w:rsidR="00FA3B9A" w:rsidRPr="00495FBD">
        <w:rPr>
          <w:lang w:eastAsia="zh-CN"/>
        </w:rPr>
        <w:t xml:space="preserve"> leadership and political participation</w:t>
      </w:r>
      <w:r w:rsidR="00637540" w:rsidRPr="00495FBD">
        <w:rPr>
          <w:lang w:eastAsia="zh-CN"/>
        </w:rPr>
        <w:t>, to enhance dialogue between the government and international community on gender equality</w:t>
      </w:r>
      <w:r w:rsidR="0021561B">
        <w:rPr>
          <w:lang w:eastAsia="zh-CN"/>
        </w:rPr>
        <w:t>, and plan panels on other topics in 2016-17.</w:t>
      </w:r>
    </w:p>
    <w:p w:rsidR="005D307E" w:rsidRDefault="005D307E" w:rsidP="00BF325D">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2A51CA" w:rsidRPr="002A51CA" w:rsidRDefault="002A51CA" w:rsidP="00BF325D">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Performance Benchmarks</w:t>
      </w:r>
      <w:r w:rsidRPr="002A51CA">
        <w:rPr>
          <w:rFonts w:asciiTheme="majorHAnsi" w:eastAsiaTheme="majorEastAsia" w:hAnsiTheme="majorHAnsi" w:cstheme="majorBidi"/>
          <w:caps/>
          <w:color w:val="495965" w:themeColor="text2"/>
          <w:sz w:val="38"/>
          <w:szCs w:val="26"/>
          <w:lang w:val="en-GB" w:eastAsia="en-US"/>
        </w:rPr>
        <w:tab/>
      </w:r>
    </w:p>
    <w:p w:rsidR="00540CD0" w:rsidRPr="000716A5" w:rsidRDefault="00FF4980" w:rsidP="002A51CA">
      <w:pPr>
        <w:spacing w:after="120" w:line="280" w:lineRule="exact"/>
        <w:rPr>
          <w:lang w:eastAsia="zh-CN"/>
        </w:rPr>
      </w:pPr>
      <w:r w:rsidRPr="000716A5">
        <w:rPr>
          <w:lang w:eastAsia="zh-CN"/>
        </w:rPr>
        <w:lastRenderedPageBreak/>
        <w:t xml:space="preserve">In 2015-16, Australia achieved </w:t>
      </w:r>
      <w:r w:rsidR="00A571CC" w:rsidRPr="000716A5">
        <w:rPr>
          <w:lang w:eastAsia="zh-CN"/>
        </w:rPr>
        <w:t>5</w:t>
      </w:r>
      <w:r w:rsidRPr="000716A5">
        <w:rPr>
          <w:lang w:eastAsia="zh-CN"/>
        </w:rPr>
        <w:t xml:space="preserve"> of </w:t>
      </w:r>
      <w:r w:rsidR="00A571CC" w:rsidRPr="000716A5">
        <w:rPr>
          <w:lang w:eastAsia="zh-CN"/>
        </w:rPr>
        <w:t>6</w:t>
      </w:r>
      <w:r w:rsidRPr="000716A5">
        <w:rPr>
          <w:lang w:eastAsia="zh-CN"/>
        </w:rPr>
        <w:t xml:space="preserve"> benchmarks identified in the AIP</w:t>
      </w:r>
      <w:r w:rsidR="00A571CC" w:rsidRPr="000716A5">
        <w:rPr>
          <w:lang w:eastAsia="zh-CN"/>
        </w:rPr>
        <w:t xml:space="preserve">. An overview of achievements against each performance benchmark can be found at </w:t>
      </w:r>
      <w:r w:rsidR="00A571CC" w:rsidRPr="000716A5">
        <w:rPr>
          <w:b/>
          <w:lang w:eastAsia="zh-CN"/>
        </w:rPr>
        <w:t>Annex B</w:t>
      </w:r>
      <w:r w:rsidRPr="000716A5">
        <w:rPr>
          <w:lang w:eastAsia="zh-CN"/>
        </w:rPr>
        <w:t>.</w:t>
      </w:r>
    </w:p>
    <w:p w:rsidR="008613CE" w:rsidRPr="000716A5" w:rsidRDefault="007678C3" w:rsidP="000716A5">
      <w:pPr>
        <w:spacing w:after="120" w:line="280" w:lineRule="exact"/>
        <w:rPr>
          <w:lang w:eastAsia="zh-CN"/>
        </w:rPr>
      </w:pPr>
      <w:r w:rsidRPr="000716A5">
        <w:rPr>
          <w:lang w:eastAsia="zh-CN"/>
        </w:rPr>
        <w:t>The benchmark on conducting</w:t>
      </w:r>
      <w:r w:rsidR="00540CD0" w:rsidRPr="000716A5">
        <w:rPr>
          <w:lang w:eastAsia="zh-CN"/>
        </w:rPr>
        <w:t xml:space="preserve"> </w:t>
      </w:r>
      <w:r w:rsidR="00681355" w:rsidRPr="000716A5">
        <w:rPr>
          <w:lang w:eastAsia="zh-CN"/>
        </w:rPr>
        <w:t xml:space="preserve">a </w:t>
      </w:r>
      <w:r w:rsidR="00540CD0" w:rsidRPr="000716A5">
        <w:rPr>
          <w:lang w:eastAsia="zh-CN"/>
        </w:rPr>
        <w:t xml:space="preserve">review of the Ministry of Commerce </w:t>
      </w:r>
      <w:r w:rsidR="00C66675" w:rsidRPr="000716A5">
        <w:rPr>
          <w:lang w:eastAsia="zh-CN"/>
        </w:rPr>
        <w:t>was partially met</w:t>
      </w:r>
      <w:r w:rsidR="004A6A75" w:rsidRPr="000716A5">
        <w:rPr>
          <w:lang w:eastAsia="zh-CN"/>
        </w:rPr>
        <w:t xml:space="preserve"> </w:t>
      </w:r>
      <w:r w:rsidR="00F9435C">
        <w:rPr>
          <w:lang w:eastAsia="zh-CN"/>
        </w:rPr>
        <w:t xml:space="preserve">noting this </w:t>
      </w:r>
      <w:r w:rsidR="00C66675" w:rsidRPr="000716A5">
        <w:rPr>
          <w:lang w:eastAsia="zh-CN"/>
        </w:rPr>
        <w:t xml:space="preserve">is an </w:t>
      </w:r>
      <w:r w:rsidRPr="000716A5">
        <w:rPr>
          <w:lang w:eastAsia="zh-CN"/>
        </w:rPr>
        <w:t>end</w:t>
      </w:r>
      <w:r w:rsidR="00F9435C">
        <w:rPr>
          <w:lang w:eastAsia="zh-CN"/>
        </w:rPr>
        <w:t>-</w:t>
      </w:r>
      <w:r w:rsidRPr="000716A5">
        <w:rPr>
          <w:lang w:eastAsia="zh-CN"/>
        </w:rPr>
        <w:t>of</w:t>
      </w:r>
      <w:r w:rsidR="00F9435C">
        <w:rPr>
          <w:lang w:eastAsia="zh-CN"/>
        </w:rPr>
        <w:t>-</w:t>
      </w:r>
      <w:r w:rsidRPr="000716A5">
        <w:rPr>
          <w:lang w:eastAsia="zh-CN"/>
        </w:rPr>
        <w:t xml:space="preserve">program </w:t>
      </w:r>
      <w:r w:rsidR="00654254" w:rsidRPr="000716A5">
        <w:rPr>
          <w:lang w:eastAsia="zh-CN"/>
        </w:rPr>
        <w:t>objective for</w:t>
      </w:r>
      <w:r w:rsidR="00C66675" w:rsidRPr="000716A5">
        <w:rPr>
          <w:lang w:eastAsia="zh-CN"/>
        </w:rPr>
        <w:t xml:space="preserve"> the Pakistan Trade Policy and Investment Program, </w:t>
      </w:r>
      <w:r w:rsidR="00F9435C">
        <w:rPr>
          <w:lang w:eastAsia="zh-CN"/>
        </w:rPr>
        <w:t xml:space="preserve">which is </w:t>
      </w:r>
      <w:r w:rsidR="00C66675" w:rsidRPr="000716A5">
        <w:rPr>
          <w:lang w:eastAsia="zh-CN"/>
        </w:rPr>
        <w:t>still early in its implementation</w:t>
      </w:r>
      <w:r w:rsidR="00540CD0" w:rsidRPr="000716A5">
        <w:rPr>
          <w:lang w:eastAsia="zh-CN"/>
        </w:rPr>
        <w:t>.</w:t>
      </w:r>
      <w:r w:rsidRPr="000716A5">
        <w:rPr>
          <w:lang w:eastAsia="zh-CN"/>
        </w:rPr>
        <w:t xml:space="preserve"> </w:t>
      </w:r>
      <w:r w:rsidR="00C66675" w:rsidRPr="000716A5">
        <w:rPr>
          <w:lang w:eastAsia="zh-CN"/>
        </w:rPr>
        <w:t>As part of review of our P</w:t>
      </w:r>
      <w:r w:rsidR="00B01CF6">
        <w:rPr>
          <w:lang w:eastAsia="zh-CN"/>
        </w:rPr>
        <w:t>erformance Assessment Framework</w:t>
      </w:r>
      <w:r w:rsidR="00C66675" w:rsidRPr="000716A5">
        <w:rPr>
          <w:lang w:eastAsia="zh-CN"/>
        </w:rPr>
        <w:t>, more appropriate annual benchmarks for our trade policy work will be established</w:t>
      </w:r>
      <w:r w:rsidR="00681355" w:rsidRPr="000716A5">
        <w:rPr>
          <w:lang w:eastAsia="zh-CN"/>
        </w:rPr>
        <w:t xml:space="preserve">. </w:t>
      </w:r>
      <w:r w:rsidR="00A571CC" w:rsidRPr="000716A5">
        <w:rPr>
          <w:lang w:eastAsia="zh-CN"/>
        </w:rPr>
        <w:t>The table</w:t>
      </w:r>
      <w:r w:rsidR="00B01CF6">
        <w:rPr>
          <w:lang w:eastAsia="zh-CN"/>
        </w:rPr>
        <w:t xml:space="preserve"> below</w:t>
      </w:r>
      <w:r w:rsidR="00A571CC" w:rsidRPr="000716A5">
        <w:rPr>
          <w:lang w:eastAsia="zh-CN"/>
        </w:rPr>
        <w:t xml:space="preserve"> identifies benchmarks and targets for the remainder of the AIP 2018/19. </w:t>
      </w:r>
      <w:r w:rsidR="003F2EBB" w:rsidRPr="000716A5">
        <w:rPr>
          <w:lang w:eastAsia="zh-CN"/>
        </w:rPr>
        <w:t>As a number of investments end in the next two years, benchmarks and targets appropriate to future investments and the evolving program will be updated</w:t>
      </w:r>
      <w:r w:rsidR="00B01CF6">
        <w:rPr>
          <w:lang w:eastAsia="zh-CN"/>
        </w:rPr>
        <w:t xml:space="preserve"> </w:t>
      </w:r>
      <w:r w:rsidR="00B01CF6" w:rsidRPr="000716A5">
        <w:rPr>
          <w:lang w:eastAsia="zh-CN"/>
        </w:rPr>
        <w:t>progressively</w:t>
      </w:r>
      <w:r w:rsidR="00B01CF6">
        <w:rPr>
          <w:lang w:eastAsia="zh-CN"/>
        </w:rPr>
        <w:t>.</w:t>
      </w:r>
    </w:p>
    <w:p w:rsidR="00DB2F3D" w:rsidRPr="00DB2F3D" w:rsidRDefault="00DB2F3D" w:rsidP="00DB2F3D"/>
    <w:p w:rsidR="002A51CA" w:rsidRPr="008C2F58" w:rsidRDefault="002A51CA" w:rsidP="003A2439">
      <w:pPr>
        <w:pStyle w:val="Caption"/>
        <w:keepNext/>
        <w:rPr>
          <w:sz w:val="24"/>
        </w:rPr>
      </w:pPr>
      <w:r w:rsidRPr="0077008D">
        <w:rPr>
          <w:sz w:val="24"/>
        </w:rPr>
        <w:t>Performance Benchmarks 2016-17 to 2018-19</w:t>
      </w:r>
      <w:r w:rsidRPr="008C2F58">
        <w:rPr>
          <w:sz w:val="24"/>
        </w:rPr>
        <w:t xml:space="preserve"> </w:t>
      </w:r>
      <w:r w:rsidR="00D779D8">
        <w:rPr>
          <w:sz w:val="24"/>
        </w:rPr>
        <w:t xml:space="preserve"> </w:t>
      </w:r>
    </w:p>
    <w:tbl>
      <w:tblPr>
        <w:tblStyle w:val="DFATTable"/>
        <w:tblW w:w="4874" w:type="pct"/>
        <w:tblLook w:val="04A0" w:firstRow="1" w:lastRow="0" w:firstColumn="1" w:lastColumn="0" w:noHBand="0" w:noVBand="1"/>
      </w:tblPr>
      <w:tblGrid>
        <w:gridCol w:w="1528"/>
        <w:gridCol w:w="2357"/>
        <w:gridCol w:w="2459"/>
        <w:gridCol w:w="1987"/>
        <w:gridCol w:w="140"/>
        <w:gridCol w:w="538"/>
        <w:gridCol w:w="597"/>
      </w:tblGrid>
      <w:tr w:rsidR="003B0793" w:rsidTr="007C6028">
        <w:trPr>
          <w:trHeight w:val="331"/>
        </w:trPr>
        <w:tc>
          <w:tcPr>
            <w:tcW w:w="795" w:type="pct"/>
            <w:tcBorders>
              <w:top w:val="single" w:sz="12" w:space="0" w:color="auto"/>
              <w:left w:val="nil"/>
              <w:bottom w:val="single" w:sz="12" w:space="0" w:color="auto"/>
              <w:right w:val="nil"/>
            </w:tcBorders>
            <w:shd w:val="clear" w:color="auto" w:fill="D8DCDB" w:themeFill="background2"/>
          </w:tcPr>
          <w:p w:rsidR="003B0793" w:rsidRPr="003B0793" w:rsidRDefault="003B0793" w:rsidP="00D15A00">
            <w:pPr>
              <w:pStyle w:val="TableHeading1"/>
              <w:rPr>
                <w:rFonts w:asciiTheme="minorHAnsi" w:hAnsiTheme="minorHAnsi"/>
              </w:rPr>
            </w:pPr>
          </w:p>
        </w:tc>
        <w:tc>
          <w:tcPr>
            <w:tcW w:w="1227" w:type="pct"/>
            <w:tcBorders>
              <w:top w:val="single" w:sz="12" w:space="0" w:color="auto"/>
              <w:left w:val="nil"/>
              <w:bottom w:val="single" w:sz="12" w:space="0" w:color="auto"/>
              <w:right w:val="nil"/>
            </w:tcBorders>
            <w:shd w:val="clear" w:color="auto" w:fill="D8DCDB" w:themeFill="background2"/>
          </w:tcPr>
          <w:p w:rsidR="003B0793" w:rsidRPr="003B0793" w:rsidRDefault="003B0793" w:rsidP="00D15A00">
            <w:pPr>
              <w:pStyle w:val="TableHeading1"/>
              <w:rPr>
                <w:rFonts w:asciiTheme="minorHAnsi" w:hAnsiTheme="minorHAnsi"/>
              </w:rPr>
            </w:pPr>
          </w:p>
        </w:tc>
        <w:tc>
          <w:tcPr>
            <w:tcW w:w="1280" w:type="pct"/>
            <w:tcBorders>
              <w:top w:val="single" w:sz="12" w:space="0" w:color="auto"/>
              <w:left w:val="nil"/>
              <w:bottom w:val="single" w:sz="12" w:space="0" w:color="auto"/>
              <w:right w:val="nil"/>
            </w:tcBorders>
            <w:shd w:val="clear" w:color="auto" w:fill="D8DCDB" w:themeFill="background2"/>
            <w:hideMark/>
          </w:tcPr>
          <w:p w:rsidR="003B0793" w:rsidRPr="003B0793" w:rsidRDefault="003B0793" w:rsidP="003B0793">
            <w:pPr>
              <w:pStyle w:val="TableHeading1"/>
              <w:jc w:val="center"/>
              <w:rPr>
                <w:rFonts w:asciiTheme="minorHAnsi" w:hAnsiTheme="minorHAnsi"/>
              </w:rPr>
            </w:pPr>
            <w:r w:rsidRPr="003B0793">
              <w:rPr>
                <w:rFonts w:asciiTheme="minorHAnsi" w:hAnsiTheme="minorHAnsi"/>
              </w:rPr>
              <w:t>2016-17</w:t>
            </w:r>
          </w:p>
        </w:tc>
        <w:tc>
          <w:tcPr>
            <w:tcW w:w="1034" w:type="pct"/>
            <w:tcBorders>
              <w:top w:val="single" w:sz="12" w:space="0" w:color="auto"/>
              <w:left w:val="nil"/>
              <w:bottom w:val="single" w:sz="12" w:space="0" w:color="auto"/>
              <w:right w:val="nil"/>
            </w:tcBorders>
            <w:shd w:val="clear" w:color="auto" w:fill="D8DCDB" w:themeFill="background2"/>
            <w:hideMark/>
          </w:tcPr>
          <w:p w:rsidR="003B0793" w:rsidRPr="003B0793" w:rsidRDefault="003B0793" w:rsidP="003B0793">
            <w:pPr>
              <w:pStyle w:val="TableHeading1"/>
              <w:jc w:val="center"/>
              <w:rPr>
                <w:rFonts w:asciiTheme="minorHAnsi" w:hAnsiTheme="minorHAnsi"/>
              </w:rPr>
            </w:pPr>
            <w:r w:rsidRPr="003B0793">
              <w:rPr>
                <w:rFonts w:asciiTheme="minorHAnsi" w:hAnsiTheme="minorHAnsi"/>
              </w:rPr>
              <w:t>2017-18</w:t>
            </w:r>
          </w:p>
        </w:tc>
        <w:tc>
          <w:tcPr>
            <w:tcW w:w="664" w:type="pct"/>
            <w:gridSpan w:val="3"/>
            <w:tcBorders>
              <w:top w:val="single" w:sz="12" w:space="0" w:color="auto"/>
              <w:left w:val="nil"/>
              <w:bottom w:val="single" w:sz="12" w:space="0" w:color="auto"/>
              <w:right w:val="nil"/>
            </w:tcBorders>
            <w:shd w:val="clear" w:color="auto" w:fill="D8DCDB" w:themeFill="background2"/>
            <w:hideMark/>
          </w:tcPr>
          <w:p w:rsidR="003B0793" w:rsidRPr="003B0793" w:rsidRDefault="003B0793" w:rsidP="003B0793">
            <w:pPr>
              <w:pStyle w:val="TableHeading1"/>
              <w:ind w:firstLine="32"/>
              <w:jc w:val="center"/>
              <w:rPr>
                <w:rFonts w:asciiTheme="minorHAnsi" w:hAnsiTheme="minorHAnsi"/>
              </w:rPr>
            </w:pPr>
            <w:r w:rsidRPr="003B0793">
              <w:rPr>
                <w:rFonts w:asciiTheme="minorHAnsi" w:hAnsiTheme="minorHAnsi"/>
              </w:rPr>
              <w:t>2018-19</w:t>
            </w:r>
          </w:p>
        </w:tc>
      </w:tr>
      <w:tr w:rsidR="003B0793" w:rsidTr="003B0793">
        <w:trPr>
          <w:gridAfter w:val="1"/>
          <w:wAfter w:w="311" w:type="pct"/>
          <w:trHeight w:val="425"/>
        </w:trPr>
        <w:tc>
          <w:tcPr>
            <w:tcW w:w="795" w:type="pct"/>
            <w:tcBorders>
              <w:top w:val="nil"/>
              <w:left w:val="nil"/>
              <w:bottom w:val="nil"/>
              <w:right w:val="nil"/>
            </w:tcBorders>
            <w:hideMark/>
          </w:tcPr>
          <w:p w:rsidR="003B0793" w:rsidRPr="003B0793" w:rsidRDefault="003B0793" w:rsidP="00D15A00">
            <w:pPr>
              <w:pStyle w:val="TableHeading1"/>
              <w:rPr>
                <w:rFonts w:asciiTheme="minorHAnsi" w:hAnsiTheme="minorHAnsi"/>
                <w:i/>
                <w:color w:val="808080" w:themeColor="background1" w:themeShade="80"/>
              </w:rPr>
            </w:pPr>
            <w:r w:rsidRPr="003B0793">
              <w:rPr>
                <w:rFonts w:asciiTheme="minorHAnsi" w:hAnsiTheme="minorHAnsi"/>
              </w:rPr>
              <w:t>Aid objective</w:t>
            </w:r>
          </w:p>
        </w:tc>
        <w:tc>
          <w:tcPr>
            <w:tcW w:w="3894" w:type="pct"/>
            <w:gridSpan w:val="5"/>
            <w:tcBorders>
              <w:top w:val="nil"/>
              <w:left w:val="nil"/>
              <w:bottom w:val="nil"/>
            </w:tcBorders>
            <w:hideMark/>
          </w:tcPr>
          <w:p w:rsidR="003B0793" w:rsidRPr="003B0793" w:rsidRDefault="006B3D1F" w:rsidP="003B0793">
            <w:pPr>
              <w:pStyle w:val="TableTextEntries"/>
              <w:ind w:firstLine="32"/>
              <w:rPr>
                <w:rFonts w:asciiTheme="minorHAnsi" w:hAnsiTheme="minorHAnsi"/>
                <w:i/>
                <w:color w:val="808080" w:themeColor="background1" w:themeShade="80"/>
              </w:rPr>
            </w:pPr>
            <w:r>
              <w:rPr>
                <w:rFonts w:asciiTheme="minorHAnsi" w:hAnsiTheme="minorHAnsi"/>
                <w:i/>
                <w:color w:val="808080" w:themeColor="background1" w:themeShade="80"/>
              </w:rPr>
              <w:t>Generating sustainable growth and employment</w:t>
            </w:r>
          </w:p>
        </w:tc>
      </w:tr>
      <w:tr w:rsidR="003B3E06" w:rsidTr="007C6028">
        <w:trPr>
          <w:trHeight w:val="984"/>
        </w:trPr>
        <w:tc>
          <w:tcPr>
            <w:tcW w:w="795" w:type="pct"/>
            <w:tcBorders>
              <w:top w:val="nil"/>
              <w:left w:val="nil"/>
              <w:bottom w:val="nil"/>
              <w:right w:val="nil"/>
            </w:tcBorders>
            <w:hideMark/>
          </w:tcPr>
          <w:p w:rsidR="003B3E06" w:rsidRPr="003B0793" w:rsidRDefault="003B3E06" w:rsidP="00D15A00">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27" w:type="pct"/>
            <w:tcBorders>
              <w:top w:val="nil"/>
              <w:left w:val="nil"/>
              <w:bottom w:val="nil"/>
              <w:right w:val="nil"/>
            </w:tcBorders>
            <w:hideMark/>
          </w:tcPr>
          <w:p w:rsidR="003B3E06" w:rsidRPr="003B0793" w:rsidRDefault="003B3E06" w:rsidP="00571401">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Number (% women) of poor farmers and small business owners who have increased their income</w:t>
            </w:r>
          </w:p>
        </w:tc>
        <w:tc>
          <w:tcPr>
            <w:tcW w:w="1280" w:type="pct"/>
            <w:tcBorders>
              <w:top w:val="nil"/>
              <w:left w:val="nil"/>
              <w:bottom w:val="nil"/>
              <w:right w:val="nil"/>
            </w:tcBorders>
            <w:hideMark/>
          </w:tcPr>
          <w:p w:rsidR="003B3E06" w:rsidRPr="00D779D8" w:rsidRDefault="003B3E06" w:rsidP="003B0793">
            <w:pPr>
              <w:jc w:val="center"/>
              <w:rPr>
                <w:rFonts w:asciiTheme="minorHAnsi" w:hAnsiTheme="minorHAnsi"/>
                <w:i/>
                <w:color w:val="FF0000"/>
                <w:szCs w:val="20"/>
                <w:lang w:eastAsia="en-US"/>
              </w:rPr>
            </w:pPr>
            <w:r w:rsidRPr="00DE2726">
              <w:rPr>
                <w:rFonts w:asciiTheme="minorHAnsi" w:hAnsiTheme="minorHAnsi"/>
                <w:i/>
                <w:color w:val="808080" w:themeColor="background1" w:themeShade="80"/>
                <w:szCs w:val="20"/>
                <w:lang w:eastAsia="en-US"/>
              </w:rPr>
              <w:t>6480 pro poor farmers (48% women)</w:t>
            </w:r>
          </w:p>
        </w:tc>
        <w:tc>
          <w:tcPr>
            <w:tcW w:w="1107" w:type="pct"/>
            <w:gridSpan w:val="2"/>
            <w:tcBorders>
              <w:top w:val="nil"/>
              <w:left w:val="nil"/>
              <w:bottom w:val="nil"/>
              <w:right w:val="nil"/>
            </w:tcBorders>
            <w:hideMark/>
          </w:tcPr>
          <w:p w:rsidR="003B3E06" w:rsidRPr="00D779D8" w:rsidRDefault="003B3E06" w:rsidP="003B0793">
            <w:pPr>
              <w:jc w:val="center"/>
              <w:rPr>
                <w:rFonts w:asciiTheme="minorHAnsi" w:hAnsiTheme="minorHAnsi"/>
                <w:i/>
                <w:color w:val="FF0000"/>
                <w:szCs w:val="20"/>
                <w:lang w:eastAsia="en-US"/>
              </w:rPr>
            </w:pPr>
            <w:r w:rsidRPr="00DE2726">
              <w:rPr>
                <w:rFonts w:asciiTheme="minorHAnsi" w:hAnsiTheme="minorHAnsi"/>
                <w:i/>
                <w:color w:val="808080" w:themeColor="background1" w:themeShade="80"/>
                <w:szCs w:val="20"/>
                <w:lang w:eastAsia="en-US"/>
              </w:rPr>
              <w:t>1525 pro poor farmers (86% women)</w:t>
            </w:r>
          </w:p>
        </w:tc>
        <w:tc>
          <w:tcPr>
            <w:tcW w:w="591" w:type="pct"/>
            <w:gridSpan w:val="2"/>
            <w:tcBorders>
              <w:top w:val="nil"/>
              <w:left w:val="nil"/>
              <w:bottom w:val="nil"/>
              <w:right w:val="nil"/>
            </w:tcBorders>
            <w:hideMark/>
          </w:tcPr>
          <w:p w:rsidR="003B3E06" w:rsidRPr="00D779D8" w:rsidRDefault="007C6028" w:rsidP="003B0793">
            <w:pPr>
              <w:ind w:firstLine="32"/>
              <w:jc w:val="center"/>
              <w:rPr>
                <w:rFonts w:asciiTheme="minorHAnsi" w:hAnsiTheme="minorHAnsi"/>
                <w:i/>
                <w:color w:val="FF0000"/>
                <w:szCs w:val="20"/>
                <w:lang w:eastAsia="en-US"/>
              </w:rPr>
            </w:pPr>
            <w:r>
              <w:rPr>
                <w:rFonts w:asciiTheme="minorHAnsi" w:hAnsiTheme="minorHAnsi"/>
                <w:i/>
                <w:color w:val="7F7F7F" w:themeColor="text1" w:themeTint="80"/>
                <w:szCs w:val="20"/>
                <w:lang w:eastAsia="en-US"/>
              </w:rPr>
              <w:t>TBC</w:t>
            </w:r>
          </w:p>
        </w:tc>
      </w:tr>
      <w:tr w:rsidR="00680FCD" w:rsidTr="007C6028">
        <w:trPr>
          <w:trHeight w:val="614"/>
        </w:trPr>
        <w:tc>
          <w:tcPr>
            <w:tcW w:w="795" w:type="pct"/>
            <w:tcBorders>
              <w:top w:val="nil"/>
              <w:left w:val="nil"/>
              <w:bottom w:val="single" w:sz="12" w:space="0" w:color="auto"/>
              <w:right w:val="nil"/>
            </w:tcBorders>
            <w:hideMark/>
          </w:tcPr>
          <w:p w:rsidR="00680FCD" w:rsidRPr="003B0793" w:rsidRDefault="00680FCD" w:rsidP="00D15A00">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27" w:type="pct"/>
            <w:tcBorders>
              <w:top w:val="nil"/>
              <w:left w:val="nil"/>
              <w:bottom w:val="single" w:sz="12" w:space="0" w:color="auto"/>
              <w:right w:val="nil"/>
            </w:tcBorders>
          </w:tcPr>
          <w:p w:rsidR="00680FCD" w:rsidRPr="003B0793" w:rsidRDefault="00680FCD" w:rsidP="00D15A00">
            <w:pPr>
              <w:spacing w:after="120"/>
              <w:rPr>
                <w:rFonts w:asciiTheme="minorHAnsi" w:hAnsiTheme="minorHAnsi"/>
                <w:i/>
                <w:color w:val="808080" w:themeColor="background1" w:themeShade="80"/>
                <w:szCs w:val="20"/>
                <w:lang w:eastAsia="en-US"/>
              </w:rPr>
            </w:pPr>
            <w:r w:rsidRPr="00E12910">
              <w:rPr>
                <w:rFonts w:asciiTheme="minorHAnsi" w:hAnsiTheme="minorHAnsi"/>
                <w:i/>
                <w:color w:val="808080" w:themeColor="background1" w:themeShade="80"/>
                <w:szCs w:val="20"/>
                <w:lang w:eastAsia="en-US"/>
              </w:rPr>
              <w:t>Community or Farmers’ Organisations, including women’s organisations, are effectively supported to build community cohesion to advocate for their needs or to gain control in marketing their products</w:t>
            </w:r>
          </w:p>
        </w:tc>
        <w:tc>
          <w:tcPr>
            <w:tcW w:w="1280" w:type="pct"/>
            <w:tcBorders>
              <w:top w:val="nil"/>
              <w:left w:val="nil"/>
              <w:bottom w:val="single" w:sz="12" w:space="0" w:color="auto"/>
              <w:right w:val="nil"/>
            </w:tcBorders>
          </w:tcPr>
          <w:p w:rsidR="00680FCD" w:rsidRPr="00D779D8" w:rsidRDefault="00680FCD" w:rsidP="003B0793">
            <w:pPr>
              <w:spacing w:after="120"/>
              <w:jc w:val="center"/>
              <w:rPr>
                <w:rFonts w:asciiTheme="minorHAnsi" w:hAnsiTheme="minorHAnsi"/>
                <w:i/>
                <w:color w:val="FF0000"/>
                <w:szCs w:val="20"/>
                <w:lang w:eastAsia="en-US"/>
              </w:rPr>
            </w:pPr>
            <w:r w:rsidRPr="00DE2726">
              <w:rPr>
                <w:rFonts w:asciiTheme="minorHAnsi" w:hAnsiTheme="minorHAnsi"/>
                <w:i/>
                <w:color w:val="808080" w:themeColor="background1" w:themeShade="80"/>
                <w:szCs w:val="20"/>
                <w:lang w:eastAsia="en-US"/>
              </w:rPr>
              <w:t>1210 (44% women)</w:t>
            </w:r>
          </w:p>
        </w:tc>
        <w:tc>
          <w:tcPr>
            <w:tcW w:w="1107" w:type="pct"/>
            <w:gridSpan w:val="2"/>
            <w:tcBorders>
              <w:top w:val="nil"/>
              <w:left w:val="nil"/>
              <w:bottom w:val="single" w:sz="12" w:space="0" w:color="auto"/>
              <w:right w:val="nil"/>
            </w:tcBorders>
          </w:tcPr>
          <w:p w:rsidR="00680FCD" w:rsidRPr="00D779D8" w:rsidRDefault="00680FCD" w:rsidP="00C305B0">
            <w:pPr>
              <w:spacing w:after="120"/>
              <w:jc w:val="center"/>
              <w:rPr>
                <w:rFonts w:asciiTheme="minorHAnsi" w:hAnsiTheme="minorHAnsi"/>
                <w:i/>
                <w:color w:val="FF0000"/>
                <w:szCs w:val="20"/>
                <w:lang w:eastAsia="en-US"/>
              </w:rPr>
            </w:pPr>
            <w:r w:rsidRPr="00DE2726">
              <w:rPr>
                <w:rFonts w:asciiTheme="minorHAnsi" w:hAnsiTheme="minorHAnsi"/>
                <w:i/>
                <w:color w:val="808080" w:themeColor="background1" w:themeShade="80"/>
                <w:szCs w:val="20"/>
                <w:lang w:eastAsia="en-US"/>
              </w:rPr>
              <w:t>1200 (44% women)</w:t>
            </w:r>
          </w:p>
        </w:tc>
        <w:tc>
          <w:tcPr>
            <w:tcW w:w="591" w:type="pct"/>
            <w:gridSpan w:val="2"/>
            <w:tcBorders>
              <w:top w:val="nil"/>
              <w:left w:val="nil"/>
              <w:bottom w:val="single" w:sz="12" w:space="0" w:color="auto"/>
              <w:right w:val="nil"/>
            </w:tcBorders>
          </w:tcPr>
          <w:p w:rsidR="00680FCD" w:rsidRPr="00D779D8" w:rsidRDefault="007C6028" w:rsidP="003B0793">
            <w:pPr>
              <w:spacing w:after="120"/>
              <w:ind w:firstLine="32"/>
              <w:jc w:val="center"/>
              <w:rPr>
                <w:rFonts w:asciiTheme="minorHAnsi" w:hAnsiTheme="minorHAnsi"/>
                <w:i/>
                <w:color w:val="FF0000"/>
                <w:szCs w:val="20"/>
                <w:lang w:eastAsia="en-US"/>
              </w:rPr>
            </w:pPr>
            <w:r>
              <w:rPr>
                <w:rFonts w:asciiTheme="minorHAnsi" w:hAnsiTheme="minorHAnsi"/>
                <w:i/>
                <w:color w:val="7F7F7F" w:themeColor="text1" w:themeTint="80"/>
                <w:szCs w:val="20"/>
                <w:lang w:eastAsia="en-US"/>
              </w:rPr>
              <w:t>TBC</w:t>
            </w:r>
          </w:p>
        </w:tc>
      </w:tr>
      <w:tr w:rsidR="006B3D1F" w:rsidTr="007C6028">
        <w:trPr>
          <w:trHeight w:val="614"/>
        </w:trPr>
        <w:tc>
          <w:tcPr>
            <w:tcW w:w="795" w:type="pct"/>
            <w:tcBorders>
              <w:top w:val="single" w:sz="12" w:space="0" w:color="auto"/>
              <w:left w:val="nil"/>
              <w:bottom w:val="nil"/>
              <w:right w:val="nil"/>
            </w:tcBorders>
          </w:tcPr>
          <w:p w:rsidR="006B3D1F" w:rsidRPr="003B0793" w:rsidRDefault="006B3D1F" w:rsidP="00D15A00">
            <w:pPr>
              <w:pStyle w:val="TableHeading1"/>
              <w:rPr>
                <w:rFonts w:asciiTheme="minorHAnsi" w:hAnsiTheme="minorHAnsi"/>
              </w:rPr>
            </w:pPr>
            <w:r>
              <w:rPr>
                <w:rFonts w:asciiTheme="minorHAnsi" w:hAnsiTheme="minorHAnsi"/>
              </w:rPr>
              <w:t>Aid objective</w:t>
            </w:r>
          </w:p>
        </w:tc>
        <w:tc>
          <w:tcPr>
            <w:tcW w:w="4205" w:type="pct"/>
            <w:gridSpan w:val="6"/>
            <w:tcBorders>
              <w:top w:val="single" w:sz="12" w:space="0" w:color="auto"/>
              <w:left w:val="nil"/>
              <w:bottom w:val="nil"/>
              <w:right w:val="nil"/>
            </w:tcBorders>
          </w:tcPr>
          <w:p w:rsidR="006B3D1F" w:rsidRPr="003B0793" w:rsidRDefault="006B3D1F" w:rsidP="006B3D1F">
            <w:pPr>
              <w:spacing w:after="120"/>
              <w:ind w:firstLine="32"/>
              <w:rPr>
                <w:i/>
                <w:color w:val="808080" w:themeColor="background1" w:themeShade="80"/>
                <w:szCs w:val="20"/>
              </w:rPr>
            </w:pPr>
            <w:r>
              <w:rPr>
                <w:i/>
                <w:color w:val="808080" w:themeColor="background1" w:themeShade="80"/>
                <w:szCs w:val="20"/>
              </w:rPr>
              <w:t>Investing in Pakistan’s people through health and education</w:t>
            </w:r>
          </w:p>
        </w:tc>
      </w:tr>
      <w:tr w:rsidR="006B3D1F" w:rsidTr="008613CE">
        <w:trPr>
          <w:trHeight w:val="614"/>
        </w:trPr>
        <w:tc>
          <w:tcPr>
            <w:tcW w:w="795" w:type="pct"/>
            <w:tcBorders>
              <w:top w:val="nil"/>
              <w:left w:val="nil"/>
              <w:bottom w:val="nil"/>
              <w:right w:val="nil"/>
            </w:tcBorders>
          </w:tcPr>
          <w:p w:rsidR="006B3D1F" w:rsidRPr="003B0793" w:rsidRDefault="006B3D1F" w:rsidP="00074F21">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27" w:type="pct"/>
            <w:tcBorders>
              <w:top w:val="nil"/>
              <w:left w:val="nil"/>
              <w:bottom w:val="nil"/>
              <w:right w:val="nil"/>
            </w:tcBorders>
          </w:tcPr>
          <w:p w:rsidR="006B3D1F" w:rsidRPr="003B0793" w:rsidRDefault="006B3D1F" w:rsidP="006B3D1F">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Eligible women and children in target districts receive nutrition related services</w:t>
            </w:r>
          </w:p>
        </w:tc>
        <w:tc>
          <w:tcPr>
            <w:tcW w:w="1280" w:type="pct"/>
            <w:tcBorders>
              <w:top w:val="nil"/>
              <w:left w:val="nil"/>
              <w:bottom w:val="nil"/>
              <w:right w:val="nil"/>
            </w:tcBorders>
          </w:tcPr>
          <w:p w:rsidR="006B3D1F" w:rsidRPr="003B0793" w:rsidRDefault="006B3D1F" w:rsidP="00074F21">
            <w:pPr>
              <w:spacing w:after="120"/>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77,970</w:t>
            </w:r>
          </w:p>
        </w:tc>
        <w:tc>
          <w:tcPr>
            <w:tcW w:w="1034" w:type="pct"/>
            <w:tcBorders>
              <w:top w:val="nil"/>
              <w:left w:val="nil"/>
              <w:bottom w:val="nil"/>
              <w:right w:val="nil"/>
            </w:tcBorders>
          </w:tcPr>
          <w:p w:rsidR="006B3D1F" w:rsidRPr="00600F5B" w:rsidRDefault="007C6028" w:rsidP="0077008D">
            <w:pPr>
              <w:spacing w:after="120"/>
              <w:jc w:val="center"/>
              <w:rPr>
                <w:rFonts w:asciiTheme="minorHAnsi" w:hAnsiTheme="minorHAnsi"/>
                <w:i/>
                <w:color w:val="7F7F7F" w:themeColor="text1" w:themeTint="80"/>
                <w:szCs w:val="20"/>
                <w:lang w:eastAsia="en-US"/>
              </w:rPr>
            </w:pPr>
            <w:r>
              <w:rPr>
                <w:rFonts w:asciiTheme="minorHAnsi" w:hAnsiTheme="minorHAnsi"/>
                <w:i/>
                <w:color w:val="7F7F7F" w:themeColor="text1" w:themeTint="80"/>
                <w:szCs w:val="20"/>
                <w:lang w:eastAsia="en-US"/>
              </w:rPr>
              <w:t>TBC</w:t>
            </w:r>
          </w:p>
        </w:tc>
        <w:tc>
          <w:tcPr>
            <w:tcW w:w="664" w:type="pct"/>
            <w:gridSpan w:val="3"/>
            <w:tcBorders>
              <w:top w:val="nil"/>
              <w:left w:val="nil"/>
              <w:bottom w:val="nil"/>
              <w:right w:val="nil"/>
            </w:tcBorders>
          </w:tcPr>
          <w:p w:rsidR="006B3D1F" w:rsidRPr="00600F5B" w:rsidRDefault="007C6028" w:rsidP="00074F21">
            <w:pPr>
              <w:spacing w:after="120"/>
              <w:ind w:firstLine="32"/>
              <w:jc w:val="center"/>
              <w:rPr>
                <w:rFonts w:asciiTheme="minorHAnsi" w:hAnsiTheme="minorHAnsi"/>
                <w:i/>
                <w:color w:val="7F7F7F" w:themeColor="text1" w:themeTint="80"/>
                <w:szCs w:val="20"/>
                <w:lang w:eastAsia="en-US"/>
              </w:rPr>
            </w:pPr>
            <w:r>
              <w:rPr>
                <w:rFonts w:asciiTheme="minorHAnsi" w:hAnsiTheme="minorHAnsi"/>
                <w:i/>
                <w:color w:val="7F7F7F" w:themeColor="text1" w:themeTint="80"/>
                <w:szCs w:val="20"/>
                <w:lang w:eastAsia="en-US"/>
              </w:rPr>
              <w:t>TBC</w:t>
            </w:r>
          </w:p>
        </w:tc>
      </w:tr>
      <w:tr w:rsidR="006B3D1F" w:rsidRPr="00F80B6D" w:rsidTr="007C6028">
        <w:trPr>
          <w:trHeight w:val="614"/>
        </w:trPr>
        <w:tc>
          <w:tcPr>
            <w:tcW w:w="795" w:type="pct"/>
            <w:tcBorders>
              <w:top w:val="nil"/>
              <w:left w:val="nil"/>
              <w:bottom w:val="nil"/>
              <w:right w:val="nil"/>
            </w:tcBorders>
          </w:tcPr>
          <w:p w:rsidR="006B3D1F" w:rsidRPr="003B0793" w:rsidRDefault="006B3D1F" w:rsidP="00074F21">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27" w:type="pct"/>
            <w:tcBorders>
              <w:top w:val="nil"/>
              <w:left w:val="nil"/>
              <w:bottom w:val="nil"/>
              <w:right w:val="nil"/>
            </w:tcBorders>
          </w:tcPr>
          <w:p w:rsidR="006B3D1F" w:rsidRPr="003B0793" w:rsidRDefault="006B3D1F" w:rsidP="00074F21">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Number of boys and girls directly supported by the program, enrolled in basic education</w:t>
            </w:r>
          </w:p>
        </w:tc>
        <w:tc>
          <w:tcPr>
            <w:tcW w:w="1280" w:type="pct"/>
            <w:tcBorders>
              <w:top w:val="nil"/>
              <w:left w:val="nil"/>
              <w:bottom w:val="nil"/>
              <w:right w:val="nil"/>
            </w:tcBorders>
          </w:tcPr>
          <w:p w:rsidR="006B3D1F" w:rsidRPr="00F80B6D" w:rsidRDefault="00F80B6D" w:rsidP="00074F21">
            <w:pPr>
              <w:spacing w:after="120"/>
              <w:jc w:val="center"/>
              <w:rPr>
                <w:rFonts w:asciiTheme="minorHAnsi" w:hAnsiTheme="minorHAnsi"/>
                <w:i/>
                <w:color w:val="808080" w:themeColor="background1" w:themeShade="80"/>
                <w:szCs w:val="20"/>
                <w:lang w:eastAsia="en-US"/>
              </w:rPr>
            </w:pPr>
            <w:r w:rsidRPr="00F80B6D">
              <w:rPr>
                <w:rFonts w:asciiTheme="minorHAnsi" w:hAnsiTheme="minorHAnsi"/>
                <w:i/>
                <w:color w:val="808080" w:themeColor="background1" w:themeShade="80"/>
                <w:szCs w:val="20"/>
                <w:lang w:eastAsia="en-US"/>
              </w:rPr>
              <w:t>4.4 million (including 1.91 million girls)</w:t>
            </w:r>
          </w:p>
        </w:tc>
        <w:tc>
          <w:tcPr>
            <w:tcW w:w="1034" w:type="pct"/>
            <w:tcBorders>
              <w:top w:val="nil"/>
              <w:left w:val="nil"/>
              <w:bottom w:val="nil"/>
              <w:right w:val="nil"/>
            </w:tcBorders>
          </w:tcPr>
          <w:p w:rsidR="006B3D1F" w:rsidRPr="00F80B6D" w:rsidRDefault="00F80B6D" w:rsidP="00074F21">
            <w:pPr>
              <w:spacing w:after="120"/>
              <w:jc w:val="center"/>
              <w:rPr>
                <w:rFonts w:asciiTheme="minorHAnsi" w:hAnsiTheme="minorHAnsi"/>
                <w:i/>
                <w:color w:val="808080" w:themeColor="background1" w:themeShade="80"/>
                <w:szCs w:val="20"/>
                <w:lang w:eastAsia="en-US"/>
              </w:rPr>
            </w:pPr>
            <w:r w:rsidRPr="00F80B6D">
              <w:rPr>
                <w:rFonts w:asciiTheme="minorHAnsi" w:hAnsiTheme="minorHAnsi"/>
                <w:i/>
                <w:color w:val="808080" w:themeColor="background1" w:themeShade="80"/>
                <w:szCs w:val="20"/>
                <w:lang w:eastAsia="en-US"/>
              </w:rPr>
              <w:t>4.5 million (including 1.97 million girls)</w:t>
            </w:r>
          </w:p>
        </w:tc>
        <w:tc>
          <w:tcPr>
            <w:tcW w:w="664" w:type="pct"/>
            <w:gridSpan w:val="3"/>
            <w:tcBorders>
              <w:top w:val="nil"/>
              <w:left w:val="nil"/>
              <w:bottom w:val="nil"/>
              <w:right w:val="nil"/>
            </w:tcBorders>
          </w:tcPr>
          <w:p w:rsidR="006B3D1F" w:rsidRPr="00F80B6D" w:rsidRDefault="00F80B6D" w:rsidP="00F80B6D">
            <w:pPr>
              <w:spacing w:after="120"/>
              <w:ind w:firstLine="32"/>
              <w:jc w:val="center"/>
              <w:rPr>
                <w:rFonts w:asciiTheme="minorHAnsi" w:hAnsiTheme="minorHAnsi"/>
                <w:i/>
                <w:color w:val="808080" w:themeColor="background1" w:themeShade="80"/>
                <w:szCs w:val="20"/>
                <w:lang w:eastAsia="en-US"/>
              </w:rPr>
            </w:pPr>
            <w:r w:rsidRPr="00F80B6D">
              <w:rPr>
                <w:rFonts w:asciiTheme="minorHAnsi" w:hAnsiTheme="minorHAnsi"/>
                <w:i/>
                <w:color w:val="808080" w:themeColor="background1" w:themeShade="80"/>
                <w:szCs w:val="20"/>
                <w:lang w:eastAsia="en-US"/>
              </w:rPr>
              <w:t>4.7 million (including 2.1 million girls)</w:t>
            </w:r>
          </w:p>
        </w:tc>
      </w:tr>
      <w:tr w:rsidR="006B3D1F" w:rsidRPr="001322D2" w:rsidTr="007C6028">
        <w:trPr>
          <w:trHeight w:val="614"/>
        </w:trPr>
        <w:tc>
          <w:tcPr>
            <w:tcW w:w="795" w:type="pct"/>
            <w:tcBorders>
              <w:top w:val="nil"/>
              <w:left w:val="nil"/>
              <w:bottom w:val="single" w:sz="12" w:space="0" w:color="auto"/>
              <w:right w:val="nil"/>
            </w:tcBorders>
          </w:tcPr>
          <w:p w:rsidR="006B3D1F" w:rsidRPr="003B0793" w:rsidRDefault="006B3D1F" w:rsidP="00074F21">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27" w:type="pct"/>
            <w:tcBorders>
              <w:top w:val="nil"/>
              <w:left w:val="nil"/>
              <w:bottom w:val="single" w:sz="12" w:space="0" w:color="auto"/>
              <w:right w:val="nil"/>
            </w:tcBorders>
          </w:tcPr>
          <w:p w:rsidR="006B3D1F" w:rsidRPr="003B0793" w:rsidRDefault="006B3D1F" w:rsidP="00074F21">
            <w:pPr>
              <w:spacing w:after="120"/>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Number of women survivors of violence accessing quality support services in target districts</w:t>
            </w:r>
          </w:p>
        </w:tc>
        <w:tc>
          <w:tcPr>
            <w:tcW w:w="1280" w:type="pct"/>
            <w:tcBorders>
              <w:top w:val="nil"/>
              <w:left w:val="nil"/>
              <w:bottom w:val="single" w:sz="12" w:space="0" w:color="auto"/>
              <w:right w:val="nil"/>
            </w:tcBorders>
          </w:tcPr>
          <w:p w:rsidR="006B3D1F" w:rsidRPr="001322D2" w:rsidRDefault="001322D2" w:rsidP="00074F21">
            <w:pPr>
              <w:spacing w:after="120"/>
              <w:jc w:val="center"/>
              <w:rPr>
                <w:rFonts w:asciiTheme="minorHAnsi" w:hAnsiTheme="minorHAnsi"/>
                <w:i/>
                <w:color w:val="808080" w:themeColor="background1" w:themeShade="80"/>
                <w:szCs w:val="20"/>
                <w:lang w:eastAsia="en-US"/>
              </w:rPr>
            </w:pPr>
            <w:r w:rsidRPr="001322D2">
              <w:rPr>
                <w:rFonts w:asciiTheme="minorHAnsi" w:hAnsiTheme="minorHAnsi"/>
                <w:i/>
                <w:color w:val="808080" w:themeColor="background1" w:themeShade="80"/>
                <w:szCs w:val="20"/>
                <w:lang w:eastAsia="en-US"/>
              </w:rPr>
              <w:t>1800</w:t>
            </w:r>
          </w:p>
        </w:tc>
        <w:tc>
          <w:tcPr>
            <w:tcW w:w="1034" w:type="pct"/>
            <w:tcBorders>
              <w:top w:val="nil"/>
              <w:left w:val="nil"/>
              <w:bottom w:val="single" w:sz="12" w:space="0" w:color="auto"/>
              <w:right w:val="nil"/>
            </w:tcBorders>
          </w:tcPr>
          <w:p w:rsidR="006B3D1F" w:rsidRPr="001322D2" w:rsidRDefault="001322D2" w:rsidP="00074F21">
            <w:pPr>
              <w:spacing w:after="120"/>
              <w:jc w:val="center"/>
              <w:rPr>
                <w:rFonts w:asciiTheme="minorHAnsi" w:hAnsiTheme="minorHAnsi"/>
                <w:i/>
                <w:color w:val="808080" w:themeColor="background1" w:themeShade="80"/>
                <w:szCs w:val="20"/>
                <w:lang w:eastAsia="en-US"/>
              </w:rPr>
            </w:pPr>
            <w:r w:rsidRPr="001322D2">
              <w:rPr>
                <w:rFonts w:asciiTheme="minorHAnsi" w:hAnsiTheme="minorHAnsi"/>
                <w:i/>
                <w:color w:val="808080" w:themeColor="background1" w:themeShade="80"/>
                <w:szCs w:val="20"/>
                <w:lang w:eastAsia="en-US"/>
              </w:rPr>
              <w:t>2040</w:t>
            </w:r>
          </w:p>
        </w:tc>
        <w:tc>
          <w:tcPr>
            <w:tcW w:w="664" w:type="pct"/>
            <w:gridSpan w:val="3"/>
            <w:tcBorders>
              <w:top w:val="nil"/>
              <w:left w:val="nil"/>
              <w:bottom w:val="single" w:sz="12" w:space="0" w:color="auto"/>
              <w:right w:val="nil"/>
            </w:tcBorders>
          </w:tcPr>
          <w:p w:rsidR="006B3D1F" w:rsidRPr="001322D2" w:rsidRDefault="001322D2" w:rsidP="00074F21">
            <w:pPr>
              <w:spacing w:after="120"/>
              <w:ind w:firstLine="32"/>
              <w:jc w:val="center"/>
              <w:rPr>
                <w:rFonts w:asciiTheme="minorHAnsi" w:hAnsiTheme="minorHAnsi"/>
                <w:i/>
                <w:color w:val="808080" w:themeColor="background1" w:themeShade="80"/>
                <w:szCs w:val="20"/>
                <w:lang w:eastAsia="en-US"/>
              </w:rPr>
            </w:pPr>
            <w:r w:rsidRPr="001322D2">
              <w:rPr>
                <w:rFonts w:asciiTheme="minorHAnsi" w:hAnsiTheme="minorHAnsi"/>
                <w:i/>
                <w:color w:val="808080" w:themeColor="background1" w:themeShade="80"/>
                <w:szCs w:val="20"/>
                <w:lang w:eastAsia="en-US"/>
              </w:rPr>
              <w:t>TBC</w:t>
            </w:r>
          </w:p>
        </w:tc>
      </w:tr>
      <w:tr w:rsidR="006B3D1F" w:rsidRPr="00D779D8" w:rsidTr="007C6028">
        <w:trPr>
          <w:trHeight w:val="614"/>
        </w:trPr>
        <w:tc>
          <w:tcPr>
            <w:tcW w:w="795" w:type="pct"/>
            <w:tcBorders>
              <w:top w:val="single" w:sz="12" w:space="0" w:color="auto"/>
              <w:left w:val="nil"/>
              <w:bottom w:val="nil"/>
              <w:right w:val="nil"/>
            </w:tcBorders>
          </w:tcPr>
          <w:p w:rsidR="006B3D1F" w:rsidRPr="003B0793" w:rsidRDefault="005A5008" w:rsidP="00074F21">
            <w:pPr>
              <w:pStyle w:val="TableHeading1"/>
              <w:rPr>
                <w:rFonts w:asciiTheme="minorHAnsi" w:hAnsiTheme="minorHAnsi"/>
              </w:rPr>
            </w:pPr>
            <w:r>
              <w:rPr>
                <w:rFonts w:asciiTheme="minorHAnsi" w:hAnsiTheme="minorHAnsi"/>
              </w:rPr>
              <w:t>Multi-sectoral</w:t>
            </w:r>
            <w:r w:rsidR="006B3D1F">
              <w:rPr>
                <w:rFonts w:asciiTheme="minorHAnsi" w:hAnsiTheme="minorHAnsi"/>
              </w:rPr>
              <w:t xml:space="preserve">: </w:t>
            </w:r>
          </w:p>
        </w:tc>
        <w:tc>
          <w:tcPr>
            <w:tcW w:w="1227" w:type="pct"/>
            <w:tcBorders>
              <w:top w:val="single" w:sz="12" w:space="0" w:color="auto"/>
              <w:left w:val="nil"/>
              <w:bottom w:val="nil"/>
              <w:right w:val="nil"/>
            </w:tcBorders>
          </w:tcPr>
          <w:p w:rsidR="006B3D1F" w:rsidRDefault="006B3D1F" w:rsidP="00074F21">
            <w:pPr>
              <w:spacing w:after="120"/>
              <w:rPr>
                <w:i/>
                <w:color w:val="808080" w:themeColor="background1" w:themeShade="80"/>
                <w:szCs w:val="20"/>
              </w:rPr>
            </w:pPr>
            <w:r>
              <w:rPr>
                <w:i/>
                <w:color w:val="808080" w:themeColor="background1" w:themeShade="80"/>
                <w:szCs w:val="20"/>
              </w:rPr>
              <w:t>Stabilisation</w:t>
            </w:r>
          </w:p>
        </w:tc>
        <w:tc>
          <w:tcPr>
            <w:tcW w:w="1280" w:type="pct"/>
            <w:tcBorders>
              <w:top w:val="single" w:sz="12" w:space="0" w:color="auto"/>
              <w:left w:val="nil"/>
              <w:bottom w:val="nil"/>
              <w:right w:val="nil"/>
            </w:tcBorders>
          </w:tcPr>
          <w:p w:rsidR="006B3D1F" w:rsidRPr="00D779D8" w:rsidRDefault="006B3D1F" w:rsidP="00074F21">
            <w:pPr>
              <w:spacing w:after="120"/>
              <w:jc w:val="center"/>
              <w:rPr>
                <w:i/>
                <w:color w:val="FF0000"/>
                <w:szCs w:val="20"/>
              </w:rPr>
            </w:pPr>
          </w:p>
        </w:tc>
        <w:tc>
          <w:tcPr>
            <w:tcW w:w="1034" w:type="pct"/>
            <w:tcBorders>
              <w:top w:val="single" w:sz="12" w:space="0" w:color="auto"/>
              <w:left w:val="nil"/>
              <w:bottom w:val="nil"/>
              <w:right w:val="nil"/>
            </w:tcBorders>
          </w:tcPr>
          <w:p w:rsidR="006B3D1F" w:rsidRPr="00D779D8" w:rsidRDefault="006B3D1F" w:rsidP="00074F21">
            <w:pPr>
              <w:spacing w:after="120"/>
              <w:jc w:val="center"/>
              <w:rPr>
                <w:i/>
                <w:color w:val="FF0000"/>
                <w:szCs w:val="20"/>
              </w:rPr>
            </w:pPr>
          </w:p>
        </w:tc>
        <w:tc>
          <w:tcPr>
            <w:tcW w:w="664" w:type="pct"/>
            <w:gridSpan w:val="3"/>
            <w:tcBorders>
              <w:top w:val="single" w:sz="12" w:space="0" w:color="auto"/>
              <w:left w:val="nil"/>
              <w:bottom w:val="nil"/>
              <w:right w:val="nil"/>
            </w:tcBorders>
          </w:tcPr>
          <w:p w:rsidR="006B3D1F" w:rsidRPr="00D779D8" w:rsidRDefault="006B3D1F" w:rsidP="00074F21">
            <w:pPr>
              <w:spacing w:after="120"/>
              <w:ind w:firstLine="32"/>
              <w:jc w:val="center"/>
              <w:rPr>
                <w:i/>
                <w:color w:val="FF0000"/>
                <w:szCs w:val="20"/>
              </w:rPr>
            </w:pPr>
          </w:p>
        </w:tc>
      </w:tr>
      <w:tr w:rsidR="006B3D1F" w:rsidRPr="00680FCD" w:rsidTr="008613CE">
        <w:trPr>
          <w:trHeight w:val="614"/>
        </w:trPr>
        <w:tc>
          <w:tcPr>
            <w:tcW w:w="795" w:type="pct"/>
            <w:tcBorders>
              <w:top w:val="nil"/>
              <w:left w:val="nil"/>
              <w:bottom w:val="single" w:sz="12" w:space="0" w:color="auto"/>
              <w:right w:val="nil"/>
            </w:tcBorders>
          </w:tcPr>
          <w:p w:rsidR="006B3D1F" w:rsidRPr="003B0793" w:rsidRDefault="006B3D1F" w:rsidP="00074F21">
            <w:pPr>
              <w:pStyle w:val="TableHeading1"/>
              <w:rPr>
                <w:rFonts w:asciiTheme="minorHAnsi" w:hAnsiTheme="minorHAnsi"/>
                <w:i/>
                <w:color w:val="808080" w:themeColor="background1" w:themeShade="80"/>
              </w:rPr>
            </w:pPr>
            <w:r w:rsidRPr="003B0793">
              <w:rPr>
                <w:rFonts w:asciiTheme="minorHAnsi" w:hAnsiTheme="minorHAnsi"/>
              </w:rPr>
              <w:t>Performance</w:t>
            </w:r>
            <w:r w:rsidRPr="003B0793">
              <w:rPr>
                <w:rFonts w:asciiTheme="minorHAnsi" w:hAnsiTheme="minorHAnsi"/>
              </w:rPr>
              <w:br/>
              <w:t>benchmark</w:t>
            </w:r>
          </w:p>
        </w:tc>
        <w:tc>
          <w:tcPr>
            <w:tcW w:w="1227" w:type="pct"/>
            <w:tcBorders>
              <w:top w:val="nil"/>
              <w:left w:val="nil"/>
              <w:bottom w:val="single" w:sz="12" w:space="0" w:color="auto"/>
              <w:right w:val="nil"/>
            </w:tcBorders>
          </w:tcPr>
          <w:p w:rsidR="006B3D1F" w:rsidRPr="003B0793" w:rsidRDefault="00680FCD" w:rsidP="00074F21">
            <w:pPr>
              <w:spacing w:after="120"/>
              <w:rPr>
                <w:rFonts w:asciiTheme="minorHAnsi" w:hAnsiTheme="minorHAnsi"/>
                <w:i/>
                <w:color w:val="808080" w:themeColor="background1" w:themeShade="80"/>
                <w:szCs w:val="20"/>
                <w:lang w:eastAsia="en-US"/>
              </w:rPr>
            </w:pPr>
            <w:r w:rsidRPr="00680FCD">
              <w:rPr>
                <w:rFonts w:asciiTheme="minorHAnsi" w:hAnsiTheme="minorHAnsi"/>
                <w:i/>
                <w:color w:val="808080" w:themeColor="background1" w:themeShade="80"/>
                <w:szCs w:val="20"/>
                <w:lang w:eastAsia="en-US"/>
              </w:rPr>
              <w:t>Number of Round-II programs initiated in Balochistan, Khyber Pakhtunkhwa and FATA (the three border areas).</w:t>
            </w:r>
          </w:p>
        </w:tc>
        <w:tc>
          <w:tcPr>
            <w:tcW w:w="1280" w:type="pct"/>
            <w:tcBorders>
              <w:top w:val="nil"/>
              <w:left w:val="nil"/>
              <w:bottom w:val="single" w:sz="12" w:space="0" w:color="auto"/>
              <w:right w:val="nil"/>
            </w:tcBorders>
          </w:tcPr>
          <w:p w:rsidR="006B3D1F" w:rsidRPr="00680FCD" w:rsidRDefault="00680FCD" w:rsidP="008613CE">
            <w:pPr>
              <w:spacing w:after="120"/>
              <w:jc w:val="center"/>
              <w:rPr>
                <w:rFonts w:asciiTheme="minorHAnsi" w:hAnsiTheme="minorHAnsi"/>
                <w:i/>
                <w:color w:val="808080" w:themeColor="background1" w:themeShade="80"/>
                <w:szCs w:val="20"/>
                <w:lang w:eastAsia="en-US"/>
              </w:rPr>
            </w:pPr>
            <w:r w:rsidRPr="00680FCD">
              <w:rPr>
                <w:rFonts w:asciiTheme="minorHAnsi" w:hAnsiTheme="minorHAnsi"/>
                <w:i/>
                <w:color w:val="808080" w:themeColor="background1" w:themeShade="80"/>
                <w:szCs w:val="20"/>
                <w:lang w:eastAsia="en-US"/>
              </w:rPr>
              <w:t xml:space="preserve">Seven programs initiated in service delivery (two programs each in KP and FATA), job creation (two programs each in KP and FATA) and good governance (one program each in KP, FATA and Balochistan) </w:t>
            </w:r>
          </w:p>
        </w:tc>
        <w:tc>
          <w:tcPr>
            <w:tcW w:w="1034" w:type="pct"/>
            <w:tcBorders>
              <w:top w:val="nil"/>
              <w:left w:val="nil"/>
              <w:bottom w:val="single" w:sz="12" w:space="0" w:color="auto"/>
              <w:right w:val="nil"/>
            </w:tcBorders>
          </w:tcPr>
          <w:p w:rsidR="006B3D1F" w:rsidRPr="00680FCD" w:rsidRDefault="00680FCD" w:rsidP="00074F21">
            <w:pPr>
              <w:spacing w:after="120"/>
              <w:jc w:val="center"/>
              <w:rPr>
                <w:rFonts w:asciiTheme="minorHAnsi" w:hAnsiTheme="minorHAnsi"/>
                <w:i/>
                <w:color w:val="808080" w:themeColor="background1" w:themeShade="80"/>
                <w:szCs w:val="20"/>
                <w:lang w:eastAsia="en-US"/>
              </w:rPr>
            </w:pPr>
            <w:r w:rsidRPr="00680FCD">
              <w:rPr>
                <w:rFonts w:asciiTheme="minorHAnsi" w:hAnsiTheme="minorHAnsi"/>
                <w:i/>
                <w:color w:val="808080" w:themeColor="background1" w:themeShade="80"/>
                <w:szCs w:val="20"/>
                <w:lang w:eastAsia="en-US"/>
              </w:rPr>
              <w:t>TBC</w:t>
            </w:r>
          </w:p>
        </w:tc>
        <w:tc>
          <w:tcPr>
            <w:tcW w:w="664" w:type="pct"/>
            <w:gridSpan w:val="3"/>
            <w:tcBorders>
              <w:top w:val="nil"/>
              <w:left w:val="nil"/>
              <w:bottom w:val="single" w:sz="12" w:space="0" w:color="auto"/>
              <w:right w:val="nil"/>
            </w:tcBorders>
          </w:tcPr>
          <w:p w:rsidR="006B3D1F" w:rsidRPr="00680FCD" w:rsidRDefault="00680FCD" w:rsidP="00074F21">
            <w:pPr>
              <w:spacing w:after="120"/>
              <w:ind w:firstLine="32"/>
              <w:jc w:val="center"/>
              <w:rPr>
                <w:rFonts w:asciiTheme="minorHAnsi" w:hAnsiTheme="minorHAnsi"/>
                <w:i/>
                <w:color w:val="808080" w:themeColor="background1" w:themeShade="80"/>
                <w:szCs w:val="20"/>
                <w:lang w:eastAsia="en-US"/>
              </w:rPr>
            </w:pPr>
            <w:r w:rsidRPr="00680FCD">
              <w:rPr>
                <w:rFonts w:asciiTheme="minorHAnsi" w:hAnsiTheme="minorHAnsi"/>
                <w:i/>
                <w:color w:val="808080" w:themeColor="background1" w:themeShade="80"/>
                <w:szCs w:val="20"/>
                <w:lang w:eastAsia="en-US"/>
              </w:rPr>
              <w:t>TBC</w:t>
            </w:r>
          </w:p>
        </w:tc>
      </w:tr>
    </w:tbl>
    <w:p w:rsidR="005D307E" w:rsidRDefault="005D307E" w:rsidP="003A2439">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2A51CA" w:rsidRPr="00A02CB3" w:rsidRDefault="002A51CA" w:rsidP="003A2439">
      <w:pPr>
        <w:pStyle w:val="ListBullet"/>
        <w:tabs>
          <w:tab w:val="clear" w:pos="284"/>
        </w:tabs>
        <w:spacing w:before="360"/>
      </w:pPr>
      <w:r w:rsidRPr="00A02CB3">
        <w:rPr>
          <w:rFonts w:asciiTheme="majorHAnsi" w:eastAsiaTheme="majorEastAsia" w:hAnsiTheme="majorHAnsi" w:cstheme="majorBidi"/>
          <w:caps/>
          <w:color w:val="495965" w:themeColor="text2"/>
          <w:sz w:val="38"/>
          <w:szCs w:val="26"/>
          <w:lang w:val="en-GB" w:eastAsia="en-US"/>
        </w:rPr>
        <w:t>Mutual obligations</w:t>
      </w:r>
    </w:p>
    <w:p w:rsidR="00B5779A" w:rsidRDefault="00B5779A" w:rsidP="002A51CA">
      <w:pPr>
        <w:spacing w:after="120" w:line="280" w:lineRule="exact"/>
        <w:rPr>
          <w:rFonts w:eastAsia="Times New Roman"/>
        </w:rPr>
      </w:pPr>
      <w:r>
        <w:rPr>
          <w:rFonts w:eastAsia="Times New Roman"/>
        </w:rPr>
        <w:t>Australia</w:t>
      </w:r>
      <w:r w:rsidR="00A02CB3">
        <w:rPr>
          <w:rFonts w:eastAsia="Times New Roman"/>
        </w:rPr>
        <w:t xml:space="preserve">’s aid program </w:t>
      </w:r>
      <w:r>
        <w:rPr>
          <w:rFonts w:eastAsia="Times New Roman"/>
        </w:rPr>
        <w:t xml:space="preserve">has </w:t>
      </w:r>
      <w:r w:rsidR="00A02CB3">
        <w:rPr>
          <w:rFonts w:eastAsia="Times New Roman"/>
        </w:rPr>
        <w:t xml:space="preserve">been </w:t>
      </w:r>
      <w:r>
        <w:rPr>
          <w:rFonts w:eastAsia="Times New Roman"/>
        </w:rPr>
        <w:t xml:space="preserve">delivered in line with the objectives of </w:t>
      </w:r>
      <w:r w:rsidR="002C30FC">
        <w:rPr>
          <w:rFonts w:eastAsia="Times New Roman"/>
        </w:rPr>
        <w:t>its Pakistan Aid Investment Plan</w:t>
      </w:r>
      <w:r w:rsidR="00A02CB3">
        <w:rPr>
          <w:rFonts w:eastAsia="Times New Roman"/>
        </w:rPr>
        <w:t xml:space="preserve"> 2015-2019</w:t>
      </w:r>
      <w:r>
        <w:rPr>
          <w:rFonts w:eastAsia="Times New Roman"/>
        </w:rPr>
        <w:t xml:space="preserve">, </w:t>
      </w:r>
      <w:r w:rsidR="00D147CE">
        <w:rPr>
          <w:rFonts w:eastAsia="Times New Roman"/>
        </w:rPr>
        <w:t xml:space="preserve">which </w:t>
      </w:r>
      <w:r>
        <w:rPr>
          <w:rFonts w:eastAsia="Times New Roman"/>
        </w:rPr>
        <w:t xml:space="preserve">is responsive to the </w:t>
      </w:r>
      <w:r w:rsidR="00D147CE">
        <w:rPr>
          <w:rFonts w:eastAsia="Times New Roman"/>
        </w:rPr>
        <w:t xml:space="preserve">Government of </w:t>
      </w:r>
      <w:r>
        <w:rPr>
          <w:rFonts w:eastAsia="Times New Roman"/>
        </w:rPr>
        <w:t>Pakistan</w:t>
      </w:r>
      <w:r w:rsidR="00D147CE">
        <w:rPr>
          <w:rFonts w:eastAsia="Times New Roman"/>
        </w:rPr>
        <w:t>’s</w:t>
      </w:r>
      <w:r>
        <w:rPr>
          <w:rFonts w:eastAsia="Times New Roman"/>
        </w:rPr>
        <w:t xml:space="preserve"> </w:t>
      </w:r>
      <w:r w:rsidR="008E153D">
        <w:rPr>
          <w:rFonts w:eastAsia="Times New Roman"/>
        </w:rPr>
        <w:t xml:space="preserve">development priorities outlined in </w:t>
      </w:r>
      <w:r w:rsidR="00D147CE">
        <w:rPr>
          <w:rFonts w:eastAsia="Times New Roman"/>
        </w:rPr>
        <w:t xml:space="preserve">its </w:t>
      </w:r>
      <w:r w:rsidR="008E153D">
        <w:rPr>
          <w:rFonts w:eastAsia="Times New Roman"/>
        </w:rPr>
        <w:t>development strategy</w:t>
      </w:r>
      <w:r w:rsidR="002C30FC">
        <w:rPr>
          <w:rFonts w:eastAsia="Times New Roman"/>
        </w:rPr>
        <w:t xml:space="preserve">, </w:t>
      </w:r>
      <w:r w:rsidR="008E153D" w:rsidRPr="008E153D">
        <w:rPr>
          <w:rFonts w:eastAsia="Times New Roman"/>
          <w:i/>
        </w:rPr>
        <w:t>Vision 2025</w:t>
      </w:r>
      <w:r w:rsidR="008E153D">
        <w:rPr>
          <w:rFonts w:eastAsia="Times New Roman"/>
        </w:rPr>
        <w:t>.</w:t>
      </w:r>
      <w:r w:rsidR="00D1728B">
        <w:rPr>
          <w:rFonts w:eastAsia="Times New Roman"/>
        </w:rPr>
        <w:t xml:space="preserve"> </w:t>
      </w:r>
      <w:r w:rsidR="004B1C03">
        <w:rPr>
          <w:rFonts w:eastAsia="Times New Roman"/>
        </w:rPr>
        <w:t>S</w:t>
      </w:r>
      <w:r w:rsidR="00A12D4F">
        <w:rPr>
          <w:rFonts w:eastAsia="Times New Roman"/>
        </w:rPr>
        <w:t xml:space="preserve">enior </w:t>
      </w:r>
      <w:r w:rsidR="003F2EBB">
        <w:rPr>
          <w:rFonts w:eastAsia="Times New Roman"/>
        </w:rPr>
        <w:t>officials</w:t>
      </w:r>
      <w:r w:rsidR="002C30FC">
        <w:rPr>
          <w:rFonts w:eastAsia="Times New Roman"/>
        </w:rPr>
        <w:t xml:space="preserve"> talks in </w:t>
      </w:r>
      <w:r w:rsidR="008A0075">
        <w:rPr>
          <w:rFonts w:eastAsia="Times New Roman"/>
        </w:rPr>
        <w:t xml:space="preserve">June </w:t>
      </w:r>
      <w:r w:rsidR="002C30FC">
        <w:rPr>
          <w:rFonts w:eastAsia="Times New Roman"/>
        </w:rPr>
        <w:t>2016</w:t>
      </w:r>
      <w:r w:rsidR="00A12D4F">
        <w:rPr>
          <w:rFonts w:eastAsia="Times New Roman"/>
        </w:rPr>
        <w:t xml:space="preserve"> included a</w:t>
      </w:r>
      <w:r w:rsidR="002C30FC">
        <w:rPr>
          <w:rFonts w:eastAsia="Times New Roman"/>
        </w:rPr>
        <w:t xml:space="preserve"> </w:t>
      </w:r>
      <w:r w:rsidR="00A12D4F">
        <w:rPr>
          <w:rFonts w:eastAsia="Times New Roman"/>
        </w:rPr>
        <w:t xml:space="preserve">portfolio review of the Australian aid program, </w:t>
      </w:r>
      <w:r w:rsidR="00A12D4F" w:rsidRPr="008E153D">
        <w:rPr>
          <w:rFonts w:eastAsia="Times New Roman"/>
        </w:rPr>
        <w:t>reaffirm</w:t>
      </w:r>
      <w:r w:rsidR="00A12D4F">
        <w:rPr>
          <w:rFonts w:eastAsia="Times New Roman"/>
        </w:rPr>
        <w:t>ing</w:t>
      </w:r>
      <w:r w:rsidR="00A12D4F" w:rsidRPr="008E153D">
        <w:rPr>
          <w:rFonts w:eastAsia="Times New Roman"/>
        </w:rPr>
        <w:t xml:space="preserve"> </w:t>
      </w:r>
      <w:r w:rsidR="002C30FC">
        <w:rPr>
          <w:rFonts w:eastAsia="Times New Roman"/>
        </w:rPr>
        <w:t xml:space="preserve">mutual </w:t>
      </w:r>
      <w:r w:rsidR="008E153D" w:rsidRPr="008E153D">
        <w:rPr>
          <w:rFonts w:eastAsia="Times New Roman"/>
        </w:rPr>
        <w:t xml:space="preserve">commitment </w:t>
      </w:r>
      <w:r w:rsidR="002C30FC">
        <w:rPr>
          <w:rFonts w:eastAsia="Times New Roman"/>
        </w:rPr>
        <w:t>and a</w:t>
      </w:r>
      <w:r w:rsidR="008E153D" w:rsidRPr="008E153D">
        <w:rPr>
          <w:rFonts w:eastAsia="Times New Roman"/>
        </w:rPr>
        <w:t xml:space="preserve"> consultative approach to development cooperation. </w:t>
      </w:r>
      <w:r w:rsidR="003F2EBB">
        <w:rPr>
          <w:rFonts w:eastAsia="Times New Roman"/>
        </w:rPr>
        <w:t xml:space="preserve">In 2015-16, we initiated </w:t>
      </w:r>
      <w:r w:rsidR="00A12D4F">
        <w:rPr>
          <w:rFonts w:eastAsia="Times New Roman"/>
        </w:rPr>
        <w:t>renewal of a</w:t>
      </w:r>
      <w:r w:rsidR="003F2EBB">
        <w:rPr>
          <w:rFonts w:eastAsia="Times New Roman"/>
        </w:rPr>
        <w:t xml:space="preserve"> Development Cooperation </w:t>
      </w:r>
      <w:r w:rsidR="00D147CE">
        <w:rPr>
          <w:rFonts w:eastAsia="Times New Roman"/>
        </w:rPr>
        <w:t xml:space="preserve">Memorandum of Understanding </w:t>
      </w:r>
      <w:r w:rsidR="003F2EBB">
        <w:rPr>
          <w:rFonts w:eastAsia="Times New Roman"/>
        </w:rPr>
        <w:t xml:space="preserve">with </w:t>
      </w:r>
      <w:r w:rsidR="00D147CE">
        <w:rPr>
          <w:rFonts w:eastAsia="Times New Roman"/>
        </w:rPr>
        <w:t>Pakistan</w:t>
      </w:r>
      <w:r w:rsidR="00A02CB3">
        <w:rPr>
          <w:rFonts w:eastAsia="Times New Roman"/>
        </w:rPr>
        <w:t xml:space="preserve"> and expect </w:t>
      </w:r>
      <w:r w:rsidR="00A12D4F">
        <w:rPr>
          <w:rFonts w:eastAsia="Times New Roman"/>
        </w:rPr>
        <w:t xml:space="preserve">the </w:t>
      </w:r>
      <w:r w:rsidR="00845A0F">
        <w:rPr>
          <w:rFonts w:eastAsia="Times New Roman"/>
        </w:rPr>
        <w:t>MoU will be signed in early 2016</w:t>
      </w:r>
      <w:r w:rsidR="002C30FC">
        <w:rPr>
          <w:rFonts w:eastAsia="Times New Roman"/>
        </w:rPr>
        <w:t>-</w:t>
      </w:r>
      <w:r w:rsidR="00845A0F">
        <w:rPr>
          <w:rFonts w:eastAsia="Times New Roman"/>
        </w:rPr>
        <w:t xml:space="preserve">17.  </w:t>
      </w:r>
    </w:p>
    <w:p w:rsidR="00D1728B" w:rsidRDefault="00F22D0A" w:rsidP="003F5094">
      <w:pPr>
        <w:widowControl w:val="0"/>
        <w:spacing w:after="120" w:line="280" w:lineRule="exact"/>
      </w:pPr>
      <w:r>
        <w:rPr>
          <w:rFonts w:eastAsia="Times New Roman"/>
        </w:rPr>
        <w:t>In 2015-16</w:t>
      </w:r>
      <w:r w:rsidR="00D779D8">
        <w:rPr>
          <w:rFonts w:eastAsia="Times New Roman"/>
        </w:rPr>
        <w:t>,</w:t>
      </w:r>
      <w:r>
        <w:rPr>
          <w:rFonts w:eastAsia="Times New Roman"/>
        </w:rPr>
        <w:t xml:space="preserve"> Australia signed two subsidiary arrangements with the </w:t>
      </w:r>
      <w:r w:rsidR="000716A5" w:rsidRPr="00620C91">
        <w:rPr>
          <w:lang w:eastAsia="zh-CN"/>
        </w:rPr>
        <w:t xml:space="preserve">Government of Pakistan </w:t>
      </w:r>
      <w:r w:rsidR="002C30FC">
        <w:rPr>
          <w:rFonts w:eastAsia="Times New Roman"/>
        </w:rPr>
        <w:t xml:space="preserve">for the </w:t>
      </w:r>
      <w:r>
        <w:rPr>
          <w:rFonts w:eastAsia="Times New Roman"/>
        </w:rPr>
        <w:t xml:space="preserve">Sustainable Development Investment Portfolio and </w:t>
      </w:r>
      <w:r w:rsidRPr="003426FC">
        <w:t>Agricultural Value Chain Collabo</w:t>
      </w:r>
      <w:r>
        <w:t>rative Research Program</w:t>
      </w:r>
      <w:r w:rsidR="002C30FC">
        <w:t xml:space="preserve"> </w:t>
      </w:r>
      <w:r w:rsidR="003F2EBB">
        <w:t xml:space="preserve">- </w:t>
      </w:r>
      <w:r w:rsidR="00BF65BA">
        <w:t>facilitating</w:t>
      </w:r>
      <w:r>
        <w:t xml:space="preserve"> water resources management and agriculture </w:t>
      </w:r>
      <w:r w:rsidR="00517CD6">
        <w:t>productivity</w:t>
      </w:r>
      <w:r w:rsidR="004B1C03">
        <w:t xml:space="preserve"> support to Pakistan</w:t>
      </w:r>
      <w:r w:rsidR="00517CD6">
        <w:t>.</w:t>
      </w:r>
    </w:p>
    <w:p w:rsidR="00C64B47" w:rsidRDefault="00C64B47" w:rsidP="00C64B47">
      <w:r>
        <w:t xml:space="preserve">At the </w:t>
      </w:r>
      <w:r w:rsidR="00654254">
        <w:t>Provincial</w:t>
      </w:r>
      <w:r>
        <w:t xml:space="preserve"> level, w</w:t>
      </w:r>
      <w:r w:rsidR="002C30FC" w:rsidRPr="003426FC">
        <w:t xml:space="preserve">hilst there have been delays in the formal approval of the Balochistan Agricultural Policy (developed with support from </w:t>
      </w:r>
      <w:proofErr w:type="spellStart"/>
      <w:r w:rsidR="002C30FC" w:rsidRPr="003426FC">
        <w:t>AusABBA</w:t>
      </w:r>
      <w:proofErr w:type="spellEnd"/>
      <w:r w:rsidR="00B01CF6">
        <w:rPr>
          <w:rStyle w:val="FootnoteReference"/>
        </w:rPr>
        <w:footnoteReference w:id="43"/>
      </w:r>
      <w:r w:rsidR="002C30FC" w:rsidRPr="003426FC">
        <w:t xml:space="preserve">) due to a transition in the Government </w:t>
      </w:r>
      <w:r w:rsidR="002C30FC">
        <w:t xml:space="preserve">of </w:t>
      </w:r>
      <w:r w:rsidR="00654254">
        <w:t>Balochistan</w:t>
      </w:r>
      <w:r w:rsidR="00D147CE">
        <w:t xml:space="preserve"> (GoB)</w:t>
      </w:r>
      <w:r w:rsidR="002C30FC" w:rsidRPr="003426FC">
        <w:t xml:space="preserve">, </w:t>
      </w:r>
      <w:r w:rsidR="002C30FC">
        <w:t xml:space="preserve">support for the policy is </w:t>
      </w:r>
      <w:r w:rsidR="002C30FC" w:rsidRPr="003426FC">
        <w:t xml:space="preserve">evident </w:t>
      </w:r>
      <w:r w:rsidR="00A02CB3">
        <w:t xml:space="preserve">and </w:t>
      </w:r>
      <w:r w:rsidR="001057F1">
        <w:t xml:space="preserve">the </w:t>
      </w:r>
      <w:proofErr w:type="spellStart"/>
      <w:r w:rsidR="00A02CB3">
        <w:t>GoB</w:t>
      </w:r>
      <w:proofErr w:type="spellEnd"/>
      <w:r w:rsidR="00A02CB3">
        <w:t xml:space="preserve"> </w:t>
      </w:r>
      <w:r w:rsidR="001057F1">
        <w:t>has</w:t>
      </w:r>
      <w:r w:rsidR="002C30FC" w:rsidRPr="003426FC">
        <w:t xml:space="preserve"> begun implementing its recommendations.</w:t>
      </w:r>
      <w:r w:rsidR="00B01CF6">
        <w:t xml:space="preserve"> </w:t>
      </w:r>
      <w:proofErr w:type="spellStart"/>
      <w:r w:rsidR="00A02CB3">
        <w:t>GoB</w:t>
      </w:r>
      <w:proofErr w:type="spellEnd"/>
      <w:r w:rsidR="00A02CB3">
        <w:t xml:space="preserve"> </w:t>
      </w:r>
      <w:r w:rsidR="00D147CE">
        <w:t>budgetary</w:t>
      </w:r>
      <w:r w:rsidR="00D147CE" w:rsidRPr="00BD4875">
        <w:t xml:space="preserve"> com</w:t>
      </w:r>
      <w:r w:rsidR="00D147CE">
        <w:t>mitment to nutrition</w:t>
      </w:r>
      <w:r w:rsidR="00D147CE" w:rsidRPr="00BD4875">
        <w:t xml:space="preserve"> </w:t>
      </w:r>
      <w:r w:rsidR="00A02CB3">
        <w:t xml:space="preserve">also </w:t>
      </w:r>
      <w:r w:rsidR="00D147CE" w:rsidRPr="00BD4875">
        <w:t>increased substantially over the past year.</w:t>
      </w:r>
      <w:r>
        <w:t xml:space="preserve">  </w:t>
      </w:r>
      <w:r w:rsidR="00B01CF6">
        <w:t>The</w:t>
      </w:r>
      <w:r w:rsidR="00654254">
        <w:t xml:space="preserve"> Government of Khyber Pakhtunkhwa</w:t>
      </w:r>
      <w:r w:rsidR="00DC33D1">
        <w:t xml:space="preserve"> (GoKP)</w:t>
      </w:r>
      <w:r w:rsidR="00654254">
        <w:t xml:space="preserve"> has</w:t>
      </w:r>
      <w:r w:rsidR="00B01CF6">
        <w:t>, however,</w:t>
      </w:r>
      <w:r w:rsidR="00654254">
        <w:t xml:space="preserve"> yet to approve its</w:t>
      </w:r>
      <w:r w:rsidR="00654254" w:rsidRPr="00C64B47">
        <w:t xml:space="preserve"> </w:t>
      </w:r>
      <w:r w:rsidR="00654254" w:rsidRPr="00BD4875">
        <w:t>integrated health and nutrition development</w:t>
      </w:r>
      <w:r w:rsidR="00654254">
        <w:t xml:space="preserve"> plan, delaying service delivery</w:t>
      </w:r>
      <w:r w:rsidR="00654254" w:rsidRPr="00BD4875">
        <w:t xml:space="preserve">.  </w:t>
      </w:r>
      <w:r w:rsidRPr="00BD4875">
        <w:t xml:space="preserve">Australia </w:t>
      </w:r>
      <w:r w:rsidR="00654254" w:rsidRPr="00BD4875">
        <w:t>continues</w:t>
      </w:r>
      <w:r w:rsidRPr="00BD4875">
        <w:t xml:space="preserve"> to engage with the GoKP</w:t>
      </w:r>
      <w:r>
        <w:t xml:space="preserve"> </w:t>
      </w:r>
      <w:r w:rsidRPr="00BD4875">
        <w:t>to advocate for approval.</w:t>
      </w:r>
    </w:p>
    <w:p w:rsidR="003D67A3" w:rsidRDefault="003D67A3" w:rsidP="003D67A3">
      <w:pPr>
        <w:spacing w:after="120" w:line="280" w:lineRule="exact"/>
        <w:rPr>
          <w:lang w:eastAsia="zh-CN"/>
        </w:rPr>
      </w:pPr>
      <w:r>
        <w:rPr>
          <w:lang w:eastAsia="zh-CN"/>
        </w:rPr>
        <w:t xml:space="preserve">The </w:t>
      </w:r>
      <w:r w:rsidRPr="00620C91">
        <w:rPr>
          <w:lang w:eastAsia="zh-CN"/>
        </w:rPr>
        <w:t xml:space="preserve">Government of Pakistan remained committed to providing twinning of wheat for 50:50 funding of humanitarian efforts through the World Food Programme, effectively doubling the contribution. DFAT is exploring opportunities to maintain consistent support </w:t>
      </w:r>
      <w:r w:rsidR="001057F1" w:rsidRPr="00620C91">
        <w:rPr>
          <w:lang w:eastAsia="zh-CN"/>
        </w:rPr>
        <w:t xml:space="preserve">to protracted humanitarian crises </w:t>
      </w:r>
      <w:r w:rsidRPr="00620C91">
        <w:rPr>
          <w:lang w:eastAsia="zh-CN"/>
        </w:rPr>
        <w:t>within the</w:t>
      </w:r>
      <w:r w:rsidR="002C30FC" w:rsidRPr="00620C91">
        <w:rPr>
          <w:lang w:eastAsia="zh-CN"/>
        </w:rPr>
        <w:t xml:space="preserve"> Pakistan</w:t>
      </w:r>
      <w:r w:rsidRPr="00620C91">
        <w:rPr>
          <w:lang w:eastAsia="zh-CN"/>
        </w:rPr>
        <w:t xml:space="preserve"> bilateral </w:t>
      </w:r>
      <w:r w:rsidR="002C30FC" w:rsidRPr="00620C91">
        <w:rPr>
          <w:lang w:eastAsia="zh-CN"/>
        </w:rPr>
        <w:t xml:space="preserve">aid </w:t>
      </w:r>
      <w:r w:rsidRPr="00620C91">
        <w:rPr>
          <w:lang w:eastAsia="zh-CN"/>
        </w:rPr>
        <w:t>program</w:t>
      </w:r>
      <w:r w:rsidR="002C30FC" w:rsidRPr="00620C91">
        <w:rPr>
          <w:lang w:eastAsia="zh-CN"/>
        </w:rPr>
        <w:t xml:space="preserve">, while </w:t>
      </w:r>
      <w:r w:rsidR="001057F1" w:rsidRPr="00620C91">
        <w:rPr>
          <w:lang w:eastAsia="zh-CN"/>
        </w:rPr>
        <w:t>leveraging</w:t>
      </w:r>
      <w:r w:rsidR="002C30FC" w:rsidRPr="00620C91">
        <w:rPr>
          <w:lang w:eastAsia="zh-CN"/>
        </w:rPr>
        <w:t xml:space="preserve"> additi</w:t>
      </w:r>
      <w:r w:rsidR="00F84F4E" w:rsidRPr="00620C91">
        <w:rPr>
          <w:lang w:eastAsia="zh-CN"/>
        </w:rPr>
        <w:t>o</w:t>
      </w:r>
      <w:r w:rsidR="002C30FC" w:rsidRPr="00620C91">
        <w:rPr>
          <w:lang w:eastAsia="zh-CN"/>
        </w:rPr>
        <w:t xml:space="preserve">nal Australian </w:t>
      </w:r>
      <w:r w:rsidR="00B01CF6">
        <w:rPr>
          <w:lang w:eastAsia="zh-CN"/>
        </w:rPr>
        <w:t>h</w:t>
      </w:r>
      <w:r w:rsidR="002C30FC" w:rsidRPr="00620C91">
        <w:rPr>
          <w:lang w:eastAsia="zh-CN"/>
        </w:rPr>
        <w:t>umanitarian funding</w:t>
      </w:r>
      <w:r w:rsidR="001057F1" w:rsidRPr="00620C91">
        <w:rPr>
          <w:lang w:eastAsia="zh-CN"/>
        </w:rPr>
        <w:t xml:space="preserve"> as need arises</w:t>
      </w:r>
      <w:r w:rsidRPr="00620C91">
        <w:rPr>
          <w:lang w:eastAsia="zh-CN"/>
        </w:rPr>
        <w:t>.</w:t>
      </w:r>
    </w:p>
    <w:p w:rsidR="00D1728B" w:rsidRPr="003B0793" w:rsidRDefault="00D1728B" w:rsidP="002A51CA">
      <w:pPr>
        <w:spacing w:after="120" w:line="280" w:lineRule="exact"/>
        <w:rPr>
          <w:rFonts w:eastAsia="Times New Roman"/>
        </w:rPr>
      </w:pPr>
      <w:r>
        <w:rPr>
          <w:rFonts w:eastAsia="Times New Roman"/>
        </w:rPr>
        <w:t xml:space="preserve">Australia </w:t>
      </w:r>
      <w:r w:rsidR="00B01CF6">
        <w:rPr>
          <w:rFonts w:eastAsia="Times New Roman"/>
        </w:rPr>
        <w:t>recognises</w:t>
      </w:r>
      <w:r w:rsidR="00C4386F">
        <w:rPr>
          <w:rFonts w:eastAsia="Times New Roman"/>
        </w:rPr>
        <w:t xml:space="preserve"> the important role of a strong civil society in supporting Pakistan’s development.  We </w:t>
      </w:r>
      <w:r>
        <w:rPr>
          <w:rFonts w:eastAsia="Times New Roman"/>
        </w:rPr>
        <w:t>will cont</w:t>
      </w:r>
      <w:r w:rsidR="00FA25A7">
        <w:rPr>
          <w:rFonts w:eastAsia="Times New Roman"/>
        </w:rPr>
        <w:t xml:space="preserve">inue to </w:t>
      </w:r>
      <w:r w:rsidR="004E5CCC">
        <w:rPr>
          <w:rFonts w:eastAsia="Times New Roman"/>
        </w:rPr>
        <w:t xml:space="preserve">support local NGOs and </w:t>
      </w:r>
      <w:r w:rsidR="00FA25A7">
        <w:rPr>
          <w:rFonts w:eastAsia="Times New Roman"/>
        </w:rPr>
        <w:t>engage</w:t>
      </w:r>
      <w:r w:rsidR="002C30FC">
        <w:rPr>
          <w:rFonts w:eastAsia="Times New Roman"/>
        </w:rPr>
        <w:t xml:space="preserve"> the </w:t>
      </w:r>
      <w:r w:rsidR="00C4386F">
        <w:rPr>
          <w:rFonts w:eastAsia="Times New Roman"/>
        </w:rPr>
        <w:t>Government of Pakistan</w:t>
      </w:r>
      <w:r w:rsidR="00252B8D">
        <w:rPr>
          <w:rFonts w:eastAsia="Times New Roman"/>
        </w:rPr>
        <w:t xml:space="preserve">, with like-minded donors, on </w:t>
      </w:r>
      <w:r w:rsidR="002C30FC">
        <w:rPr>
          <w:rFonts w:eastAsia="Times New Roman"/>
        </w:rPr>
        <w:t>its</w:t>
      </w:r>
      <w:r w:rsidR="00FA25A7">
        <w:rPr>
          <w:rFonts w:eastAsia="Times New Roman"/>
        </w:rPr>
        <w:t xml:space="preserve"> </w:t>
      </w:r>
      <w:r w:rsidR="00C64B47">
        <w:rPr>
          <w:rFonts w:eastAsia="Times New Roman"/>
        </w:rPr>
        <w:t xml:space="preserve">regulation </w:t>
      </w:r>
      <w:r w:rsidR="00654254">
        <w:rPr>
          <w:rFonts w:eastAsia="Times New Roman"/>
        </w:rPr>
        <w:t>of INGOs</w:t>
      </w:r>
      <w:r>
        <w:rPr>
          <w:rFonts w:eastAsia="Times New Roman"/>
        </w:rPr>
        <w:t xml:space="preserve">. This is a significant matter for Australian NGOs </w:t>
      </w:r>
      <w:r w:rsidR="007845F0">
        <w:rPr>
          <w:rFonts w:eastAsia="Times New Roman"/>
        </w:rPr>
        <w:t>impacting</w:t>
      </w:r>
      <w:r>
        <w:rPr>
          <w:rFonts w:eastAsia="Times New Roman"/>
        </w:rPr>
        <w:t xml:space="preserve"> the effectiveness of our aid. </w:t>
      </w:r>
    </w:p>
    <w:p w:rsidR="002A51CA" w:rsidRPr="00A02CB3" w:rsidRDefault="002A51CA" w:rsidP="003A2439">
      <w:pPr>
        <w:pStyle w:val="ListBullet"/>
        <w:tabs>
          <w:tab w:val="clear" w:pos="284"/>
        </w:tabs>
        <w:spacing w:before="360"/>
      </w:pPr>
      <w:r w:rsidRPr="00A02CB3">
        <w:rPr>
          <w:rFonts w:asciiTheme="majorHAnsi" w:eastAsiaTheme="majorEastAsia" w:hAnsiTheme="majorHAnsi" w:cstheme="majorBidi"/>
          <w:caps/>
          <w:color w:val="495965" w:themeColor="text2"/>
          <w:sz w:val="38"/>
          <w:szCs w:val="26"/>
          <w:lang w:val="en-GB" w:eastAsia="en-US"/>
        </w:rPr>
        <w:t xml:space="preserve">Program Quality and Partner Performance </w:t>
      </w:r>
    </w:p>
    <w:p w:rsidR="00D403B6" w:rsidRDefault="00BF325D" w:rsidP="002A51CA">
      <w:pPr>
        <w:spacing w:after="120" w:line="280" w:lineRule="exact"/>
        <w:rPr>
          <w:rFonts w:eastAsia="Times New Roman"/>
        </w:rPr>
      </w:pPr>
      <w:r>
        <w:rPr>
          <w:rFonts w:eastAsia="Times New Roman"/>
        </w:rPr>
        <w:t>C</w:t>
      </w:r>
      <w:r w:rsidR="00D403B6">
        <w:rPr>
          <w:rFonts w:eastAsia="Times New Roman"/>
        </w:rPr>
        <w:t xml:space="preserve">onsolidating and re-prioritising </w:t>
      </w:r>
      <w:r w:rsidR="00A02CB3">
        <w:rPr>
          <w:rFonts w:eastAsia="Times New Roman"/>
        </w:rPr>
        <w:t xml:space="preserve">Australia’s aid </w:t>
      </w:r>
      <w:r w:rsidR="00D403B6">
        <w:rPr>
          <w:rFonts w:eastAsia="Times New Roman"/>
        </w:rPr>
        <w:t xml:space="preserve">program </w:t>
      </w:r>
      <w:r>
        <w:rPr>
          <w:rFonts w:eastAsia="Times New Roman"/>
        </w:rPr>
        <w:t xml:space="preserve">in Pakistan </w:t>
      </w:r>
      <w:r w:rsidR="00D403B6">
        <w:rPr>
          <w:rFonts w:eastAsia="Times New Roman"/>
        </w:rPr>
        <w:t xml:space="preserve">was a significant feature of program quality and management in 2015-16.  </w:t>
      </w:r>
      <w:r w:rsidR="00DC537D">
        <w:rPr>
          <w:rFonts w:eastAsia="Times New Roman"/>
        </w:rPr>
        <w:t xml:space="preserve">With several investments nearing completion, planning and designing new programs will be a key focus in 2016-17, as will a planned mid-term review of the Aid Investment Plan which presents an opportunity for </w:t>
      </w:r>
      <w:r w:rsidR="003F2EBB">
        <w:rPr>
          <w:rFonts w:eastAsia="Times New Roman"/>
        </w:rPr>
        <w:t xml:space="preserve">further </w:t>
      </w:r>
      <w:r w:rsidR="00620C91">
        <w:rPr>
          <w:rFonts w:eastAsia="Times New Roman"/>
        </w:rPr>
        <w:t>adaptation of</w:t>
      </w:r>
      <w:r w:rsidR="00DC537D">
        <w:rPr>
          <w:rFonts w:eastAsia="Times New Roman"/>
        </w:rPr>
        <w:t xml:space="preserve"> our aid strategy.  Meanwhile, re-calibration and evolution of the program is ongoing, </w:t>
      </w:r>
      <w:r w:rsidR="00620C91">
        <w:rPr>
          <w:rFonts w:eastAsia="Times New Roman"/>
        </w:rPr>
        <w:t>including</w:t>
      </w:r>
      <w:r w:rsidR="00DC537D">
        <w:rPr>
          <w:rFonts w:eastAsia="Times New Roman"/>
        </w:rPr>
        <w:t xml:space="preserve"> </w:t>
      </w:r>
      <w:r w:rsidR="00620C91">
        <w:rPr>
          <w:rFonts w:eastAsia="Times New Roman"/>
        </w:rPr>
        <w:t xml:space="preserve">restoring </w:t>
      </w:r>
      <w:r w:rsidR="00DC537D">
        <w:rPr>
          <w:rFonts w:eastAsia="Times New Roman"/>
        </w:rPr>
        <w:t xml:space="preserve">more consistent bilateral funding for protracted humanitarian crises.  </w:t>
      </w:r>
      <w:r w:rsidR="00F84F4E">
        <w:rPr>
          <w:rFonts w:eastAsia="Times New Roman"/>
        </w:rPr>
        <w:t xml:space="preserve">We conducted a management review of our World Bank </w:t>
      </w:r>
      <w:r>
        <w:rPr>
          <w:rFonts w:eastAsia="Times New Roman"/>
        </w:rPr>
        <w:t>t</w:t>
      </w:r>
      <w:r w:rsidR="00F84F4E">
        <w:rPr>
          <w:rFonts w:eastAsia="Times New Roman"/>
        </w:rPr>
        <w:t xml:space="preserve">rust </w:t>
      </w:r>
      <w:r>
        <w:rPr>
          <w:rFonts w:eastAsia="Times New Roman"/>
        </w:rPr>
        <w:t>f</w:t>
      </w:r>
      <w:r w:rsidR="00F84F4E">
        <w:rPr>
          <w:rFonts w:eastAsia="Times New Roman"/>
        </w:rPr>
        <w:t>und investments</w:t>
      </w:r>
      <w:r w:rsidR="006670E2">
        <w:rPr>
          <w:rFonts w:eastAsia="Times New Roman"/>
        </w:rPr>
        <w:t xml:space="preserve"> in late 2015</w:t>
      </w:r>
      <w:r w:rsidR="00F84F4E">
        <w:rPr>
          <w:rFonts w:eastAsia="Times New Roman"/>
        </w:rPr>
        <w:t>, given their increased proportion of a reduced aid portfolio and in light of some performance concerns, to verify whether they remained appropriate and effective and that DFAT’s management of the</w:t>
      </w:r>
      <w:r>
        <w:rPr>
          <w:rFonts w:eastAsia="Times New Roman"/>
        </w:rPr>
        <w:t>se</w:t>
      </w:r>
      <w:r w:rsidR="00F84F4E">
        <w:rPr>
          <w:rFonts w:eastAsia="Times New Roman"/>
        </w:rPr>
        <w:t xml:space="preserve"> partnerships was optimal. </w:t>
      </w:r>
      <w:r w:rsidR="006670E2">
        <w:rPr>
          <w:rFonts w:eastAsia="Times New Roman"/>
        </w:rPr>
        <w:t xml:space="preserve">This led to </w:t>
      </w:r>
      <w:r w:rsidR="003A2439">
        <w:rPr>
          <w:rFonts w:eastAsia="Times New Roman"/>
        </w:rPr>
        <w:t>agreement</w:t>
      </w:r>
      <w:r w:rsidR="006670E2">
        <w:rPr>
          <w:rFonts w:eastAsia="Times New Roman"/>
        </w:rPr>
        <w:t xml:space="preserve"> with the Bank on some manageme</w:t>
      </w:r>
      <w:r w:rsidR="00DC537D">
        <w:rPr>
          <w:rFonts w:eastAsia="Times New Roman"/>
        </w:rPr>
        <w:t>n</w:t>
      </w:r>
      <w:r w:rsidR="006670E2">
        <w:rPr>
          <w:rFonts w:eastAsia="Times New Roman"/>
        </w:rPr>
        <w:t>t reforms for the Nutrition Fund and informed our continued investment in the Border Area</w:t>
      </w:r>
      <w:r>
        <w:rPr>
          <w:rFonts w:eastAsia="Times New Roman"/>
        </w:rPr>
        <w:t>s</w:t>
      </w:r>
      <w:r w:rsidR="006670E2">
        <w:rPr>
          <w:rFonts w:eastAsia="Times New Roman"/>
        </w:rPr>
        <w:t xml:space="preserve"> Trust Fund Round II.</w:t>
      </w:r>
    </w:p>
    <w:p w:rsidR="008D5716" w:rsidRDefault="00C63EB7" w:rsidP="002A51CA">
      <w:pPr>
        <w:spacing w:after="120" w:line="280" w:lineRule="exact"/>
        <w:rPr>
          <w:rFonts w:eastAsia="Times New Roman"/>
        </w:rPr>
      </w:pPr>
      <w:r>
        <w:rPr>
          <w:rFonts w:eastAsia="Times New Roman"/>
        </w:rPr>
        <w:t>Pakistan is a difficult operating environment for aid</w:t>
      </w:r>
      <w:r w:rsidR="00024C96">
        <w:rPr>
          <w:rFonts w:eastAsia="Times New Roman"/>
        </w:rPr>
        <w:t xml:space="preserve"> delivery</w:t>
      </w:r>
      <w:r w:rsidR="003F2EBB">
        <w:rPr>
          <w:rFonts w:eastAsia="Times New Roman"/>
        </w:rPr>
        <w:t>.</w:t>
      </w:r>
      <w:r w:rsidR="00D1399D">
        <w:rPr>
          <w:rFonts w:eastAsia="Times New Roman"/>
        </w:rPr>
        <w:t xml:space="preserve"> The security environment often limits the ability of </w:t>
      </w:r>
      <w:r w:rsidR="006243B4">
        <w:rPr>
          <w:rFonts w:eastAsia="Times New Roman"/>
        </w:rPr>
        <w:t>Australia</w:t>
      </w:r>
      <w:r w:rsidR="00F84F4E">
        <w:rPr>
          <w:rFonts w:eastAsia="Times New Roman"/>
        </w:rPr>
        <w:t xml:space="preserve"> and its partners </w:t>
      </w:r>
      <w:r w:rsidR="00D1399D">
        <w:rPr>
          <w:rFonts w:eastAsia="Times New Roman"/>
        </w:rPr>
        <w:t xml:space="preserve">to directly monitor </w:t>
      </w:r>
      <w:r w:rsidR="003F2EBB">
        <w:rPr>
          <w:rFonts w:eastAsia="Times New Roman"/>
        </w:rPr>
        <w:t>programs necessitating</w:t>
      </w:r>
      <w:r w:rsidR="00D1399D">
        <w:rPr>
          <w:rFonts w:eastAsia="Times New Roman"/>
        </w:rPr>
        <w:t xml:space="preserve"> </w:t>
      </w:r>
      <w:r w:rsidR="00F84F4E">
        <w:rPr>
          <w:rFonts w:eastAsia="Times New Roman"/>
        </w:rPr>
        <w:t xml:space="preserve">continued </w:t>
      </w:r>
      <w:r w:rsidR="00D1399D">
        <w:rPr>
          <w:rFonts w:eastAsia="Times New Roman"/>
        </w:rPr>
        <w:t xml:space="preserve">reliance on third party monitoring. </w:t>
      </w:r>
      <w:r w:rsidR="006670E2">
        <w:rPr>
          <w:rFonts w:eastAsia="Times New Roman"/>
        </w:rPr>
        <w:t xml:space="preserve">There is still a need for a more strategic approach to </w:t>
      </w:r>
      <w:r w:rsidR="00B01CF6">
        <w:rPr>
          <w:rFonts w:eastAsia="Times New Roman"/>
        </w:rPr>
        <w:t>managing</w:t>
      </w:r>
      <w:r w:rsidR="006670E2">
        <w:rPr>
          <w:rFonts w:eastAsia="Times New Roman"/>
        </w:rPr>
        <w:t xml:space="preserve"> </w:t>
      </w:r>
      <w:r w:rsidR="00956A3C">
        <w:rPr>
          <w:rFonts w:eastAsia="Times New Roman"/>
        </w:rPr>
        <w:t xml:space="preserve">performance </w:t>
      </w:r>
      <w:r w:rsidR="006670E2">
        <w:rPr>
          <w:rFonts w:eastAsia="Times New Roman"/>
        </w:rPr>
        <w:t>and get</w:t>
      </w:r>
      <w:r w:rsidR="00B01CF6">
        <w:rPr>
          <w:rFonts w:eastAsia="Times New Roman"/>
        </w:rPr>
        <w:t>ting</w:t>
      </w:r>
      <w:r w:rsidR="006670E2">
        <w:rPr>
          <w:rFonts w:eastAsia="Times New Roman"/>
        </w:rPr>
        <w:t xml:space="preserve"> better </w:t>
      </w:r>
      <w:r w:rsidR="00620C91">
        <w:rPr>
          <w:rFonts w:eastAsia="Times New Roman"/>
        </w:rPr>
        <w:t xml:space="preserve">data </w:t>
      </w:r>
      <w:r w:rsidR="006670E2">
        <w:rPr>
          <w:rFonts w:eastAsia="Times New Roman"/>
        </w:rPr>
        <w:t xml:space="preserve">within these constraints. </w:t>
      </w:r>
      <w:r w:rsidR="00D1399D">
        <w:rPr>
          <w:rFonts w:eastAsia="Times New Roman"/>
        </w:rPr>
        <w:t xml:space="preserve">In </w:t>
      </w:r>
      <w:r w:rsidR="00456F58">
        <w:rPr>
          <w:rFonts w:eastAsia="Times New Roman"/>
        </w:rPr>
        <w:t>2016-17</w:t>
      </w:r>
      <w:r w:rsidR="00D1399D" w:rsidRPr="00E82F53">
        <w:rPr>
          <w:rFonts w:eastAsia="Times New Roman"/>
        </w:rPr>
        <w:t xml:space="preserve">, </w:t>
      </w:r>
      <w:r w:rsidR="003F2EBB" w:rsidRPr="00E82F53">
        <w:rPr>
          <w:rFonts w:eastAsia="Times New Roman"/>
        </w:rPr>
        <w:t>one investment</w:t>
      </w:r>
      <w:r w:rsidR="00F84F4E">
        <w:rPr>
          <w:rFonts w:eastAsia="Times New Roman"/>
        </w:rPr>
        <w:t xml:space="preserve"> </w:t>
      </w:r>
      <w:r w:rsidR="00D1399D" w:rsidRPr="00E82F53">
        <w:rPr>
          <w:rFonts w:eastAsia="Times New Roman"/>
        </w:rPr>
        <w:t>evaluation was conducted (see Annex C</w:t>
      </w:r>
      <w:r w:rsidR="00620C91">
        <w:rPr>
          <w:rFonts w:eastAsia="Times New Roman"/>
        </w:rPr>
        <w:t>), and we participated in annual multi-donor reviews for the Border Areas Trust Fund and KESP</w:t>
      </w:r>
      <w:r w:rsidR="00956A3C">
        <w:rPr>
          <w:rFonts w:eastAsia="Times New Roman"/>
        </w:rPr>
        <w:t>.</w:t>
      </w:r>
      <w:r w:rsidR="00D1399D" w:rsidRPr="00E82F53">
        <w:rPr>
          <w:rFonts w:eastAsia="Times New Roman"/>
        </w:rPr>
        <w:t xml:space="preserve"> </w:t>
      </w:r>
      <w:r w:rsidR="00620C91">
        <w:rPr>
          <w:rFonts w:eastAsia="Times New Roman"/>
        </w:rPr>
        <w:t>F</w:t>
      </w:r>
      <w:r w:rsidR="00D1399D" w:rsidRPr="00E82F53">
        <w:rPr>
          <w:rFonts w:eastAsia="Times New Roman"/>
        </w:rPr>
        <w:t>indings have inform</w:t>
      </w:r>
      <w:r w:rsidR="00956A3C">
        <w:rPr>
          <w:rFonts w:eastAsia="Times New Roman"/>
        </w:rPr>
        <w:t>ed</w:t>
      </w:r>
      <w:r w:rsidR="00D1399D" w:rsidRPr="00E82F53">
        <w:rPr>
          <w:rFonts w:eastAsia="Times New Roman"/>
        </w:rPr>
        <w:t xml:space="preserve"> </w:t>
      </w:r>
      <w:r w:rsidR="00D1399D">
        <w:rPr>
          <w:rFonts w:eastAsia="Times New Roman"/>
        </w:rPr>
        <w:t xml:space="preserve">ongoing management </w:t>
      </w:r>
      <w:r w:rsidR="00F84F4E">
        <w:rPr>
          <w:rFonts w:eastAsia="Times New Roman"/>
        </w:rPr>
        <w:t>of investment</w:t>
      </w:r>
      <w:r w:rsidR="00620C91">
        <w:rPr>
          <w:rFonts w:eastAsia="Times New Roman"/>
        </w:rPr>
        <w:t>s</w:t>
      </w:r>
      <w:r w:rsidR="00F84F4E">
        <w:rPr>
          <w:rFonts w:eastAsia="Times New Roman"/>
        </w:rPr>
        <w:t xml:space="preserve"> and future programming</w:t>
      </w:r>
      <w:r w:rsidR="00D1399D">
        <w:rPr>
          <w:rFonts w:eastAsia="Times New Roman"/>
        </w:rPr>
        <w:t xml:space="preserve">. </w:t>
      </w:r>
    </w:p>
    <w:p w:rsidR="00BF325D" w:rsidRDefault="006243B4" w:rsidP="001057F1">
      <w:pPr>
        <w:spacing w:after="120" w:line="280" w:lineRule="exact"/>
      </w:pPr>
      <w:r>
        <w:t>We strengthen</w:t>
      </w:r>
      <w:r w:rsidR="00956A3C">
        <w:t>ed</w:t>
      </w:r>
      <w:r>
        <w:t xml:space="preserve"> attention to gender equality and results in all investments with support from DFAT’s Senior Gender Advisor, complemented by </w:t>
      </w:r>
      <w:r w:rsidR="007A31BF">
        <w:t xml:space="preserve">the High Commission’s </w:t>
      </w:r>
      <w:r>
        <w:t xml:space="preserve">broad, ongoing advocacy </w:t>
      </w:r>
      <w:r w:rsidR="007A31BF">
        <w:t>for</w:t>
      </w:r>
      <w:r>
        <w:t xml:space="preserve"> gender equality as a </w:t>
      </w:r>
      <w:r>
        <w:lastRenderedPageBreak/>
        <w:t xml:space="preserve">core Australian </w:t>
      </w:r>
      <w:r w:rsidR="00B01CF6">
        <w:t>f</w:t>
      </w:r>
      <w:r>
        <w:t xml:space="preserve">oreign </w:t>
      </w:r>
      <w:r w:rsidR="00B01CF6">
        <w:t>policy priority</w:t>
      </w:r>
      <w:r>
        <w:t xml:space="preserve">.  </w:t>
      </w:r>
      <w:r w:rsidR="001057F1">
        <w:t xml:space="preserve">We strengthened integration of gender equality and women’s empowerment in design of new investments (in agricultural </w:t>
      </w:r>
      <w:r w:rsidR="007A31BF">
        <w:t xml:space="preserve">productivity, </w:t>
      </w:r>
      <w:r w:rsidR="001057F1">
        <w:t>market development</w:t>
      </w:r>
      <w:r w:rsidR="007A31BF">
        <w:t xml:space="preserve">, </w:t>
      </w:r>
      <w:r w:rsidR="00B65E87">
        <w:t>and</w:t>
      </w:r>
      <w:r w:rsidR="007A31BF">
        <w:t xml:space="preserve"> stabilisation</w:t>
      </w:r>
      <w:r w:rsidR="001057F1">
        <w:t xml:space="preserve">) and worked with partners to improve performance on gender equality. Our capacity and evidence base to support gender analysis has been enhanced, but the corollary has been heightened critical assessment and lower satisfaction with the performance of several investments.  Practical actions and ongoing support is required to embed strong practices </w:t>
      </w:r>
      <w:r w:rsidR="00CB5BC6">
        <w:t xml:space="preserve">in </w:t>
      </w:r>
      <w:r w:rsidR="001057F1">
        <w:t xml:space="preserve">our </w:t>
      </w:r>
      <w:r w:rsidR="007A31BF">
        <w:t xml:space="preserve">own </w:t>
      </w:r>
      <w:r w:rsidR="001057F1">
        <w:t>and partners’ program management</w:t>
      </w:r>
      <w:r w:rsidR="003A2439">
        <w:t xml:space="preserve">, while acknowledging </w:t>
      </w:r>
      <w:r w:rsidR="00BF325D">
        <w:t xml:space="preserve">that the </w:t>
      </w:r>
      <w:r w:rsidR="003A2439" w:rsidRPr="00BF325D">
        <w:t>entrenched</w:t>
      </w:r>
      <w:r w:rsidR="003A2439">
        <w:t xml:space="preserve">, </w:t>
      </w:r>
      <w:r w:rsidR="00BF325D">
        <w:t xml:space="preserve">challenging </w:t>
      </w:r>
      <w:r w:rsidR="00BF325D" w:rsidRPr="00BF325D">
        <w:t xml:space="preserve">context for outcomes on gender </w:t>
      </w:r>
      <w:r w:rsidR="003A2439">
        <w:t>requires</w:t>
      </w:r>
      <w:r w:rsidR="00BF325D" w:rsidRPr="00BF325D">
        <w:t xml:space="preserve"> realistic </w:t>
      </w:r>
      <w:r w:rsidR="003A2439" w:rsidRPr="00BF325D">
        <w:t>expectations</w:t>
      </w:r>
      <w:r w:rsidR="003A2439">
        <w:t xml:space="preserve">, </w:t>
      </w:r>
      <w:r w:rsidR="00BF325D">
        <w:t xml:space="preserve">long-term </w:t>
      </w:r>
      <w:r w:rsidR="003A2439">
        <w:t>goals and sustained effort.</w:t>
      </w:r>
    </w:p>
    <w:p w:rsidR="001057F1" w:rsidRDefault="004B1C03" w:rsidP="001057F1">
      <w:pPr>
        <w:spacing w:after="120" w:line="280" w:lineRule="exact"/>
        <w:rPr>
          <w:rFonts w:eastAsia="Times New Roman"/>
        </w:rPr>
      </w:pPr>
      <w:r>
        <w:t xml:space="preserve">Similarly, while some </w:t>
      </w:r>
      <w:r w:rsidR="00C11FB1">
        <w:t>investments have started to address</w:t>
      </w:r>
      <w:r>
        <w:t xml:space="preserve"> disability inclusive development we can be more systematic in </w:t>
      </w:r>
      <w:r w:rsidR="00EE55F0">
        <w:t>program</w:t>
      </w:r>
      <w:r>
        <w:t xml:space="preserve"> design and delivery, and advocacy with partners</w:t>
      </w:r>
      <w:r w:rsidR="00C11FB1">
        <w:t>, and will address this in 2016-17</w:t>
      </w:r>
      <w:r>
        <w:t xml:space="preserve">. </w:t>
      </w:r>
    </w:p>
    <w:p w:rsidR="001057F1" w:rsidRDefault="001057F1" w:rsidP="00E57388">
      <w:pPr>
        <w:widowControl w:val="0"/>
        <w:spacing w:after="120" w:line="280" w:lineRule="exact"/>
        <w:rPr>
          <w:rFonts w:eastAsia="Times New Roman"/>
        </w:rPr>
      </w:pPr>
      <w:r>
        <w:rPr>
          <w:rFonts w:eastAsia="Times New Roman"/>
        </w:rPr>
        <w:t xml:space="preserve">The Pakistan Performance Assessment Framework guided performance reporting at a high level, however some indicators </w:t>
      </w:r>
      <w:r w:rsidR="00714C13">
        <w:rPr>
          <w:rFonts w:eastAsia="Times New Roman"/>
        </w:rPr>
        <w:t>need recalibration</w:t>
      </w:r>
      <w:r>
        <w:rPr>
          <w:rFonts w:eastAsia="Times New Roman"/>
        </w:rPr>
        <w:t xml:space="preserve"> where </w:t>
      </w:r>
      <w:r w:rsidR="001B7E81">
        <w:rPr>
          <w:rFonts w:eastAsia="Times New Roman"/>
        </w:rPr>
        <w:t>investments</w:t>
      </w:r>
      <w:r w:rsidR="00714C13">
        <w:rPr>
          <w:rFonts w:eastAsia="Times New Roman"/>
        </w:rPr>
        <w:t xml:space="preserve"> have </w:t>
      </w:r>
      <w:r w:rsidR="001B7E81">
        <w:rPr>
          <w:rFonts w:eastAsia="Times New Roman"/>
        </w:rPr>
        <w:t>changed</w:t>
      </w:r>
      <w:r w:rsidR="001C7BFE">
        <w:rPr>
          <w:rFonts w:eastAsia="Times New Roman"/>
        </w:rPr>
        <w:t xml:space="preserve"> </w:t>
      </w:r>
      <w:r w:rsidR="00714C13">
        <w:rPr>
          <w:rFonts w:eastAsia="Times New Roman"/>
        </w:rPr>
        <w:t>and/</w:t>
      </w:r>
      <w:r w:rsidR="004B1C03">
        <w:rPr>
          <w:rFonts w:eastAsia="Times New Roman"/>
        </w:rPr>
        <w:t>or</w:t>
      </w:r>
      <w:r w:rsidR="001C7BFE">
        <w:rPr>
          <w:rFonts w:eastAsia="Times New Roman"/>
        </w:rPr>
        <w:t xml:space="preserve"> targets </w:t>
      </w:r>
      <w:r w:rsidR="00714C13">
        <w:rPr>
          <w:rFonts w:eastAsia="Times New Roman"/>
        </w:rPr>
        <w:t xml:space="preserve">were </w:t>
      </w:r>
      <w:r w:rsidR="004B1C03">
        <w:rPr>
          <w:rFonts w:eastAsia="Times New Roman"/>
        </w:rPr>
        <w:t>easily achieved</w:t>
      </w:r>
      <w:r>
        <w:rPr>
          <w:rFonts w:eastAsia="Times New Roman"/>
        </w:rPr>
        <w:t xml:space="preserve">. </w:t>
      </w:r>
      <w:r w:rsidR="004B1C03">
        <w:rPr>
          <w:rFonts w:eastAsia="Times New Roman"/>
        </w:rPr>
        <w:t>We will rev</w:t>
      </w:r>
      <w:r w:rsidR="00714C13">
        <w:rPr>
          <w:rFonts w:eastAsia="Times New Roman"/>
        </w:rPr>
        <w:t>is</w:t>
      </w:r>
      <w:r w:rsidR="004B1C03">
        <w:rPr>
          <w:rFonts w:eastAsia="Times New Roman"/>
        </w:rPr>
        <w:t xml:space="preserve">e and </w:t>
      </w:r>
      <w:r>
        <w:rPr>
          <w:rFonts w:eastAsia="Times New Roman"/>
        </w:rPr>
        <w:t xml:space="preserve">adapt the Framework to fit our evolving program </w:t>
      </w:r>
      <w:r w:rsidR="004B1C03">
        <w:rPr>
          <w:rFonts w:eastAsia="Times New Roman"/>
        </w:rPr>
        <w:t xml:space="preserve">in </w:t>
      </w:r>
      <w:r>
        <w:rPr>
          <w:rFonts w:eastAsia="Times New Roman"/>
        </w:rPr>
        <w:t>2016-17.</w:t>
      </w:r>
    </w:p>
    <w:p w:rsidR="001057F1" w:rsidRPr="00956116" w:rsidRDefault="001057F1" w:rsidP="003F5094">
      <w:pPr>
        <w:widowControl w:val="0"/>
        <w:spacing w:after="120" w:line="280" w:lineRule="exact"/>
        <w:rPr>
          <w:rFonts w:eastAsia="Times New Roman"/>
        </w:rPr>
      </w:pPr>
      <w:r w:rsidRPr="00956116">
        <w:rPr>
          <w:rFonts w:eastAsia="Times New Roman"/>
        </w:rPr>
        <w:t xml:space="preserve">Australia maintained strong relationships with likeminded donors to </w:t>
      </w:r>
      <w:r>
        <w:rPr>
          <w:rFonts w:eastAsia="Times New Roman"/>
        </w:rPr>
        <w:t xml:space="preserve">advocate for </w:t>
      </w:r>
      <w:r w:rsidRPr="00956116">
        <w:rPr>
          <w:rFonts w:eastAsia="Times New Roman"/>
        </w:rPr>
        <w:t xml:space="preserve">Australia’s aid </w:t>
      </w:r>
      <w:r>
        <w:rPr>
          <w:rFonts w:eastAsia="Times New Roman"/>
        </w:rPr>
        <w:t xml:space="preserve">policy </w:t>
      </w:r>
      <w:r w:rsidRPr="00956116">
        <w:rPr>
          <w:rFonts w:eastAsia="Times New Roman"/>
        </w:rPr>
        <w:t>priorities</w:t>
      </w:r>
      <w:r w:rsidR="003F2EBB" w:rsidRPr="00956116">
        <w:rPr>
          <w:rFonts w:eastAsia="Times New Roman"/>
        </w:rPr>
        <w:t>.</w:t>
      </w:r>
      <w:r w:rsidRPr="00956116">
        <w:rPr>
          <w:rFonts w:eastAsia="Times New Roman"/>
        </w:rPr>
        <w:t xml:space="preserve"> We worked to maintain visibility and influence in </w:t>
      </w:r>
      <w:r>
        <w:rPr>
          <w:rFonts w:eastAsia="Times New Roman"/>
        </w:rPr>
        <w:t xml:space="preserve">partner </w:t>
      </w:r>
      <w:r w:rsidRPr="00956116">
        <w:rPr>
          <w:rFonts w:eastAsia="Times New Roman"/>
        </w:rPr>
        <w:t xml:space="preserve">programming and policy decisions by engaging in advisory and </w:t>
      </w:r>
      <w:r>
        <w:rPr>
          <w:rFonts w:eastAsia="Times New Roman"/>
        </w:rPr>
        <w:t>governance</w:t>
      </w:r>
      <w:r w:rsidRPr="00956116">
        <w:rPr>
          <w:rFonts w:eastAsia="Times New Roman"/>
        </w:rPr>
        <w:t xml:space="preserve"> </w:t>
      </w:r>
      <w:r>
        <w:rPr>
          <w:rFonts w:eastAsia="Times New Roman"/>
        </w:rPr>
        <w:t xml:space="preserve">mechanisms, and </w:t>
      </w:r>
      <w:r w:rsidR="00200569">
        <w:rPr>
          <w:rFonts w:eastAsia="Times New Roman"/>
        </w:rPr>
        <w:t xml:space="preserve">in </w:t>
      </w:r>
      <w:r>
        <w:rPr>
          <w:rFonts w:eastAsia="Times New Roman"/>
        </w:rPr>
        <w:t>sectoral partner coordination groups</w:t>
      </w:r>
      <w:r w:rsidR="0063449F">
        <w:rPr>
          <w:rFonts w:eastAsia="Times New Roman"/>
        </w:rPr>
        <w:t>.</w:t>
      </w:r>
      <w:r>
        <w:rPr>
          <w:rFonts w:eastAsia="Times New Roman"/>
        </w:rPr>
        <w:t xml:space="preserve"> </w:t>
      </w:r>
    </w:p>
    <w:p w:rsidR="002A51CA" w:rsidRPr="00A02CB3" w:rsidRDefault="002A51CA" w:rsidP="00E1325C">
      <w:pPr>
        <w:pStyle w:val="ListBullet"/>
        <w:tabs>
          <w:tab w:val="clear" w:pos="284"/>
        </w:tabs>
        <w:spacing w:before="360"/>
      </w:pPr>
      <w:r w:rsidRPr="00A02CB3">
        <w:rPr>
          <w:rFonts w:asciiTheme="majorHAnsi" w:eastAsiaTheme="majorEastAsia" w:hAnsiTheme="majorHAnsi" w:cstheme="majorBidi"/>
          <w:caps/>
          <w:color w:val="495965" w:themeColor="text2"/>
          <w:sz w:val="38"/>
          <w:szCs w:val="26"/>
          <w:lang w:val="en-GB" w:eastAsia="en-US"/>
        </w:rPr>
        <w:t>Analysis of Aid Quality Checks (AQCs)</w:t>
      </w:r>
    </w:p>
    <w:p w:rsidR="001057F1" w:rsidRPr="00CF4372" w:rsidRDefault="001057F1" w:rsidP="001057F1">
      <w:r>
        <w:rPr>
          <w:rFonts w:eastAsia="Times New Roman"/>
        </w:rPr>
        <w:t xml:space="preserve">In </w:t>
      </w:r>
      <w:r w:rsidR="00456F58">
        <w:rPr>
          <w:rFonts w:eastAsia="Times New Roman"/>
        </w:rPr>
        <w:t>2015-16</w:t>
      </w:r>
      <w:r w:rsidR="00391975">
        <w:rPr>
          <w:rFonts w:eastAsia="Times New Roman"/>
        </w:rPr>
        <w:t xml:space="preserve">, </w:t>
      </w:r>
      <w:r w:rsidR="006243B4">
        <w:rPr>
          <w:rFonts w:eastAsia="Times New Roman"/>
        </w:rPr>
        <w:t>we</w:t>
      </w:r>
      <w:r>
        <w:rPr>
          <w:rFonts w:eastAsia="Times New Roman"/>
        </w:rPr>
        <w:t xml:space="preserve"> </w:t>
      </w:r>
      <w:r w:rsidR="00391975">
        <w:rPr>
          <w:rFonts w:eastAsia="Times New Roman"/>
        </w:rPr>
        <w:t>conducted</w:t>
      </w:r>
      <w:r>
        <w:rPr>
          <w:rFonts w:eastAsia="Times New Roman"/>
        </w:rPr>
        <w:t xml:space="preserve"> Aid Quality </w:t>
      </w:r>
      <w:r w:rsidR="00391975">
        <w:rPr>
          <w:rFonts w:eastAsia="Times New Roman"/>
        </w:rPr>
        <w:t>Checks (AQC) for 11 investments</w:t>
      </w:r>
      <w:r>
        <w:rPr>
          <w:rFonts w:eastAsia="Times New Roman"/>
        </w:rPr>
        <w:t xml:space="preserve">. Eight were ongoing investments and three were investments that concluded in 2015-16. </w:t>
      </w:r>
      <w:r w:rsidR="00391975">
        <w:rPr>
          <w:rFonts w:eastAsia="Times New Roman"/>
        </w:rPr>
        <w:t xml:space="preserve">Three investments in early stages of implementation were exempted. </w:t>
      </w:r>
      <w:r>
        <w:rPr>
          <w:rFonts w:eastAsia="Times New Roman"/>
        </w:rPr>
        <w:t xml:space="preserve">A summary of AQC ratings is at </w:t>
      </w:r>
      <w:r w:rsidRPr="001E3245">
        <w:rPr>
          <w:rFonts w:eastAsia="Times New Roman"/>
          <w:b/>
        </w:rPr>
        <w:t>Annex D</w:t>
      </w:r>
      <w:r>
        <w:rPr>
          <w:rFonts w:eastAsia="Times New Roman"/>
        </w:rPr>
        <w:t xml:space="preserve">.  </w:t>
      </w:r>
      <w:r w:rsidR="003F2EBB">
        <w:t>Overall</w:t>
      </w:r>
      <w:r>
        <w:t xml:space="preserve">, performance was mixed, and the program did not meet </w:t>
      </w:r>
      <w:r w:rsidR="006243B4">
        <w:t>Australia’s</w:t>
      </w:r>
      <w:r>
        <w:t xml:space="preserve"> aid program strategic targets for value for money and gender equality. </w:t>
      </w:r>
    </w:p>
    <w:p w:rsidR="001057F1" w:rsidRPr="00B60DE0" w:rsidRDefault="003F2EBB" w:rsidP="001057F1">
      <w:pPr>
        <w:suppressAutoHyphens w:val="0"/>
        <w:spacing w:before="200" w:after="120" w:line="240" w:lineRule="auto"/>
        <w:rPr>
          <w:u w:val="single"/>
        </w:rPr>
      </w:pPr>
      <w:r>
        <w:t xml:space="preserve">Mixed performance in new investments and fewer investments </w:t>
      </w:r>
      <w:r w:rsidR="00CB5BC6" w:rsidRPr="00F77129">
        <w:t>(</w:t>
      </w:r>
      <w:r w:rsidR="00391975">
        <w:t xml:space="preserve">a </w:t>
      </w:r>
      <w:r w:rsidR="00CB5BC6" w:rsidRPr="00F77129">
        <w:t>reduction of 45</w:t>
      </w:r>
      <w:r w:rsidR="00200569">
        <w:t xml:space="preserve"> </w:t>
      </w:r>
      <w:r w:rsidR="00D45C4A">
        <w:t>per cent</w:t>
      </w:r>
      <w:r w:rsidR="00CB5BC6" w:rsidRPr="00F77129">
        <w:t xml:space="preserve">) </w:t>
      </w:r>
      <w:r w:rsidR="00391975">
        <w:t>meant</w:t>
      </w:r>
      <w:r>
        <w:t xml:space="preserve"> effectiveness ratings </w:t>
      </w:r>
      <w:r w:rsidR="00391975">
        <w:t xml:space="preserve">reduced </w:t>
      </w:r>
      <w:r w:rsidRPr="00F77129">
        <w:t>from 95</w:t>
      </w:r>
      <w:r w:rsidR="003F5094">
        <w:t xml:space="preserve"> </w:t>
      </w:r>
      <w:r w:rsidR="00D45C4A">
        <w:t>per cent</w:t>
      </w:r>
      <w:r w:rsidRPr="00F77129">
        <w:t xml:space="preserve"> in 2014</w:t>
      </w:r>
      <w:r w:rsidR="00391975">
        <w:t>-</w:t>
      </w:r>
      <w:r w:rsidRPr="00F77129">
        <w:t>15 to 82</w:t>
      </w:r>
      <w:r w:rsidR="00200569">
        <w:t xml:space="preserve"> </w:t>
      </w:r>
      <w:r w:rsidR="00D45C4A">
        <w:t>per cent</w:t>
      </w:r>
      <w:r w:rsidR="00391975">
        <w:t xml:space="preserve"> in 2015-16</w:t>
      </w:r>
      <w:r>
        <w:t>.</w:t>
      </w:r>
      <w:r w:rsidR="00CB5BC6" w:rsidRPr="00CB5BC6">
        <w:t xml:space="preserve"> </w:t>
      </w:r>
      <w:r w:rsidR="00CB5BC6">
        <w:t xml:space="preserve">Quality ratings reduced for </w:t>
      </w:r>
      <w:r w:rsidR="00200569">
        <w:t>r</w:t>
      </w:r>
      <w:r w:rsidR="00CB5BC6">
        <w:t xml:space="preserve">elevance, </w:t>
      </w:r>
      <w:r w:rsidR="00200569">
        <w:t>e</w:t>
      </w:r>
      <w:r w:rsidR="00CB5BC6">
        <w:t xml:space="preserve">ffectiveness, </w:t>
      </w:r>
      <w:r w:rsidR="00200569">
        <w:t>monitoring and evaluation,</w:t>
      </w:r>
      <w:r w:rsidR="00CB5BC6">
        <w:t xml:space="preserve"> and </w:t>
      </w:r>
      <w:r w:rsidR="00200569">
        <w:t>g</w:t>
      </w:r>
      <w:r w:rsidR="00CB5BC6">
        <w:t xml:space="preserve">ender, and increased or stayed the same for </w:t>
      </w:r>
      <w:r w:rsidR="00200569">
        <w:t>e</w:t>
      </w:r>
      <w:r w:rsidR="00CB5BC6">
        <w:t xml:space="preserve">fficiency, </w:t>
      </w:r>
      <w:r w:rsidR="00200569">
        <w:t>s</w:t>
      </w:r>
      <w:r w:rsidR="00CB5BC6">
        <w:t xml:space="preserve">ustainability and </w:t>
      </w:r>
      <w:r w:rsidR="00200569">
        <w:t>r</w:t>
      </w:r>
      <w:r w:rsidR="00CB5BC6">
        <w:t xml:space="preserve">isk </w:t>
      </w:r>
      <w:r w:rsidR="00200569">
        <w:t>m</w:t>
      </w:r>
      <w:r w:rsidR="00CB5BC6">
        <w:t xml:space="preserve">anagement.  </w:t>
      </w:r>
      <w:r w:rsidR="00CB5BC6" w:rsidRPr="00D37DF1">
        <w:rPr>
          <w:noProof/>
          <w:lang w:eastAsia="en-AU"/>
        </w:rPr>
        <w:t>This</w:t>
      </w:r>
      <w:r w:rsidR="00CB5BC6" w:rsidRPr="00D37DF1">
        <w:t xml:space="preserve"> </w:t>
      </w:r>
      <w:r w:rsidR="00CB5BC6">
        <w:t>in part</w:t>
      </w:r>
      <w:r w:rsidR="00CB5BC6" w:rsidRPr="00D37DF1">
        <w:t xml:space="preserve"> </w:t>
      </w:r>
      <w:r w:rsidR="00CB5BC6" w:rsidRPr="00D37DF1">
        <w:rPr>
          <w:noProof/>
          <w:lang w:eastAsia="en-AU"/>
        </w:rPr>
        <w:t>resulted</w:t>
      </w:r>
      <w:r w:rsidR="00CB5BC6" w:rsidRPr="00D37DF1">
        <w:t xml:space="preserve"> from a shifting portfolio</w:t>
      </w:r>
      <w:r w:rsidR="00CB5BC6">
        <w:t xml:space="preserve"> rather than deterioration in the performance of individual investments per se.</w:t>
      </w:r>
      <w:r w:rsidR="00CB5BC6" w:rsidRPr="00984340">
        <w:t xml:space="preserve"> </w:t>
      </w:r>
      <w:r w:rsidR="00391975">
        <w:t>M</w:t>
      </w:r>
      <w:r w:rsidR="001057F1">
        <w:t xml:space="preserve">ore direct investments with partners rated better than pooled investments with multilateral and bilateral donor partners.  Similarly, investments that are on-budget or rely on government reform processes were less efficient. This is to be expected given government capacity in many areas where </w:t>
      </w:r>
      <w:r w:rsidR="00391975">
        <w:t>Australian aid</w:t>
      </w:r>
      <w:r w:rsidR="001057F1">
        <w:t xml:space="preserve"> investments are delivered.</w:t>
      </w:r>
    </w:p>
    <w:p w:rsidR="001057F1" w:rsidRDefault="001057F1" w:rsidP="003F5094">
      <w:pPr>
        <w:spacing w:after="120" w:line="280" w:lineRule="exact"/>
      </w:pPr>
      <w:r>
        <w:t>Overall performance of the portfolio on gender equality showed a more marked decline</w:t>
      </w:r>
      <w:r w:rsidRPr="00F77129">
        <w:t xml:space="preserve"> from 80</w:t>
      </w:r>
      <w:r w:rsidR="003F5094">
        <w:t xml:space="preserve"> </w:t>
      </w:r>
      <w:r w:rsidR="00D45C4A">
        <w:t>per cent</w:t>
      </w:r>
      <w:r w:rsidRPr="00F77129">
        <w:t xml:space="preserve"> in 2014/15 to 55</w:t>
      </w:r>
      <w:r w:rsidR="003F5094">
        <w:t xml:space="preserve"> </w:t>
      </w:r>
      <w:r w:rsidR="00D45C4A">
        <w:t>per cent</w:t>
      </w:r>
      <w:r w:rsidRPr="00F77129">
        <w:t xml:space="preserve"> in 2015/16</w:t>
      </w:r>
      <w:r>
        <w:t>.  Our investments that explicitly targeted women</w:t>
      </w:r>
      <w:r w:rsidR="00E1325C">
        <w:t xml:space="preserve"> - Challenging Gender-Based</w:t>
      </w:r>
      <w:r>
        <w:t xml:space="preserve"> </w:t>
      </w:r>
      <w:r w:rsidR="00200569">
        <w:t>Violence,</w:t>
      </w:r>
      <w:r>
        <w:t xml:space="preserve"> and Integrated Maternal</w:t>
      </w:r>
      <w:r w:rsidR="00CB5BC6">
        <w:t>,</w:t>
      </w:r>
      <w:r>
        <w:t xml:space="preserve"> </w:t>
      </w:r>
      <w:r w:rsidR="00CB5BC6">
        <w:t>New</w:t>
      </w:r>
      <w:r w:rsidR="00200569">
        <w:t xml:space="preserve"> </w:t>
      </w:r>
      <w:r w:rsidR="00CB5BC6">
        <w:t xml:space="preserve">born </w:t>
      </w:r>
      <w:r>
        <w:t xml:space="preserve">and Child Health </w:t>
      </w:r>
      <w:r w:rsidR="003F2EBB">
        <w:t>- rated</w:t>
      </w:r>
      <w:r>
        <w:t xml:space="preserve"> well</w:t>
      </w:r>
      <w:r w:rsidR="00654254">
        <w:t>.</w:t>
      </w:r>
      <w:r>
        <w:t xml:space="preserve"> However five </w:t>
      </w:r>
      <w:r w:rsidR="00CB5BC6">
        <w:t xml:space="preserve">other investments’ </w:t>
      </w:r>
      <w:r>
        <w:t xml:space="preserve">ratings were unsatisfactory. </w:t>
      </w:r>
      <w:r w:rsidRPr="00B60DE0">
        <w:t xml:space="preserve"> </w:t>
      </w:r>
      <w:r w:rsidRPr="00F77129">
        <w:t xml:space="preserve">In 2014/15, </w:t>
      </w:r>
      <w:r w:rsidR="00CB5BC6" w:rsidRPr="00F77129">
        <w:t xml:space="preserve">four </w:t>
      </w:r>
      <w:r w:rsidRPr="00F77129">
        <w:t>DFAT</w:t>
      </w:r>
      <w:r w:rsidR="006243B4">
        <w:t>-funded</w:t>
      </w:r>
      <w:r w:rsidRPr="00F77129">
        <w:t xml:space="preserve"> education investments conclude</w:t>
      </w:r>
      <w:r w:rsidR="00A578A8">
        <w:t>d</w:t>
      </w:r>
      <w:r w:rsidRPr="00F77129">
        <w:t xml:space="preserve">, all of which achieved highly in effectiveness and gender. The shift in the composition of the portfolio </w:t>
      </w:r>
      <w:r w:rsidR="00EC41EE" w:rsidRPr="00F77129">
        <w:t xml:space="preserve">in </w:t>
      </w:r>
      <w:r w:rsidR="00EC41EE">
        <w:t xml:space="preserve">2015-16 </w:t>
      </w:r>
      <w:r w:rsidRPr="00F77129">
        <w:t>has resulted in</w:t>
      </w:r>
      <w:r>
        <w:t xml:space="preserve"> a</w:t>
      </w:r>
      <w:r w:rsidRPr="00F77129">
        <w:t xml:space="preserve"> large</w:t>
      </w:r>
      <w:r>
        <w:t>r</w:t>
      </w:r>
      <w:r w:rsidRPr="00F77129">
        <w:t xml:space="preserve"> p</w:t>
      </w:r>
      <w:r w:rsidR="00EC41EE">
        <w:t>rop</w:t>
      </w:r>
      <w:r w:rsidRPr="00F77129">
        <w:t>ortion (31</w:t>
      </w:r>
      <w:r w:rsidR="00200569">
        <w:t xml:space="preserve"> </w:t>
      </w:r>
      <w:r w:rsidR="00D45C4A">
        <w:t>per cent</w:t>
      </w:r>
      <w:r w:rsidRPr="00F77129">
        <w:t xml:space="preserve">) of our funding </w:t>
      </w:r>
      <w:r w:rsidR="003F5094">
        <w:t>being channelled through multi</w:t>
      </w:r>
      <w:r w:rsidRPr="00F77129">
        <w:t xml:space="preserve">lateral </w:t>
      </w:r>
      <w:r w:rsidR="00EC41EE">
        <w:t>partners</w:t>
      </w:r>
      <w:r w:rsidRPr="00F77129">
        <w:t xml:space="preserve"> wh</w:t>
      </w:r>
      <w:r w:rsidR="00EC41EE">
        <w:t>ich</w:t>
      </w:r>
      <w:r w:rsidRPr="00F77129">
        <w:t xml:space="preserve"> have </w:t>
      </w:r>
      <w:r w:rsidR="005513FB">
        <w:t>historically</w:t>
      </w:r>
      <w:r w:rsidRPr="00F77129">
        <w:t xml:space="preserve"> address</w:t>
      </w:r>
      <w:r w:rsidR="000F5A18">
        <w:t>ed</w:t>
      </w:r>
      <w:r w:rsidRPr="00F77129">
        <w:t xml:space="preserve"> gender equality issues</w:t>
      </w:r>
      <w:r w:rsidR="000F5A18">
        <w:t xml:space="preserve"> less well</w:t>
      </w:r>
      <w:r w:rsidR="00A578A8">
        <w:t xml:space="preserve">.  </w:t>
      </w:r>
      <w:r w:rsidR="009C74E5">
        <w:t>Another factor was m</w:t>
      </w:r>
      <w:r w:rsidR="00A578A8">
        <w:t xml:space="preserve">onitoring and evaluation </w:t>
      </w:r>
      <w:r w:rsidR="009C74E5">
        <w:t>not</w:t>
      </w:r>
      <w:r w:rsidR="00A578A8">
        <w:t xml:space="preserve"> adequa</w:t>
      </w:r>
      <w:r w:rsidR="009C74E5">
        <w:t xml:space="preserve">tely </w:t>
      </w:r>
      <w:r w:rsidR="00A578A8">
        <w:t>captur</w:t>
      </w:r>
      <w:r w:rsidR="009C74E5">
        <w:t xml:space="preserve">ing gender </w:t>
      </w:r>
      <w:r w:rsidR="00A578A8">
        <w:t>results</w:t>
      </w:r>
      <w:r w:rsidRPr="00F77129">
        <w:t>.</w:t>
      </w:r>
      <w:r w:rsidR="003F5094">
        <w:t xml:space="preserve"> </w:t>
      </w:r>
      <w:r>
        <w:t>I</w:t>
      </w:r>
      <w:r w:rsidRPr="00F77129">
        <w:t xml:space="preserve">n </w:t>
      </w:r>
      <w:r w:rsidR="00456F58">
        <w:t>2016-17</w:t>
      </w:r>
      <w:r w:rsidRPr="00F77129">
        <w:t xml:space="preserve">, </w:t>
      </w:r>
      <w:r>
        <w:t>we</w:t>
      </w:r>
      <w:r w:rsidRPr="00F77129">
        <w:t xml:space="preserve"> will </w:t>
      </w:r>
      <w:r>
        <w:t xml:space="preserve">focus </w:t>
      </w:r>
      <w:r w:rsidR="00A578A8">
        <w:t xml:space="preserve">with partners </w:t>
      </w:r>
      <w:r>
        <w:t xml:space="preserve">on practical actions </w:t>
      </w:r>
      <w:r w:rsidR="009C74E5">
        <w:t>for incremental improvement</w:t>
      </w:r>
      <w:r>
        <w:t xml:space="preserve"> </w:t>
      </w:r>
      <w:r w:rsidR="003F2EBB">
        <w:t>on</w:t>
      </w:r>
      <w:r w:rsidR="003F2EBB" w:rsidRPr="00F77129">
        <w:t xml:space="preserve"> gender</w:t>
      </w:r>
      <w:r w:rsidRPr="00F77129">
        <w:t xml:space="preserve"> equality</w:t>
      </w:r>
      <w:r>
        <w:t xml:space="preserve"> results and </w:t>
      </w:r>
      <w:r w:rsidR="003F2EBB">
        <w:t>outcomes</w:t>
      </w:r>
      <w:r w:rsidR="003F2EBB" w:rsidRPr="00F77129">
        <w:t>.</w:t>
      </w:r>
      <w:r w:rsidRPr="00F77129">
        <w:t xml:space="preserve">  </w:t>
      </w:r>
    </w:p>
    <w:p w:rsidR="002A51CA" w:rsidRPr="00A02CB3" w:rsidRDefault="002A51CA" w:rsidP="00E1325C">
      <w:pPr>
        <w:pStyle w:val="ListBullet"/>
        <w:tabs>
          <w:tab w:val="clear" w:pos="284"/>
        </w:tabs>
        <w:spacing w:before="360"/>
      </w:pPr>
      <w:r w:rsidRPr="00A02CB3">
        <w:rPr>
          <w:rFonts w:asciiTheme="majorHAnsi" w:eastAsiaTheme="majorEastAsia" w:hAnsiTheme="majorHAnsi" w:cstheme="majorBidi"/>
          <w:caps/>
          <w:color w:val="495965" w:themeColor="text2"/>
          <w:sz w:val="38"/>
          <w:szCs w:val="26"/>
          <w:lang w:val="en-GB" w:eastAsia="en-US"/>
        </w:rPr>
        <w:t>Performance of key delivery partners</w:t>
      </w:r>
    </w:p>
    <w:p w:rsidR="00AB0A48" w:rsidRDefault="001057F1" w:rsidP="00AB0A48">
      <w:pPr>
        <w:spacing w:after="120" w:line="280" w:lineRule="exact"/>
        <w:rPr>
          <w:rFonts w:eastAsia="Times New Roman"/>
        </w:rPr>
      </w:pPr>
      <w:r w:rsidRPr="00956116">
        <w:rPr>
          <w:rFonts w:eastAsia="Times New Roman"/>
        </w:rPr>
        <w:t>Due to security and fiduciary risks in Pakistan, Australia works with highly experienced partners to deliver our aid. In 2015-16, 31 per cent of Australia’s bilateral aid program was delivered through agreements with multilateral organisations, 26 per cent was delivered through delegated cooperation</w:t>
      </w:r>
      <w:r>
        <w:rPr>
          <w:rFonts w:eastAsia="Times New Roman"/>
        </w:rPr>
        <w:t xml:space="preserve"> </w:t>
      </w:r>
      <w:r w:rsidR="00200569">
        <w:rPr>
          <w:rFonts w:eastAsia="Times New Roman"/>
        </w:rPr>
        <w:t xml:space="preserve">with the United Kingdom </w:t>
      </w:r>
      <w:r>
        <w:rPr>
          <w:rFonts w:eastAsia="Times New Roman"/>
        </w:rPr>
        <w:t>(DFID)</w:t>
      </w:r>
      <w:r w:rsidRPr="00956116">
        <w:rPr>
          <w:rFonts w:eastAsia="Times New Roman"/>
        </w:rPr>
        <w:t>, 21 per cent was delivered by commercial suppliers, 14 per</w:t>
      </w:r>
      <w:r w:rsidR="00200569">
        <w:rPr>
          <w:rFonts w:eastAsia="Times New Roman"/>
        </w:rPr>
        <w:t xml:space="preserve"> cent was delivered through NGO</w:t>
      </w:r>
      <w:r w:rsidRPr="00956116">
        <w:rPr>
          <w:rFonts w:eastAsia="Times New Roman"/>
        </w:rPr>
        <w:t xml:space="preserve">s and civil society and 8 per cent was delivered through Australian government agencies. In total, the program completed eight Partner Performance Assessments (PPAs); four for NGOs and four for multilateral </w:t>
      </w:r>
      <w:r w:rsidRPr="00956116">
        <w:rPr>
          <w:rFonts w:eastAsia="Times New Roman"/>
        </w:rPr>
        <w:lastRenderedPageBreak/>
        <w:t>organisations.</w:t>
      </w:r>
      <w:r>
        <w:rPr>
          <w:rFonts w:eastAsia="Times New Roman"/>
        </w:rPr>
        <w:t xml:space="preserve"> We have separately worked closely with ACIAR and CSIRO to increase communication, collaboration and integration within the Economic Growth </w:t>
      </w:r>
      <w:r w:rsidR="00AB0A48">
        <w:rPr>
          <w:rFonts w:eastAsia="Times New Roman"/>
        </w:rPr>
        <w:t>portfolio.</w:t>
      </w:r>
    </w:p>
    <w:p w:rsidR="00295AA8" w:rsidRDefault="00295AA8" w:rsidP="00AB0A48">
      <w:pPr>
        <w:spacing w:after="120" w:line="280" w:lineRule="exact"/>
      </w:pPr>
      <w:r w:rsidRPr="004E1942">
        <w:t>Pooling funding through our investments with the World Bank and DFID enabled our aid to be harmonised and reduced transaction costs for government</w:t>
      </w:r>
      <w:r w:rsidR="004208FD">
        <w:t>s</w:t>
      </w:r>
      <w:r w:rsidRPr="004E1942">
        <w:t xml:space="preserve"> whil</w:t>
      </w:r>
      <w:r w:rsidR="00200569">
        <w:t xml:space="preserve">e </w:t>
      </w:r>
      <w:r w:rsidRPr="004E1942">
        <w:t xml:space="preserve">providing substantial management efficiencies. In 2015-16, </w:t>
      </w:r>
      <w:r w:rsidR="006243B4">
        <w:t>we</w:t>
      </w:r>
      <w:r w:rsidRPr="004E1942">
        <w:t xml:space="preserve"> focused </w:t>
      </w:r>
      <w:r>
        <w:t>on optimising</w:t>
      </w:r>
      <w:r w:rsidRPr="003F2EBB">
        <w:t xml:space="preserve"> our investments through the World Bank. We conducted an internal review and targeted performance and quality support which led to an adjusted management approach and improvement of the Nutrition Trust Fund</w:t>
      </w:r>
      <w:r w:rsidR="000F5A18">
        <w:t>’s monitoring and evaluation</w:t>
      </w:r>
      <w:r w:rsidRPr="003F2EBB">
        <w:t xml:space="preserve">. However, </w:t>
      </w:r>
      <w:r w:rsidR="007845F0" w:rsidRPr="003F2EBB">
        <w:t xml:space="preserve">scope </w:t>
      </w:r>
      <w:r w:rsidRPr="003F2EBB">
        <w:t xml:space="preserve">remains for multi-lateral partners </w:t>
      </w:r>
      <w:r w:rsidR="004208FD">
        <w:t xml:space="preserve">to </w:t>
      </w:r>
      <w:r w:rsidRPr="003F2EBB">
        <w:t>improve gender equality and conflict sensitive approaches in designs and implementation.</w:t>
      </w:r>
    </w:p>
    <w:p w:rsidR="003F2EBB" w:rsidRDefault="00AB0A48" w:rsidP="00E57388">
      <w:pPr>
        <w:widowControl w:val="0"/>
        <w:spacing w:after="120" w:line="280" w:lineRule="exact"/>
      </w:pPr>
      <w:r>
        <w:rPr>
          <w:rFonts w:eastAsia="Times New Roman"/>
        </w:rPr>
        <w:t>As</w:t>
      </w:r>
      <w:r w:rsidR="001057F1" w:rsidRPr="004E1942">
        <w:t xml:space="preserve"> noted in the program quality discussion, NGO</w:t>
      </w:r>
      <w:r w:rsidR="000F5A18">
        <w:t xml:space="preserve"> partners</w:t>
      </w:r>
      <w:r w:rsidR="001057F1" w:rsidRPr="004E1942">
        <w:t xml:space="preserve"> continued to demonstrate strength in advancing gender </w:t>
      </w:r>
      <w:r w:rsidR="00295AA8">
        <w:t>e</w:t>
      </w:r>
      <w:r w:rsidR="001057F1" w:rsidRPr="004E1942">
        <w:t>quality and women’s empowerment.</w:t>
      </w:r>
      <w:r w:rsidR="00A822F4" w:rsidRPr="00A822F4">
        <w:rPr>
          <w:rStyle w:val="FootnoteReference"/>
        </w:rPr>
        <w:t xml:space="preserve"> </w:t>
      </w:r>
      <w:r w:rsidR="00A822F4">
        <w:rPr>
          <w:rStyle w:val="FootnoteReference"/>
        </w:rPr>
        <w:footnoteReference w:id="44"/>
      </w:r>
      <w:r w:rsidR="00A822F4">
        <w:t xml:space="preserve">  </w:t>
      </w:r>
      <w:r w:rsidR="001057F1" w:rsidRPr="004E1942">
        <w:t xml:space="preserve">However, the </w:t>
      </w:r>
      <w:r w:rsidR="00200569">
        <w:t>Pakistan Governments</w:t>
      </w:r>
      <w:r w:rsidR="001057F1" w:rsidRPr="004E1942">
        <w:t xml:space="preserve"> increased regulation of INGOs hindered some partners’ progress and results. </w:t>
      </w:r>
    </w:p>
    <w:p w:rsidR="002A51CA" w:rsidRPr="00A02CB3" w:rsidRDefault="002A51CA" w:rsidP="00E1325C">
      <w:pPr>
        <w:pStyle w:val="ListBullet"/>
        <w:tabs>
          <w:tab w:val="clear" w:pos="284"/>
        </w:tabs>
        <w:spacing w:before="360"/>
      </w:pPr>
      <w:r w:rsidRPr="00A02CB3">
        <w:rPr>
          <w:rFonts w:asciiTheme="majorHAnsi" w:eastAsiaTheme="majorEastAsia" w:hAnsiTheme="majorHAnsi" w:cstheme="majorBidi"/>
          <w:caps/>
          <w:color w:val="495965" w:themeColor="text2"/>
          <w:sz w:val="38"/>
          <w:szCs w:val="26"/>
          <w:lang w:val="en-GB" w:eastAsia="en-US"/>
        </w:rPr>
        <w:t>Risks</w:t>
      </w:r>
    </w:p>
    <w:p w:rsidR="002A51CA" w:rsidRPr="008C2F58" w:rsidRDefault="002A51CA" w:rsidP="002A51CA">
      <w:pPr>
        <w:rPr>
          <w:b/>
          <w:sz w:val="24"/>
        </w:rPr>
      </w:pPr>
      <w:r w:rsidRPr="008C2F58">
        <w:rPr>
          <w:b/>
          <w:sz w:val="24"/>
        </w:rPr>
        <w:t>Table 3 Management of Key Risks to Achieving Objectives</w:t>
      </w:r>
    </w:p>
    <w:tbl>
      <w:tblPr>
        <w:tblStyle w:val="APPR"/>
        <w:tblW w:w="5075" w:type="pct"/>
        <w:tblLook w:val="0600" w:firstRow="0" w:lastRow="0" w:firstColumn="0" w:lastColumn="0" w:noHBand="1" w:noVBand="1"/>
      </w:tblPr>
      <w:tblGrid>
        <w:gridCol w:w="2151"/>
        <w:gridCol w:w="3402"/>
        <w:gridCol w:w="3141"/>
        <w:gridCol w:w="1426"/>
      </w:tblGrid>
      <w:tr w:rsidR="002A51CA" w:rsidRPr="00C61187" w:rsidTr="00E1325C">
        <w:tc>
          <w:tcPr>
            <w:tcW w:w="2109" w:type="dxa"/>
            <w:tcBorders>
              <w:top w:val="single" w:sz="12" w:space="0" w:color="000000" w:themeColor="text1"/>
              <w:left w:val="single" w:sz="12" w:space="0" w:color="auto"/>
              <w:bottom w:val="single" w:sz="12" w:space="0" w:color="auto"/>
            </w:tcBorders>
            <w:shd w:val="clear" w:color="auto" w:fill="D8DCDB" w:themeFill="background2"/>
            <w:hideMark/>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Key risks</w:t>
            </w:r>
          </w:p>
        </w:tc>
        <w:tc>
          <w:tcPr>
            <w:tcW w:w="3374" w:type="dxa"/>
            <w:tcBorders>
              <w:top w:val="single" w:sz="12" w:space="0" w:color="000000" w:themeColor="text1"/>
              <w:bottom w:val="single" w:sz="12" w:space="0" w:color="auto"/>
            </w:tcBorders>
            <w:shd w:val="clear" w:color="auto" w:fill="D8DCDB" w:themeFill="background2"/>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actions were taken to manage the risks over the past year?</w:t>
            </w:r>
          </w:p>
        </w:tc>
        <w:tc>
          <w:tcPr>
            <w:tcW w:w="3113" w:type="dxa"/>
            <w:tcBorders>
              <w:top w:val="single" w:sz="12" w:space="0" w:color="000000" w:themeColor="text1"/>
              <w:bottom w:val="single" w:sz="12" w:space="0" w:color="auto"/>
            </w:tcBorders>
            <w:shd w:val="clear" w:color="auto" w:fill="D8DCDB" w:themeFill="background2"/>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further actions will be taken to manage the risks in the coming year?</w:t>
            </w:r>
          </w:p>
        </w:tc>
        <w:tc>
          <w:tcPr>
            <w:tcW w:w="1384" w:type="dxa"/>
            <w:tcBorders>
              <w:top w:val="single" w:sz="12" w:space="0" w:color="000000" w:themeColor="text1"/>
              <w:bottom w:val="single" w:sz="12" w:space="0" w:color="auto"/>
              <w:right w:val="single" w:sz="12" w:space="0" w:color="auto"/>
            </w:tcBorders>
            <w:shd w:val="clear" w:color="auto" w:fill="D8DCDB" w:themeFill="background2"/>
          </w:tcPr>
          <w:p w:rsidR="002A51CA" w:rsidRPr="003B0793" w:rsidRDefault="002A51CA" w:rsidP="00847845">
            <w:pPr>
              <w:keepLines/>
              <w:spacing w:before="80" w:after="80" w:line="200" w:lineRule="atLeast"/>
              <w:ind w:right="6"/>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 xml:space="preserve">Risk Rating </w:t>
            </w:r>
            <w:r w:rsidR="00A02CB3">
              <w:rPr>
                <w:rFonts w:asciiTheme="minorHAnsi" w:eastAsia="Times New Roman" w:hAnsiTheme="minorHAnsi"/>
                <w:b/>
                <w:iCs/>
                <w:szCs w:val="17"/>
                <w:lang w:eastAsia="en-US"/>
              </w:rPr>
              <w:br/>
            </w:r>
            <w:r w:rsidRPr="003B0793">
              <w:rPr>
                <w:rFonts w:asciiTheme="minorHAnsi" w:eastAsia="Times New Roman" w:hAnsiTheme="minorHAnsi"/>
                <w:b/>
                <w:iCs/>
                <w:szCs w:val="17"/>
                <w:lang w:eastAsia="en-US"/>
              </w:rPr>
              <w:t>(low, medium, high, very high)</w:t>
            </w:r>
          </w:p>
        </w:tc>
      </w:tr>
      <w:tr w:rsidR="002A51CA" w:rsidRPr="00C61187" w:rsidTr="00E1325C">
        <w:tc>
          <w:tcPr>
            <w:tcW w:w="2109" w:type="dxa"/>
            <w:tcBorders>
              <w:top w:val="single" w:sz="12" w:space="0" w:color="auto"/>
              <w:left w:val="single" w:sz="12" w:space="0" w:color="auto"/>
              <w:bottom w:val="single" w:sz="12" w:space="0" w:color="auto"/>
            </w:tcBorders>
            <w:hideMark/>
          </w:tcPr>
          <w:p w:rsidR="002A51CA" w:rsidRPr="003B0793" w:rsidRDefault="00074F21" w:rsidP="00D15A00">
            <w:pPr>
              <w:tabs>
                <w:tab w:val="left" w:pos="0"/>
                <w:tab w:val="left" w:pos="284"/>
              </w:tabs>
              <w:rPr>
                <w:rFonts w:asciiTheme="minorHAnsi" w:eastAsia="Times New Roman" w:hAnsiTheme="minorHAnsi"/>
                <w:sz w:val="16"/>
                <w:szCs w:val="16"/>
              </w:rPr>
            </w:pPr>
            <w:r>
              <w:rPr>
                <w:rFonts w:asciiTheme="minorHAnsi" w:eastAsia="Times New Roman" w:hAnsiTheme="minorHAnsi"/>
                <w:sz w:val="16"/>
                <w:szCs w:val="16"/>
              </w:rPr>
              <w:t>Deteriorating security environment challenges program delivery and effective monitoring of programs</w:t>
            </w:r>
            <w:r w:rsidR="00044AD5">
              <w:rPr>
                <w:rFonts w:asciiTheme="minorHAnsi" w:eastAsia="Times New Roman" w:hAnsiTheme="minorHAnsi"/>
                <w:sz w:val="16"/>
                <w:szCs w:val="16"/>
              </w:rPr>
              <w:t>, particularly in the border provinces</w:t>
            </w:r>
          </w:p>
        </w:tc>
        <w:tc>
          <w:tcPr>
            <w:tcW w:w="3374" w:type="dxa"/>
            <w:tcBorders>
              <w:top w:val="single" w:sz="12" w:space="0" w:color="auto"/>
              <w:bottom w:val="single" w:sz="12" w:space="0" w:color="auto"/>
            </w:tcBorders>
          </w:tcPr>
          <w:p w:rsidR="002A51CA" w:rsidRDefault="0083648C" w:rsidP="0058674B">
            <w:pPr>
              <w:pStyle w:val="ListParagraph"/>
              <w:keepLines/>
              <w:numPr>
                <w:ilvl w:val="0"/>
                <w:numId w:val="15"/>
              </w:numPr>
              <w:spacing w:before="40" w:after="40" w:line="200" w:lineRule="atLeast"/>
              <w:rPr>
                <w:rFonts w:eastAsia="Times New Roman"/>
                <w:iCs/>
                <w:szCs w:val="17"/>
                <w:lang w:eastAsia="en-US"/>
              </w:rPr>
            </w:pPr>
            <w:r>
              <w:rPr>
                <w:rFonts w:eastAsia="Times New Roman"/>
                <w:iCs/>
                <w:szCs w:val="17"/>
                <w:lang w:eastAsia="en-US"/>
              </w:rPr>
              <w:t>Ongoing monitoring of security and response to DFAT security advice</w:t>
            </w:r>
          </w:p>
          <w:p w:rsidR="0083648C" w:rsidRDefault="0083648C" w:rsidP="0058674B">
            <w:pPr>
              <w:pStyle w:val="ListParagraph"/>
              <w:keepLines/>
              <w:numPr>
                <w:ilvl w:val="0"/>
                <w:numId w:val="15"/>
              </w:numPr>
              <w:spacing w:before="40" w:after="40" w:line="200" w:lineRule="atLeast"/>
              <w:rPr>
                <w:rFonts w:eastAsia="Times New Roman"/>
                <w:iCs/>
                <w:szCs w:val="17"/>
                <w:lang w:eastAsia="en-US"/>
              </w:rPr>
            </w:pPr>
            <w:r>
              <w:rPr>
                <w:rFonts w:eastAsia="Times New Roman"/>
                <w:iCs/>
                <w:szCs w:val="17"/>
                <w:lang w:eastAsia="en-US"/>
              </w:rPr>
              <w:t xml:space="preserve">Development of </w:t>
            </w:r>
            <w:r w:rsidR="00292BA2">
              <w:rPr>
                <w:rFonts w:eastAsia="Times New Roman"/>
                <w:iCs/>
                <w:szCs w:val="17"/>
                <w:lang w:eastAsia="en-US"/>
              </w:rPr>
              <w:t xml:space="preserve">a program </w:t>
            </w:r>
            <w:r>
              <w:rPr>
                <w:rFonts w:eastAsia="Times New Roman"/>
                <w:iCs/>
                <w:szCs w:val="17"/>
                <w:lang w:eastAsia="en-US"/>
              </w:rPr>
              <w:t>M&amp;E plan</w:t>
            </w:r>
          </w:p>
          <w:p w:rsidR="0083648C" w:rsidRPr="0083648C" w:rsidRDefault="0083648C" w:rsidP="0058674B">
            <w:pPr>
              <w:pStyle w:val="ListParagraph"/>
              <w:keepLines/>
              <w:numPr>
                <w:ilvl w:val="0"/>
                <w:numId w:val="15"/>
              </w:numPr>
              <w:spacing w:before="40" w:after="40" w:line="200" w:lineRule="atLeast"/>
              <w:rPr>
                <w:rFonts w:eastAsia="Times New Roman"/>
                <w:iCs/>
                <w:szCs w:val="17"/>
                <w:lang w:eastAsia="en-US"/>
              </w:rPr>
            </w:pPr>
            <w:r>
              <w:rPr>
                <w:rFonts w:eastAsia="Times New Roman"/>
                <w:iCs/>
                <w:szCs w:val="17"/>
                <w:lang w:eastAsia="en-US"/>
              </w:rPr>
              <w:t>Monitoring missions undertaken where possible and the use of third party monitoring where appropriate</w:t>
            </w:r>
          </w:p>
        </w:tc>
        <w:tc>
          <w:tcPr>
            <w:tcW w:w="3113" w:type="dxa"/>
            <w:tcBorders>
              <w:top w:val="single" w:sz="12" w:space="0" w:color="auto"/>
              <w:bottom w:val="single" w:sz="12" w:space="0" w:color="auto"/>
            </w:tcBorders>
          </w:tcPr>
          <w:p w:rsidR="002A51CA" w:rsidRDefault="0083648C" w:rsidP="0058674B">
            <w:pPr>
              <w:pStyle w:val="ListParagraph"/>
              <w:keepLines/>
              <w:numPr>
                <w:ilvl w:val="0"/>
                <w:numId w:val="15"/>
              </w:numPr>
              <w:spacing w:before="40" w:after="40" w:line="200" w:lineRule="atLeast"/>
              <w:rPr>
                <w:rFonts w:eastAsia="Times New Roman"/>
                <w:iCs/>
                <w:szCs w:val="17"/>
                <w:lang w:eastAsia="en-US"/>
              </w:rPr>
            </w:pPr>
            <w:r>
              <w:rPr>
                <w:rFonts w:eastAsia="Times New Roman"/>
                <w:iCs/>
                <w:szCs w:val="17"/>
                <w:lang w:eastAsia="en-US"/>
              </w:rPr>
              <w:t xml:space="preserve">Explore </w:t>
            </w:r>
            <w:r w:rsidR="00292BA2">
              <w:rPr>
                <w:rFonts w:eastAsia="Times New Roman"/>
                <w:iCs/>
                <w:szCs w:val="17"/>
                <w:lang w:eastAsia="en-US"/>
              </w:rPr>
              <w:t xml:space="preserve">innovative </w:t>
            </w:r>
            <w:r>
              <w:rPr>
                <w:rFonts w:eastAsia="Times New Roman"/>
                <w:iCs/>
                <w:szCs w:val="17"/>
                <w:lang w:eastAsia="en-US"/>
              </w:rPr>
              <w:t>ways to evaluate programs in insecure areas</w:t>
            </w:r>
          </w:p>
          <w:p w:rsidR="0083648C" w:rsidRDefault="0083648C" w:rsidP="0058674B">
            <w:pPr>
              <w:pStyle w:val="ListParagraph"/>
              <w:keepLines/>
              <w:numPr>
                <w:ilvl w:val="0"/>
                <w:numId w:val="15"/>
              </w:numPr>
              <w:spacing w:before="40" w:after="40" w:line="200" w:lineRule="atLeast"/>
              <w:rPr>
                <w:rFonts w:eastAsia="Times New Roman"/>
                <w:iCs/>
                <w:szCs w:val="17"/>
                <w:lang w:eastAsia="en-US"/>
              </w:rPr>
            </w:pPr>
            <w:r>
              <w:rPr>
                <w:rFonts w:eastAsia="Times New Roman"/>
                <w:iCs/>
                <w:szCs w:val="17"/>
                <w:lang w:eastAsia="en-US"/>
              </w:rPr>
              <w:t>Continue monitoring partners</w:t>
            </w:r>
            <w:r w:rsidR="00292BA2">
              <w:rPr>
                <w:rFonts w:eastAsia="Times New Roman"/>
                <w:iCs/>
                <w:szCs w:val="17"/>
                <w:lang w:eastAsia="en-US"/>
              </w:rPr>
              <w:t>’</w:t>
            </w:r>
            <w:r>
              <w:rPr>
                <w:rFonts w:eastAsia="Times New Roman"/>
                <w:iCs/>
                <w:szCs w:val="17"/>
                <w:lang w:eastAsia="en-US"/>
              </w:rPr>
              <w:t xml:space="preserve"> security plans</w:t>
            </w:r>
          </w:p>
          <w:p w:rsidR="0083648C" w:rsidRPr="0083648C" w:rsidRDefault="0083648C" w:rsidP="0058674B">
            <w:pPr>
              <w:pStyle w:val="ListParagraph"/>
              <w:keepLines/>
              <w:numPr>
                <w:ilvl w:val="0"/>
                <w:numId w:val="15"/>
              </w:numPr>
              <w:spacing w:before="40" w:after="40" w:line="200" w:lineRule="atLeast"/>
              <w:rPr>
                <w:rFonts w:eastAsia="Times New Roman"/>
                <w:iCs/>
                <w:szCs w:val="17"/>
                <w:lang w:eastAsia="en-US"/>
              </w:rPr>
            </w:pPr>
            <w:r>
              <w:rPr>
                <w:rFonts w:eastAsia="Times New Roman"/>
                <w:iCs/>
                <w:szCs w:val="17"/>
                <w:lang w:eastAsia="en-US"/>
              </w:rPr>
              <w:t>Select partners that can operate in restricted areas and use models of delivery suitable for insecure environments</w:t>
            </w:r>
          </w:p>
        </w:tc>
        <w:tc>
          <w:tcPr>
            <w:tcW w:w="1384" w:type="dxa"/>
            <w:tcBorders>
              <w:top w:val="single" w:sz="12" w:space="0" w:color="auto"/>
              <w:bottom w:val="single" w:sz="12" w:space="0" w:color="auto"/>
              <w:right w:val="single" w:sz="12" w:space="0" w:color="auto"/>
            </w:tcBorders>
          </w:tcPr>
          <w:p w:rsidR="002A51CA" w:rsidRPr="003B0793" w:rsidRDefault="009E5C1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High</w:t>
            </w:r>
          </w:p>
        </w:tc>
      </w:tr>
      <w:tr w:rsidR="009E5C11" w:rsidRPr="00C61187" w:rsidTr="00E1325C">
        <w:tc>
          <w:tcPr>
            <w:tcW w:w="2109" w:type="dxa"/>
            <w:tcBorders>
              <w:top w:val="single" w:sz="12" w:space="0" w:color="auto"/>
              <w:left w:val="single" w:sz="12" w:space="0" w:color="auto"/>
              <w:bottom w:val="single" w:sz="12" w:space="0" w:color="auto"/>
            </w:tcBorders>
          </w:tcPr>
          <w:p w:rsidR="009E5C11" w:rsidRDefault="009E5C11" w:rsidP="00E1325C">
            <w:pPr>
              <w:tabs>
                <w:tab w:val="left" w:pos="0"/>
                <w:tab w:val="left" w:pos="284"/>
              </w:tabs>
              <w:rPr>
                <w:rFonts w:eastAsia="Times New Roman"/>
                <w:sz w:val="16"/>
                <w:szCs w:val="16"/>
              </w:rPr>
            </w:pPr>
            <w:r>
              <w:rPr>
                <w:rFonts w:asciiTheme="minorHAnsi" w:eastAsia="Times New Roman" w:hAnsiTheme="minorHAnsi"/>
                <w:sz w:val="16"/>
                <w:szCs w:val="16"/>
              </w:rPr>
              <w:t xml:space="preserve">Revised </w:t>
            </w:r>
            <w:r w:rsidR="005B175B">
              <w:rPr>
                <w:rFonts w:asciiTheme="minorHAnsi" w:eastAsia="Times New Roman" w:hAnsiTheme="minorHAnsi"/>
                <w:sz w:val="16"/>
                <w:szCs w:val="16"/>
              </w:rPr>
              <w:t>I</w:t>
            </w:r>
            <w:r>
              <w:rPr>
                <w:rFonts w:asciiTheme="minorHAnsi" w:eastAsia="Times New Roman" w:hAnsiTheme="minorHAnsi"/>
                <w:sz w:val="16"/>
                <w:szCs w:val="16"/>
              </w:rPr>
              <w:t xml:space="preserve">NGO </w:t>
            </w:r>
            <w:r w:rsidR="00E1325C">
              <w:rPr>
                <w:rFonts w:asciiTheme="minorHAnsi" w:eastAsia="Times New Roman" w:hAnsiTheme="minorHAnsi"/>
                <w:sz w:val="16"/>
                <w:szCs w:val="16"/>
              </w:rPr>
              <w:t>regulations</w:t>
            </w:r>
            <w:r>
              <w:rPr>
                <w:rFonts w:asciiTheme="minorHAnsi" w:eastAsia="Times New Roman" w:hAnsiTheme="minorHAnsi"/>
                <w:sz w:val="16"/>
                <w:szCs w:val="16"/>
              </w:rPr>
              <w:t xml:space="preserve"> limit Australia’s ability to partner </w:t>
            </w:r>
            <w:r w:rsidR="00E1325C">
              <w:rPr>
                <w:rFonts w:asciiTheme="minorHAnsi" w:eastAsia="Times New Roman" w:hAnsiTheme="minorHAnsi"/>
                <w:sz w:val="16"/>
                <w:szCs w:val="16"/>
              </w:rPr>
              <w:t xml:space="preserve">effectively </w:t>
            </w:r>
            <w:r>
              <w:rPr>
                <w:rFonts w:asciiTheme="minorHAnsi" w:eastAsia="Times New Roman" w:hAnsiTheme="minorHAnsi"/>
                <w:sz w:val="16"/>
                <w:szCs w:val="16"/>
              </w:rPr>
              <w:t xml:space="preserve">with </w:t>
            </w:r>
            <w:r w:rsidR="005B175B">
              <w:rPr>
                <w:rFonts w:asciiTheme="minorHAnsi" w:eastAsia="Times New Roman" w:hAnsiTheme="minorHAnsi"/>
                <w:sz w:val="16"/>
                <w:szCs w:val="16"/>
              </w:rPr>
              <w:t>I</w:t>
            </w:r>
            <w:r>
              <w:rPr>
                <w:rFonts w:asciiTheme="minorHAnsi" w:eastAsia="Times New Roman" w:hAnsiTheme="minorHAnsi"/>
                <w:sz w:val="16"/>
                <w:szCs w:val="16"/>
              </w:rPr>
              <w:t>NGO’s to implement development programs</w:t>
            </w:r>
            <w:r w:rsidR="00E1325C">
              <w:rPr>
                <w:rFonts w:asciiTheme="minorHAnsi" w:eastAsia="Times New Roman" w:hAnsiTheme="minorHAnsi"/>
                <w:sz w:val="16"/>
                <w:szCs w:val="16"/>
              </w:rPr>
              <w:t xml:space="preserve"> </w:t>
            </w:r>
          </w:p>
        </w:tc>
        <w:tc>
          <w:tcPr>
            <w:tcW w:w="3374" w:type="dxa"/>
            <w:tcBorders>
              <w:top w:val="single" w:sz="12" w:space="0" w:color="auto"/>
              <w:bottom w:val="single" w:sz="12" w:space="0" w:color="auto"/>
            </w:tcBorders>
          </w:tcPr>
          <w:p w:rsidR="009E5C11" w:rsidRDefault="009E5C11" w:rsidP="0058674B">
            <w:pPr>
              <w:pStyle w:val="ListParagraph"/>
              <w:keepLines/>
              <w:numPr>
                <w:ilvl w:val="0"/>
                <w:numId w:val="14"/>
              </w:numPr>
              <w:spacing w:before="40" w:after="40" w:line="200" w:lineRule="atLeast"/>
              <w:rPr>
                <w:rFonts w:eastAsia="Times New Roman"/>
                <w:iCs/>
                <w:szCs w:val="17"/>
              </w:rPr>
            </w:pPr>
            <w:r>
              <w:rPr>
                <w:rFonts w:eastAsia="Times New Roman"/>
                <w:iCs/>
                <w:szCs w:val="17"/>
              </w:rPr>
              <w:t xml:space="preserve">Programs were transferred to less </w:t>
            </w:r>
            <w:r w:rsidR="00292BA2">
              <w:rPr>
                <w:rFonts w:eastAsia="Times New Roman"/>
                <w:iCs/>
                <w:szCs w:val="17"/>
              </w:rPr>
              <w:t xml:space="preserve">sensitive </w:t>
            </w:r>
            <w:r>
              <w:rPr>
                <w:rFonts w:eastAsia="Times New Roman"/>
                <w:iCs/>
                <w:szCs w:val="17"/>
              </w:rPr>
              <w:t>locations</w:t>
            </w:r>
          </w:p>
          <w:p w:rsidR="009E5C11" w:rsidRPr="009E5C11" w:rsidRDefault="009E5C11" w:rsidP="0058674B">
            <w:pPr>
              <w:pStyle w:val="ListParagraph"/>
              <w:keepLines/>
              <w:numPr>
                <w:ilvl w:val="0"/>
                <w:numId w:val="14"/>
              </w:numPr>
              <w:spacing w:before="40" w:after="40" w:line="200" w:lineRule="atLeast"/>
              <w:rPr>
                <w:rFonts w:eastAsia="Times New Roman"/>
                <w:iCs/>
                <w:szCs w:val="17"/>
              </w:rPr>
            </w:pPr>
            <w:r>
              <w:rPr>
                <w:rFonts w:eastAsia="Times New Roman"/>
                <w:iCs/>
                <w:szCs w:val="17"/>
              </w:rPr>
              <w:t xml:space="preserve">Worked with like-minded donors to advocate for </w:t>
            </w:r>
            <w:r w:rsidR="00292BA2">
              <w:rPr>
                <w:rFonts w:eastAsia="Times New Roman"/>
                <w:iCs/>
                <w:szCs w:val="17"/>
              </w:rPr>
              <w:t xml:space="preserve">an </w:t>
            </w:r>
            <w:r>
              <w:rPr>
                <w:rFonts w:eastAsia="Times New Roman"/>
                <w:iCs/>
                <w:szCs w:val="17"/>
              </w:rPr>
              <w:t>efficient, timely and transparent registration process</w:t>
            </w:r>
          </w:p>
        </w:tc>
        <w:tc>
          <w:tcPr>
            <w:tcW w:w="3113" w:type="dxa"/>
            <w:tcBorders>
              <w:top w:val="single" w:sz="12" w:space="0" w:color="auto"/>
              <w:bottom w:val="single" w:sz="12" w:space="0" w:color="auto"/>
            </w:tcBorders>
          </w:tcPr>
          <w:p w:rsidR="009E5C11" w:rsidRDefault="009E5C11" w:rsidP="0058674B">
            <w:pPr>
              <w:pStyle w:val="ListParagraph"/>
              <w:keepLines/>
              <w:numPr>
                <w:ilvl w:val="0"/>
                <w:numId w:val="14"/>
              </w:numPr>
              <w:spacing w:before="40" w:after="40" w:line="200" w:lineRule="atLeast"/>
              <w:rPr>
                <w:rFonts w:eastAsia="Times New Roman"/>
                <w:iCs/>
                <w:szCs w:val="17"/>
              </w:rPr>
            </w:pPr>
            <w:r w:rsidRPr="009E5C11">
              <w:rPr>
                <w:rFonts w:eastAsia="Times New Roman"/>
                <w:iCs/>
                <w:szCs w:val="17"/>
              </w:rPr>
              <w:t xml:space="preserve">Continue working with </w:t>
            </w:r>
            <w:r>
              <w:rPr>
                <w:rFonts w:eastAsia="Times New Roman"/>
                <w:iCs/>
                <w:szCs w:val="17"/>
              </w:rPr>
              <w:t>government</w:t>
            </w:r>
            <w:r w:rsidRPr="009E5C11">
              <w:rPr>
                <w:rFonts w:eastAsia="Times New Roman"/>
                <w:iCs/>
                <w:szCs w:val="17"/>
              </w:rPr>
              <w:t xml:space="preserve"> and </w:t>
            </w:r>
            <w:r w:rsidR="00731FB6">
              <w:rPr>
                <w:rFonts w:eastAsia="Times New Roman"/>
                <w:iCs/>
                <w:szCs w:val="17"/>
              </w:rPr>
              <w:t>INGOs</w:t>
            </w:r>
            <w:r w:rsidRPr="009E5C11">
              <w:rPr>
                <w:rFonts w:eastAsia="Times New Roman"/>
                <w:iCs/>
                <w:szCs w:val="17"/>
              </w:rPr>
              <w:t xml:space="preserve"> to manage the impacts of the registration process </w:t>
            </w:r>
          </w:p>
          <w:p w:rsidR="009E5C11" w:rsidRPr="003B0793" w:rsidRDefault="009E5C11" w:rsidP="00E1325C">
            <w:pPr>
              <w:pStyle w:val="ListParagraph"/>
              <w:keepLines/>
              <w:numPr>
                <w:ilvl w:val="0"/>
                <w:numId w:val="14"/>
              </w:numPr>
              <w:spacing w:before="40" w:after="40" w:line="200" w:lineRule="atLeast"/>
              <w:rPr>
                <w:rFonts w:eastAsia="Times New Roman"/>
                <w:iCs/>
                <w:szCs w:val="17"/>
              </w:rPr>
            </w:pPr>
            <w:r>
              <w:rPr>
                <w:rFonts w:eastAsia="Times New Roman"/>
                <w:iCs/>
                <w:szCs w:val="17"/>
              </w:rPr>
              <w:t>Continue advocating for the registration of all Australian implementing partners</w:t>
            </w:r>
          </w:p>
        </w:tc>
        <w:tc>
          <w:tcPr>
            <w:tcW w:w="1384" w:type="dxa"/>
            <w:tcBorders>
              <w:top w:val="single" w:sz="12" w:space="0" w:color="auto"/>
              <w:bottom w:val="single" w:sz="12" w:space="0" w:color="auto"/>
              <w:right w:val="single" w:sz="12" w:space="0" w:color="auto"/>
            </w:tcBorders>
          </w:tcPr>
          <w:p w:rsidR="009E5C11" w:rsidRPr="003B0793" w:rsidRDefault="009E5C11" w:rsidP="00D15A00">
            <w:pPr>
              <w:keepLines/>
              <w:spacing w:before="40" w:after="40" w:line="200" w:lineRule="atLeast"/>
              <w:rPr>
                <w:rFonts w:eastAsia="Times New Roman"/>
                <w:iCs/>
                <w:szCs w:val="17"/>
              </w:rPr>
            </w:pPr>
            <w:r>
              <w:rPr>
                <w:rFonts w:eastAsia="Times New Roman"/>
                <w:iCs/>
                <w:szCs w:val="17"/>
              </w:rPr>
              <w:t>High</w:t>
            </w:r>
          </w:p>
        </w:tc>
      </w:tr>
      <w:tr w:rsidR="002A51CA" w:rsidRPr="00C61187" w:rsidTr="00E1325C">
        <w:tc>
          <w:tcPr>
            <w:tcW w:w="2109" w:type="dxa"/>
            <w:tcBorders>
              <w:top w:val="single" w:sz="12" w:space="0" w:color="auto"/>
              <w:left w:val="single" w:sz="12" w:space="0" w:color="auto"/>
              <w:bottom w:val="single" w:sz="12" w:space="0" w:color="auto"/>
            </w:tcBorders>
            <w:hideMark/>
          </w:tcPr>
          <w:p w:rsidR="002A51CA" w:rsidRPr="009E5C11" w:rsidRDefault="009139AA" w:rsidP="009139A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G</w:t>
            </w:r>
            <w:r w:rsidRPr="009E5C11">
              <w:rPr>
                <w:rFonts w:asciiTheme="minorHAnsi" w:eastAsia="Times New Roman" w:hAnsiTheme="minorHAnsi"/>
                <w:iCs/>
                <w:szCs w:val="17"/>
                <w:lang w:eastAsia="en-US"/>
              </w:rPr>
              <w:t xml:space="preserve">overnment </w:t>
            </w:r>
            <w:r w:rsidR="00044AD5" w:rsidRPr="009E5C11">
              <w:rPr>
                <w:rFonts w:asciiTheme="minorHAnsi" w:eastAsia="Times New Roman" w:hAnsiTheme="minorHAnsi"/>
                <w:iCs/>
                <w:szCs w:val="17"/>
                <w:lang w:eastAsia="en-US"/>
              </w:rPr>
              <w:t>capacity to plan and manage basic service delivery and undertake reforms undermines the effectiveness of Australian aid</w:t>
            </w:r>
          </w:p>
        </w:tc>
        <w:tc>
          <w:tcPr>
            <w:tcW w:w="3374" w:type="dxa"/>
            <w:tcBorders>
              <w:top w:val="single" w:sz="12" w:space="0" w:color="auto"/>
              <w:bottom w:val="single" w:sz="12" w:space="0" w:color="auto"/>
            </w:tcBorders>
          </w:tcPr>
          <w:p w:rsidR="002A51CA" w:rsidRDefault="009E5C11" w:rsidP="0058674B">
            <w:pPr>
              <w:pStyle w:val="ListParagraph"/>
              <w:keepLines/>
              <w:numPr>
                <w:ilvl w:val="0"/>
                <w:numId w:val="13"/>
              </w:numPr>
              <w:spacing w:before="40" w:after="40" w:line="200" w:lineRule="atLeast"/>
              <w:rPr>
                <w:rFonts w:eastAsia="Times New Roman"/>
                <w:iCs/>
                <w:szCs w:val="17"/>
                <w:lang w:eastAsia="en-US"/>
              </w:rPr>
            </w:pPr>
            <w:r>
              <w:rPr>
                <w:rFonts w:eastAsia="Times New Roman"/>
                <w:iCs/>
                <w:szCs w:val="17"/>
                <w:lang w:eastAsia="en-US"/>
              </w:rPr>
              <w:t>Regular and active engagement with government at federal and provincial levels on Australian aid interventions</w:t>
            </w:r>
          </w:p>
          <w:p w:rsidR="009E5C11" w:rsidRPr="009E5C11" w:rsidRDefault="009E5C11" w:rsidP="0058674B">
            <w:pPr>
              <w:pStyle w:val="ListParagraph"/>
              <w:keepLines/>
              <w:numPr>
                <w:ilvl w:val="0"/>
                <w:numId w:val="13"/>
              </w:numPr>
              <w:spacing w:before="40" w:after="40" w:line="200" w:lineRule="atLeast"/>
              <w:rPr>
                <w:rFonts w:eastAsia="Times New Roman"/>
                <w:iCs/>
                <w:szCs w:val="17"/>
                <w:lang w:eastAsia="en-US"/>
              </w:rPr>
            </w:pPr>
            <w:r>
              <w:rPr>
                <w:rFonts w:eastAsia="Times New Roman"/>
                <w:iCs/>
                <w:szCs w:val="17"/>
                <w:lang w:eastAsia="en-US"/>
              </w:rPr>
              <w:t>Strong partnerships with multilateral and bilateral partners with proven capacity for effective program delivery in Pakistan</w:t>
            </w:r>
          </w:p>
        </w:tc>
        <w:tc>
          <w:tcPr>
            <w:tcW w:w="3113" w:type="dxa"/>
            <w:tcBorders>
              <w:top w:val="single" w:sz="12" w:space="0" w:color="auto"/>
              <w:bottom w:val="single" w:sz="12" w:space="0" w:color="auto"/>
            </w:tcBorders>
          </w:tcPr>
          <w:p w:rsidR="002A51CA" w:rsidRDefault="0083648C" w:rsidP="0058674B">
            <w:pPr>
              <w:pStyle w:val="ListParagraph"/>
              <w:keepLines/>
              <w:numPr>
                <w:ilvl w:val="0"/>
                <w:numId w:val="13"/>
              </w:numPr>
              <w:spacing w:before="40" w:after="40" w:line="200" w:lineRule="atLeast"/>
              <w:rPr>
                <w:rFonts w:eastAsia="Times New Roman"/>
                <w:iCs/>
                <w:szCs w:val="17"/>
                <w:lang w:eastAsia="en-US"/>
              </w:rPr>
            </w:pPr>
            <w:r>
              <w:rPr>
                <w:rFonts w:eastAsia="Times New Roman"/>
                <w:iCs/>
                <w:szCs w:val="17"/>
                <w:lang w:eastAsia="en-US"/>
              </w:rPr>
              <w:t>Ongoing monitoring of low capacity and structural weaknesses affecting programs</w:t>
            </w:r>
            <w:r w:rsidR="00292BA2">
              <w:rPr>
                <w:rFonts w:eastAsia="Times New Roman"/>
                <w:iCs/>
                <w:szCs w:val="17"/>
                <w:lang w:eastAsia="en-US"/>
              </w:rPr>
              <w:t>, to allow adaptive management decisions</w:t>
            </w:r>
          </w:p>
          <w:p w:rsidR="0083648C" w:rsidRPr="0083648C" w:rsidRDefault="0083648C" w:rsidP="00E1325C">
            <w:pPr>
              <w:pStyle w:val="ListParagraph"/>
              <w:keepLines/>
              <w:numPr>
                <w:ilvl w:val="0"/>
                <w:numId w:val="13"/>
              </w:numPr>
              <w:spacing w:before="40" w:after="40" w:line="200" w:lineRule="atLeast"/>
              <w:rPr>
                <w:rFonts w:eastAsia="Times New Roman"/>
                <w:iCs/>
                <w:szCs w:val="17"/>
                <w:lang w:eastAsia="en-US"/>
              </w:rPr>
            </w:pPr>
            <w:r>
              <w:rPr>
                <w:rFonts w:eastAsia="Times New Roman"/>
                <w:iCs/>
                <w:szCs w:val="17"/>
                <w:lang w:eastAsia="en-US"/>
              </w:rPr>
              <w:t>Advocacy with government for the development and implementation of policies</w:t>
            </w:r>
          </w:p>
        </w:tc>
        <w:tc>
          <w:tcPr>
            <w:tcW w:w="1384" w:type="dxa"/>
            <w:tcBorders>
              <w:top w:val="single" w:sz="12" w:space="0" w:color="auto"/>
              <w:bottom w:val="single" w:sz="12" w:space="0" w:color="auto"/>
              <w:right w:val="single" w:sz="12" w:space="0" w:color="auto"/>
            </w:tcBorders>
          </w:tcPr>
          <w:p w:rsidR="002A51CA" w:rsidRPr="00C61187" w:rsidRDefault="001C7BFE" w:rsidP="00D15A00">
            <w:pPr>
              <w:keepLines/>
              <w:spacing w:before="40" w:after="40" w:line="200" w:lineRule="atLeast"/>
              <w:rPr>
                <w:rFonts w:eastAsia="Times New Roman"/>
                <w:iCs/>
                <w:szCs w:val="17"/>
                <w:lang w:eastAsia="en-US"/>
              </w:rPr>
            </w:pPr>
            <w:r>
              <w:rPr>
                <w:rFonts w:eastAsia="Times New Roman"/>
                <w:iCs/>
                <w:szCs w:val="17"/>
                <w:lang w:eastAsia="en-US"/>
              </w:rPr>
              <w:t>Medium</w:t>
            </w:r>
          </w:p>
        </w:tc>
      </w:tr>
    </w:tbl>
    <w:p w:rsidR="00D15A00" w:rsidRPr="00A02CB3" w:rsidRDefault="002A51CA" w:rsidP="00E1325C">
      <w:pPr>
        <w:pStyle w:val="ListBullet"/>
        <w:tabs>
          <w:tab w:val="clear" w:pos="284"/>
        </w:tabs>
        <w:spacing w:before="360"/>
      </w:pPr>
      <w:r w:rsidRPr="00A02CB3">
        <w:rPr>
          <w:rFonts w:asciiTheme="majorHAnsi" w:eastAsiaTheme="majorEastAsia" w:hAnsiTheme="majorHAnsi" w:cstheme="majorBidi"/>
          <w:caps/>
          <w:color w:val="495965" w:themeColor="text2"/>
          <w:sz w:val="38"/>
          <w:szCs w:val="26"/>
          <w:lang w:val="en-GB" w:eastAsia="en-US"/>
        </w:rPr>
        <w:t>Manageme</w:t>
      </w:r>
      <w:r w:rsidR="00EF12B2" w:rsidRPr="00A02CB3">
        <w:rPr>
          <w:rFonts w:asciiTheme="majorHAnsi" w:eastAsiaTheme="majorEastAsia" w:hAnsiTheme="majorHAnsi" w:cstheme="majorBidi"/>
          <w:caps/>
          <w:color w:val="495965" w:themeColor="text2"/>
          <w:sz w:val="38"/>
          <w:szCs w:val="26"/>
          <w:lang w:val="en-GB" w:eastAsia="en-US"/>
        </w:rPr>
        <w:t>nt Responses</w:t>
      </w:r>
      <w:r w:rsidR="00EF12B2" w:rsidRPr="00A02CB3">
        <w:rPr>
          <w:rFonts w:asciiTheme="majorHAnsi" w:eastAsiaTheme="majorEastAsia" w:hAnsiTheme="majorHAnsi" w:cstheme="majorBidi"/>
          <w:caps/>
          <w:color w:val="495965" w:themeColor="text2"/>
          <w:sz w:val="38"/>
          <w:szCs w:val="26"/>
          <w:lang w:val="en-GB" w:eastAsia="en-US"/>
        </w:rPr>
        <w:tab/>
      </w:r>
    </w:p>
    <w:p w:rsidR="00ED58BA" w:rsidRPr="00ED58BA" w:rsidRDefault="00ED58BA" w:rsidP="00ED58BA">
      <w:pPr>
        <w:spacing w:after="120" w:line="280" w:lineRule="exact"/>
        <w:rPr>
          <w:b/>
        </w:rPr>
      </w:pPr>
      <w:r w:rsidRPr="00ED58BA">
        <w:rPr>
          <w:b/>
        </w:rPr>
        <w:t>Engaging with the Government of Pakistan</w:t>
      </w:r>
    </w:p>
    <w:p w:rsidR="00976F11" w:rsidRDefault="006243B4" w:rsidP="00552B9A">
      <w:pPr>
        <w:pStyle w:val="ListParagraph"/>
        <w:numPr>
          <w:ilvl w:val="0"/>
          <w:numId w:val="16"/>
        </w:numPr>
      </w:pPr>
      <w:r>
        <w:t xml:space="preserve">Finalise a Development Cooperation MOU </w:t>
      </w:r>
      <w:r w:rsidR="00D6302C">
        <w:t>and maintain</w:t>
      </w:r>
      <w:r>
        <w:t xml:space="preserve"> high level consultations</w:t>
      </w:r>
      <w:r w:rsidR="004E2C86">
        <w:t xml:space="preserve"> </w:t>
      </w:r>
      <w:r w:rsidR="00D6302C">
        <w:t xml:space="preserve">with the </w:t>
      </w:r>
      <w:r w:rsidR="00200569">
        <w:t xml:space="preserve">Ministry of Finance </w:t>
      </w:r>
      <w:r w:rsidR="00D6302C">
        <w:t xml:space="preserve">Economic Affairs Division </w:t>
      </w:r>
      <w:r>
        <w:t>to consu</w:t>
      </w:r>
      <w:r w:rsidR="00D6302C">
        <w:t>lt on and guide the aid program</w:t>
      </w:r>
    </w:p>
    <w:p w:rsidR="006243B4" w:rsidRDefault="00976F11" w:rsidP="00E1325C">
      <w:pPr>
        <w:pStyle w:val="ListParagraph"/>
        <w:numPr>
          <w:ilvl w:val="1"/>
          <w:numId w:val="16"/>
        </w:numPr>
      </w:pPr>
      <w:proofErr w:type="gramStart"/>
      <w:r>
        <w:t>including</w:t>
      </w:r>
      <w:proofErr w:type="gramEnd"/>
      <w:r>
        <w:t xml:space="preserve"> c</w:t>
      </w:r>
      <w:r w:rsidR="006243B4" w:rsidRPr="00DE7AE8">
        <w:t>ont</w:t>
      </w:r>
      <w:r w:rsidR="006243B4" w:rsidRPr="003C22EB">
        <w:t>inue</w:t>
      </w:r>
      <w:r>
        <w:t>d</w:t>
      </w:r>
      <w:r w:rsidR="006243B4" w:rsidRPr="003C22EB">
        <w:t xml:space="preserve"> advocacy for </w:t>
      </w:r>
      <w:r w:rsidR="006243B4" w:rsidRPr="00DE7AE8">
        <w:t xml:space="preserve">INGOs’ </w:t>
      </w:r>
      <w:r w:rsidR="00ED58BA" w:rsidRPr="00DE7AE8">
        <w:t xml:space="preserve">important </w:t>
      </w:r>
      <w:r w:rsidR="006243B4" w:rsidRPr="00DE7AE8">
        <w:t>role as development partners in Pakistan</w:t>
      </w:r>
      <w:r>
        <w:t>.</w:t>
      </w:r>
    </w:p>
    <w:p w:rsidR="006243B4" w:rsidRPr="00DE7AE8" w:rsidRDefault="006243B4" w:rsidP="006243B4">
      <w:pPr>
        <w:spacing w:after="120" w:line="280" w:lineRule="exact"/>
        <w:rPr>
          <w:b/>
        </w:rPr>
      </w:pPr>
      <w:r>
        <w:rPr>
          <w:b/>
        </w:rPr>
        <w:t xml:space="preserve">Strengthening performance </w:t>
      </w:r>
      <w:r w:rsidR="00ED58BA">
        <w:rPr>
          <w:b/>
        </w:rPr>
        <w:t>o</w:t>
      </w:r>
      <w:r w:rsidR="00391975">
        <w:rPr>
          <w:b/>
        </w:rPr>
        <w:t>n</w:t>
      </w:r>
      <w:r w:rsidR="00ED58BA">
        <w:rPr>
          <w:b/>
        </w:rPr>
        <w:t xml:space="preserve"> </w:t>
      </w:r>
      <w:r>
        <w:rPr>
          <w:b/>
        </w:rPr>
        <w:t>g</w:t>
      </w:r>
      <w:r w:rsidRPr="00DE7AE8">
        <w:rPr>
          <w:b/>
        </w:rPr>
        <w:t>ender</w:t>
      </w:r>
      <w:r>
        <w:rPr>
          <w:b/>
        </w:rPr>
        <w:t xml:space="preserve"> equality in the aid portfolio</w:t>
      </w:r>
    </w:p>
    <w:p w:rsidR="006243B4" w:rsidRDefault="006243B4" w:rsidP="006243B4">
      <w:pPr>
        <w:pStyle w:val="ListParagraph"/>
        <w:numPr>
          <w:ilvl w:val="0"/>
          <w:numId w:val="16"/>
        </w:numPr>
      </w:pPr>
      <w:r>
        <w:t xml:space="preserve">Continue to strengthen </w:t>
      </w:r>
      <w:r w:rsidR="00976F11">
        <w:t>cross-</w:t>
      </w:r>
      <w:r>
        <w:t xml:space="preserve">program </w:t>
      </w:r>
      <w:r w:rsidR="00D6302C">
        <w:t xml:space="preserve">performance on </w:t>
      </w:r>
      <w:r w:rsidR="00C72473">
        <w:t>gender equality:</w:t>
      </w:r>
    </w:p>
    <w:p w:rsidR="006243B4" w:rsidRDefault="006243B4" w:rsidP="00D6302C">
      <w:pPr>
        <w:pStyle w:val="ListParagraph"/>
        <w:numPr>
          <w:ilvl w:val="1"/>
          <w:numId w:val="16"/>
        </w:numPr>
      </w:pPr>
      <w:proofErr w:type="gramStart"/>
      <w:r>
        <w:lastRenderedPageBreak/>
        <w:t>conduct</w:t>
      </w:r>
      <w:proofErr w:type="gramEnd"/>
      <w:r>
        <w:t xml:space="preserve"> </w:t>
      </w:r>
      <w:r w:rsidR="00D6302C">
        <w:t>select investment</w:t>
      </w:r>
      <w:r>
        <w:t xml:space="preserve"> clinics,</w:t>
      </w:r>
      <w:r w:rsidR="00D6302C">
        <w:t xml:space="preserve"> identifying practical actions</w:t>
      </w:r>
      <w:r>
        <w:t xml:space="preserve"> to </w:t>
      </w:r>
      <w:r w:rsidR="00ED58BA">
        <w:t>strengthen</w:t>
      </w:r>
      <w:r w:rsidR="00ED58BA" w:rsidRPr="0084120B">
        <w:t xml:space="preserve"> </w:t>
      </w:r>
      <w:r w:rsidR="004E2C86">
        <w:t>investments’ performance</w:t>
      </w:r>
      <w:r>
        <w:t xml:space="preserve"> in collaboration</w:t>
      </w:r>
      <w:r w:rsidR="00ED58BA">
        <w:t xml:space="preserve"> with partners and </w:t>
      </w:r>
      <w:r>
        <w:t>Australian specialists</w:t>
      </w:r>
      <w:r w:rsidR="00ED58BA">
        <w:t>;</w:t>
      </w:r>
      <w:r>
        <w:t xml:space="preserve"> and ensure designs, monitoring missions and reviews utilise </w:t>
      </w:r>
      <w:r w:rsidR="00ED58BA">
        <w:t xml:space="preserve">appropriate </w:t>
      </w:r>
      <w:r>
        <w:t>gender expertise</w:t>
      </w:r>
      <w:r w:rsidR="00976F11">
        <w:t>.</w:t>
      </w:r>
    </w:p>
    <w:p w:rsidR="00976F11" w:rsidRPr="00E1325C" w:rsidRDefault="00552B9A" w:rsidP="00E1325C">
      <w:pPr>
        <w:spacing w:after="120" w:line="280" w:lineRule="exact"/>
        <w:rPr>
          <w:b/>
        </w:rPr>
      </w:pPr>
      <w:r>
        <w:rPr>
          <w:b/>
        </w:rPr>
        <w:t xml:space="preserve">Improving results in </w:t>
      </w:r>
      <w:r w:rsidR="00976F11">
        <w:rPr>
          <w:b/>
        </w:rPr>
        <w:t>economic and human development</w:t>
      </w:r>
    </w:p>
    <w:p w:rsidR="006243B4" w:rsidRDefault="00976F11" w:rsidP="006243B4">
      <w:pPr>
        <w:pStyle w:val="ListParagraph"/>
        <w:numPr>
          <w:ilvl w:val="0"/>
          <w:numId w:val="16"/>
        </w:numPr>
      </w:pPr>
      <w:r>
        <w:t xml:space="preserve">Further </w:t>
      </w:r>
      <w:r w:rsidR="00D6302C">
        <w:t xml:space="preserve">strengthen </w:t>
      </w:r>
      <w:r>
        <w:t xml:space="preserve">coordination </w:t>
      </w:r>
      <w:r w:rsidR="00E1325C">
        <w:t xml:space="preserve">and collaboration </w:t>
      </w:r>
      <w:r>
        <w:t xml:space="preserve">between </w:t>
      </w:r>
      <w:r w:rsidR="00D6302C">
        <w:t>partner</w:t>
      </w:r>
      <w:r>
        <w:t>s</w:t>
      </w:r>
      <w:r w:rsidR="006243B4">
        <w:t xml:space="preserve"> and investment</w:t>
      </w:r>
      <w:r>
        <w:t>s</w:t>
      </w:r>
      <w:r w:rsidR="006243B4">
        <w:t xml:space="preserve"> </w:t>
      </w:r>
      <w:r>
        <w:t xml:space="preserve">within </w:t>
      </w:r>
      <w:r w:rsidR="00ED58BA">
        <w:t>the economic growth objective</w:t>
      </w:r>
      <w:r w:rsidR="006243B4">
        <w:t xml:space="preserve">, </w:t>
      </w:r>
      <w:r w:rsidR="00E1325C">
        <w:t xml:space="preserve">in </w:t>
      </w:r>
      <w:r>
        <w:t xml:space="preserve">close alignment </w:t>
      </w:r>
      <w:r w:rsidR="006243B4">
        <w:t>with Australian economic diplomacy priorities</w:t>
      </w:r>
      <w:r>
        <w:t>.</w:t>
      </w:r>
    </w:p>
    <w:p w:rsidR="006243B4" w:rsidRDefault="006243B4" w:rsidP="006243B4">
      <w:pPr>
        <w:pStyle w:val="ListParagraph"/>
        <w:numPr>
          <w:ilvl w:val="0"/>
          <w:numId w:val="16"/>
        </w:numPr>
      </w:pPr>
      <w:r>
        <w:t>Review</w:t>
      </w:r>
      <w:r w:rsidR="00976F11">
        <w:t>,</w:t>
      </w:r>
      <w:r>
        <w:t xml:space="preserve"> with the World Bank</w:t>
      </w:r>
      <w:r w:rsidR="00976F11">
        <w:t>,</w:t>
      </w:r>
      <w:r>
        <w:t xml:space="preserve"> the scope of our nutrition investment in light of delayed progress; and develop options for integration of nutrition sensitive programming across the </w:t>
      </w:r>
      <w:r w:rsidR="00EC38A5">
        <w:t xml:space="preserve">wider </w:t>
      </w:r>
      <w:r>
        <w:t>portfolio</w:t>
      </w:r>
      <w:r w:rsidR="00976F11">
        <w:t>.</w:t>
      </w:r>
    </w:p>
    <w:p w:rsidR="00976F11" w:rsidRPr="00E1325C" w:rsidRDefault="00976F11" w:rsidP="00E1325C">
      <w:pPr>
        <w:keepNext/>
        <w:spacing w:after="120" w:line="280" w:lineRule="exact"/>
        <w:rPr>
          <w:b/>
        </w:rPr>
      </w:pPr>
      <w:r w:rsidRPr="00E1325C">
        <w:rPr>
          <w:b/>
        </w:rPr>
        <w:t>Portfolio development and performance management</w:t>
      </w:r>
    </w:p>
    <w:p w:rsidR="006243B4" w:rsidRDefault="006243B4" w:rsidP="006243B4">
      <w:pPr>
        <w:pStyle w:val="ListParagraph"/>
        <w:numPr>
          <w:ilvl w:val="0"/>
          <w:numId w:val="16"/>
        </w:numPr>
      </w:pPr>
      <w:r>
        <w:t>Review and update the program</w:t>
      </w:r>
      <w:r w:rsidRPr="0008180A">
        <w:t xml:space="preserve"> P</w:t>
      </w:r>
      <w:r>
        <w:t xml:space="preserve">erformance </w:t>
      </w:r>
      <w:r w:rsidRPr="0008180A">
        <w:t>A</w:t>
      </w:r>
      <w:r>
        <w:t xml:space="preserve">ssessment </w:t>
      </w:r>
      <w:r w:rsidRPr="0008180A">
        <w:t>F</w:t>
      </w:r>
      <w:r>
        <w:t xml:space="preserve">ramework (PAF), setting appropriate benchmarks, progress targets, </w:t>
      </w:r>
      <w:r w:rsidR="00976F11">
        <w:t xml:space="preserve">and </w:t>
      </w:r>
      <w:r>
        <w:t xml:space="preserve">indicators </w:t>
      </w:r>
      <w:r w:rsidR="00391975">
        <w:t>to serve the evolving portfolio</w:t>
      </w:r>
      <w:r w:rsidR="00976F11">
        <w:t>.</w:t>
      </w:r>
    </w:p>
    <w:p w:rsidR="006243B4" w:rsidRPr="00C72473" w:rsidRDefault="006243B4" w:rsidP="00C72473">
      <w:pPr>
        <w:pStyle w:val="ListParagraph"/>
        <w:numPr>
          <w:ilvl w:val="0"/>
          <w:numId w:val="16"/>
        </w:numPr>
      </w:pPr>
      <w:r w:rsidRPr="00C72473">
        <w:t xml:space="preserve">Prepare for a mid-term review of the Pakistan Aid Investment Plan in 2017: </w:t>
      </w:r>
    </w:p>
    <w:p w:rsidR="006243B4" w:rsidRDefault="006243B4" w:rsidP="00C72473">
      <w:pPr>
        <w:pStyle w:val="ListParagraph"/>
        <w:numPr>
          <w:ilvl w:val="1"/>
          <w:numId w:val="16"/>
        </w:numPr>
      </w:pPr>
      <w:r>
        <w:t xml:space="preserve">Review the scope and outcomes of ‘Objective 2 – Investing in people’ in light of program consolidation in the health and education sectors </w:t>
      </w:r>
    </w:p>
    <w:p w:rsidR="006243B4" w:rsidRDefault="006243B4" w:rsidP="00C72473">
      <w:pPr>
        <w:pStyle w:val="ListParagraph"/>
        <w:numPr>
          <w:ilvl w:val="1"/>
          <w:numId w:val="16"/>
        </w:numPr>
      </w:pPr>
      <w:r>
        <w:t xml:space="preserve">Examine options for an additional </w:t>
      </w:r>
      <w:r w:rsidR="007845F0">
        <w:t xml:space="preserve">program strategic objective for </w:t>
      </w:r>
      <w:r>
        <w:t>stability and resilience, incorporating existing and potential future investments</w:t>
      </w:r>
      <w:r w:rsidR="00976F11">
        <w:t>.</w:t>
      </w:r>
    </w:p>
    <w:p w:rsidR="005C6110" w:rsidRDefault="005C6110" w:rsidP="005C6110">
      <w:pPr>
        <w:pStyle w:val="ListParagraph"/>
      </w:pPr>
    </w:p>
    <w:p w:rsidR="00EF12B2" w:rsidRDefault="00EF12B2" w:rsidP="006A43AC">
      <w:pPr>
        <w:sectPr w:rsidR="00EF12B2" w:rsidSect="007C6028">
          <w:pgSz w:w="11906" w:h="16838" w:code="9"/>
          <w:pgMar w:top="1527" w:right="1134" w:bottom="851" w:left="1134" w:header="1418" w:footer="567" w:gutter="0"/>
          <w:cols w:space="397"/>
          <w:docGrid w:linePitch="360"/>
        </w:sectPr>
      </w:pPr>
    </w:p>
    <w:p w:rsidR="00400B0F" w:rsidRPr="00C61187" w:rsidRDefault="00400B0F" w:rsidP="00B5779A">
      <w:pPr>
        <w:pStyle w:val="Subtitle"/>
        <w:numPr>
          <w:ilvl w:val="0"/>
          <w:numId w:val="0"/>
        </w:numPr>
      </w:pPr>
      <w:r w:rsidRPr="00400B0F">
        <w:lastRenderedPageBreak/>
        <w:t>Annex A - Progress in Addressing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1276"/>
        <w:gridCol w:w="6654"/>
      </w:tblGrid>
      <w:tr w:rsidR="00400B0F" w:rsidRPr="00A427C6" w:rsidTr="00A427C6">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Management responses identified in 2014-15 APPR</w:t>
            </w:r>
            <w:r w:rsidRPr="00A427C6">
              <w:rPr>
                <w:rFonts w:asciiTheme="minorHAnsi" w:eastAsia="Times New Roman" w:hAnsiTheme="minorHAnsi"/>
                <w:b/>
                <w:iCs/>
                <w:szCs w:val="17"/>
                <w:lang w:eastAsia="en-US"/>
              </w:rPr>
              <w:tab/>
            </w:r>
          </w:p>
        </w:tc>
        <w:tc>
          <w:tcPr>
            <w:tcW w:w="1248" w:type="dxa"/>
          </w:tcPr>
          <w:p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6612" w:type="dxa"/>
          </w:tcPr>
          <w:p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Progress made  in 2015-16</w:t>
            </w:r>
          </w:p>
        </w:tc>
      </w:tr>
      <w:tr w:rsidR="00400B0F" w:rsidRPr="00A427C6" w:rsidTr="00D55E91">
        <w:trPr>
          <w:cnfStyle w:val="000000010000" w:firstRow="0" w:lastRow="0" w:firstColumn="0" w:lastColumn="0" w:oddVBand="0" w:evenVBand="0" w:oddHBand="0" w:evenHBand="1" w:firstRowFirstColumn="0" w:firstRowLastColumn="0" w:lastRowFirstColumn="0" w:lastRowLastColumn="0"/>
        </w:trPr>
        <w:tc>
          <w:tcPr>
            <w:tcW w:w="6473" w:type="dxa"/>
          </w:tcPr>
          <w:p w:rsidR="00B5779A" w:rsidRPr="007E66D4" w:rsidRDefault="00B5779A" w:rsidP="00B5779A">
            <w:pPr>
              <w:keepLines/>
              <w:spacing w:before="40" w:after="40" w:line="200" w:lineRule="atLeast"/>
            </w:pPr>
            <w:r w:rsidRPr="007E66D4">
              <w:t xml:space="preserve">Closely monitor the Nutrition </w:t>
            </w:r>
            <w:r>
              <w:t xml:space="preserve">Multi-Donor </w:t>
            </w:r>
            <w:r w:rsidRPr="007E66D4">
              <w:t>Trust Fund</w:t>
            </w:r>
            <w:r>
              <w:t xml:space="preserve"> to ensure the pace of delivery picks up</w:t>
            </w:r>
            <w:r w:rsidRPr="007E66D4">
              <w:t xml:space="preserve">, including holding </w:t>
            </w:r>
            <w:r>
              <w:t xml:space="preserve">formal </w:t>
            </w:r>
            <w:r w:rsidRPr="007E66D4">
              <w:t>quarterly steering committee meetings</w:t>
            </w:r>
            <w:r>
              <w:t>, finalising a results framework</w:t>
            </w:r>
            <w:r w:rsidRPr="007E66D4">
              <w:t xml:space="preserve"> and undertaking a</w:t>
            </w:r>
            <w:r>
              <w:t>n internal management</w:t>
            </w:r>
            <w:r w:rsidRPr="007E66D4">
              <w:t xml:space="preserve"> review</w:t>
            </w:r>
            <w:r>
              <w:t xml:space="preserve"> of the investment to inform our engagement and advocacy with partners</w:t>
            </w:r>
            <w:r w:rsidRPr="007E66D4">
              <w:t xml:space="preserve">. </w:t>
            </w:r>
          </w:p>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1248" w:type="dxa"/>
            <w:shd w:val="clear" w:color="auto" w:fill="92D050"/>
          </w:tcPr>
          <w:p w:rsidR="00400B0F" w:rsidRPr="00A427C6" w:rsidRDefault="00D55E91" w:rsidP="005A1AFD">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612" w:type="dxa"/>
          </w:tcPr>
          <w:p w:rsidR="00400B0F" w:rsidRPr="00236593" w:rsidRDefault="007079C6" w:rsidP="00D55E91">
            <w:pPr>
              <w:keepLines/>
              <w:spacing w:before="40" w:after="40" w:line="200" w:lineRule="atLeast"/>
              <w:rPr>
                <w:rFonts w:asciiTheme="minorHAnsi" w:eastAsia="Times New Roman" w:hAnsiTheme="minorHAnsi"/>
                <w:iCs/>
                <w:color w:val="auto"/>
                <w:szCs w:val="17"/>
                <w:lang w:eastAsia="en-US"/>
              </w:rPr>
            </w:pPr>
            <w:r w:rsidRPr="00236593">
              <w:rPr>
                <w:rFonts w:asciiTheme="minorHAnsi" w:hAnsiTheme="minorHAnsi"/>
                <w:color w:val="auto"/>
              </w:rPr>
              <w:t>The Nutrition Multi-Donor Trust Fund was closely monitored throughout 2015-16. We participated in quarterly steering comm</w:t>
            </w:r>
            <w:r w:rsidR="00C065D6">
              <w:rPr>
                <w:rFonts w:asciiTheme="minorHAnsi" w:hAnsiTheme="minorHAnsi"/>
                <w:color w:val="auto"/>
              </w:rPr>
              <w:t>ittee meetings</w:t>
            </w:r>
            <w:r w:rsidR="00D55E91">
              <w:rPr>
                <w:rFonts w:asciiTheme="minorHAnsi" w:hAnsiTheme="minorHAnsi"/>
                <w:color w:val="auto"/>
              </w:rPr>
              <w:t>, agreed on a results framework</w:t>
            </w:r>
            <w:r w:rsidR="00C065D6">
              <w:rPr>
                <w:rFonts w:asciiTheme="minorHAnsi" w:hAnsiTheme="minorHAnsi"/>
                <w:color w:val="auto"/>
              </w:rPr>
              <w:t xml:space="preserve"> and commissioned</w:t>
            </w:r>
            <w:r w:rsidRPr="00236593">
              <w:rPr>
                <w:rFonts w:asciiTheme="minorHAnsi" w:hAnsiTheme="minorHAnsi"/>
                <w:color w:val="auto"/>
              </w:rPr>
              <w:t xml:space="preserve"> an internal management review which resulted in important reforms to the Funds Management. As result, progress in this investment has picked up. </w:t>
            </w:r>
            <w:r w:rsidR="00236593" w:rsidRPr="00236593">
              <w:rPr>
                <w:rFonts w:asciiTheme="minorHAnsi" w:hAnsiTheme="minorHAnsi"/>
                <w:color w:val="auto"/>
              </w:rPr>
              <w:t>.</w:t>
            </w:r>
          </w:p>
        </w:tc>
      </w:tr>
      <w:tr w:rsidR="00400B0F" w:rsidRPr="00A427C6" w:rsidTr="00CC0E28">
        <w:trPr>
          <w:cnfStyle w:val="000000010000" w:firstRow="0" w:lastRow="0" w:firstColumn="0" w:lastColumn="0" w:oddVBand="0" w:evenVBand="0" w:oddHBand="0" w:evenHBand="1" w:firstRowFirstColumn="0" w:firstRowLastColumn="0" w:lastRowFirstColumn="0" w:lastRowLastColumn="0"/>
        </w:trPr>
        <w:tc>
          <w:tcPr>
            <w:tcW w:w="6473" w:type="dxa"/>
          </w:tcPr>
          <w:p w:rsidR="00B5779A" w:rsidRPr="007E66D4" w:rsidRDefault="00B5779A" w:rsidP="00B5779A">
            <w:pPr>
              <w:keepLines/>
              <w:spacing w:before="40" w:after="40" w:line="200" w:lineRule="atLeast"/>
            </w:pPr>
            <w:r>
              <w:t>Increase implementation of</w:t>
            </w:r>
            <w:r w:rsidRPr="007E66D4">
              <w:t xml:space="preserve"> actions to </w:t>
            </w:r>
            <w:r>
              <w:t>deliver</w:t>
            </w:r>
            <w:r w:rsidRPr="007E66D4">
              <w:t xml:space="preserve"> development returns for women </w:t>
            </w:r>
            <w:r>
              <w:t xml:space="preserve">as a matter of priority </w:t>
            </w:r>
            <w:r w:rsidRPr="007E66D4">
              <w:t>across the aid portfolio</w:t>
            </w:r>
            <w:r>
              <w:t xml:space="preserve">, </w:t>
            </w:r>
            <w:r w:rsidRPr="007E66D4">
              <w:t xml:space="preserve">particularly in the </w:t>
            </w:r>
            <w:r>
              <w:t xml:space="preserve">agriculture, industry and trade portfolios, in parallel with implementing a strategic approach to addressing gender equality across all aspects of Australia’s engagement with Pakistan. </w:t>
            </w:r>
          </w:p>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1248" w:type="dxa"/>
            <w:shd w:val="clear" w:color="auto" w:fill="92D050"/>
          </w:tcPr>
          <w:p w:rsidR="00400B0F" w:rsidRPr="00A427C6" w:rsidRDefault="00CC0E28"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eastAsia="Times New Roman"/>
                <w:iCs/>
                <w:color w:val="FFFFFF" w:themeColor="background1"/>
                <w:szCs w:val="17"/>
              </w:rPr>
              <w:t>Achieved</w:t>
            </w:r>
            <w:r w:rsidR="00400B0F" w:rsidRPr="00A427C6">
              <w:rPr>
                <w:rFonts w:eastAsia="Times New Roman"/>
                <w:iCs/>
                <w:color w:val="FFFFFF" w:themeColor="background1"/>
                <w:szCs w:val="17"/>
              </w:rPr>
              <w:fldChar w:fldCharType="begin"/>
            </w:r>
            <w:r w:rsidR="00400B0F" w:rsidRPr="00A427C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00400B0F" w:rsidRPr="00A427C6">
              <w:rPr>
                <w:rFonts w:eastAsia="Times New Roman"/>
                <w:iCs/>
                <w:color w:val="FFFFFF" w:themeColor="background1"/>
                <w:szCs w:val="17"/>
              </w:rPr>
              <w:fldChar w:fldCharType="end"/>
            </w:r>
          </w:p>
        </w:tc>
        <w:tc>
          <w:tcPr>
            <w:tcW w:w="6612" w:type="dxa"/>
          </w:tcPr>
          <w:p w:rsidR="00400B0F" w:rsidRPr="00236593" w:rsidRDefault="00CC0E28" w:rsidP="00236593">
            <w:pPr>
              <w:keepLines/>
              <w:spacing w:before="40" w:after="40" w:line="200" w:lineRule="atLeast"/>
              <w:rPr>
                <w:rFonts w:asciiTheme="minorHAnsi" w:eastAsia="Times New Roman" w:hAnsiTheme="minorHAnsi"/>
                <w:iCs/>
                <w:color w:val="auto"/>
                <w:szCs w:val="17"/>
                <w:lang w:eastAsia="en-US"/>
              </w:rPr>
            </w:pPr>
            <w:r w:rsidRPr="00236593">
              <w:rPr>
                <w:rFonts w:asciiTheme="minorHAnsi" w:eastAsia="Times New Roman" w:hAnsiTheme="minorHAnsi"/>
                <w:iCs/>
                <w:color w:val="auto"/>
                <w:szCs w:val="17"/>
                <w:lang w:eastAsia="en-US"/>
              </w:rPr>
              <w:t xml:space="preserve">There was a strong focus on gender in the aid portfolio </w:t>
            </w:r>
            <w:r w:rsidR="00B64766" w:rsidRPr="00236593">
              <w:rPr>
                <w:rFonts w:asciiTheme="minorHAnsi" w:eastAsia="Times New Roman" w:hAnsiTheme="minorHAnsi"/>
                <w:iCs/>
                <w:color w:val="auto"/>
                <w:szCs w:val="17"/>
                <w:lang w:eastAsia="en-US"/>
              </w:rPr>
              <w:t>including the institutionalisation of</w:t>
            </w:r>
            <w:r w:rsidRPr="00236593">
              <w:rPr>
                <w:rFonts w:asciiTheme="minorHAnsi" w:eastAsia="Times New Roman" w:hAnsiTheme="minorHAnsi"/>
                <w:iCs/>
                <w:color w:val="auto"/>
                <w:szCs w:val="17"/>
                <w:lang w:eastAsia="en-US"/>
              </w:rPr>
              <w:t xml:space="preserve"> gender score cards </w:t>
            </w:r>
            <w:r w:rsidR="00B64766" w:rsidRPr="00236593">
              <w:rPr>
                <w:rFonts w:asciiTheme="minorHAnsi" w:eastAsia="Times New Roman" w:hAnsiTheme="minorHAnsi"/>
                <w:iCs/>
                <w:color w:val="auto"/>
                <w:szCs w:val="17"/>
                <w:lang w:eastAsia="en-US"/>
              </w:rPr>
              <w:t xml:space="preserve">to assess progress on </w:t>
            </w:r>
            <w:r w:rsidRPr="00236593">
              <w:rPr>
                <w:rFonts w:asciiTheme="minorHAnsi" w:eastAsia="Times New Roman" w:hAnsiTheme="minorHAnsi"/>
                <w:iCs/>
                <w:color w:val="auto"/>
                <w:szCs w:val="17"/>
                <w:lang w:eastAsia="en-US"/>
              </w:rPr>
              <w:t xml:space="preserve">gender equality. </w:t>
            </w:r>
            <w:r w:rsidR="00B64766" w:rsidRPr="00236593">
              <w:rPr>
                <w:rFonts w:asciiTheme="minorHAnsi" w:eastAsia="Times New Roman" w:hAnsiTheme="minorHAnsi"/>
                <w:iCs/>
                <w:color w:val="auto"/>
                <w:szCs w:val="17"/>
                <w:lang w:eastAsia="en-US"/>
              </w:rPr>
              <w:t>In addition, g</w:t>
            </w:r>
            <w:r w:rsidRPr="00236593">
              <w:rPr>
                <w:rFonts w:asciiTheme="minorHAnsi" w:eastAsia="Times New Roman" w:hAnsiTheme="minorHAnsi"/>
                <w:iCs/>
                <w:color w:val="auto"/>
                <w:szCs w:val="17"/>
                <w:lang w:eastAsia="en-US"/>
              </w:rPr>
              <w:t xml:space="preserve">ender was </w:t>
            </w:r>
            <w:r w:rsidR="00B64766" w:rsidRPr="00236593">
              <w:rPr>
                <w:rFonts w:asciiTheme="minorHAnsi" w:eastAsia="Times New Roman" w:hAnsiTheme="minorHAnsi"/>
                <w:iCs/>
                <w:color w:val="auto"/>
                <w:szCs w:val="17"/>
                <w:lang w:eastAsia="en-US"/>
              </w:rPr>
              <w:t>strengthened</w:t>
            </w:r>
            <w:r w:rsidRPr="00236593">
              <w:rPr>
                <w:rFonts w:asciiTheme="minorHAnsi" w:eastAsia="Times New Roman" w:hAnsiTheme="minorHAnsi"/>
                <w:iCs/>
                <w:color w:val="auto"/>
                <w:szCs w:val="17"/>
                <w:lang w:eastAsia="en-US"/>
              </w:rPr>
              <w:t xml:space="preserve"> new program designs in the agriculture, industry and trade portfolio </w:t>
            </w:r>
            <w:r w:rsidR="00B64766" w:rsidRPr="00236593">
              <w:rPr>
                <w:rFonts w:asciiTheme="minorHAnsi" w:eastAsia="Times New Roman" w:hAnsiTheme="minorHAnsi"/>
                <w:iCs/>
                <w:color w:val="auto"/>
                <w:szCs w:val="17"/>
                <w:lang w:eastAsia="en-US"/>
              </w:rPr>
              <w:t xml:space="preserve">(AVCCR &amp; SRSP) </w:t>
            </w:r>
            <w:r w:rsidRPr="00236593">
              <w:rPr>
                <w:rFonts w:asciiTheme="minorHAnsi" w:eastAsia="Times New Roman" w:hAnsiTheme="minorHAnsi"/>
                <w:iCs/>
                <w:color w:val="auto"/>
                <w:szCs w:val="17"/>
                <w:lang w:eastAsia="en-US"/>
              </w:rPr>
              <w:t>and formed a key component of evaluations. Post developed a Pakistan Gender Strategy and Gender Action Plan to guide gender equality work moving forward.</w:t>
            </w:r>
          </w:p>
        </w:tc>
      </w:tr>
      <w:tr w:rsidR="00400B0F" w:rsidRPr="00A427C6" w:rsidTr="0034619F">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A427C6" w:rsidRDefault="00B5779A" w:rsidP="006F27B1">
            <w:pPr>
              <w:keepLines/>
              <w:spacing w:before="40" w:after="40" w:line="200" w:lineRule="atLeast"/>
              <w:rPr>
                <w:rFonts w:asciiTheme="minorHAnsi" w:eastAsia="Times New Roman" w:hAnsiTheme="minorHAnsi"/>
                <w:iCs/>
                <w:szCs w:val="17"/>
                <w:lang w:eastAsia="en-US"/>
              </w:rPr>
            </w:pPr>
            <w:r>
              <w:t xml:space="preserve">Build mechanisms to better engage with other development partners and government in </w:t>
            </w:r>
            <w:r w:rsidRPr="007E66D4">
              <w:t xml:space="preserve">water, </w:t>
            </w:r>
            <w:r>
              <w:t xml:space="preserve">gender equality and women’s empowerment, and Australia Awards, either taking the lead or encouraging others to do so. This should include finalising our </w:t>
            </w:r>
            <w:r>
              <w:rPr>
                <w:i/>
              </w:rPr>
              <w:t>Australian</w:t>
            </w:r>
            <w:r w:rsidRPr="004D7D48">
              <w:rPr>
                <w:i/>
              </w:rPr>
              <w:t xml:space="preserve"> Economic Growth </w:t>
            </w:r>
            <w:r>
              <w:rPr>
                <w:i/>
              </w:rPr>
              <w:t>Collaboration Plan</w:t>
            </w:r>
            <w:r>
              <w:t xml:space="preserve"> and establishing a network of Australian Government, Pakistani government (national and provincial), and NGO partners to share good practice and coordinate our work.</w:t>
            </w:r>
          </w:p>
        </w:tc>
        <w:tc>
          <w:tcPr>
            <w:tcW w:w="1248" w:type="dxa"/>
            <w:shd w:val="clear" w:color="auto" w:fill="FF6600"/>
          </w:tcPr>
          <w:p w:rsidR="00400B0F" w:rsidRPr="00A427C6" w:rsidRDefault="00CC0E28"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Partially Achieved</w:t>
            </w:r>
          </w:p>
        </w:tc>
        <w:tc>
          <w:tcPr>
            <w:tcW w:w="6612" w:type="dxa"/>
          </w:tcPr>
          <w:p w:rsidR="00C305B0" w:rsidRPr="00236593" w:rsidRDefault="00C305B0" w:rsidP="006243B4">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Australia continued</w:t>
            </w:r>
            <w:r w:rsidR="00903485">
              <w:rPr>
                <w:rFonts w:asciiTheme="minorHAnsi" w:eastAsia="Times New Roman" w:hAnsiTheme="minorHAnsi"/>
                <w:iCs/>
                <w:color w:val="auto"/>
                <w:szCs w:val="17"/>
                <w:lang w:eastAsia="en-US"/>
              </w:rPr>
              <w:t xml:space="preserve"> to</w:t>
            </w:r>
            <w:r>
              <w:rPr>
                <w:rFonts w:asciiTheme="minorHAnsi" w:eastAsia="Times New Roman" w:hAnsiTheme="minorHAnsi"/>
                <w:iCs/>
                <w:color w:val="auto"/>
                <w:szCs w:val="17"/>
                <w:lang w:eastAsia="en-US"/>
              </w:rPr>
              <w:t xml:space="preserve"> engage in donor coordination mechanisms in the education and health sectors. </w:t>
            </w:r>
            <w:r w:rsidR="00903485">
              <w:rPr>
                <w:rFonts w:asciiTheme="minorHAnsi" w:eastAsia="Times New Roman" w:hAnsiTheme="minorHAnsi"/>
                <w:iCs/>
                <w:color w:val="auto"/>
                <w:szCs w:val="17"/>
                <w:lang w:eastAsia="en-US"/>
              </w:rPr>
              <w:t>However, it was determined t</w:t>
            </w:r>
            <w:r>
              <w:rPr>
                <w:rFonts w:asciiTheme="minorHAnsi" w:eastAsia="Times New Roman" w:hAnsiTheme="minorHAnsi"/>
                <w:iCs/>
                <w:color w:val="auto"/>
                <w:szCs w:val="17"/>
                <w:lang w:eastAsia="en-US"/>
              </w:rPr>
              <w:t xml:space="preserve">he </w:t>
            </w:r>
            <w:r w:rsidRPr="00903485">
              <w:rPr>
                <w:rFonts w:asciiTheme="minorHAnsi" w:eastAsia="Times New Roman" w:hAnsiTheme="minorHAnsi"/>
                <w:i/>
                <w:iCs/>
                <w:color w:val="auto"/>
                <w:szCs w:val="17"/>
                <w:lang w:eastAsia="en-US"/>
              </w:rPr>
              <w:t>Australian Economic Growth Collaboration Plan</w:t>
            </w:r>
            <w:r>
              <w:rPr>
                <w:rFonts w:asciiTheme="minorHAnsi" w:eastAsia="Times New Roman" w:hAnsiTheme="minorHAnsi"/>
                <w:iCs/>
                <w:color w:val="auto"/>
                <w:szCs w:val="17"/>
                <w:lang w:eastAsia="en-US"/>
              </w:rPr>
              <w:t xml:space="preserve"> was no longer required. Instead, the Pakistan program held Inter-Departmental Committee Meetings</w:t>
            </w:r>
            <w:r w:rsidR="006243B4">
              <w:rPr>
                <w:rFonts w:asciiTheme="minorHAnsi" w:eastAsia="Times New Roman" w:hAnsiTheme="minorHAnsi"/>
                <w:iCs/>
                <w:color w:val="auto"/>
                <w:szCs w:val="17"/>
                <w:lang w:eastAsia="en-US"/>
              </w:rPr>
              <w:t xml:space="preserve"> and hosted a workshop for partners </w:t>
            </w:r>
            <w:r>
              <w:rPr>
                <w:rFonts w:asciiTheme="minorHAnsi" w:eastAsia="Times New Roman" w:hAnsiTheme="minorHAnsi"/>
                <w:iCs/>
                <w:color w:val="auto"/>
                <w:szCs w:val="17"/>
                <w:lang w:eastAsia="en-US"/>
              </w:rPr>
              <w:t xml:space="preserve">to coordinate and align our economic growth partners. </w:t>
            </w:r>
          </w:p>
        </w:tc>
      </w:tr>
      <w:tr w:rsidR="00400B0F" w:rsidRPr="00A427C6" w:rsidTr="005A1AFD">
        <w:trPr>
          <w:cnfStyle w:val="000000010000" w:firstRow="0" w:lastRow="0" w:firstColumn="0" w:lastColumn="0" w:oddVBand="0" w:evenVBand="0" w:oddHBand="0" w:evenHBand="1" w:firstRowFirstColumn="0" w:firstRowLastColumn="0" w:lastRowFirstColumn="0" w:lastRowLastColumn="0"/>
        </w:trPr>
        <w:tc>
          <w:tcPr>
            <w:tcW w:w="6473" w:type="dxa"/>
          </w:tcPr>
          <w:p w:rsidR="00B5779A" w:rsidRPr="007E66D4" w:rsidRDefault="00B5779A" w:rsidP="00B5779A">
            <w:pPr>
              <w:keepLines/>
              <w:spacing w:before="40" w:after="40" w:line="200" w:lineRule="atLeast"/>
            </w:pPr>
            <w:r>
              <w:t>Make the Aid Investment Plan central to regular dialogue with the Government of Pakistan on the aid program and determine the most appropriate arrangement to guide Australia’s development cooperation with Pakistan.</w:t>
            </w:r>
          </w:p>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1248" w:type="dxa"/>
            <w:shd w:val="clear" w:color="auto" w:fill="92D050"/>
          </w:tcPr>
          <w:p w:rsidR="00400B0F" w:rsidRPr="00A427C6" w:rsidRDefault="005A1AFD"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612" w:type="dxa"/>
          </w:tcPr>
          <w:p w:rsidR="00236593" w:rsidRPr="00236593" w:rsidRDefault="00236593" w:rsidP="00236593">
            <w:pPr>
              <w:keepLines/>
              <w:spacing w:before="40" w:after="40" w:line="200" w:lineRule="atLeast"/>
              <w:rPr>
                <w:rFonts w:asciiTheme="minorHAnsi" w:eastAsia="Times New Roman" w:hAnsiTheme="minorHAnsi"/>
                <w:iCs/>
                <w:color w:val="auto"/>
                <w:szCs w:val="17"/>
                <w:lang w:eastAsia="en-US"/>
              </w:rPr>
            </w:pPr>
            <w:r w:rsidRPr="00236593">
              <w:rPr>
                <w:rFonts w:asciiTheme="minorHAnsi" w:eastAsia="Times New Roman" w:hAnsiTheme="minorHAnsi"/>
                <w:iCs/>
                <w:color w:val="auto"/>
                <w:szCs w:val="17"/>
                <w:lang w:eastAsia="en-US"/>
              </w:rPr>
              <w:t>The Pakistan AIP was central to our high level dialogue with the Government of Pakistan</w:t>
            </w:r>
            <w:r>
              <w:rPr>
                <w:rFonts w:asciiTheme="minorHAnsi" w:eastAsia="Times New Roman" w:hAnsiTheme="minorHAnsi"/>
                <w:iCs/>
                <w:color w:val="auto"/>
                <w:szCs w:val="17"/>
                <w:lang w:eastAsia="en-US"/>
              </w:rPr>
              <w:t>, resulting in the request to</w:t>
            </w:r>
            <w:r w:rsidRPr="00236593">
              <w:rPr>
                <w:rFonts w:asciiTheme="minorHAnsi" w:eastAsia="Times New Roman" w:hAnsiTheme="minorHAnsi"/>
                <w:iCs/>
                <w:color w:val="auto"/>
                <w:szCs w:val="17"/>
                <w:lang w:eastAsia="en-US"/>
              </w:rPr>
              <w:t xml:space="preserve"> establish a formal Development Cooperation MoU– this is currently under negotiation with the government.</w:t>
            </w:r>
          </w:p>
          <w:p w:rsidR="00400B0F" w:rsidRPr="00236593" w:rsidRDefault="007D2B51" w:rsidP="00236593">
            <w:pPr>
              <w:keepLines/>
              <w:spacing w:before="40" w:after="40" w:line="200" w:lineRule="atLeast"/>
              <w:rPr>
                <w:rFonts w:asciiTheme="minorHAnsi" w:eastAsia="Times New Roman" w:hAnsiTheme="minorHAnsi"/>
                <w:iCs/>
                <w:color w:val="auto"/>
                <w:szCs w:val="17"/>
                <w:lang w:eastAsia="en-US"/>
              </w:rPr>
            </w:pPr>
            <w:r w:rsidRPr="00236593">
              <w:rPr>
                <w:rFonts w:asciiTheme="minorHAnsi" w:eastAsia="Times New Roman" w:hAnsiTheme="minorHAnsi"/>
                <w:iCs/>
                <w:color w:val="auto"/>
                <w:szCs w:val="17"/>
                <w:lang w:eastAsia="en-US"/>
              </w:rPr>
              <w:t xml:space="preserve"> </w:t>
            </w:r>
          </w:p>
        </w:tc>
      </w:tr>
      <w:tr w:rsidR="00400B0F" w:rsidRPr="00A427C6" w:rsidTr="007D2B51">
        <w:trPr>
          <w:cnfStyle w:val="000000010000" w:firstRow="0" w:lastRow="0" w:firstColumn="0" w:lastColumn="0" w:oddVBand="0" w:evenVBand="0" w:oddHBand="0" w:evenHBand="1" w:firstRowFirstColumn="0" w:firstRowLastColumn="0" w:lastRowFirstColumn="0" w:lastRowLastColumn="0"/>
        </w:trPr>
        <w:tc>
          <w:tcPr>
            <w:tcW w:w="6473" w:type="dxa"/>
          </w:tcPr>
          <w:p w:rsidR="00B5779A" w:rsidRPr="007E66D4" w:rsidRDefault="00B5779A" w:rsidP="00B5779A">
            <w:pPr>
              <w:keepLines/>
              <w:spacing w:before="40" w:after="40" w:line="200" w:lineRule="atLeast"/>
            </w:pPr>
            <w:r>
              <w:t xml:space="preserve">Identify better approaches to monitoring our investments and undertaking independent evaluations in insecure areas to ensure they go ahead as planned and that we have sufficient data on the impact of our work. </w:t>
            </w:r>
          </w:p>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1248" w:type="dxa"/>
            <w:shd w:val="clear" w:color="auto" w:fill="92D050"/>
          </w:tcPr>
          <w:p w:rsidR="00400B0F" w:rsidRPr="00A427C6" w:rsidRDefault="007D2B51"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612" w:type="dxa"/>
          </w:tcPr>
          <w:p w:rsidR="00400B0F" w:rsidRPr="00236593" w:rsidRDefault="007D2B51" w:rsidP="00B64766">
            <w:pPr>
              <w:keepLines/>
              <w:spacing w:before="40" w:after="40" w:line="200" w:lineRule="atLeast"/>
              <w:rPr>
                <w:rFonts w:asciiTheme="minorHAnsi" w:eastAsia="Times New Roman" w:hAnsiTheme="minorHAnsi"/>
                <w:iCs/>
                <w:color w:val="auto"/>
                <w:szCs w:val="17"/>
                <w:lang w:eastAsia="en-US"/>
              </w:rPr>
            </w:pPr>
            <w:r w:rsidRPr="00236593">
              <w:rPr>
                <w:rFonts w:asciiTheme="minorHAnsi" w:eastAsia="Times New Roman" w:hAnsiTheme="minorHAnsi"/>
                <w:iCs/>
                <w:color w:val="auto"/>
                <w:szCs w:val="17"/>
                <w:lang w:eastAsia="en-US"/>
              </w:rPr>
              <w:t xml:space="preserve">Monitoring and evaluation has been a priority over the past year. A </w:t>
            </w:r>
            <w:r w:rsidR="00B64766" w:rsidRPr="00236593">
              <w:rPr>
                <w:rFonts w:asciiTheme="minorHAnsi" w:eastAsia="Times New Roman" w:hAnsiTheme="minorHAnsi"/>
                <w:iCs/>
                <w:color w:val="auto"/>
                <w:szCs w:val="17"/>
                <w:lang w:eastAsia="en-US"/>
              </w:rPr>
              <w:t xml:space="preserve">dedicated </w:t>
            </w:r>
            <w:r w:rsidRPr="00236593">
              <w:rPr>
                <w:rFonts w:asciiTheme="minorHAnsi" w:eastAsia="Times New Roman" w:hAnsiTheme="minorHAnsi"/>
                <w:iCs/>
                <w:color w:val="auto"/>
                <w:szCs w:val="17"/>
                <w:lang w:eastAsia="en-US"/>
              </w:rPr>
              <w:t xml:space="preserve">performance and quality role </w:t>
            </w:r>
            <w:r w:rsidR="00B64766" w:rsidRPr="00236593">
              <w:rPr>
                <w:rFonts w:asciiTheme="minorHAnsi" w:eastAsia="Times New Roman" w:hAnsiTheme="minorHAnsi"/>
                <w:iCs/>
                <w:color w:val="auto"/>
                <w:szCs w:val="17"/>
                <w:lang w:eastAsia="en-US"/>
              </w:rPr>
              <w:t xml:space="preserve">was established and M&amp;E plans and checklists were developed to ensure M&amp;E missions proceeded, where possible. </w:t>
            </w:r>
            <w:r w:rsidR="00236593" w:rsidRPr="00236593">
              <w:rPr>
                <w:rFonts w:asciiTheme="minorHAnsi" w:eastAsia="Times New Roman" w:hAnsiTheme="minorHAnsi"/>
                <w:iCs/>
                <w:color w:val="auto"/>
                <w:szCs w:val="17"/>
                <w:lang w:eastAsia="en-US"/>
              </w:rPr>
              <w:t xml:space="preserve">Where security is a concern we worked with partners to identify effective approaches to remote M&amp;E (third party monitoring). </w:t>
            </w:r>
          </w:p>
        </w:tc>
      </w:tr>
      <w:tr w:rsidR="00B5779A" w:rsidRPr="00A427C6" w:rsidTr="001D464C">
        <w:trPr>
          <w:cnfStyle w:val="000000010000" w:firstRow="0" w:lastRow="0" w:firstColumn="0" w:lastColumn="0" w:oddVBand="0" w:evenVBand="0" w:oddHBand="0" w:evenHBand="1" w:firstRowFirstColumn="0" w:firstRowLastColumn="0" w:lastRowFirstColumn="0" w:lastRowLastColumn="0"/>
        </w:trPr>
        <w:tc>
          <w:tcPr>
            <w:tcW w:w="6473" w:type="dxa"/>
          </w:tcPr>
          <w:p w:rsidR="00B5779A" w:rsidRDefault="00B5779A" w:rsidP="00B5779A">
            <w:pPr>
              <w:keepLines/>
              <w:spacing w:before="40" w:after="40" w:line="200" w:lineRule="atLeast"/>
            </w:pPr>
            <w:r>
              <w:t>Look for opportunities to trial</w:t>
            </w:r>
            <w:r w:rsidRPr="007E66D4">
              <w:t xml:space="preserve"> new ideas and </w:t>
            </w:r>
            <w:r>
              <w:t xml:space="preserve">innovations that can increase the impact of Australia’s aid investments, by leveraging both bilateral and DFAT regional/global ODA funding, ODA delivered by other Australian agencies and private sector investment. These should be closely aligned to our </w:t>
            </w:r>
            <w:r w:rsidRPr="0085501E">
              <w:rPr>
                <w:i/>
              </w:rPr>
              <w:t>Aid Investment Plan</w:t>
            </w:r>
            <w:r>
              <w:t xml:space="preserve"> and existing investments to ensure the portfolio remains manageable and that innovations are consistent with and support strategic objectives.</w:t>
            </w:r>
          </w:p>
          <w:p w:rsidR="00B5779A" w:rsidRPr="00A427C6" w:rsidRDefault="00B5779A" w:rsidP="006F27B1">
            <w:pPr>
              <w:keepLines/>
              <w:spacing w:before="40" w:after="40" w:line="200" w:lineRule="atLeast"/>
              <w:rPr>
                <w:rFonts w:eastAsia="Times New Roman"/>
                <w:iCs/>
                <w:szCs w:val="17"/>
              </w:rPr>
            </w:pPr>
          </w:p>
        </w:tc>
        <w:tc>
          <w:tcPr>
            <w:tcW w:w="1248" w:type="dxa"/>
            <w:tcBorders>
              <w:bottom w:val="single" w:sz="12" w:space="0" w:color="000000" w:themeColor="text1"/>
            </w:tcBorders>
            <w:shd w:val="clear" w:color="auto" w:fill="92D050"/>
          </w:tcPr>
          <w:p w:rsidR="00B5779A" w:rsidRPr="00A427C6" w:rsidRDefault="001D464C" w:rsidP="006F27B1">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612" w:type="dxa"/>
          </w:tcPr>
          <w:p w:rsidR="00B5779A" w:rsidRPr="00236593" w:rsidRDefault="00236593" w:rsidP="000A2967">
            <w:pPr>
              <w:keepLines/>
              <w:spacing w:before="40" w:after="40" w:line="200" w:lineRule="atLeast"/>
              <w:rPr>
                <w:rFonts w:asciiTheme="minorHAnsi" w:eastAsia="Times New Roman" w:hAnsiTheme="minorHAnsi"/>
                <w:iCs/>
                <w:color w:val="auto"/>
                <w:szCs w:val="17"/>
              </w:rPr>
            </w:pPr>
            <w:r w:rsidRPr="00236593">
              <w:rPr>
                <w:rFonts w:asciiTheme="minorHAnsi" w:eastAsia="Times New Roman" w:hAnsiTheme="minorHAnsi"/>
                <w:iCs/>
                <w:color w:val="auto"/>
                <w:szCs w:val="17"/>
              </w:rPr>
              <w:t>The</w:t>
            </w:r>
            <w:r>
              <w:rPr>
                <w:rFonts w:asciiTheme="minorHAnsi" w:eastAsia="Times New Roman" w:hAnsiTheme="minorHAnsi"/>
                <w:iCs/>
                <w:color w:val="auto"/>
                <w:szCs w:val="17"/>
              </w:rPr>
              <w:t xml:space="preserve"> bilateral</w:t>
            </w:r>
            <w:r w:rsidRPr="00236593">
              <w:rPr>
                <w:rFonts w:asciiTheme="minorHAnsi" w:eastAsia="Times New Roman" w:hAnsiTheme="minorHAnsi"/>
                <w:iCs/>
                <w:color w:val="auto"/>
                <w:szCs w:val="17"/>
              </w:rPr>
              <w:t xml:space="preserve"> program was successful in gaining additional central/global ODA funding to trial innovative ideas in collaboration with the private </w:t>
            </w:r>
            <w:r w:rsidR="000A2967" w:rsidRPr="00236593">
              <w:rPr>
                <w:rFonts w:asciiTheme="minorHAnsi" w:eastAsia="Times New Roman" w:hAnsiTheme="minorHAnsi"/>
                <w:iCs/>
                <w:color w:val="auto"/>
                <w:szCs w:val="17"/>
              </w:rPr>
              <w:t>sector –</w:t>
            </w:r>
            <w:r w:rsidRPr="00236593">
              <w:rPr>
                <w:rFonts w:asciiTheme="minorHAnsi" w:eastAsia="Times New Roman" w:hAnsiTheme="minorHAnsi"/>
                <w:iCs/>
                <w:color w:val="auto"/>
                <w:szCs w:val="17"/>
              </w:rPr>
              <w:t xml:space="preserve"> </w:t>
            </w:r>
            <w:r w:rsidR="000A2967" w:rsidRPr="00236593">
              <w:rPr>
                <w:rFonts w:asciiTheme="minorHAnsi" w:eastAsia="Times New Roman" w:hAnsiTheme="minorHAnsi"/>
                <w:iCs/>
                <w:color w:val="auto"/>
                <w:szCs w:val="17"/>
              </w:rPr>
              <w:t>i.e.</w:t>
            </w:r>
            <w:r w:rsidRPr="00236593">
              <w:rPr>
                <w:rFonts w:asciiTheme="minorHAnsi" w:eastAsia="Times New Roman" w:hAnsiTheme="minorHAnsi"/>
                <w:iCs/>
                <w:color w:val="auto"/>
                <w:szCs w:val="17"/>
              </w:rPr>
              <w:t xml:space="preserve"> the Better Cotton Initiative which will begin implementation in </w:t>
            </w:r>
            <w:r w:rsidR="00456F58">
              <w:rPr>
                <w:rFonts w:asciiTheme="minorHAnsi" w:eastAsia="Times New Roman" w:hAnsiTheme="minorHAnsi"/>
                <w:iCs/>
                <w:color w:val="auto"/>
                <w:szCs w:val="17"/>
              </w:rPr>
              <w:t>2016-17</w:t>
            </w:r>
            <w:r w:rsidR="000A2967">
              <w:rPr>
                <w:rFonts w:asciiTheme="minorHAnsi" w:eastAsia="Times New Roman" w:hAnsiTheme="minorHAnsi"/>
                <w:iCs/>
                <w:color w:val="auto"/>
                <w:szCs w:val="17"/>
              </w:rPr>
              <w:t>.  We also secured additional funds from the</w:t>
            </w:r>
            <w:r w:rsidRPr="00236593">
              <w:rPr>
                <w:rFonts w:asciiTheme="minorHAnsi" w:eastAsia="Times New Roman" w:hAnsiTheme="minorHAnsi"/>
                <w:iCs/>
                <w:color w:val="auto"/>
                <w:szCs w:val="17"/>
              </w:rPr>
              <w:t xml:space="preserve"> Gender Equality Funding </w:t>
            </w:r>
            <w:r w:rsidR="000A2967">
              <w:rPr>
                <w:rFonts w:asciiTheme="minorHAnsi" w:eastAsia="Times New Roman" w:hAnsiTheme="minorHAnsi"/>
                <w:iCs/>
                <w:color w:val="auto"/>
                <w:szCs w:val="17"/>
              </w:rPr>
              <w:t>to increase gender empowerment</w:t>
            </w:r>
            <w:r w:rsidR="00C065D6">
              <w:rPr>
                <w:rFonts w:asciiTheme="minorHAnsi" w:eastAsia="Times New Roman" w:hAnsiTheme="minorHAnsi"/>
                <w:iCs/>
                <w:color w:val="auto"/>
                <w:szCs w:val="17"/>
              </w:rPr>
              <w:t xml:space="preserve"> in two investments</w:t>
            </w:r>
            <w:r w:rsidR="000A2967">
              <w:rPr>
                <w:rFonts w:asciiTheme="minorHAnsi" w:eastAsia="Times New Roman" w:hAnsiTheme="minorHAnsi"/>
                <w:iCs/>
                <w:color w:val="auto"/>
                <w:szCs w:val="17"/>
              </w:rPr>
              <w:t>. In addition, o</w:t>
            </w:r>
            <w:r w:rsidRPr="00236593">
              <w:rPr>
                <w:rFonts w:asciiTheme="minorHAnsi" w:eastAsia="Times New Roman" w:hAnsiTheme="minorHAnsi"/>
                <w:iCs/>
                <w:color w:val="auto"/>
                <w:szCs w:val="17"/>
              </w:rPr>
              <w:t xml:space="preserve">ur new DRR investment had a core innovative approach to disaster risk financing that engages the private sector. </w:t>
            </w:r>
          </w:p>
        </w:tc>
      </w:tr>
    </w:tbl>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in addressing the issue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in addressing the issue, but the issue has not been resolved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in addressing the issue has been significantly below expectations</w:t>
      </w:r>
    </w:p>
    <w:p w:rsidR="00400B0F" w:rsidRPr="00A427C6" w:rsidRDefault="00400B0F" w:rsidP="00400B0F">
      <w:pPr>
        <w:spacing w:after="160" w:line="280" w:lineRule="exact"/>
        <w:rPr>
          <w:rFonts w:eastAsia="Times New Roman"/>
          <w:sz w:val="21"/>
        </w:rPr>
      </w:pPr>
    </w:p>
    <w:p w:rsidR="00060268" w:rsidRDefault="00060268" w:rsidP="002A51CA"/>
    <w:p w:rsidR="00400B0F" w:rsidRPr="00400B0F" w:rsidRDefault="002A51CA" w:rsidP="00400B0F">
      <w:pPr>
        <w:pStyle w:val="Subtitle"/>
        <w:numPr>
          <w:ilvl w:val="0"/>
          <w:numId w:val="0"/>
        </w:numPr>
      </w:pPr>
      <w:r w:rsidRPr="00C61187">
        <w:rPr>
          <w:rFonts w:ascii="Franklin Gothic Book" w:eastAsia="Times New Roman" w:hAnsi="Franklin Gothic Book"/>
          <w:sz w:val="21"/>
        </w:rPr>
        <w:t xml:space="preserve"> </w:t>
      </w:r>
      <w:r w:rsidR="00400B0F" w:rsidRPr="00400B0F">
        <w:t>Annex B - Progress towards Performance Benchmarks in 2015-16</w:t>
      </w:r>
    </w:p>
    <w:tbl>
      <w:tblPr>
        <w:tblStyle w:val="DFATTable"/>
        <w:tblW w:w="5000" w:type="pct"/>
        <w:tblLook w:val="04A0" w:firstRow="1" w:lastRow="0" w:firstColumn="1" w:lastColumn="0" w:noHBand="0" w:noVBand="1"/>
      </w:tblPr>
      <w:tblGrid>
        <w:gridCol w:w="2244"/>
        <w:gridCol w:w="2245"/>
        <w:gridCol w:w="1353"/>
        <w:gridCol w:w="8547"/>
      </w:tblGrid>
      <w:tr w:rsidR="00400B0F" w:rsidRPr="00A427C6" w:rsidTr="0060412A">
        <w:trPr>
          <w:tblHeader/>
        </w:trPr>
        <w:tc>
          <w:tcPr>
            <w:tcW w:w="780" w:type="pct"/>
            <w:tcBorders>
              <w:top w:val="single" w:sz="12" w:space="0" w:color="auto"/>
              <w:bottom w:val="nil"/>
            </w:tcBorders>
            <w:tcMar>
              <w:top w:w="57" w:type="dxa"/>
              <w:bottom w:w="57" w:type="dxa"/>
            </w:tcMa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Aid objective</w:t>
            </w:r>
          </w:p>
        </w:tc>
        <w:tc>
          <w:tcPr>
            <w:tcW w:w="780" w:type="pct"/>
            <w:tcBorders>
              <w:top w:val="single" w:sz="12" w:space="0" w:color="auto"/>
              <w:bottom w:val="nil"/>
            </w:tcBorders>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2014-15 benchmark </w:t>
            </w:r>
          </w:p>
        </w:tc>
        <w:tc>
          <w:tcPr>
            <w:tcW w:w="470" w:type="pct"/>
            <w:tcBorders>
              <w:top w:val="single" w:sz="12" w:space="0" w:color="auto"/>
              <w:bottom w:val="nil"/>
            </w:tcBorders>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2970" w:type="pct"/>
            <w:tcBorders>
              <w:top w:val="single" w:sz="12" w:space="0" w:color="auto"/>
              <w:bottom w:val="nil"/>
            </w:tcBorders>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Progress in 2015-16</w:t>
            </w:r>
          </w:p>
        </w:tc>
      </w:tr>
      <w:tr w:rsidR="00400B0F" w:rsidRPr="00A427C6" w:rsidTr="0060412A">
        <w:tc>
          <w:tcPr>
            <w:tcW w:w="780" w:type="pct"/>
            <w:tcBorders>
              <w:top w:val="nil"/>
              <w:bottom w:val="nil"/>
            </w:tcBorders>
            <w:tcMar>
              <w:top w:w="57" w:type="dxa"/>
              <w:bottom w:w="57" w:type="dxa"/>
            </w:tcMar>
          </w:tcPr>
          <w:p w:rsidR="00400B0F" w:rsidRPr="00A427C6" w:rsidRDefault="006228E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Strategic Objective One: Generating sustainable growth and employment</w:t>
            </w:r>
          </w:p>
        </w:tc>
        <w:tc>
          <w:tcPr>
            <w:tcW w:w="780" w:type="pct"/>
            <w:tcBorders>
              <w:top w:val="nil"/>
              <w:bottom w:val="nil"/>
            </w:tcBorders>
          </w:tcPr>
          <w:p w:rsidR="00400B0F" w:rsidRPr="00A427C6" w:rsidRDefault="006228E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Leverage USD800,000 in additional private sector investment through business partnerships to facilitate the development of pro-poor value chains</w:t>
            </w:r>
            <w:r w:rsidR="00400B0F" w:rsidRPr="00A427C6">
              <w:rPr>
                <w:rFonts w:asciiTheme="minorHAnsi" w:eastAsia="Times New Roman" w:hAnsiTheme="minorHAnsi"/>
                <w:iCs/>
                <w:szCs w:val="17"/>
                <w:lang w:eastAsia="en-US"/>
              </w:rPr>
              <w:t xml:space="preserve">  </w:t>
            </w:r>
          </w:p>
        </w:tc>
        <w:tc>
          <w:tcPr>
            <w:tcW w:w="470" w:type="pct"/>
            <w:tcBorders>
              <w:top w:val="nil"/>
              <w:bottom w:val="nil"/>
            </w:tcBorders>
            <w:shd w:val="clear" w:color="auto" w:fill="92D050"/>
          </w:tcPr>
          <w:p w:rsidR="00400B0F" w:rsidRPr="00A427C6"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Achieved</w:t>
            </w:r>
          </w:p>
        </w:tc>
        <w:tc>
          <w:tcPr>
            <w:tcW w:w="2970" w:type="pct"/>
            <w:tcBorders>
              <w:top w:val="nil"/>
              <w:bottom w:val="nil"/>
            </w:tcBorders>
          </w:tcPr>
          <w:p w:rsidR="00400B0F" w:rsidRPr="005B3663" w:rsidRDefault="005B4000" w:rsidP="006F27B1">
            <w:pPr>
              <w:keepLines/>
              <w:spacing w:before="40" w:after="40" w:line="200" w:lineRule="atLeast"/>
              <w:rPr>
                <w:rFonts w:asciiTheme="minorHAnsi" w:eastAsia="Times New Roman" w:hAnsiTheme="minorHAnsi"/>
                <w:iCs/>
                <w:sz w:val="18"/>
                <w:szCs w:val="18"/>
                <w:lang w:eastAsia="en-US"/>
              </w:rPr>
            </w:pPr>
            <w:r w:rsidRPr="005B3663">
              <w:rPr>
                <w:rFonts w:asciiTheme="minorHAnsi" w:eastAsia="Times New Roman" w:hAnsiTheme="minorHAnsi"/>
                <w:iCs/>
                <w:sz w:val="18"/>
                <w:szCs w:val="18"/>
                <w:lang w:eastAsia="en-US"/>
              </w:rPr>
              <w:t xml:space="preserve">Australian aid exceeded this target, leveraging </w:t>
            </w:r>
            <w:r w:rsidR="006E408C" w:rsidRPr="005B3663">
              <w:rPr>
                <w:rFonts w:asciiTheme="minorHAnsi" w:eastAsia="Times New Roman" w:hAnsiTheme="minorHAnsi"/>
                <w:iCs/>
                <w:sz w:val="18"/>
                <w:szCs w:val="18"/>
                <w:lang w:eastAsia="en-US"/>
              </w:rPr>
              <w:t>over USD 1,420,000 in additional private sector investment through the Market Development Facility and Australia-Balochistan Agribusiness Project.</w:t>
            </w:r>
          </w:p>
        </w:tc>
      </w:tr>
      <w:tr w:rsidR="006228E9" w:rsidRPr="00A427C6" w:rsidTr="001D3F94">
        <w:tc>
          <w:tcPr>
            <w:tcW w:w="780" w:type="pct"/>
            <w:tcBorders>
              <w:top w:val="nil"/>
              <w:bottom w:val="single" w:sz="4" w:space="0" w:color="000000" w:themeColor="text1"/>
            </w:tcBorders>
            <w:tcMar>
              <w:top w:w="57" w:type="dxa"/>
              <w:bottom w:w="57" w:type="dxa"/>
            </w:tcMar>
          </w:tcPr>
          <w:p w:rsidR="006228E9" w:rsidRDefault="006228E9" w:rsidP="006F27B1">
            <w:pPr>
              <w:keepLines/>
              <w:spacing w:before="40" w:after="40" w:line="200" w:lineRule="atLeast"/>
              <w:rPr>
                <w:rFonts w:eastAsia="Times New Roman"/>
                <w:iCs/>
                <w:szCs w:val="17"/>
              </w:rPr>
            </w:pPr>
          </w:p>
        </w:tc>
        <w:tc>
          <w:tcPr>
            <w:tcW w:w="780" w:type="pct"/>
            <w:tcBorders>
              <w:top w:val="nil"/>
              <w:bottom w:val="single" w:sz="4" w:space="0" w:color="000000" w:themeColor="text1"/>
            </w:tcBorders>
          </w:tcPr>
          <w:p w:rsidR="006228E9" w:rsidRPr="006228E9" w:rsidRDefault="006228E9" w:rsidP="006F27B1">
            <w:pPr>
              <w:keepLines/>
              <w:spacing w:before="40" w:after="40" w:line="200" w:lineRule="atLeast"/>
              <w:rPr>
                <w:rFonts w:asciiTheme="minorHAnsi" w:eastAsia="Times New Roman" w:hAnsiTheme="minorHAnsi"/>
                <w:iCs/>
                <w:szCs w:val="17"/>
              </w:rPr>
            </w:pPr>
            <w:r w:rsidRPr="006228E9">
              <w:rPr>
                <w:rFonts w:asciiTheme="minorHAnsi" w:eastAsia="Times New Roman" w:hAnsiTheme="minorHAnsi"/>
                <w:iCs/>
                <w:szCs w:val="17"/>
              </w:rPr>
              <w:t>Complete a review of the Ministry of Commerce including recommendations to improve trade policy implementation</w:t>
            </w:r>
          </w:p>
        </w:tc>
        <w:tc>
          <w:tcPr>
            <w:tcW w:w="470" w:type="pct"/>
            <w:tcBorders>
              <w:top w:val="nil"/>
              <w:bottom w:val="single" w:sz="4" w:space="0" w:color="000000" w:themeColor="text1"/>
            </w:tcBorders>
            <w:shd w:val="clear" w:color="auto" w:fill="FF6600"/>
          </w:tcPr>
          <w:p w:rsidR="006228E9" w:rsidRPr="00A427C6" w:rsidRDefault="007678C3" w:rsidP="006F27B1">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Partially</w:t>
            </w:r>
            <w:r w:rsidR="00306FE8">
              <w:rPr>
                <w:rFonts w:eastAsia="Times New Roman"/>
                <w:iCs/>
                <w:color w:val="FFFFFF" w:themeColor="background1"/>
                <w:szCs w:val="17"/>
              </w:rPr>
              <w:t xml:space="preserve"> Achieved</w:t>
            </w:r>
          </w:p>
        </w:tc>
        <w:tc>
          <w:tcPr>
            <w:tcW w:w="2970" w:type="pct"/>
            <w:tcBorders>
              <w:top w:val="nil"/>
              <w:bottom w:val="single" w:sz="4" w:space="0" w:color="000000" w:themeColor="text1"/>
            </w:tcBorders>
          </w:tcPr>
          <w:p w:rsidR="000A2967" w:rsidRPr="005B3663" w:rsidRDefault="001D3F94" w:rsidP="001D3F94">
            <w:pPr>
              <w:keepLines/>
              <w:spacing w:before="40" w:after="40" w:line="200" w:lineRule="atLeast"/>
              <w:rPr>
                <w:rFonts w:asciiTheme="minorHAnsi" w:eastAsia="Times New Roman" w:hAnsiTheme="minorHAnsi"/>
                <w:iCs/>
                <w:sz w:val="18"/>
                <w:szCs w:val="18"/>
              </w:rPr>
            </w:pPr>
            <w:r>
              <w:rPr>
                <w:rFonts w:asciiTheme="minorHAnsi" w:eastAsia="Times New Roman" w:hAnsiTheme="minorHAnsi"/>
                <w:iCs/>
                <w:sz w:val="18"/>
                <w:szCs w:val="18"/>
              </w:rPr>
              <w:t xml:space="preserve">The development and adoption of evidence based medium term regional trade framework is an end of project benchmark. Terms of Reference for all analytical studies to inform the trade framework have been prepared and 3 studies have been delivered. </w:t>
            </w:r>
            <w:r w:rsidR="001723BB">
              <w:rPr>
                <w:rFonts w:asciiTheme="minorHAnsi" w:eastAsia="Times New Roman" w:hAnsiTheme="minorHAnsi"/>
                <w:iCs/>
                <w:sz w:val="18"/>
                <w:szCs w:val="18"/>
              </w:rPr>
              <w:t>Work will be done to identify suitable annual targets as part of PAF revision.</w:t>
            </w:r>
          </w:p>
        </w:tc>
      </w:tr>
      <w:tr w:rsidR="00400B0F" w:rsidRPr="00A427C6" w:rsidTr="00D02BBE">
        <w:tc>
          <w:tcPr>
            <w:tcW w:w="780" w:type="pct"/>
            <w:tcBorders>
              <w:top w:val="single" w:sz="4" w:space="0" w:color="000000" w:themeColor="text1"/>
              <w:bottom w:val="nil"/>
            </w:tcBorders>
            <w:tcMar>
              <w:top w:w="57" w:type="dxa"/>
              <w:bottom w:w="57" w:type="dxa"/>
            </w:tcMar>
          </w:tcPr>
          <w:p w:rsidR="00400B0F" w:rsidRPr="006228E9" w:rsidRDefault="00400B0F" w:rsidP="006F27B1">
            <w:pPr>
              <w:keepLines/>
              <w:spacing w:before="40" w:after="40" w:line="200" w:lineRule="atLeast"/>
              <w:rPr>
                <w:rFonts w:asciiTheme="minorHAnsi" w:eastAsia="Times New Roman" w:hAnsiTheme="minorHAnsi"/>
                <w:iCs/>
                <w:szCs w:val="17"/>
                <w:lang w:eastAsia="en-US"/>
              </w:rPr>
            </w:pPr>
            <w:r w:rsidRPr="006228E9">
              <w:rPr>
                <w:rFonts w:asciiTheme="minorHAnsi" w:eastAsia="Times New Roman" w:hAnsiTheme="minorHAnsi"/>
                <w:iCs/>
                <w:szCs w:val="17"/>
                <w:lang w:eastAsia="en-US"/>
              </w:rPr>
              <w:t xml:space="preserve">Strategic Objective </w:t>
            </w:r>
            <w:r w:rsidR="006228E9" w:rsidRPr="006228E9">
              <w:rPr>
                <w:rFonts w:asciiTheme="minorHAnsi" w:eastAsia="Times New Roman" w:hAnsiTheme="minorHAnsi"/>
                <w:iCs/>
                <w:szCs w:val="17"/>
                <w:lang w:eastAsia="en-US"/>
              </w:rPr>
              <w:t>Two: Investing in Pakistan’s people through health and education</w:t>
            </w:r>
          </w:p>
        </w:tc>
        <w:tc>
          <w:tcPr>
            <w:tcW w:w="780" w:type="pct"/>
            <w:tcBorders>
              <w:top w:val="single" w:sz="4" w:space="0" w:color="000000" w:themeColor="text1"/>
              <w:bottom w:val="nil"/>
            </w:tcBorders>
          </w:tcPr>
          <w:p w:rsidR="00400B0F" w:rsidRPr="006228E9" w:rsidRDefault="006228E9" w:rsidP="006F27B1">
            <w:pPr>
              <w:keepLines/>
              <w:spacing w:before="40" w:after="40" w:line="200" w:lineRule="atLeast"/>
              <w:rPr>
                <w:rFonts w:asciiTheme="minorHAnsi" w:eastAsia="Times New Roman" w:hAnsiTheme="minorHAnsi"/>
                <w:iCs/>
                <w:szCs w:val="17"/>
                <w:lang w:eastAsia="en-US"/>
              </w:rPr>
            </w:pPr>
            <w:r w:rsidRPr="006228E9">
              <w:rPr>
                <w:rFonts w:asciiTheme="minorHAnsi" w:eastAsia="Times New Roman" w:hAnsiTheme="minorHAnsi"/>
                <w:iCs/>
                <w:szCs w:val="17"/>
                <w:lang w:eastAsia="en-US"/>
              </w:rPr>
              <w:t>Over 23,000 children directly supported by the program (including 10,000 girls), enrolled in basic education</w:t>
            </w:r>
          </w:p>
        </w:tc>
        <w:tc>
          <w:tcPr>
            <w:tcW w:w="470" w:type="pct"/>
            <w:tcBorders>
              <w:top w:val="single" w:sz="4" w:space="0" w:color="000000" w:themeColor="text1"/>
              <w:bottom w:val="nil"/>
            </w:tcBorders>
            <w:shd w:val="clear" w:color="auto" w:fill="92D050"/>
          </w:tcPr>
          <w:p w:rsidR="00400B0F" w:rsidRPr="00A427C6" w:rsidRDefault="00D02BBE" w:rsidP="006F27B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Achieved</w:t>
            </w:r>
          </w:p>
        </w:tc>
        <w:tc>
          <w:tcPr>
            <w:tcW w:w="2970" w:type="pct"/>
            <w:tcBorders>
              <w:top w:val="single" w:sz="4" w:space="0" w:color="000000" w:themeColor="text1"/>
              <w:bottom w:val="nil"/>
            </w:tcBorders>
          </w:tcPr>
          <w:p w:rsidR="00400B0F" w:rsidRPr="005B3663" w:rsidRDefault="00D02BBE" w:rsidP="006F27B1">
            <w:pPr>
              <w:keepLines/>
              <w:spacing w:before="40" w:after="40" w:line="200" w:lineRule="atLeast"/>
              <w:rPr>
                <w:rFonts w:asciiTheme="minorHAnsi" w:eastAsia="Times New Roman" w:hAnsiTheme="minorHAnsi"/>
                <w:iCs/>
                <w:sz w:val="18"/>
                <w:szCs w:val="18"/>
                <w:lang w:eastAsia="en-US"/>
              </w:rPr>
            </w:pPr>
            <w:r w:rsidRPr="005B3663">
              <w:rPr>
                <w:rFonts w:asciiTheme="minorHAnsi" w:eastAsia="Times New Roman" w:hAnsiTheme="minorHAnsi"/>
                <w:iCs/>
                <w:sz w:val="18"/>
                <w:szCs w:val="18"/>
                <w:lang w:eastAsia="en-US"/>
              </w:rPr>
              <w:t>Australia exceeded this target, supporting over 37,500 children, including 16,100 girls to benefit from quality education basic education</w:t>
            </w:r>
            <w:r w:rsidR="00400B0F" w:rsidRPr="005B3663">
              <w:rPr>
                <w:rFonts w:asciiTheme="minorHAnsi" w:eastAsia="Times New Roman" w:hAnsiTheme="minorHAnsi"/>
                <w:iCs/>
                <w:sz w:val="18"/>
                <w:szCs w:val="18"/>
                <w:lang w:eastAsia="en-US"/>
              </w:rPr>
              <w:t>.</w:t>
            </w:r>
          </w:p>
        </w:tc>
      </w:tr>
      <w:tr w:rsidR="006228E9" w:rsidRPr="00A427C6" w:rsidTr="0060412A">
        <w:tc>
          <w:tcPr>
            <w:tcW w:w="780" w:type="pct"/>
            <w:tcBorders>
              <w:top w:val="nil"/>
              <w:bottom w:val="nil"/>
            </w:tcBorders>
            <w:tcMar>
              <w:top w:w="57" w:type="dxa"/>
              <w:bottom w:w="57" w:type="dxa"/>
            </w:tcMar>
          </w:tcPr>
          <w:p w:rsidR="006228E9" w:rsidRPr="006228E9" w:rsidRDefault="006228E9" w:rsidP="006F27B1">
            <w:pPr>
              <w:keepLines/>
              <w:spacing w:before="40" w:after="40" w:line="200" w:lineRule="atLeast"/>
              <w:rPr>
                <w:rFonts w:asciiTheme="minorHAnsi" w:eastAsia="Times New Roman" w:hAnsiTheme="minorHAnsi"/>
                <w:iCs/>
                <w:szCs w:val="17"/>
              </w:rPr>
            </w:pPr>
          </w:p>
        </w:tc>
        <w:tc>
          <w:tcPr>
            <w:tcW w:w="780" w:type="pct"/>
            <w:tcBorders>
              <w:top w:val="nil"/>
              <w:bottom w:val="nil"/>
            </w:tcBorders>
          </w:tcPr>
          <w:p w:rsidR="006228E9" w:rsidRPr="006228E9" w:rsidRDefault="006228E9" w:rsidP="006F27B1">
            <w:pPr>
              <w:keepLines/>
              <w:spacing w:before="40" w:after="40" w:line="200" w:lineRule="atLeast"/>
              <w:rPr>
                <w:rFonts w:asciiTheme="minorHAnsi" w:eastAsia="Times New Roman" w:hAnsiTheme="minorHAnsi"/>
                <w:iCs/>
                <w:szCs w:val="17"/>
              </w:rPr>
            </w:pPr>
            <w:r w:rsidRPr="006228E9">
              <w:rPr>
                <w:rFonts w:asciiTheme="minorHAnsi" w:eastAsia="Times New Roman" w:hAnsiTheme="minorHAnsi"/>
                <w:iCs/>
                <w:szCs w:val="17"/>
              </w:rPr>
              <w:t>Nutrition experts are deployed in the Fortification Alliance Offices of the Federal Government and 4 Provincial Governments to support implementation of the nutrition and fortification agenda</w:t>
            </w:r>
          </w:p>
        </w:tc>
        <w:tc>
          <w:tcPr>
            <w:tcW w:w="470" w:type="pct"/>
            <w:tcBorders>
              <w:top w:val="nil"/>
              <w:bottom w:val="nil"/>
            </w:tcBorders>
            <w:shd w:val="clear" w:color="auto" w:fill="92D050"/>
          </w:tcPr>
          <w:p w:rsidR="006228E9" w:rsidRPr="00A427C6" w:rsidRDefault="0060412A" w:rsidP="006F27B1">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2970" w:type="pct"/>
            <w:tcBorders>
              <w:top w:val="nil"/>
              <w:bottom w:val="nil"/>
            </w:tcBorders>
          </w:tcPr>
          <w:p w:rsidR="006228E9" w:rsidRPr="005B3663" w:rsidRDefault="00862FA6" w:rsidP="006F27B1">
            <w:pPr>
              <w:keepLines/>
              <w:spacing w:before="40" w:after="40" w:line="200" w:lineRule="atLeast"/>
              <w:rPr>
                <w:rFonts w:asciiTheme="minorHAnsi" w:eastAsia="Times New Roman" w:hAnsiTheme="minorHAnsi"/>
                <w:iCs/>
                <w:sz w:val="18"/>
                <w:szCs w:val="18"/>
              </w:rPr>
            </w:pPr>
            <w:r w:rsidRPr="005B3663">
              <w:rPr>
                <w:rFonts w:asciiTheme="minorHAnsi" w:eastAsia="Times New Roman" w:hAnsiTheme="minorHAnsi"/>
                <w:iCs/>
                <w:sz w:val="18"/>
                <w:szCs w:val="18"/>
              </w:rPr>
              <w:t xml:space="preserve">A total of 10 nutrition experts have been deployed in the </w:t>
            </w:r>
            <w:r w:rsidR="005B3663" w:rsidRPr="005B3663">
              <w:rPr>
                <w:rFonts w:asciiTheme="minorHAnsi" w:eastAsia="Times New Roman" w:hAnsiTheme="minorHAnsi"/>
                <w:iCs/>
                <w:sz w:val="18"/>
                <w:szCs w:val="18"/>
              </w:rPr>
              <w:t>Fortification Alliance</w:t>
            </w:r>
            <w:r w:rsidRPr="005B3663">
              <w:rPr>
                <w:rFonts w:asciiTheme="minorHAnsi" w:eastAsia="Times New Roman" w:hAnsiTheme="minorHAnsi"/>
                <w:iCs/>
                <w:sz w:val="18"/>
                <w:szCs w:val="18"/>
              </w:rPr>
              <w:t xml:space="preserve"> Offices</w:t>
            </w:r>
            <w:r w:rsidR="005B3663" w:rsidRPr="005B3663">
              <w:rPr>
                <w:rFonts w:asciiTheme="minorHAnsi" w:eastAsia="Times New Roman" w:hAnsiTheme="minorHAnsi"/>
                <w:iCs/>
                <w:sz w:val="18"/>
                <w:szCs w:val="18"/>
              </w:rPr>
              <w:t>, with 2 nutrition experts at each Provincial Fortification Alliance and 2 nutrition experts at the national Fortification Alliance, supporting the implementation of the nutrition and fortification agenda.</w:t>
            </w:r>
          </w:p>
          <w:p w:rsidR="00862FA6" w:rsidRPr="005B3663" w:rsidRDefault="00862FA6" w:rsidP="006F27B1">
            <w:pPr>
              <w:keepLines/>
              <w:spacing w:before="40" w:after="40" w:line="200" w:lineRule="atLeast"/>
              <w:rPr>
                <w:rFonts w:asciiTheme="minorHAnsi" w:eastAsia="Times New Roman" w:hAnsiTheme="minorHAnsi"/>
                <w:iCs/>
                <w:sz w:val="18"/>
                <w:szCs w:val="18"/>
              </w:rPr>
            </w:pPr>
          </w:p>
        </w:tc>
      </w:tr>
      <w:tr w:rsidR="006228E9" w:rsidRPr="00A427C6" w:rsidTr="00FA25A7">
        <w:tc>
          <w:tcPr>
            <w:tcW w:w="780" w:type="pct"/>
            <w:tcBorders>
              <w:top w:val="nil"/>
              <w:bottom w:val="single" w:sz="4" w:space="0" w:color="000000" w:themeColor="text1"/>
            </w:tcBorders>
            <w:tcMar>
              <w:top w:w="57" w:type="dxa"/>
              <w:bottom w:w="57" w:type="dxa"/>
            </w:tcMar>
          </w:tcPr>
          <w:p w:rsidR="006228E9" w:rsidRPr="006228E9" w:rsidRDefault="006228E9" w:rsidP="006F27B1">
            <w:pPr>
              <w:keepLines/>
              <w:spacing w:before="40" w:after="40" w:line="200" w:lineRule="atLeast"/>
              <w:rPr>
                <w:rFonts w:asciiTheme="minorHAnsi" w:eastAsia="Times New Roman" w:hAnsiTheme="minorHAnsi"/>
                <w:iCs/>
                <w:szCs w:val="17"/>
              </w:rPr>
            </w:pPr>
          </w:p>
        </w:tc>
        <w:tc>
          <w:tcPr>
            <w:tcW w:w="780" w:type="pct"/>
            <w:tcBorders>
              <w:top w:val="nil"/>
              <w:bottom w:val="single" w:sz="4" w:space="0" w:color="000000" w:themeColor="text1"/>
            </w:tcBorders>
          </w:tcPr>
          <w:p w:rsidR="006228E9" w:rsidRPr="006228E9" w:rsidRDefault="006228E9" w:rsidP="006F27B1">
            <w:pPr>
              <w:keepLines/>
              <w:spacing w:before="40" w:after="40" w:line="200" w:lineRule="atLeast"/>
              <w:rPr>
                <w:rFonts w:asciiTheme="minorHAnsi" w:eastAsia="Times New Roman" w:hAnsiTheme="minorHAnsi"/>
                <w:iCs/>
                <w:szCs w:val="17"/>
              </w:rPr>
            </w:pPr>
            <w:r w:rsidRPr="006228E9">
              <w:rPr>
                <w:rFonts w:asciiTheme="minorHAnsi" w:eastAsia="Times New Roman" w:hAnsiTheme="minorHAnsi"/>
                <w:iCs/>
                <w:szCs w:val="17"/>
              </w:rPr>
              <w:t>Over 1000 women survivors of violence accessed quality support services in target areas</w:t>
            </w:r>
          </w:p>
        </w:tc>
        <w:tc>
          <w:tcPr>
            <w:tcW w:w="470" w:type="pct"/>
            <w:tcBorders>
              <w:top w:val="nil"/>
              <w:bottom w:val="single" w:sz="4" w:space="0" w:color="000000" w:themeColor="text1"/>
            </w:tcBorders>
            <w:shd w:val="clear" w:color="auto" w:fill="92D050"/>
          </w:tcPr>
          <w:p w:rsidR="006228E9" w:rsidRPr="00A427C6" w:rsidRDefault="00FA25A7" w:rsidP="006F27B1">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2970" w:type="pct"/>
            <w:tcBorders>
              <w:top w:val="nil"/>
              <w:bottom w:val="single" w:sz="4" w:space="0" w:color="000000" w:themeColor="text1"/>
            </w:tcBorders>
          </w:tcPr>
          <w:p w:rsidR="005B3663" w:rsidRPr="005B3663" w:rsidRDefault="005B3663" w:rsidP="006F27B1">
            <w:pPr>
              <w:keepLines/>
              <w:spacing w:before="40" w:after="40" w:line="200" w:lineRule="atLeast"/>
              <w:rPr>
                <w:rFonts w:asciiTheme="minorHAnsi" w:hAnsiTheme="minorHAnsi"/>
                <w:sz w:val="18"/>
                <w:szCs w:val="18"/>
              </w:rPr>
            </w:pPr>
            <w:r w:rsidRPr="005B3663">
              <w:rPr>
                <w:rFonts w:asciiTheme="minorHAnsi" w:eastAsia="Times New Roman" w:hAnsiTheme="minorHAnsi"/>
                <w:iCs/>
                <w:sz w:val="18"/>
                <w:szCs w:val="18"/>
              </w:rPr>
              <w:t xml:space="preserve">A total of 3,813 women survivors of </w:t>
            </w:r>
            <w:r w:rsidRPr="005B3663">
              <w:rPr>
                <w:rFonts w:asciiTheme="minorHAnsi" w:hAnsiTheme="minorHAnsi"/>
                <w:sz w:val="18"/>
                <w:szCs w:val="18"/>
              </w:rPr>
              <w:t>gender based violence accessed support through the Ending Violence Against Women programme, almost quadrupling the target of 1000. Support included access to temporary safe housing, counselling, health and legal services and livelihoods support.</w:t>
            </w:r>
          </w:p>
          <w:p w:rsidR="006228E9" w:rsidRPr="005B3663" w:rsidRDefault="006228E9" w:rsidP="006F27B1">
            <w:pPr>
              <w:keepLines/>
              <w:spacing w:before="40" w:after="40" w:line="200" w:lineRule="atLeast"/>
              <w:rPr>
                <w:rFonts w:asciiTheme="minorHAnsi" w:eastAsia="Times New Roman" w:hAnsiTheme="minorHAnsi"/>
                <w:iCs/>
                <w:sz w:val="18"/>
                <w:szCs w:val="18"/>
              </w:rPr>
            </w:pPr>
          </w:p>
        </w:tc>
      </w:tr>
      <w:tr w:rsidR="00400B0F" w:rsidRPr="00A427C6" w:rsidTr="00306FE8">
        <w:tc>
          <w:tcPr>
            <w:tcW w:w="780" w:type="pct"/>
            <w:tcBorders>
              <w:top w:val="single" w:sz="4" w:space="0" w:color="000000" w:themeColor="text1"/>
              <w:bottom w:val="single" w:sz="4" w:space="0" w:color="000000" w:themeColor="text1"/>
            </w:tcBorders>
            <w:tcMar>
              <w:top w:w="57" w:type="dxa"/>
              <w:bottom w:w="57" w:type="dxa"/>
            </w:tcMar>
          </w:tcPr>
          <w:p w:rsidR="00400B0F" w:rsidRPr="00A427C6" w:rsidRDefault="006228E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Management Efficiency </w:t>
            </w:r>
          </w:p>
        </w:tc>
        <w:tc>
          <w:tcPr>
            <w:tcW w:w="780" w:type="pct"/>
            <w:tcBorders>
              <w:top w:val="single" w:sz="4" w:space="0" w:color="000000" w:themeColor="text1"/>
              <w:bottom w:val="single" w:sz="4" w:space="0" w:color="000000" w:themeColor="text1"/>
            </w:tcBorders>
          </w:tcPr>
          <w:p w:rsidR="00400B0F" w:rsidRPr="00A427C6" w:rsidRDefault="006228E9"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Portfolio of investments reduced to at least 17</w:t>
            </w:r>
            <w:r w:rsidR="00400B0F" w:rsidRPr="00A427C6">
              <w:rPr>
                <w:rFonts w:asciiTheme="minorHAnsi" w:eastAsia="Times New Roman" w:hAnsiTheme="minorHAnsi"/>
                <w:iCs/>
                <w:szCs w:val="17"/>
                <w:lang w:eastAsia="en-US"/>
              </w:rPr>
              <w:t xml:space="preserve"> </w:t>
            </w:r>
          </w:p>
        </w:tc>
        <w:tc>
          <w:tcPr>
            <w:tcW w:w="470" w:type="pct"/>
            <w:tcBorders>
              <w:top w:val="single" w:sz="4" w:space="0" w:color="000000" w:themeColor="text1"/>
              <w:bottom w:val="single" w:sz="4" w:space="0" w:color="000000" w:themeColor="text1"/>
            </w:tcBorders>
            <w:shd w:val="clear" w:color="auto" w:fill="92D050"/>
          </w:tcPr>
          <w:p w:rsidR="00400B0F" w:rsidRPr="00A427C6" w:rsidRDefault="00400B0F" w:rsidP="00306FE8">
            <w:pPr>
              <w:keepLines/>
              <w:spacing w:before="40" w:after="40" w:line="200" w:lineRule="atLeast"/>
              <w:jc w:val="center"/>
              <w:rPr>
                <w:rFonts w:asciiTheme="minorHAnsi" w:eastAsia="Times New Roman" w:hAnsiTheme="minorHAnsi"/>
                <w:iCs/>
                <w:szCs w:val="17"/>
                <w:lang w:eastAsia="en-US"/>
              </w:rPr>
            </w:pPr>
            <w:r w:rsidRPr="00A427C6">
              <w:rPr>
                <w:rFonts w:asciiTheme="minorHAnsi" w:eastAsia="Times New Roman" w:hAnsiTheme="minorHAnsi"/>
                <w:iCs/>
                <w:color w:val="FFFFFF" w:themeColor="background1"/>
                <w:szCs w:val="17"/>
                <w:lang w:eastAsia="en-US"/>
              </w:rPr>
              <w:t>Achieved</w:t>
            </w:r>
          </w:p>
        </w:tc>
        <w:tc>
          <w:tcPr>
            <w:tcW w:w="2970" w:type="pct"/>
            <w:tcBorders>
              <w:top w:val="single" w:sz="4" w:space="0" w:color="000000" w:themeColor="text1"/>
              <w:bottom w:val="single" w:sz="4" w:space="0" w:color="000000" w:themeColor="text1"/>
            </w:tcBorders>
          </w:tcPr>
          <w:p w:rsidR="00AA7BE3" w:rsidRPr="00F77129" w:rsidRDefault="00306FE8" w:rsidP="00AA7BE3">
            <w:pPr>
              <w:pStyle w:val="TableTextEntries"/>
              <w:keepNext/>
              <w:rPr>
                <w:rFonts w:asciiTheme="minorHAnsi" w:hAnsiTheme="minorHAnsi" w:cstheme="minorBidi"/>
                <w:color w:val="495965" w:themeColor="text2"/>
                <w:sz w:val="18"/>
                <w:szCs w:val="18"/>
                <w:lang w:val="en-GB"/>
              </w:rPr>
            </w:pPr>
            <w:r w:rsidRPr="00F77129">
              <w:rPr>
                <w:rFonts w:asciiTheme="minorHAnsi" w:hAnsiTheme="minorHAnsi" w:cstheme="minorBidi"/>
                <w:color w:val="495965" w:themeColor="text2"/>
                <w:sz w:val="18"/>
                <w:szCs w:val="18"/>
                <w:lang w:val="en-GB"/>
              </w:rPr>
              <w:t>In 2015-16 the Pakistan bilateral aid program reduced the number of program initiatives to 14 from 22</w:t>
            </w:r>
          </w:p>
          <w:p w:rsidR="00400B0F" w:rsidRPr="00A427C6" w:rsidRDefault="00400B0F" w:rsidP="006F27B1">
            <w:pPr>
              <w:keepLines/>
              <w:spacing w:before="40" w:after="40" w:line="200" w:lineRule="atLeast"/>
              <w:rPr>
                <w:rFonts w:asciiTheme="minorHAnsi" w:eastAsia="Times New Roman" w:hAnsiTheme="minorHAnsi"/>
                <w:iCs/>
                <w:szCs w:val="17"/>
                <w:lang w:eastAsia="en-US"/>
              </w:rPr>
            </w:pPr>
          </w:p>
        </w:tc>
      </w:tr>
    </w:tbl>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 </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rsidR="00400B0F" w:rsidRDefault="00400B0F" w:rsidP="00734021">
      <w:pPr>
        <w:spacing w:before="20" w:after="20" w:line="180" w:lineRule="atLeast"/>
        <w:jc w:val="both"/>
        <w:rPr>
          <w:rFonts w:ascii="Franklin Gothic Book" w:eastAsia="Times New Roman" w:hAnsi="Franklin Gothic Book"/>
          <w:sz w:val="21"/>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p>
    <w:p w:rsidR="00400B0F" w:rsidRDefault="00400B0F" w:rsidP="002A51CA">
      <w:pPr>
        <w:spacing w:after="120" w:line="280" w:lineRule="exact"/>
        <w:rPr>
          <w:rFonts w:ascii="Franklin Gothic Book" w:eastAsia="Times New Roman" w:hAnsi="Franklin Gothic Book"/>
          <w:sz w:val="21"/>
        </w:rPr>
      </w:pPr>
    </w:p>
    <w:p w:rsidR="00400B0F" w:rsidRPr="00306FE8" w:rsidRDefault="00400B0F" w:rsidP="00306FE8">
      <w:pPr>
        <w:pStyle w:val="Subtitle"/>
        <w:numPr>
          <w:ilvl w:val="0"/>
          <w:numId w:val="0"/>
        </w:numPr>
        <w:rPr>
          <w:rFonts w:ascii="Franklin Gothic Book" w:eastAsia="Times New Roman" w:hAnsi="Franklin Gothic Book"/>
          <w:sz w:val="21"/>
        </w:rPr>
      </w:pPr>
      <w:r w:rsidRPr="00784031">
        <w:t>Annex C - 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F77129" w:rsidRDefault="00F77129" w:rsidP="00F77129">
            <w:pPr>
              <w:keepLines/>
              <w:spacing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Investment number and name </w:t>
            </w:r>
            <w:r w:rsidR="00400B0F" w:rsidRPr="00A427C6">
              <w:rPr>
                <w:rFonts w:asciiTheme="minorHAnsi" w:eastAsia="Times New Roman" w:hAnsiTheme="minorHAnsi"/>
                <w:iCs/>
                <w:szCs w:val="17"/>
                <w:lang w:eastAsia="en-US"/>
              </w:rPr>
              <w:t xml:space="preserve"> </w:t>
            </w:r>
          </w:p>
        </w:tc>
        <w:tc>
          <w:tcPr>
            <w:tcW w:w="4657"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1397"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953"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Evaluation report Uploaded into AidWorks</w:t>
            </w:r>
          </w:p>
        </w:tc>
        <w:tc>
          <w:tcPr>
            <w:tcW w:w="1671"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Management response uploaded into AidWorks</w:t>
            </w:r>
          </w:p>
        </w:tc>
        <w:tc>
          <w:tcPr>
            <w:tcW w:w="1515"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F77129"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F77129" w:rsidRPr="00A427C6" w:rsidRDefault="00F77129" w:rsidP="006F27B1">
            <w:pPr>
              <w:keepLines/>
              <w:spacing w:before="40" w:after="40" w:line="200" w:lineRule="atLeast"/>
              <w:rPr>
                <w:rFonts w:asciiTheme="minorHAnsi" w:eastAsia="Times New Roman" w:hAnsiTheme="minorHAnsi"/>
                <w:b w:val="0"/>
                <w:iCs/>
                <w:szCs w:val="17"/>
                <w:lang w:eastAsia="en-US"/>
              </w:rPr>
            </w:pPr>
            <w:r>
              <w:rPr>
                <w:rFonts w:eastAsia="Times New Roman"/>
                <w:b w:val="0"/>
                <w:iCs/>
                <w:szCs w:val="17"/>
              </w:rPr>
              <w:t>INK575 FAO AusABBA</w:t>
            </w:r>
          </w:p>
        </w:tc>
        <w:tc>
          <w:tcPr>
            <w:tcW w:w="4657" w:type="dxa"/>
          </w:tcPr>
          <w:p w:rsidR="00F77129" w:rsidRPr="00A427C6" w:rsidRDefault="00F77129" w:rsidP="00132A44">
            <w:pPr>
              <w:keepLines/>
              <w:spacing w:before="40" w:after="40" w:line="200" w:lineRule="atLeast"/>
              <w:rPr>
                <w:rFonts w:asciiTheme="minorHAnsi" w:eastAsia="Times New Roman" w:hAnsiTheme="minorHAnsi"/>
                <w:b w:val="0"/>
                <w:iCs/>
                <w:szCs w:val="17"/>
                <w:lang w:eastAsia="en-US"/>
              </w:rPr>
            </w:pPr>
            <w:r>
              <w:rPr>
                <w:rFonts w:eastAsia="Times New Roman"/>
                <w:b w:val="0"/>
                <w:iCs/>
                <w:szCs w:val="17"/>
              </w:rPr>
              <w:t>Mid-term Review</w:t>
            </w:r>
          </w:p>
        </w:tc>
        <w:tc>
          <w:tcPr>
            <w:tcW w:w="1397" w:type="dxa"/>
          </w:tcPr>
          <w:p w:rsidR="00F77129" w:rsidRPr="00A427C6" w:rsidRDefault="00F77129" w:rsidP="006F27B1">
            <w:pPr>
              <w:keepLines/>
              <w:spacing w:before="40" w:after="40" w:line="200" w:lineRule="atLeast"/>
              <w:rPr>
                <w:rFonts w:asciiTheme="minorHAnsi" w:eastAsia="Times New Roman" w:hAnsiTheme="minorHAnsi"/>
                <w:b w:val="0"/>
                <w:iCs/>
                <w:szCs w:val="17"/>
                <w:lang w:eastAsia="en-US"/>
              </w:rPr>
            </w:pPr>
            <w:r>
              <w:rPr>
                <w:rFonts w:eastAsia="Times New Roman"/>
                <w:b w:val="0"/>
                <w:iCs/>
                <w:szCs w:val="17"/>
              </w:rPr>
              <w:t>November 2015</w:t>
            </w:r>
          </w:p>
        </w:tc>
        <w:tc>
          <w:tcPr>
            <w:tcW w:w="1953" w:type="dxa"/>
          </w:tcPr>
          <w:p w:rsidR="00F77129" w:rsidRPr="00C065D6" w:rsidRDefault="00F77129" w:rsidP="006F27B1">
            <w:pPr>
              <w:keepLines/>
              <w:spacing w:before="40" w:after="40" w:line="200" w:lineRule="atLeast"/>
              <w:rPr>
                <w:rFonts w:asciiTheme="minorHAnsi" w:eastAsia="Times New Roman" w:hAnsiTheme="minorHAnsi"/>
                <w:b w:val="0"/>
                <w:iCs/>
                <w:szCs w:val="17"/>
                <w:lang w:eastAsia="en-US"/>
              </w:rPr>
            </w:pPr>
            <w:r w:rsidRPr="00C065D6">
              <w:rPr>
                <w:rFonts w:eastAsia="Times New Roman"/>
                <w:b w:val="0"/>
                <w:iCs/>
                <w:szCs w:val="17"/>
              </w:rPr>
              <w:t>N</w:t>
            </w:r>
            <w:r w:rsidR="00C065D6" w:rsidRPr="00C065D6">
              <w:rPr>
                <w:rFonts w:eastAsia="Times New Roman"/>
                <w:b w:val="0"/>
                <w:iCs/>
                <w:szCs w:val="17"/>
              </w:rPr>
              <w:t xml:space="preserve">/A </w:t>
            </w:r>
          </w:p>
        </w:tc>
        <w:tc>
          <w:tcPr>
            <w:tcW w:w="1671" w:type="dxa"/>
          </w:tcPr>
          <w:p w:rsidR="00F77129" w:rsidRPr="00C065D6" w:rsidRDefault="00F77129" w:rsidP="006F27B1">
            <w:pPr>
              <w:keepLines/>
              <w:spacing w:before="40" w:after="40" w:line="200" w:lineRule="atLeast"/>
              <w:rPr>
                <w:rFonts w:asciiTheme="minorHAnsi" w:eastAsia="Times New Roman" w:hAnsiTheme="minorHAnsi"/>
                <w:b w:val="0"/>
                <w:iCs/>
                <w:szCs w:val="17"/>
                <w:lang w:eastAsia="en-US"/>
              </w:rPr>
            </w:pPr>
            <w:r w:rsidRPr="00C065D6">
              <w:rPr>
                <w:rFonts w:eastAsia="Times New Roman"/>
                <w:b w:val="0"/>
                <w:iCs/>
                <w:szCs w:val="17"/>
              </w:rPr>
              <w:t>N/A</w:t>
            </w:r>
          </w:p>
        </w:tc>
        <w:tc>
          <w:tcPr>
            <w:tcW w:w="1515" w:type="dxa"/>
          </w:tcPr>
          <w:p w:rsidR="00F77129" w:rsidRPr="00A427C6" w:rsidRDefault="00F77129" w:rsidP="006F27B1">
            <w:pPr>
              <w:keepLines/>
              <w:spacing w:before="40" w:after="40" w:line="200" w:lineRule="atLeast"/>
              <w:rPr>
                <w:rFonts w:asciiTheme="minorHAnsi" w:eastAsia="Times New Roman" w:hAnsiTheme="minorHAnsi"/>
                <w:b w:val="0"/>
                <w:iCs/>
                <w:szCs w:val="17"/>
                <w:lang w:eastAsia="en-US"/>
              </w:rPr>
            </w:pPr>
            <w:r>
              <w:rPr>
                <w:rFonts w:eastAsia="Times New Roman"/>
                <w:b w:val="0"/>
                <w:iCs/>
                <w:szCs w:val="17"/>
              </w:rPr>
              <w:t>N/A</w:t>
            </w:r>
          </w:p>
        </w:tc>
      </w:tr>
    </w:tbl>
    <w:p w:rsidR="008C2F58" w:rsidRDefault="008C2F58" w:rsidP="008C2F58">
      <w:pPr>
        <w:rPr>
          <w:b/>
          <w:sz w:val="24"/>
        </w:rPr>
      </w:pPr>
    </w:p>
    <w:p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514"/>
        <w:gridCol w:w="2409"/>
        <w:gridCol w:w="2487"/>
        <w:gridCol w:w="2255"/>
        <w:gridCol w:w="2376"/>
        <w:gridCol w:w="2404"/>
      </w:tblGrid>
      <w:tr w:rsidR="00400B0F" w:rsidRPr="00C61187" w:rsidTr="006F27B1">
        <w:tc>
          <w:tcPr>
            <w:tcW w:w="2472"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title</w:t>
            </w:r>
          </w:p>
        </w:tc>
        <w:tc>
          <w:tcPr>
            <w:tcW w:w="2381"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Investment number and name (if applicable) </w:t>
            </w:r>
          </w:p>
        </w:tc>
        <w:tc>
          <w:tcPr>
            <w:tcW w:w="2459"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Date – planned commencement (month/year)</w:t>
            </w:r>
          </w:p>
        </w:tc>
        <w:tc>
          <w:tcPr>
            <w:tcW w:w="2227"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Date – planned completion (month/year)</w:t>
            </w:r>
          </w:p>
        </w:tc>
        <w:tc>
          <w:tcPr>
            <w:tcW w:w="2348"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Purpose of evaluation</w:t>
            </w:r>
          </w:p>
        </w:tc>
        <w:tc>
          <w:tcPr>
            <w:tcW w:w="2362" w:type="dxa"/>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type</w:t>
            </w:r>
          </w:p>
        </w:tc>
      </w:tr>
      <w:tr w:rsidR="00132A44" w:rsidRPr="00C61187" w:rsidTr="006F27B1">
        <w:tc>
          <w:tcPr>
            <w:tcW w:w="2472" w:type="dxa"/>
          </w:tcPr>
          <w:p w:rsidR="00132A44" w:rsidRPr="00A427C6" w:rsidRDefault="00EC1F1D" w:rsidP="006F27B1">
            <w:pPr>
              <w:keepLines/>
              <w:spacing w:before="40" w:after="40" w:line="200" w:lineRule="atLeast"/>
              <w:rPr>
                <w:rFonts w:eastAsia="Times New Roman"/>
                <w:iCs/>
                <w:szCs w:val="17"/>
              </w:rPr>
            </w:pPr>
            <w:r>
              <w:rPr>
                <w:rFonts w:eastAsia="Times New Roman"/>
                <w:iCs/>
                <w:szCs w:val="17"/>
              </w:rPr>
              <w:t>Pakistan Ending Violence Against Women</w:t>
            </w:r>
          </w:p>
        </w:tc>
        <w:tc>
          <w:tcPr>
            <w:tcW w:w="2381" w:type="dxa"/>
          </w:tcPr>
          <w:p w:rsidR="00132A44" w:rsidRPr="00A427C6" w:rsidRDefault="00EC1F1D" w:rsidP="006F27B1">
            <w:pPr>
              <w:keepLines/>
              <w:spacing w:before="40" w:after="40" w:line="200" w:lineRule="atLeast"/>
              <w:rPr>
                <w:rFonts w:eastAsia="Times New Roman"/>
                <w:iCs/>
                <w:szCs w:val="17"/>
              </w:rPr>
            </w:pPr>
            <w:r>
              <w:rPr>
                <w:rFonts w:eastAsia="Times New Roman"/>
                <w:iCs/>
                <w:szCs w:val="17"/>
              </w:rPr>
              <w:t>INL236</w:t>
            </w:r>
          </w:p>
        </w:tc>
        <w:tc>
          <w:tcPr>
            <w:tcW w:w="2459" w:type="dxa"/>
          </w:tcPr>
          <w:p w:rsidR="00132A44" w:rsidRPr="00A427C6" w:rsidRDefault="001723BB" w:rsidP="006F27B1">
            <w:pPr>
              <w:keepLines/>
              <w:spacing w:before="40" w:after="40" w:line="200" w:lineRule="atLeast"/>
              <w:rPr>
                <w:rFonts w:eastAsia="Times New Roman"/>
                <w:iCs/>
                <w:szCs w:val="17"/>
              </w:rPr>
            </w:pPr>
            <w:r>
              <w:rPr>
                <w:rFonts w:eastAsia="Times New Roman"/>
                <w:iCs/>
                <w:szCs w:val="17"/>
              </w:rPr>
              <w:t xml:space="preserve">October </w:t>
            </w:r>
            <w:r w:rsidR="00EC1F1D">
              <w:rPr>
                <w:rFonts w:eastAsia="Times New Roman"/>
                <w:iCs/>
                <w:szCs w:val="17"/>
              </w:rPr>
              <w:t>2016</w:t>
            </w:r>
          </w:p>
        </w:tc>
        <w:tc>
          <w:tcPr>
            <w:tcW w:w="2227" w:type="dxa"/>
          </w:tcPr>
          <w:p w:rsidR="00132A44" w:rsidRPr="00A427C6" w:rsidRDefault="00EC1F1D" w:rsidP="006F27B1">
            <w:pPr>
              <w:keepLines/>
              <w:spacing w:before="40" w:after="40" w:line="200" w:lineRule="atLeast"/>
              <w:rPr>
                <w:rFonts w:eastAsia="Times New Roman"/>
                <w:iCs/>
                <w:szCs w:val="17"/>
              </w:rPr>
            </w:pPr>
            <w:r>
              <w:rPr>
                <w:rFonts w:eastAsia="Times New Roman"/>
                <w:iCs/>
                <w:szCs w:val="17"/>
              </w:rPr>
              <w:t>December 2016</w:t>
            </w:r>
          </w:p>
        </w:tc>
        <w:tc>
          <w:tcPr>
            <w:tcW w:w="2348" w:type="dxa"/>
          </w:tcPr>
          <w:p w:rsidR="00132A44" w:rsidRPr="00A427C6" w:rsidRDefault="00F77129" w:rsidP="001723BB">
            <w:pPr>
              <w:keepLines/>
              <w:spacing w:before="40" w:after="40" w:line="200" w:lineRule="atLeast"/>
              <w:rPr>
                <w:rFonts w:eastAsia="Times New Roman"/>
                <w:iCs/>
                <w:szCs w:val="17"/>
              </w:rPr>
            </w:pPr>
            <w:r>
              <w:rPr>
                <w:rFonts w:eastAsia="Times New Roman"/>
                <w:iCs/>
                <w:szCs w:val="17"/>
              </w:rPr>
              <w:t>A</w:t>
            </w:r>
            <w:r w:rsidR="00EC1F1D">
              <w:rPr>
                <w:rFonts w:eastAsia="Times New Roman"/>
                <w:iCs/>
                <w:szCs w:val="17"/>
              </w:rPr>
              <w:t xml:space="preserve">ssess results </w:t>
            </w:r>
            <w:r w:rsidR="004977C3">
              <w:rPr>
                <w:rFonts w:eastAsia="Times New Roman"/>
                <w:iCs/>
                <w:szCs w:val="17"/>
              </w:rPr>
              <w:t>achieved</w:t>
            </w:r>
            <w:r w:rsidR="00EC1F1D">
              <w:rPr>
                <w:rFonts w:eastAsia="Times New Roman"/>
                <w:iCs/>
                <w:szCs w:val="17"/>
              </w:rPr>
              <w:t xml:space="preserve"> to date</w:t>
            </w:r>
            <w:r w:rsidR="001723BB">
              <w:rPr>
                <w:rFonts w:eastAsia="Times New Roman"/>
                <w:iCs/>
                <w:szCs w:val="17"/>
              </w:rPr>
              <w:t xml:space="preserve">, </w:t>
            </w:r>
            <w:r w:rsidR="00EC1F1D">
              <w:rPr>
                <w:rFonts w:eastAsia="Times New Roman"/>
                <w:iCs/>
                <w:szCs w:val="17"/>
              </w:rPr>
              <w:t xml:space="preserve">inform program </w:t>
            </w:r>
            <w:r w:rsidR="001723BB">
              <w:rPr>
                <w:rFonts w:eastAsia="Times New Roman"/>
                <w:iCs/>
                <w:szCs w:val="17"/>
              </w:rPr>
              <w:t xml:space="preserve">delivery </w:t>
            </w:r>
            <w:r w:rsidR="00EC1F1D">
              <w:rPr>
                <w:rFonts w:eastAsia="Times New Roman"/>
                <w:iCs/>
                <w:szCs w:val="17"/>
              </w:rPr>
              <w:t xml:space="preserve">over </w:t>
            </w:r>
            <w:r w:rsidR="00654254">
              <w:rPr>
                <w:rFonts w:eastAsia="Times New Roman"/>
                <w:iCs/>
                <w:szCs w:val="17"/>
              </w:rPr>
              <w:t>next two</w:t>
            </w:r>
            <w:r w:rsidR="00EC1F1D">
              <w:rPr>
                <w:rFonts w:eastAsia="Times New Roman"/>
                <w:iCs/>
                <w:szCs w:val="17"/>
              </w:rPr>
              <w:t xml:space="preserve"> years</w:t>
            </w:r>
            <w:r w:rsidR="001723BB">
              <w:rPr>
                <w:rFonts w:eastAsia="Times New Roman"/>
                <w:iCs/>
                <w:szCs w:val="17"/>
              </w:rPr>
              <w:t>, and design of second phase</w:t>
            </w:r>
          </w:p>
        </w:tc>
        <w:tc>
          <w:tcPr>
            <w:tcW w:w="2362" w:type="dxa"/>
          </w:tcPr>
          <w:p w:rsidR="00132A44" w:rsidRPr="00A427C6" w:rsidRDefault="00EC1F1D" w:rsidP="006F27B1">
            <w:pPr>
              <w:keepLines/>
              <w:spacing w:before="40" w:after="40" w:line="200" w:lineRule="atLeast"/>
              <w:rPr>
                <w:rFonts w:eastAsia="Times New Roman"/>
                <w:iCs/>
                <w:szCs w:val="17"/>
              </w:rPr>
            </w:pPr>
            <w:r>
              <w:rPr>
                <w:rFonts w:eastAsia="Times New Roman"/>
                <w:iCs/>
                <w:szCs w:val="17"/>
              </w:rPr>
              <w:t>Joint evaluation</w:t>
            </w:r>
          </w:p>
        </w:tc>
      </w:tr>
      <w:tr w:rsidR="004977C3" w:rsidRPr="00C61187" w:rsidTr="006F27B1">
        <w:tc>
          <w:tcPr>
            <w:tcW w:w="2472" w:type="dxa"/>
          </w:tcPr>
          <w:p w:rsidR="004977C3" w:rsidRDefault="004977C3" w:rsidP="006F27B1">
            <w:pPr>
              <w:keepLines/>
              <w:spacing w:before="40" w:after="40" w:line="200" w:lineRule="atLeast"/>
              <w:rPr>
                <w:rFonts w:eastAsia="Times New Roman"/>
                <w:iCs/>
                <w:szCs w:val="17"/>
              </w:rPr>
            </w:pPr>
            <w:r>
              <w:rPr>
                <w:rFonts w:eastAsia="Times New Roman"/>
                <w:iCs/>
                <w:szCs w:val="17"/>
              </w:rPr>
              <w:t>P</w:t>
            </w:r>
            <w:r w:rsidR="00F77129">
              <w:rPr>
                <w:rFonts w:eastAsia="Times New Roman"/>
                <w:iCs/>
                <w:szCs w:val="17"/>
              </w:rPr>
              <w:t xml:space="preserve">akistan </w:t>
            </w:r>
            <w:r>
              <w:rPr>
                <w:rFonts w:eastAsia="Times New Roman"/>
                <w:iCs/>
                <w:szCs w:val="17"/>
              </w:rPr>
              <w:t>T</w:t>
            </w:r>
            <w:r w:rsidR="00F77129">
              <w:rPr>
                <w:rFonts w:eastAsia="Times New Roman"/>
                <w:iCs/>
                <w:szCs w:val="17"/>
              </w:rPr>
              <w:t xml:space="preserve">rade </w:t>
            </w:r>
            <w:r>
              <w:rPr>
                <w:rFonts w:eastAsia="Times New Roman"/>
                <w:iCs/>
                <w:szCs w:val="17"/>
              </w:rPr>
              <w:t>I</w:t>
            </w:r>
            <w:r w:rsidR="00F77129">
              <w:rPr>
                <w:rFonts w:eastAsia="Times New Roman"/>
                <w:iCs/>
                <w:szCs w:val="17"/>
              </w:rPr>
              <w:t xml:space="preserve">nvestment </w:t>
            </w:r>
            <w:r>
              <w:rPr>
                <w:rFonts w:eastAsia="Times New Roman"/>
                <w:iCs/>
                <w:szCs w:val="17"/>
              </w:rPr>
              <w:t>P</w:t>
            </w:r>
            <w:r w:rsidR="00F77129">
              <w:rPr>
                <w:rFonts w:eastAsia="Times New Roman"/>
                <w:iCs/>
                <w:szCs w:val="17"/>
              </w:rPr>
              <w:t xml:space="preserve">olicy </w:t>
            </w:r>
            <w:r>
              <w:rPr>
                <w:rFonts w:eastAsia="Times New Roman"/>
                <w:iCs/>
                <w:szCs w:val="17"/>
              </w:rPr>
              <w:t>P</w:t>
            </w:r>
            <w:r w:rsidR="00F77129">
              <w:rPr>
                <w:rFonts w:eastAsia="Times New Roman"/>
                <w:iCs/>
                <w:szCs w:val="17"/>
              </w:rPr>
              <w:t>rogram</w:t>
            </w:r>
          </w:p>
        </w:tc>
        <w:tc>
          <w:tcPr>
            <w:tcW w:w="2381" w:type="dxa"/>
          </w:tcPr>
          <w:p w:rsidR="004977C3" w:rsidRDefault="00F77129" w:rsidP="006F27B1">
            <w:pPr>
              <w:keepLines/>
              <w:spacing w:before="40" w:after="40" w:line="200" w:lineRule="atLeast"/>
              <w:rPr>
                <w:rFonts w:eastAsia="Times New Roman"/>
                <w:iCs/>
                <w:szCs w:val="17"/>
              </w:rPr>
            </w:pPr>
            <w:r>
              <w:rPr>
                <w:rFonts w:eastAsia="Times New Roman"/>
                <w:iCs/>
                <w:szCs w:val="17"/>
              </w:rPr>
              <w:t>INL301</w:t>
            </w:r>
          </w:p>
        </w:tc>
        <w:tc>
          <w:tcPr>
            <w:tcW w:w="2459" w:type="dxa"/>
          </w:tcPr>
          <w:p w:rsidR="004977C3" w:rsidRDefault="00632377" w:rsidP="006F27B1">
            <w:pPr>
              <w:keepLines/>
              <w:spacing w:before="40" w:after="40" w:line="200" w:lineRule="atLeast"/>
              <w:rPr>
                <w:rFonts w:eastAsia="Times New Roman"/>
                <w:iCs/>
                <w:szCs w:val="17"/>
              </w:rPr>
            </w:pPr>
            <w:r>
              <w:rPr>
                <w:rFonts w:eastAsia="Times New Roman"/>
                <w:iCs/>
                <w:szCs w:val="17"/>
              </w:rPr>
              <w:t>December 2016</w:t>
            </w:r>
          </w:p>
        </w:tc>
        <w:tc>
          <w:tcPr>
            <w:tcW w:w="2227" w:type="dxa"/>
          </w:tcPr>
          <w:p w:rsidR="004977C3" w:rsidRDefault="00F77129" w:rsidP="00632377">
            <w:pPr>
              <w:keepLines/>
              <w:spacing w:before="40" w:after="40" w:line="200" w:lineRule="atLeast"/>
              <w:rPr>
                <w:rFonts w:eastAsia="Times New Roman"/>
                <w:iCs/>
                <w:szCs w:val="17"/>
              </w:rPr>
            </w:pPr>
            <w:r>
              <w:rPr>
                <w:rFonts w:eastAsia="Times New Roman"/>
                <w:iCs/>
                <w:szCs w:val="17"/>
              </w:rPr>
              <w:t xml:space="preserve">February </w:t>
            </w:r>
            <w:r w:rsidR="00632377">
              <w:rPr>
                <w:rFonts w:eastAsia="Times New Roman"/>
                <w:iCs/>
                <w:szCs w:val="17"/>
              </w:rPr>
              <w:t>2017</w:t>
            </w:r>
          </w:p>
        </w:tc>
        <w:tc>
          <w:tcPr>
            <w:tcW w:w="2348" w:type="dxa"/>
          </w:tcPr>
          <w:p w:rsidR="004977C3" w:rsidRDefault="00F77129" w:rsidP="006F27B1">
            <w:pPr>
              <w:keepLines/>
              <w:spacing w:before="40" w:after="40" w:line="200" w:lineRule="atLeast"/>
              <w:rPr>
                <w:rFonts w:eastAsia="Times New Roman"/>
                <w:iCs/>
                <w:szCs w:val="17"/>
              </w:rPr>
            </w:pPr>
            <w:r>
              <w:rPr>
                <w:rFonts w:eastAsia="Times New Roman"/>
                <w:iCs/>
                <w:szCs w:val="17"/>
              </w:rPr>
              <w:t>Verify program performance</w:t>
            </w:r>
          </w:p>
        </w:tc>
        <w:tc>
          <w:tcPr>
            <w:tcW w:w="2362" w:type="dxa"/>
          </w:tcPr>
          <w:p w:rsidR="004977C3" w:rsidRDefault="00F77129" w:rsidP="006F27B1">
            <w:pPr>
              <w:keepLines/>
              <w:spacing w:before="40" w:after="40" w:line="200" w:lineRule="atLeast"/>
              <w:rPr>
                <w:rFonts w:eastAsia="Times New Roman"/>
                <w:iCs/>
                <w:szCs w:val="17"/>
              </w:rPr>
            </w:pPr>
            <w:r>
              <w:rPr>
                <w:rFonts w:eastAsia="Times New Roman"/>
                <w:iCs/>
                <w:szCs w:val="17"/>
              </w:rPr>
              <w:t>Independent evaluation</w:t>
            </w:r>
          </w:p>
        </w:tc>
      </w:tr>
      <w:tr w:rsidR="00400B0F" w:rsidRPr="00C61187" w:rsidTr="006F27B1">
        <w:tc>
          <w:tcPr>
            <w:tcW w:w="2472" w:type="dxa"/>
          </w:tcPr>
          <w:p w:rsidR="00400B0F" w:rsidRPr="00C61187" w:rsidRDefault="00400B0F" w:rsidP="006F27B1">
            <w:pPr>
              <w:keepLines/>
              <w:spacing w:before="40" w:after="40" w:line="200" w:lineRule="atLeast"/>
              <w:rPr>
                <w:rFonts w:eastAsia="Times New Roman"/>
                <w:iCs/>
                <w:szCs w:val="17"/>
                <w:lang w:eastAsia="en-US"/>
              </w:rPr>
            </w:pPr>
          </w:p>
        </w:tc>
        <w:tc>
          <w:tcPr>
            <w:tcW w:w="2381" w:type="dxa"/>
          </w:tcPr>
          <w:p w:rsidR="00400B0F" w:rsidRPr="00C61187" w:rsidRDefault="00400B0F" w:rsidP="006F27B1">
            <w:pPr>
              <w:keepLines/>
              <w:spacing w:before="40" w:after="40" w:line="200" w:lineRule="atLeast"/>
              <w:rPr>
                <w:rFonts w:eastAsia="Times New Roman"/>
                <w:iCs/>
                <w:szCs w:val="17"/>
                <w:lang w:eastAsia="en-US"/>
              </w:rPr>
            </w:pPr>
          </w:p>
        </w:tc>
        <w:tc>
          <w:tcPr>
            <w:tcW w:w="2459" w:type="dxa"/>
          </w:tcPr>
          <w:p w:rsidR="00400B0F" w:rsidRPr="00C61187" w:rsidRDefault="00400B0F" w:rsidP="006F27B1">
            <w:pPr>
              <w:keepLines/>
              <w:spacing w:before="40" w:after="40" w:line="200" w:lineRule="atLeast"/>
              <w:rPr>
                <w:rFonts w:eastAsia="Times New Roman"/>
                <w:iCs/>
                <w:szCs w:val="17"/>
                <w:lang w:eastAsia="en-US"/>
              </w:rPr>
            </w:pPr>
          </w:p>
        </w:tc>
        <w:tc>
          <w:tcPr>
            <w:tcW w:w="2227" w:type="dxa"/>
          </w:tcPr>
          <w:p w:rsidR="00400B0F" w:rsidRPr="00C61187" w:rsidRDefault="00400B0F" w:rsidP="006F27B1">
            <w:pPr>
              <w:keepLines/>
              <w:spacing w:before="40" w:after="40" w:line="200" w:lineRule="atLeast"/>
              <w:rPr>
                <w:rFonts w:eastAsia="Times New Roman"/>
                <w:iCs/>
                <w:szCs w:val="17"/>
                <w:lang w:eastAsia="en-US"/>
              </w:rPr>
            </w:pPr>
          </w:p>
        </w:tc>
        <w:tc>
          <w:tcPr>
            <w:tcW w:w="2348" w:type="dxa"/>
          </w:tcPr>
          <w:p w:rsidR="00400B0F" w:rsidRPr="00C61187" w:rsidRDefault="00400B0F" w:rsidP="006F27B1">
            <w:pPr>
              <w:keepLines/>
              <w:spacing w:before="40" w:after="40" w:line="200" w:lineRule="atLeast"/>
              <w:rPr>
                <w:rFonts w:eastAsia="Times New Roman"/>
                <w:iCs/>
                <w:szCs w:val="17"/>
                <w:lang w:eastAsia="en-US"/>
              </w:rPr>
            </w:pPr>
          </w:p>
        </w:tc>
        <w:tc>
          <w:tcPr>
            <w:tcW w:w="2362" w:type="dxa"/>
          </w:tcPr>
          <w:p w:rsidR="00400B0F" w:rsidRPr="00C61187" w:rsidRDefault="00400B0F" w:rsidP="006F27B1">
            <w:pPr>
              <w:keepLines/>
              <w:spacing w:before="40" w:after="40" w:line="200" w:lineRule="atLeast"/>
              <w:rPr>
                <w:rFonts w:eastAsia="Times New Roman"/>
                <w:iCs/>
                <w:szCs w:val="17"/>
                <w:lang w:eastAsia="en-US"/>
              </w:rPr>
            </w:pPr>
          </w:p>
        </w:tc>
      </w:tr>
    </w:tbl>
    <w:p w:rsidR="00400B0F" w:rsidRPr="00C61187" w:rsidRDefault="00400B0F" w:rsidP="00400B0F">
      <w:pPr>
        <w:rPr>
          <w:b/>
        </w:rPr>
        <w:sectPr w:rsidR="00400B0F" w:rsidRPr="00C61187" w:rsidSect="007C6028">
          <w:headerReference w:type="even" r:id="rId18"/>
          <w:headerReference w:type="default" r:id="rId19"/>
          <w:headerReference w:type="first" r:id="rId20"/>
          <w:footerReference w:type="first" r:id="rId21"/>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784031" w:rsidRDefault="00400B0F" w:rsidP="00E87B05">
      <w:pPr>
        <w:keepNext/>
        <w:tabs>
          <w:tab w:val="left" w:pos="1560"/>
        </w:tabs>
        <w:spacing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rsidR="00400B0F" w:rsidRPr="00C61187" w:rsidRDefault="00400B0F" w:rsidP="004E0264">
      <w:r w:rsidRPr="00C61187">
        <w:t>AQC investment performance over the previous 12 months and where available last year’s AQC ratings are included</w:t>
      </w:r>
      <w:r w:rsidR="00CB5BC6">
        <w:t xml:space="preserve"> for comparison</w:t>
      </w:r>
      <w:r w:rsidRPr="00C61187">
        <w:t>.</w:t>
      </w:r>
      <w:r w:rsidR="00CB5BC6">
        <w:t xml:space="preserve"> </w:t>
      </w:r>
      <w:r w:rsidR="00CB5BC6">
        <w:rPr>
          <w:rFonts w:eastAsia="Times New Roman"/>
        </w:rPr>
        <w:t>A rating of 4 or above is considered satisfactory.</w:t>
      </w:r>
    </w:p>
    <w:tbl>
      <w:tblPr>
        <w:tblStyle w:val="APPR"/>
        <w:tblW w:w="5000" w:type="pct"/>
        <w:shd w:val="clear" w:color="auto" w:fill="FFFFFF" w:themeFill="background1"/>
        <w:tblLook w:val="0000" w:firstRow="0" w:lastRow="0" w:firstColumn="0" w:lastColumn="0" w:noHBand="0" w:noVBand="0"/>
      </w:tblPr>
      <w:tblGrid>
        <w:gridCol w:w="2719"/>
        <w:gridCol w:w="1969"/>
        <w:gridCol w:w="1254"/>
        <w:gridCol w:w="1260"/>
        <w:gridCol w:w="1251"/>
        <w:gridCol w:w="1260"/>
        <w:gridCol w:w="1251"/>
        <w:gridCol w:w="1260"/>
        <w:gridCol w:w="1251"/>
        <w:gridCol w:w="1257"/>
      </w:tblGrid>
      <w:tr w:rsidR="00400B0F" w:rsidRPr="00C61187" w:rsidTr="000D3330">
        <w:trPr>
          <w:cnfStyle w:val="000000010000" w:firstRow="0" w:lastRow="0" w:firstColumn="0" w:lastColumn="0" w:oddVBand="0" w:evenVBand="0" w:oddHBand="0" w:evenHBand="1" w:firstRowFirstColumn="0" w:firstRowLastColumn="0" w:lastRowFirstColumn="0" w:lastRowLastColumn="0"/>
          <w:trHeight w:val="1413"/>
        </w:trPr>
        <w:tc>
          <w:tcPr>
            <w:tcW w:w="909" w:type="pct"/>
            <w:shd w:val="clear" w:color="auto" w:fill="FFFFFF" w:themeFill="background1"/>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6672" behindDoc="0" locked="0" layoutInCell="1" allowOverlap="1" wp14:anchorId="7079209E" wp14:editId="71E536AC">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9"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6"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year on year</w:t>
            </w:r>
          </w:p>
        </w:tc>
        <w:tc>
          <w:tcPr>
            <w:tcW w:w="418"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5"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18"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5"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18"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15"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12" w:type="pct"/>
            <w:shd w:val="clear" w:color="auto" w:fill="FFFFFF" w:themeFill="background1"/>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033CFA" w:rsidRPr="00C61187"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shd w:val="clear" w:color="auto" w:fill="FFFFFF" w:themeFill="background1"/>
          </w:tcPr>
          <w:p w:rsidR="00400B0F" w:rsidRPr="00913814" w:rsidRDefault="00033CFA" w:rsidP="006F27B1">
            <w:pPr>
              <w:keepLines/>
              <w:spacing w:before="40" w:after="40" w:line="200" w:lineRule="atLeast"/>
              <w:rPr>
                <w:rFonts w:asciiTheme="minorHAnsi" w:eastAsia="Times New Roman" w:hAnsiTheme="minorHAnsi"/>
                <w:iCs/>
                <w:szCs w:val="17"/>
                <w:lang w:eastAsia="en-US"/>
              </w:rPr>
            </w:pPr>
            <w:r w:rsidRPr="00913814">
              <w:rPr>
                <w:rFonts w:asciiTheme="minorHAnsi" w:eastAsia="Times New Roman" w:hAnsiTheme="minorHAnsi"/>
                <w:iCs/>
                <w:szCs w:val="17"/>
                <w:lang w:eastAsia="en-US"/>
              </w:rPr>
              <w:t>Pakistan Market Development Facility &amp; RD Planning</w:t>
            </w:r>
          </w:p>
        </w:tc>
        <w:tc>
          <w:tcPr>
            <w:tcW w:w="659" w:type="pct"/>
            <w:vMerge w:val="restart"/>
            <w:shd w:val="clear" w:color="auto" w:fill="FFFFFF" w:themeFill="background1"/>
          </w:tcPr>
          <w:p w:rsidR="00400B0F" w:rsidRPr="00A427C6" w:rsidRDefault="00400B0F" w:rsidP="006F27B1">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sidR="00033CFA">
              <w:rPr>
                <w:rFonts w:asciiTheme="minorHAnsi" w:hAnsiTheme="minorHAnsi" w:cs="Franklin Gothic Book"/>
                <w:color w:val="000000"/>
                <w:szCs w:val="17"/>
              </w:rPr>
              <w:t>10.4m</w:t>
            </w:r>
            <w:r w:rsidRPr="00A427C6">
              <w:rPr>
                <w:rFonts w:asciiTheme="minorHAnsi" w:hAnsiTheme="minorHAnsi" w:cs="Franklin Gothic Book"/>
                <w:color w:val="000000"/>
                <w:szCs w:val="17"/>
              </w:rPr>
              <w:t xml:space="preserve"> </w:t>
            </w:r>
          </w:p>
          <w:p w:rsidR="00400B0F" w:rsidRPr="00A427C6" w:rsidRDefault="00400B0F" w:rsidP="00033CFA">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sidR="00033CFA">
              <w:rPr>
                <w:rFonts w:asciiTheme="minorHAnsi" w:eastAsia="Times New Roman" w:hAnsiTheme="minorHAnsi"/>
                <w:iCs/>
                <w:szCs w:val="17"/>
                <w:lang w:eastAsia="en-US"/>
              </w:rPr>
              <w:t>0</w:t>
            </w:r>
            <w:r w:rsidRPr="00A427C6">
              <w:rPr>
                <w:rFonts w:asciiTheme="minorHAnsi" w:eastAsia="Times New Roman" w:hAnsiTheme="minorHAnsi"/>
                <w:iCs/>
                <w:szCs w:val="17"/>
                <w:lang w:eastAsia="en-US"/>
              </w:rPr>
              <w:t xml:space="preserve">-17 </w:t>
            </w:r>
          </w:p>
        </w:tc>
        <w:tc>
          <w:tcPr>
            <w:tcW w:w="416" w:type="pct"/>
            <w:shd w:val="clear" w:color="auto" w:fill="FFFFFF" w:themeFill="background1"/>
          </w:tcPr>
          <w:p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shd w:val="clear" w:color="auto" w:fill="92D050"/>
            <w:noWrap/>
          </w:tcPr>
          <w:p w:rsidR="00400B0F"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6</w:t>
            </w:r>
          </w:p>
        </w:tc>
        <w:tc>
          <w:tcPr>
            <w:tcW w:w="415" w:type="pct"/>
            <w:shd w:val="clear" w:color="auto" w:fill="FFFF00"/>
            <w:noWrap/>
          </w:tcPr>
          <w:p w:rsidR="00400B0F"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8" w:type="pct"/>
            <w:shd w:val="clear" w:color="auto" w:fill="FF6600"/>
            <w:noWrap/>
          </w:tcPr>
          <w:p w:rsidR="00400B0F"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3</w:t>
            </w:r>
          </w:p>
        </w:tc>
        <w:tc>
          <w:tcPr>
            <w:tcW w:w="415" w:type="pct"/>
            <w:shd w:val="clear" w:color="auto" w:fill="FFFF00"/>
            <w:noWrap/>
          </w:tcPr>
          <w:p w:rsidR="00400B0F"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8" w:type="pct"/>
            <w:shd w:val="clear" w:color="auto" w:fill="FFFF00"/>
            <w:noWrap/>
          </w:tcPr>
          <w:p w:rsidR="00400B0F"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5" w:type="pct"/>
            <w:shd w:val="clear" w:color="auto" w:fill="FF6600"/>
            <w:noWrap/>
          </w:tcPr>
          <w:p w:rsidR="00400B0F"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3</w:t>
            </w:r>
          </w:p>
        </w:tc>
        <w:tc>
          <w:tcPr>
            <w:tcW w:w="412" w:type="pct"/>
            <w:shd w:val="clear" w:color="auto" w:fill="FFFF00"/>
          </w:tcPr>
          <w:p w:rsidR="00400B0F"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r>
      <w:tr w:rsidR="00033CFA" w:rsidRPr="00C61187"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033CFA" w:rsidRPr="00913814" w:rsidRDefault="00033CFA" w:rsidP="006F27B1">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033CFA" w:rsidRPr="00A427C6" w:rsidRDefault="00033CFA" w:rsidP="006F27B1">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033CFA" w:rsidRPr="00A427C6" w:rsidRDefault="00033CFA"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92D050"/>
            <w:noWrap/>
          </w:tcPr>
          <w:p w:rsidR="00033CFA" w:rsidRPr="00913814" w:rsidRDefault="00033CFA" w:rsidP="00765E37">
            <w:pPr>
              <w:pStyle w:val="TableTextEntries"/>
              <w:jc w:val="center"/>
              <w:rPr>
                <w:rFonts w:asciiTheme="minorHAnsi" w:hAnsiTheme="minorHAnsi"/>
              </w:rPr>
            </w:pPr>
            <w:r w:rsidRPr="00913814">
              <w:rPr>
                <w:rFonts w:asciiTheme="minorHAnsi" w:hAnsiTheme="minorHAnsi"/>
              </w:rPr>
              <w:t>6</w:t>
            </w:r>
          </w:p>
        </w:tc>
        <w:tc>
          <w:tcPr>
            <w:tcW w:w="415" w:type="pct"/>
            <w:tcBorders>
              <w:bottom w:val="single" w:sz="4" w:space="0" w:color="000000" w:themeColor="text1"/>
            </w:tcBorders>
            <w:shd w:val="clear" w:color="auto" w:fill="FFFF00"/>
            <w:noWrap/>
          </w:tcPr>
          <w:p w:rsidR="00033CFA" w:rsidRPr="00913814" w:rsidRDefault="00033CFA" w:rsidP="00765E37">
            <w:pPr>
              <w:pStyle w:val="TableTextEntries"/>
              <w:jc w:val="center"/>
              <w:rPr>
                <w:rFonts w:asciiTheme="minorHAnsi" w:hAnsiTheme="minorHAnsi"/>
              </w:rPr>
            </w:pPr>
            <w:r w:rsidRPr="00913814">
              <w:rPr>
                <w:rFonts w:asciiTheme="minorHAnsi" w:hAnsiTheme="minorHAnsi"/>
              </w:rPr>
              <w:t>4</w:t>
            </w:r>
          </w:p>
        </w:tc>
        <w:tc>
          <w:tcPr>
            <w:tcW w:w="418" w:type="pct"/>
            <w:tcBorders>
              <w:bottom w:val="single" w:sz="4" w:space="0" w:color="000000" w:themeColor="text1"/>
            </w:tcBorders>
            <w:shd w:val="clear" w:color="auto" w:fill="FFFF00"/>
            <w:noWrap/>
          </w:tcPr>
          <w:p w:rsidR="00033CFA" w:rsidRPr="00913814" w:rsidRDefault="00033CFA"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FFFF00"/>
            <w:noWrap/>
          </w:tcPr>
          <w:p w:rsidR="00033CFA" w:rsidRPr="00913814" w:rsidRDefault="00033CFA" w:rsidP="00765E37">
            <w:pPr>
              <w:pStyle w:val="TableTextEntries"/>
              <w:jc w:val="center"/>
              <w:rPr>
                <w:rFonts w:asciiTheme="minorHAnsi" w:hAnsiTheme="minorHAnsi"/>
              </w:rPr>
            </w:pPr>
            <w:r w:rsidRPr="00913814">
              <w:rPr>
                <w:rFonts w:asciiTheme="minorHAnsi" w:hAnsiTheme="minorHAnsi"/>
              </w:rPr>
              <w:t>4</w:t>
            </w:r>
          </w:p>
        </w:tc>
        <w:tc>
          <w:tcPr>
            <w:tcW w:w="418" w:type="pct"/>
            <w:tcBorders>
              <w:bottom w:val="single" w:sz="4" w:space="0" w:color="000000" w:themeColor="text1"/>
            </w:tcBorders>
            <w:shd w:val="clear" w:color="auto" w:fill="92D050"/>
            <w:noWrap/>
          </w:tcPr>
          <w:p w:rsidR="00033CFA" w:rsidRPr="00913814" w:rsidRDefault="00033CFA" w:rsidP="00765E37">
            <w:pPr>
              <w:pStyle w:val="TableTextEntries"/>
              <w:jc w:val="center"/>
              <w:rPr>
                <w:rFonts w:asciiTheme="minorHAnsi" w:hAnsiTheme="minorHAnsi"/>
              </w:rPr>
            </w:pPr>
            <w:r w:rsidRPr="00913814">
              <w:rPr>
                <w:rFonts w:asciiTheme="minorHAnsi" w:hAnsiTheme="minorHAnsi"/>
              </w:rPr>
              <w:t>5</w:t>
            </w:r>
          </w:p>
        </w:tc>
        <w:tc>
          <w:tcPr>
            <w:tcW w:w="415" w:type="pct"/>
            <w:tcBorders>
              <w:bottom w:val="single" w:sz="4" w:space="0" w:color="000000" w:themeColor="text1"/>
            </w:tcBorders>
            <w:shd w:val="clear" w:color="auto" w:fill="FF6600"/>
            <w:noWrap/>
          </w:tcPr>
          <w:p w:rsidR="00033CFA" w:rsidRPr="00913814" w:rsidRDefault="00033CFA" w:rsidP="00765E37">
            <w:pPr>
              <w:pStyle w:val="TableTextEntries"/>
              <w:jc w:val="center"/>
              <w:rPr>
                <w:rFonts w:asciiTheme="minorHAnsi" w:hAnsiTheme="minorHAnsi"/>
              </w:rPr>
            </w:pPr>
            <w:r w:rsidRPr="00913814">
              <w:rPr>
                <w:rFonts w:asciiTheme="minorHAnsi" w:hAnsiTheme="minorHAnsi"/>
              </w:rPr>
              <w:t>3</w:t>
            </w:r>
          </w:p>
        </w:tc>
        <w:tc>
          <w:tcPr>
            <w:tcW w:w="412" w:type="pct"/>
            <w:tcBorders>
              <w:bottom w:val="single" w:sz="4" w:space="0" w:color="000000" w:themeColor="text1"/>
            </w:tcBorders>
            <w:shd w:val="clear" w:color="auto" w:fill="FFFF00"/>
          </w:tcPr>
          <w:p w:rsidR="00033CFA" w:rsidRPr="00913814" w:rsidRDefault="00033CFA" w:rsidP="00765E37">
            <w:pPr>
              <w:pStyle w:val="TableTextEntries"/>
              <w:jc w:val="center"/>
              <w:rPr>
                <w:rFonts w:asciiTheme="minorHAnsi" w:hAnsiTheme="minorHAnsi"/>
              </w:rPr>
            </w:pPr>
            <w:r w:rsidRPr="00913814">
              <w:rPr>
                <w:rFonts w:asciiTheme="minorHAnsi" w:hAnsiTheme="minorHAnsi"/>
              </w:rPr>
              <w:t>4</w:t>
            </w:r>
          </w:p>
        </w:tc>
      </w:tr>
      <w:tr w:rsidR="00033CFA" w:rsidRPr="00C61187"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000000" w:themeColor="text1"/>
            </w:tcBorders>
            <w:shd w:val="clear" w:color="auto" w:fill="FFFFFF" w:themeFill="background1"/>
          </w:tcPr>
          <w:p w:rsidR="00033CFA" w:rsidRPr="00913814" w:rsidRDefault="00033CFA" w:rsidP="006F27B1">
            <w:pPr>
              <w:keepLines/>
              <w:spacing w:before="40" w:after="40" w:line="200" w:lineRule="atLeast"/>
              <w:rPr>
                <w:rFonts w:asciiTheme="minorHAnsi" w:eastAsia="Times New Roman" w:hAnsiTheme="minorHAnsi"/>
                <w:iCs/>
                <w:szCs w:val="17"/>
                <w:lang w:eastAsia="en-US"/>
              </w:rPr>
            </w:pPr>
            <w:r w:rsidRPr="00913814">
              <w:rPr>
                <w:rFonts w:asciiTheme="minorHAnsi" w:eastAsia="Times New Roman" w:hAnsiTheme="minorHAnsi"/>
                <w:iCs/>
                <w:szCs w:val="17"/>
                <w:lang w:eastAsia="en-US"/>
              </w:rPr>
              <w:t>Khyber Pakhtunkhwa Education Sector Program</w:t>
            </w:r>
          </w:p>
        </w:tc>
        <w:tc>
          <w:tcPr>
            <w:tcW w:w="659" w:type="pct"/>
            <w:vMerge w:val="restart"/>
            <w:tcBorders>
              <w:top w:val="single" w:sz="4" w:space="0" w:color="000000" w:themeColor="text1"/>
            </w:tcBorders>
            <w:shd w:val="clear" w:color="auto" w:fill="FFFFFF" w:themeFill="background1"/>
          </w:tcPr>
          <w:p w:rsidR="00033CFA" w:rsidRPr="00A427C6" w:rsidRDefault="00033CFA" w:rsidP="006F27B1">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63.8</w:t>
            </w:r>
            <w:r w:rsidRPr="00A427C6">
              <w:rPr>
                <w:rFonts w:asciiTheme="minorHAnsi" w:hAnsiTheme="minorHAnsi" w:cs="Franklin Gothic Book"/>
                <w:color w:val="000000"/>
                <w:szCs w:val="17"/>
              </w:rPr>
              <w:t xml:space="preserve">m </w:t>
            </w:r>
          </w:p>
          <w:p w:rsidR="00033CFA" w:rsidRPr="00A427C6" w:rsidRDefault="00033CFA" w:rsidP="00033CFA">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2</w:t>
            </w:r>
            <w:r w:rsidRPr="00A427C6">
              <w:rPr>
                <w:rFonts w:asciiTheme="minorHAnsi" w:eastAsia="Times New Roman" w:hAnsiTheme="minorHAnsi"/>
                <w:iCs/>
                <w:szCs w:val="17"/>
                <w:lang w:eastAsia="en-US"/>
              </w:rPr>
              <w:t>-</w:t>
            </w:r>
            <w:r>
              <w:rPr>
                <w:rFonts w:asciiTheme="minorHAnsi" w:eastAsia="Times New Roman" w:hAnsiTheme="minorHAnsi"/>
                <w:iCs/>
                <w:szCs w:val="17"/>
                <w:lang w:eastAsia="en-US"/>
              </w:rPr>
              <w:t>20</w:t>
            </w:r>
          </w:p>
        </w:tc>
        <w:tc>
          <w:tcPr>
            <w:tcW w:w="416" w:type="pct"/>
            <w:tcBorders>
              <w:top w:val="single" w:sz="4" w:space="0" w:color="000000" w:themeColor="text1"/>
            </w:tcBorders>
            <w:shd w:val="clear" w:color="auto" w:fill="FFFFFF" w:themeFill="background1"/>
          </w:tcPr>
          <w:p w:rsidR="00033CFA" w:rsidRPr="00A427C6" w:rsidRDefault="00033CFA"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000000" w:themeColor="text1"/>
            </w:tcBorders>
            <w:shd w:val="clear" w:color="auto" w:fill="92D050"/>
            <w:noWrap/>
          </w:tcPr>
          <w:p w:rsidR="00033CFA"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5</w:t>
            </w:r>
          </w:p>
        </w:tc>
        <w:tc>
          <w:tcPr>
            <w:tcW w:w="415" w:type="pct"/>
            <w:tcBorders>
              <w:top w:val="single" w:sz="4" w:space="0" w:color="000000" w:themeColor="text1"/>
            </w:tcBorders>
            <w:shd w:val="clear" w:color="auto" w:fill="92D050"/>
            <w:noWrap/>
          </w:tcPr>
          <w:p w:rsidR="00033CFA"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5</w:t>
            </w:r>
          </w:p>
        </w:tc>
        <w:tc>
          <w:tcPr>
            <w:tcW w:w="418" w:type="pct"/>
            <w:tcBorders>
              <w:top w:val="single" w:sz="4" w:space="0" w:color="000000" w:themeColor="text1"/>
            </w:tcBorders>
            <w:shd w:val="clear" w:color="auto" w:fill="FFFF00"/>
            <w:noWrap/>
          </w:tcPr>
          <w:p w:rsidR="00033CFA"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5" w:type="pct"/>
            <w:tcBorders>
              <w:top w:val="single" w:sz="4" w:space="0" w:color="000000" w:themeColor="text1"/>
            </w:tcBorders>
            <w:shd w:val="clear" w:color="auto" w:fill="92D050"/>
            <w:noWrap/>
          </w:tcPr>
          <w:p w:rsidR="00033CFA"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5</w:t>
            </w:r>
          </w:p>
        </w:tc>
        <w:tc>
          <w:tcPr>
            <w:tcW w:w="418" w:type="pct"/>
            <w:tcBorders>
              <w:top w:val="single" w:sz="4" w:space="0" w:color="000000" w:themeColor="text1"/>
            </w:tcBorders>
            <w:shd w:val="clear" w:color="auto" w:fill="FFFF00"/>
            <w:noWrap/>
          </w:tcPr>
          <w:p w:rsidR="00033CFA"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5" w:type="pct"/>
            <w:tcBorders>
              <w:top w:val="single" w:sz="4" w:space="0" w:color="000000" w:themeColor="text1"/>
            </w:tcBorders>
            <w:shd w:val="clear" w:color="auto" w:fill="FF6600"/>
            <w:noWrap/>
          </w:tcPr>
          <w:p w:rsidR="00033CFA"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3</w:t>
            </w:r>
          </w:p>
        </w:tc>
        <w:tc>
          <w:tcPr>
            <w:tcW w:w="412" w:type="pct"/>
            <w:tcBorders>
              <w:top w:val="single" w:sz="4" w:space="0" w:color="000000" w:themeColor="text1"/>
            </w:tcBorders>
            <w:shd w:val="clear" w:color="auto" w:fill="FFFF00"/>
          </w:tcPr>
          <w:p w:rsidR="00033CFA" w:rsidRPr="00913814" w:rsidRDefault="00033CFA" w:rsidP="006F27B1">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r>
      <w:tr w:rsidR="00913814" w:rsidRPr="00C61187"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035EF8" w:rsidRPr="00913814" w:rsidRDefault="00035EF8" w:rsidP="006F27B1">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035EF8" w:rsidRPr="00A427C6" w:rsidRDefault="00035EF8" w:rsidP="006F27B1">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035EF8" w:rsidRPr="00A427C6" w:rsidRDefault="00035EF8"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92D05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5</w:t>
            </w:r>
          </w:p>
        </w:tc>
        <w:tc>
          <w:tcPr>
            <w:tcW w:w="415"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8" w:type="pct"/>
            <w:tcBorders>
              <w:bottom w:val="single" w:sz="4" w:space="0" w:color="000000" w:themeColor="text1"/>
            </w:tcBorders>
            <w:shd w:val="clear" w:color="auto" w:fill="FF66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3</w:t>
            </w:r>
          </w:p>
        </w:tc>
        <w:tc>
          <w:tcPr>
            <w:tcW w:w="415" w:type="pct"/>
            <w:tcBorders>
              <w:bottom w:val="single" w:sz="4" w:space="0" w:color="000000" w:themeColor="text1"/>
            </w:tcBorders>
            <w:shd w:val="clear" w:color="auto" w:fill="92D05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5</w:t>
            </w:r>
          </w:p>
        </w:tc>
        <w:tc>
          <w:tcPr>
            <w:tcW w:w="418"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FF66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3</w:t>
            </w:r>
          </w:p>
        </w:tc>
        <w:tc>
          <w:tcPr>
            <w:tcW w:w="412" w:type="pct"/>
            <w:tcBorders>
              <w:bottom w:val="single" w:sz="4" w:space="0" w:color="000000" w:themeColor="text1"/>
            </w:tcBorders>
            <w:shd w:val="clear" w:color="auto" w:fill="FFFF00"/>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r>
      <w:tr w:rsidR="00913814" w:rsidRPr="00A427C6"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000000" w:themeColor="text1"/>
            </w:tcBorders>
            <w:shd w:val="clear" w:color="auto" w:fill="FFFFFF" w:themeFill="background1"/>
          </w:tcPr>
          <w:p w:rsidR="00035EF8" w:rsidRPr="00913814" w:rsidRDefault="00035EF8" w:rsidP="00765E37">
            <w:pPr>
              <w:keepLines/>
              <w:spacing w:before="40" w:after="40" w:line="200" w:lineRule="atLeast"/>
              <w:rPr>
                <w:rFonts w:asciiTheme="minorHAnsi" w:eastAsia="Times New Roman" w:hAnsiTheme="minorHAnsi"/>
                <w:iCs/>
                <w:szCs w:val="17"/>
                <w:lang w:eastAsia="en-US"/>
              </w:rPr>
            </w:pPr>
            <w:r w:rsidRPr="00913814">
              <w:rPr>
                <w:rFonts w:asciiTheme="minorHAnsi" w:eastAsia="Times New Roman" w:hAnsiTheme="minorHAnsi"/>
                <w:iCs/>
                <w:szCs w:val="17"/>
                <w:lang w:eastAsia="en-US"/>
              </w:rPr>
              <w:t>FAO AusABBA</w:t>
            </w:r>
          </w:p>
        </w:tc>
        <w:tc>
          <w:tcPr>
            <w:tcW w:w="659" w:type="pct"/>
            <w:vMerge w:val="restart"/>
            <w:tcBorders>
              <w:top w:val="single" w:sz="4" w:space="0" w:color="000000" w:themeColor="text1"/>
            </w:tcBorders>
            <w:shd w:val="clear" w:color="auto" w:fill="FFFFFF" w:themeFill="background1"/>
          </w:tcPr>
          <w:p w:rsidR="00035EF8" w:rsidRPr="00A427C6" w:rsidRDefault="00035EF8"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12.8</w:t>
            </w:r>
            <w:r w:rsidRPr="00A427C6">
              <w:rPr>
                <w:rFonts w:asciiTheme="minorHAnsi" w:hAnsiTheme="minorHAnsi" w:cs="Franklin Gothic Book"/>
                <w:color w:val="000000"/>
                <w:szCs w:val="17"/>
              </w:rPr>
              <w:t xml:space="preserve">m </w:t>
            </w:r>
          </w:p>
          <w:p w:rsidR="00035EF8" w:rsidRPr="00A427C6" w:rsidRDefault="00035EF8"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2012-17 </w:t>
            </w:r>
          </w:p>
        </w:tc>
        <w:tc>
          <w:tcPr>
            <w:tcW w:w="416" w:type="pct"/>
            <w:tcBorders>
              <w:top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000000" w:themeColor="text1"/>
            </w:tcBorders>
            <w:shd w:val="clear" w:color="auto" w:fill="92D050"/>
            <w:noWrap/>
          </w:tcPr>
          <w:p w:rsidR="00035EF8" w:rsidRPr="00913814" w:rsidRDefault="00035EF8"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6</w:t>
            </w:r>
          </w:p>
        </w:tc>
        <w:tc>
          <w:tcPr>
            <w:tcW w:w="415" w:type="pct"/>
            <w:tcBorders>
              <w:top w:val="single" w:sz="4" w:space="0" w:color="000000" w:themeColor="text1"/>
            </w:tcBorders>
            <w:shd w:val="clear" w:color="auto" w:fill="FFFF00"/>
            <w:noWrap/>
          </w:tcPr>
          <w:p w:rsidR="00035EF8" w:rsidRPr="00913814" w:rsidRDefault="00035EF8"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8" w:type="pct"/>
            <w:tcBorders>
              <w:top w:val="single" w:sz="4" w:space="0" w:color="000000" w:themeColor="text1"/>
            </w:tcBorders>
            <w:shd w:val="clear" w:color="auto" w:fill="FFFF00"/>
            <w:noWrap/>
          </w:tcPr>
          <w:p w:rsidR="00035EF8" w:rsidRPr="00913814" w:rsidRDefault="00035EF8"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5" w:type="pct"/>
            <w:tcBorders>
              <w:top w:val="single" w:sz="4" w:space="0" w:color="000000" w:themeColor="text1"/>
            </w:tcBorders>
            <w:shd w:val="clear" w:color="auto" w:fill="92D050"/>
            <w:noWrap/>
          </w:tcPr>
          <w:p w:rsidR="00035EF8" w:rsidRPr="00913814" w:rsidRDefault="00035EF8"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5</w:t>
            </w:r>
          </w:p>
        </w:tc>
        <w:tc>
          <w:tcPr>
            <w:tcW w:w="418" w:type="pct"/>
            <w:tcBorders>
              <w:top w:val="single" w:sz="4" w:space="0" w:color="000000" w:themeColor="text1"/>
            </w:tcBorders>
            <w:shd w:val="clear" w:color="auto" w:fill="FFFF00"/>
            <w:noWrap/>
          </w:tcPr>
          <w:p w:rsidR="00035EF8" w:rsidRPr="00913814" w:rsidRDefault="00035EF8"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5" w:type="pct"/>
            <w:tcBorders>
              <w:top w:val="single" w:sz="4" w:space="0" w:color="000000" w:themeColor="text1"/>
            </w:tcBorders>
            <w:shd w:val="clear" w:color="auto" w:fill="FFFF00"/>
            <w:noWrap/>
          </w:tcPr>
          <w:p w:rsidR="00035EF8" w:rsidRPr="00913814" w:rsidRDefault="00035EF8"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c>
          <w:tcPr>
            <w:tcW w:w="412" w:type="pct"/>
            <w:tcBorders>
              <w:top w:val="single" w:sz="4" w:space="0" w:color="000000" w:themeColor="text1"/>
            </w:tcBorders>
            <w:shd w:val="clear" w:color="auto" w:fill="FFFF00"/>
          </w:tcPr>
          <w:p w:rsidR="00035EF8" w:rsidRPr="00913814" w:rsidRDefault="00035EF8"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4</w:t>
            </w:r>
          </w:p>
        </w:tc>
      </w:tr>
      <w:tr w:rsidR="00913814" w:rsidRPr="00A427C6"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92D05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6</w:t>
            </w:r>
          </w:p>
        </w:tc>
        <w:tc>
          <w:tcPr>
            <w:tcW w:w="415"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8"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92D05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5</w:t>
            </w:r>
          </w:p>
        </w:tc>
        <w:tc>
          <w:tcPr>
            <w:tcW w:w="418"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2" w:type="pct"/>
            <w:tcBorders>
              <w:bottom w:val="single" w:sz="4" w:space="0" w:color="000000" w:themeColor="text1"/>
            </w:tcBorders>
            <w:shd w:val="clear" w:color="auto" w:fill="FFFF00"/>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r>
      <w:tr w:rsidR="00913814" w:rsidRPr="00A427C6"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WB Multi Donor Trust Fund Balochistan, FATA 7 KPK</w:t>
            </w:r>
          </w:p>
        </w:tc>
        <w:tc>
          <w:tcPr>
            <w:tcW w:w="659" w:type="pct"/>
            <w:vMerge w:val="restart"/>
            <w:tcBorders>
              <w:top w:val="single" w:sz="4" w:space="0" w:color="000000" w:themeColor="text1"/>
            </w:tcBorders>
            <w:shd w:val="clear" w:color="auto" w:fill="FFFFFF" w:themeFill="background1"/>
          </w:tcPr>
          <w:p w:rsidR="00035EF8" w:rsidRPr="00A427C6" w:rsidRDefault="00035EF8"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31.8</w:t>
            </w:r>
            <w:r w:rsidRPr="00A427C6">
              <w:rPr>
                <w:rFonts w:asciiTheme="minorHAnsi" w:hAnsiTheme="minorHAnsi" w:cs="Franklin Gothic Book"/>
                <w:color w:val="000000"/>
                <w:szCs w:val="17"/>
              </w:rPr>
              <w:t xml:space="preserve">m </w:t>
            </w:r>
          </w:p>
          <w:p w:rsidR="00035EF8" w:rsidRPr="00A427C6" w:rsidRDefault="00035EF8" w:rsidP="00035EF8">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2-20</w:t>
            </w:r>
          </w:p>
        </w:tc>
        <w:tc>
          <w:tcPr>
            <w:tcW w:w="416" w:type="pct"/>
            <w:tcBorders>
              <w:top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000000" w:themeColor="text1"/>
            </w:tcBorders>
            <w:shd w:val="clear" w:color="auto" w:fill="92D050"/>
            <w:noWrap/>
            <w:vAlign w:val="center"/>
          </w:tcPr>
          <w:p w:rsidR="00035EF8" w:rsidRPr="00913814" w:rsidRDefault="00035EF8" w:rsidP="00765E37">
            <w:pPr>
              <w:jc w:val="center"/>
              <w:rPr>
                <w:rFonts w:asciiTheme="minorHAnsi" w:hAnsiTheme="minorHAnsi" w:cs="Arial"/>
                <w:bCs/>
                <w:szCs w:val="17"/>
              </w:rPr>
            </w:pPr>
            <w:r w:rsidRPr="00913814">
              <w:rPr>
                <w:rFonts w:asciiTheme="minorHAnsi" w:hAnsiTheme="minorHAnsi" w:cs="Arial"/>
                <w:bCs/>
                <w:szCs w:val="17"/>
              </w:rPr>
              <w:t>5</w:t>
            </w:r>
          </w:p>
        </w:tc>
        <w:tc>
          <w:tcPr>
            <w:tcW w:w="415" w:type="pct"/>
            <w:tcBorders>
              <w:top w:val="single" w:sz="4" w:space="0" w:color="000000" w:themeColor="text1"/>
            </w:tcBorders>
            <w:shd w:val="clear" w:color="auto" w:fill="FFFF00"/>
            <w:noWrap/>
            <w:vAlign w:val="center"/>
          </w:tcPr>
          <w:p w:rsidR="00035EF8" w:rsidRPr="00913814" w:rsidRDefault="00035EF8" w:rsidP="00765E37">
            <w:pPr>
              <w:jc w:val="center"/>
              <w:rPr>
                <w:rFonts w:asciiTheme="minorHAnsi" w:hAnsiTheme="minorHAnsi" w:cs="Arial"/>
                <w:bCs/>
                <w:szCs w:val="17"/>
              </w:rPr>
            </w:pPr>
            <w:r w:rsidRPr="00913814">
              <w:rPr>
                <w:rFonts w:asciiTheme="minorHAnsi" w:hAnsiTheme="minorHAnsi" w:cs="Arial"/>
                <w:bCs/>
                <w:szCs w:val="17"/>
              </w:rPr>
              <w:t>4</w:t>
            </w:r>
          </w:p>
        </w:tc>
        <w:tc>
          <w:tcPr>
            <w:tcW w:w="418" w:type="pct"/>
            <w:tcBorders>
              <w:top w:val="single" w:sz="4" w:space="0" w:color="000000" w:themeColor="text1"/>
            </w:tcBorders>
            <w:shd w:val="clear" w:color="auto" w:fill="FFFF00"/>
            <w:noWrap/>
            <w:vAlign w:val="center"/>
          </w:tcPr>
          <w:p w:rsidR="00035EF8" w:rsidRPr="00913814" w:rsidRDefault="00035EF8" w:rsidP="00765E37">
            <w:pPr>
              <w:jc w:val="center"/>
              <w:rPr>
                <w:rFonts w:asciiTheme="minorHAnsi" w:hAnsiTheme="minorHAnsi" w:cs="Arial"/>
                <w:bCs/>
                <w:szCs w:val="17"/>
              </w:rPr>
            </w:pPr>
            <w:r w:rsidRPr="00913814">
              <w:rPr>
                <w:rFonts w:asciiTheme="minorHAnsi" w:hAnsiTheme="minorHAnsi" w:cs="Arial"/>
                <w:bCs/>
                <w:szCs w:val="17"/>
              </w:rPr>
              <w:t>4</w:t>
            </w:r>
          </w:p>
        </w:tc>
        <w:tc>
          <w:tcPr>
            <w:tcW w:w="415" w:type="pct"/>
            <w:tcBorders>
              <w:top w:val="single" w:sz="4" w:space="0" w:color="000000" w:themeColor="text1"/>
            </w:tcBorders>
            <w:shd w:val="clear" w:color="auto" w:fill="FFFF00"/>
            <w:noWrap/>
            <w:vAlign w:val="center"/>
          </w:tcPr>
          <w:p w:rsidR="00035EF8" w:rsidRPr="00913814" w:rsidRDefault="00035EF8" w:rsidP="00765E37">
            <w:pPr>
              <w:jc w:val="center"/>
              <w:rPr>
                <w:rFonts w:asciiTheme="minorHAnsi" w:hAnsiTheme="minorHAnsi" w:cs="Arial"/>
                <w:bCs/>
                <w:szCs w:val="17"/>
              </w:rPr>
            </w:pPr>
            <w:r w:rsidRPr="00913814">
              <w:rPr>
                <w:rFonts w:asciiTheme="minorHAnsi" w:hAnsiTheme="minorHAnsi" w:cs="Arial"/>
                <w:bCs/>
                <w:szCs w:val="17"/>
              </w:rPr>
              <w:t>4</w:t>
            </w:r>
          </w:p>
        </w:tc>
        <w:tc>
          <w:tcPr>
            <w:tcW w:w="418" w:type="pct"/>
            <w:tcBorders>
              <w:top w:val="single" w:sz="4" w:space="0" w:color="000000" w:themeColor="text1"/>
            </w:tcBorders>
            <w:shd w:val="clear" w:color="auto" w:fill="FFFF00"/>
            <w:noWrap/>
            <w:vAlign w:val="center"/>
          </w:tcPr>
          <w:p w:rsidR="00035EF8" w:rsidRPr="00913814" w:rsidRDefault="00035EF8" w:rsidP="00765E37">
            <w:pPr>
              <w:jc w:val="center"/>
              <w:rPr>
                <w:rFonts w:asciiTheme="minorHAnsi" w:hAnsiTheme="minorHAnsi" w:cs="Arial"/>
                <w:bCs/>
                <w:szCs w:val="17"/>
              </w:rPr>
            </w:pPr>
            <w:r w:rsidRPr="00913814">
              <w:rPr>
                <w:rFonts w:asciiTheme="minorHAnsi" w:hAnsiTheme="minorHAnsi" w:cs="Arial"/>
                <w:bCs/>
                <w:szCs w:val="17"/>
              </w:rPr>
              <w:t>4</w:t>
            </w:r>
          </w:p>
        </w:tc>
        <w:tc>
          <w:tcPr>
            <w:tcW w:w="415" w:type="pct"/>
            <w:tcBorders>
              <w:top w:val="single" w:sz="4" w:space="0" w:color="000000" w:themeColor="text1"/>
            </w:tcBorders>
            <w:shd w:val="clear" w:color="auto" w:fill="FF6600"/>
            <w:noWrap/>
            <w:vAlign w:val="center"/>
          </w:tcPr>
          <w:p w:rsidR="00035EF8" w:rsidRPr="00913814" w:rsidRDefault="00035EF8" w:rsidP="00765E37">
            <w:pPr>
              <w:jc w:val="center"/>
              <w:rPr>
                <w:rFonts w:asciiTheme="minorHAnsi" w:hAnsiTheme="minorHAnsi" w:cs="Arial"/>
                <w:bCs/>
                <w:szCs w:val="17"/>
              </w:rPr>
            </w:pPr>
            <w:r w:rsidRPr="00913814">
              <w:rPr>
                <w:rFonts w:asciiTheme="minorHAnsi" w:hAnsiTheme="minorHAnsi" w:cs="Arial"/>
                <w:bCs/>
                <w:szCs w:val="17"/>
              </w:rPr>
              <w:t>3</w:t>
            </w:r>
          </w:p>
        </w:tc>
        <w:tc>
          <w:tcPr>
            <w:tcW w:w="412" w:type="pct"/>
            <w:tcBorders>
              <w:top w:val="single" w:sz="4" w:space="0" w:color="000000" w:themeColor="text1"/>
            </w:tcBorders>
            <w:shd w:val="clear" w:color="auto" w:fill="FFFF00"/>
            <w:vAlign w:val="center"/>
          </w:tcPr>
          <w:p w:rsidR="00035EF8" w:rsidRPr="00913814" w:rsidRDefault="00035EF8" w:rsidP="00765E37">
            <w:pPr>
              <w:jc w:val="center"/>
              <w:rPr>
                <w:rFonts w:asciiTheme="minorHAnsi" w:hAnsiTheme="minorHAnsi" w:cs="Arial"/>
                <w:bCs/>
                <w:szCs w:val="17"/>
              </w:rPr>
            </w:pPr>
            <w:r w:rsidRPr="00913814">
              <w:rPr>
                <w:rFonts w:asciiTheme="minorHAnsi" w:hAnsiTheme="minorHAnsi" w:cs="Arial"/>
                <w:bCs/>
                <w:szCs w:val="17"/>
              </w:rPr>
              <w:t>4</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035EF8" w:rsidRPr="00A427C6" w:rsidRDefault="00035EF8"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92D05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5</w:t>
            </w:r>
          </w:p>
        </w:tc>
        <w:tc>
          <w:tcPr>
            <w:tcW w:w="415"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8"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FF66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3</w:t>
            </w:r>
          </w:p>
        </w:tc>
        <w:tc>
          <w:tcPr>
            <w:tcW w:w="418" w:type="pct"/>
            <w:tcBorders>
              <w:bottom w:val="single" w:sz="4" w:space="0" w:color="000000" w:themeColor="text1"/>
            </w:tcBorders>
            <w:shd w:val="clear" w:color="auto" w:fill="FFFF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FF6600"/>
            <w:noWrap/>
          </w:tcPr>
          <w:p w:rsidR="00035EF8" w:rsidRPr="00913814" w:rsidRDefault="00035EF8" w:rsidP="00765E37">
            <w:pPr>
              <w:pStyle w:val="TableTextEntries"/>
              <w:jc w:val="center"/>
              <w:rPr>
                <w:rFonts w:asciiTheme="minorHAnsi" w:hAnsiTheme="minorHAnsi"/>
              </w:rPr>
            </w:pPr>
            <w:r w:rsidRPr="00913814">
              <w:rPr>
                <w:rFonts w:asciiTheme="minorHAnsi" w:hAnsiTheme="minorHAnsi"/>
              </w:rPr>
              <w:t>3</w:t>
            </w:r>
          </w:p>
        </w:tc>
        <w:tc>
          <w:tcPr>
            <w:tcW w:w="412" w:type="pct"/>
            <w:tcBorders>
              <w:bottom w:val="single" w:sz="4" w:space="0" w:color="000000" w:themeColor="text1"/>
            </w:tcBorders>
            <w:shd w:val="clear" w:color="auto" w:fill="92D050"/>
          </w:tcPr>
          <w:p w:rsidR="00035EF8" w:rsidRPr="00913814" w:rsidRDefault="00035EF8" w:rsidP="00765E37">
            <w:pPr>
              <w:pStyle w:val="TableTextEntries"/>
              <w:jc w:val="center"/>
              <w:rPr>
                <w:rFonts w:asciiTheme="minorHAnsi" w:hAnsiTheme="minorHAnsi"/>
              </w:rPr>
            </w:pPr>
            <w:r w:rsidRPr="00913814">
              <w:rPr>
                <w:rFonts w:asciiTheme="minorHAnsi" w:hAnsiTheme="minorHAnsi"/>
              </w:rPr>
              <w:t>5</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Pakistan- Australia Prevention of Blindness Project</w:t>
            </w:r>
          </w:p>
        </w:tc>
        <w:tc>
          <w:tcPr>
            <w:tcW w:w="659" w:type="pct"/>
            <w:vMerge w:val="restart"/>
            <w:tcBorders>
              <w:top w:val="single" w:sz="4" w:space="0" w:color="000000" w:themeColor="text1"/>
            </w:tcBorders>
            <w:shd w:val="clear" w:color="auto" w:fill="FFFFFF" w:themeFill="background1"/>
          </w:tcPr>
          <w:p w:rsidR="00F55E5B" w:rsidRPr="00A427C6" w:rsidRDefault="00F55E5B"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4.5</w:t>
            </w:r>
            <w:r w:rsidRPr="00A427C6">
              <w:rPr>
                <w:rFonts w:asciiTheme="minorHAnsi" w:hAnsiTheme="minorHAnsi" w:cs="Franklin Gothic Book"/>
                <w:color w:val="000000"/>
                <w:szCs w:val="17"/>
              </w:rPr>
              <w:t xml:space="preserve">m </w:t>
            </w:r>
          </w:p>
          <w:p w:rsidR="00F55E5B" w:rsidRPr="00A427C6" w:rsidRDefault="00F55E5B" w:rsidP="00F55E5B">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3</w:t>
            </w:r>
            <w:r w:rsidRPr="00A427C6">
              <w:rPr>
                <w:rFonts w:asciiTheme="minorHAnsi" w:eastAsia="Times New Roman" w:hAnsiTheme="minorHAnsi"/>
                <w:iCs/>
                <w:szCs w:val="17"/>
                <w:lang w:eastAsia="en-US"/>
              </w:rPr>
              <w:t>-1</w:t>
            </w:r>
            <w:r>
              <w:rPr>
                <w:rFonts w:asciiTheme="minorHAnsi" w:eastAsia="Times New Roman" w:hAnsiTheme="minorHAnsi"/>
                <w:iCs/>
                <w:szCs w:val="17"/>
                <w:lang w:eastAsia="en-US"/>
              </w:rPr>
              <w:t>6</w:t>
            </w:r>
            <w:r w:rsidRPr="00A427C6">
              <w:rPr>
                <w:rFonts w:asciiTheme="minorHAnsi" w:eastAsia="Times New Roman" w:hAnsiTheme="minorHAnsi"/>
                <w:iCs/>
                <w:szCs w:val="17"/>
                <w:lang w:eastAsia="en-US"/>
              </w:rPr>
              <w:t xml:space="preserve"> </w:t>
            </w:r>
          </w:p>
        </w:tc>
        <w:tc>
          <w:tcPr>
            <w:tcW w:w="416" w:type="pc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000000" w:themeColor="text1"/>
            </w:tcBorders>
            <w:shd w:val="clear" w:color="auto" w:fill="FF00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2</w:t>
            </w:r>
          </w:p>
        </w:tc>
        <w:tc>
          <w:tcPr>
            <w:tcW w:w="415"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8"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5" w:type="pct"/>
            <w:tcBorders>
              <w:top w:val="single" w:sz="4" w:space="0" w:color="000000" w:themeColor="text1"/>
            </w:tcBorders>
            <w:shd w:val="clear" w:color="auto" w:fill="FF66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3</w:t>
            </w:r>
          </w:p>
        </w:tc>
        <w:tc>
          <w:tcPr>
            <w:tcW w:w="418"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5"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2" w:type="pct"/>
            <w:tcBorders>
              <w:top w:val="single" w:sz="4" w:space="0" w:color="000000" w:themeColor="text1"/>
            </w:tcBorders>
            <w:shd w:val="clear" w:color="auto" w:fill="92D050"/>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92D05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5</w:t>
            </w:r>
          </w:p>
        </w:tc>
        <w:tc>
          <w:tcPr>
            <w:tcW w:w="418"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92D05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5</w:t>
            </w:r>
          </w:p>
        </w:tc>
        <w:tc>
          <w:tcPr>
            <w:tcW w:w="418"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2" w:type="pct"/>
            <w:tcBorders>
              <w:bottom w:val="single" w:sz="4" w:space="0" w:color="000000" w:themeColor="text1"/>
            </w:tcBorders>
            <w:shd w:val="clear" w:color="auto" w:fill="92D050"/>
          </w:tcPr>
          <w:p w:rsidR="00F55E5B" w:rsidRPr="00913814" w:rsidRDefault="00F55E5B" w:rsidP="00765E37">
            <w:pPr>
              <w:pStyle w:val="TableTextEntries"/>
              <w:jc w:val="center"/>
              <w:rPr>
                <w:rFonts w:asciiTheme="minorHAnsi" w:hAnsiTheme="minorHAnsi"/>
              </w:rPr>
            </w:pPr>
            <w:r w:rsidRPr="00913814">
              <w:rPr>
                <w:rFonts w:asciiTheme="minorHAnsi" w:hAnsiTheme="minorHAnsi"/>
              </w:rPr>
              <w:t>5</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World Bank MDTF- Partnership for Nutrition</w:t>
            </w:r>
          </w:p>
        </w:tc>
        <w:tc>
          <w:tcPr>
            <w:tcW w:w="659" w:type="pct"/>
            <w:vMerge w:val="restart"/>
            <w:tcBorders>
              <w:top w:val="single" w:sz="4" w:space="0" w:color="000000" w:themeColor="text1"/>
            </w:tcBorders>
            <w:shd w:val="clear" w:color="auto" w:fill="FFFFFF" w:themeFill="background1"/>
          </w:tcPr>
          <w:p w:rsidR="00F55E5B" w:rsidRPr="00A427C6" w:rsidRDefault="00F55E5B"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41</w:t>
            </w:r>
            <w:r w:rsidRPr="00A427C6">
              <w:rPr>
                <w:rFonts w:asciiTheme="minorHAnsi" w:hAnsiTheme="minorHAnsi" w:cs="Franklin Gothic Book"/>
                <w:color w:val="000000"/>
                <w:szCs w:val="17"/>
              </w:rPr>
              <w:t xml:space="preserve">m </w:t>
            </w:r>
          </w:p>
          <w:p w:rsidR="00F55E5B" w:rsidRPr="00A427C6" w:rsidRDefault="00F55E5B" w:rsidP="00F55E5B">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3-19</w:t>
            </w:r>
          </w:p>
        </w:tc>
        <w:tc>
          <w:tcPr>
            <w:tcW w:w="416" w:type="pc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5"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8" w:type="pct"/>
            <w:tcBorders>
              <w:top w:val="single" w:sz="4" w:space="0" w:color="000000" w:themeColor="text1"/>
            </w:tcBorders>
            <w:shd w:val="clear" w:color="auto" w:fill="FF6600"/>
            <w:noWrap/>
            <w:vAlign w:val="center"/>
          </w:tcPr>
          <w:p w:rsidR="00F55E5B" w:rsidRPr="00913814" w:rsidRDefault="00F55E5B" w:rsidP="005D31C4">
            <w:pPr>
              <w:ind w:left="1440" w:hanging="1440"/>
              <w:jc w:val="center"/>
              <w:rPr>
                <w:rFonts w:asciiTheme="minorHAnsi" w:hAnsiTheme="minorHAnsi" w:cs="Arial"/>
                <w:bCs/>
                <w:szCs w:val="17"/>
              </w:rPr>
            </w:pPr>
            <w:r w:rsidRPr="00913814">
              <w:rPr>
                <w:rFonts w:asciiTheme="minorHAnsi" w:hAnsiTheme="minorHAnsi" w:cs="Arial"/>
                <w:bCs/>
                <w:szCs w:val="17"/>
              </w:rPr>
              <w:t>3</w:t>
            </w:r>
          </w:p>
        </w:tc>
        <w:tc>
          <w:tcPr>
            <w:tcW w:w="415" w:type="pct"/>
            <w:tcBorders>
              <w:top w:val="single" w:sz="4" w:space="0" w:color="000000" w:themeColor="text1"/>
            </w:tcBorders>
            <w:shd w:val="clear" w:color="auto" w:fill="FF6600"/>
            <w:noWrap/>
            <w:vAlign w:val="center"/>
          </w:tcPr>
          <w:p w:rsidR="00F55E5B" w:rsidRPr="00913814" w:rsidRDefault="00F55E5B" w:rsidP="0034619F">
            <w:pPr>
              <w:ind w:left="1440" w:hanging="1440"/>
              <w:jc w:val="center"/>
              <w:rPr>
                <w:rFonts w:asciiTheme="minorHAnsi" w:hAnsiTheme="minorHAnsi" w:cs="Arial"/>
                <w:bCs/>
                <w:szCs w:val="17"/>
              </w:rPr>
            </w:pPr>
            <w:r w:rsidRPr="00913814">
              <w:rPr>
                <w:rFonts w:asciiTheme="minorHAnsi" w:hAnsiTheme="minorHAnsi" w:cs="Arial"/>
                <w:bCs/>
                <w:szCs w:val="17"/>
              </w:rPr>
              <w:t>3</w:t>
            </w:r>
          </w:p>
        </w:tc>
        <w:tc>
          <w:tcPr>
            <w:tcW w:w="418"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5"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2" w:type="pct"/>
            <w:tcBorders>
              <w:top w:val="single" w:sz="4" w:space="0" w:color="000000" w:themeColor="text1"/>
            </w:tcBorders>
            <w:shd w:val="clear" w:color="auto" w:fill="92D050"/>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92D05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5</w:t>
            </w:r>
          </w:p>
        </w:tc>
        <w:tc>
          <w:tcPr>
            <w:tcW w:w="415"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8" w:type="pct"/>
            <w:tcBorders>
              <w:bottom w:val="single" w:sz="4" w:space="0" w:color="000000" w:themeColor="text1"/>
            </w:tcBorders>
            <w:shd w:val="clear" w:color="auto" w:fill="FF6600"/>
            <w:noWrap/>
          </w:tcPr>
          <w:p w:rsidR="00F55E5B" w:rsidRPr="0034619F" w:rsidRDefault="00F55E5B" w:rsidP="0034619F">
            <w:pPr>
              <w:ind w:left="1440" w:hanging="1440"/>
              <w:jc w:val="center"/>
              <w:rPr>
                <w:rFonts w:asciiTheme="minorHAnsi" w:hAnsiTheme="minorHAnsi"/>
              </w:rPr>
            </w:pPr>
            <w:r w:rsidRPr="0034619F">
              <w:rPr>
                <w:rFonts w:asciiTheme="minorHAnsi" w:hAnsiTheme="minorHAnsi"/>
              </w:rPr>
              <w:t>3</w:t>
            </w:r>
          </w:p>
        </w:tc>
        <w:tc>
          <w:tcPr>
            <w:tcW w:w="415"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8"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5" w:type="pct"/>
            <w:tcBorders>
              <w:bottom w:val="single" w:sz="4" w:space="0" w:color="000000" w:themeColor="text1"/>
            </w:tcBorders>
            <w:shd w:val="clear" w:color="auto" w:fill="FFFF00"/>
            <w:noWrap/>
          </w:tcPr>
          <w:p w:rsidR="00F55E5B" w:rsidRPr="00913814" w:rsidRDefault="00F55E5B" w:rsidP="00765E37">
            <w:pPr>
              <w:pStyle w:val="TableTextEntries"/>
              <w:jc w:val="center"/>
              <w:rPr>
                <w:rFonts w:asciiTheme="minorHAnsi" w:hAnsiTheme="minorHAnsi"/>
              </w:rPr>
            </w:pPr>
            <w:r w:rsidRPr="00913814">
              <w:rPr>
                <w:rFonts w:asciiTheme="minorHAnsi" w:hAnsiTheme="minorHAnsi"/>
              </w:rPr>
              <w:t>4</w:t>
            </w:r>
          </w:p>
        </w:tc>
        <w:tc>
          <w:tcPr>
            <w:tcW w:w="412" w:type="pct"/>
            <w:tcBorders>
              <w:bottom w:val="single" w:sz="4" w:space="0" w:color="000000" w:themeColor="text1"/>
            </w:tcBorders>
            <w:shd w:val="clear" w:color="auto" w:fill="92D050"/>
          </w:tcPr>
          <w:p w:rsidR="00F55E5B" w:rsidRPr="00913814" w:rsidRDefault="00F55E5B" w:rsidP="00765E37">
            <w:pPr>
              <w:pStyle w:val="TableTextEntries"/>
              <w:jc w:val="center"/>
              <w:rPr>
                <w:rFonts w:asciiTheme="minorHAnsi" w:hAnsiTheme="minorHAnsi"/>
              </w:rPr>
            </w:pPr>
            <w:r w:rsidRPr="00913814">
              <w:rPr>
                <w:rFonts w:asciiTheme="minorHAnsi" w:hAnsiTheme="minorHAnsi"/>
              </w:rPr>
              <w:t>5</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Pakistan Trade and Investment Policy Program</w:t>
            </w:r>
          </w:p>
        </w:tc>
        <w:tc>
          <w:tcPr>
            <w:tcW w:w="659" w:type="pct"/>
            <w:vMerge w:val="restart"/>
            <w:tcBorders>
              <w:top w:val="single" w:sz="4" w:space="0" w:color="000000" w:themeColor="text1"/>
            </w:tcBorders>
            <w:shd w:val="clear" w:color="auto" w:fill="FFFFFF" w:themeFill="background1"/>
          </w:tcPr>
          <w:p w:rsidR="00F55E5B" w:rsidRPr="00A427C6" w:rsidRDefault="00F55E5B"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9.9</w:t>
            </w:r>
            <w:r w:rsidRPr="00A427C6">
              <w:rPr>
                <w:rFonts w:asciiTheme="minorHAnsi" w:hAnsiTheme="minorHAnsi" w:cs="Franklin Gothic Book"/>
                <w:color w:val="000000"/>
                <w:szCs w:val="17"/>
              </w:rPr>
              <w:t xml:space="preserve">m </w:t>
            </w:r>
          </w:p>
          <w:p w:rsidR="00F55E5B" w:rsidRPr="00A427C6" w:rsidRDefault="00F55E5B" w:rsidP="00F55E5B">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4-18</w:t>
            </w:r>
          </w:p>
        </w:tc>
        <w:tc>
          <w:tcPr>
            <w:tcW w:w="416" w:type="pc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5" w:type="pct"/>
            <w:tcBorders>
              <w:top w:val="single" w:sz="4" w:space="0" w:color="000000" w:themeColor="text1"/>
            </w:tcBorders>
            <w:shd w:val="clear" w:color="auto" w:fill="FF66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3</w:t>
            </w:r>
          </w:p>
        </w:tc>
        <w:tc>
          <w:tcPr>
            <w:tcW w:w="418"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5"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8"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5" w:type="pct"/>
            <w:tcBorders>
              <w:top w:val="single" w:sz="4" w:space="0" w:color="000000" w:themeColor="text1"/>
            </w:tcBorders>
            <w:shd w:val="clear" w:color="auto" w:fill="FF66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3</w:t>
            </w:r>
          </w:p>
        </w:tc>
        <w:tc>
          <w:tcPr>
            <w:tcW w:w="412" w:type="pct"/>
            <w:tcBorders>
              <w:top w:val="single" w:sz="4" w:space="0" w:color="000000" w:themeColor="text1"/>
            </w:tcBorders>
            <w:shd w:val="clear" w:color="auto" w:fill="FFFF00"/>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5"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8"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5"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8"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5"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2" w:type="pct"/>
            <w:tcBorders>
              <w:bottom w:val="single" w:sz="4" w:space="0" w:color="000000" w:themeColor="text1"/>
            </w:tcBorders>
            <w:shd w:val="clear" w:color="auto" w:fill="D8DCDB" w:themeFill="background2"/>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Pakistan Ending Violence Against Women Program</w:t>
            </w:r>
          </w:p>
        </w:tc>
        <w:tc>
          <w:tcPr>
            <w:tcW w:w="659" w:type="pct"/>
            <w:vMerge w:val="restart"/>
            <w:tcBorders>
              <w:top w:val="single" w:sz="4" w:space="0" w:color="000000" w:themeColor="text1"/>
            </w:tcBorders>
            <w:shd w:val="clear" w:color="auto" w:fill="FFFFFF" w:themeFill="background1"/>
          </w:tcPr>
          <w:p w:rsidR="00F55E5B" w:rsidRPr="00A427C6" w:rsidRDefault="00F55E5B"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 xml:space="preserve">$17m </w:t>
            </w:r>
          </w:p>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2015-18 </w:t>
            </w:r>
          </w:p>
        </w:tc>
        <w:tc>
          <w:tcPr>
            <w:tcW w:w="416" w:type="pct"/>
            <w:tcBorders>
              <w:top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2016 AQC</w:t>
            </w:r>
          </w:p>
        </w:tc>
        <w:tc>
          <w:tcPr>
            <w:tcW w:w="418"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6</w:t>
            </w:r>
          </w:p>
        </w:tc>
        <w:tc>
          <w:tcPr>
            <w:tcW w:w="415"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8"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5"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8" w:type="pct"/>
            <w:tcBorders>
              <w:top w:val="single" w:sz="4" w:space="0" w:color="000000" w:themeColor="text1"/>
            </w:tcBorders>
            <w:shd w:val="clear" w:color="auto" w:fill="FFFF0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4</w:t>
            </w:r>
          </w:p>
        </w:tc>
        <w:tc>
          <w:tcPr>
            <w:tcW w:w="415" w:type="pct"/>
            <w:tcBorders>
              <w:top w:val="single" w:sz="4" w:space="0" w:color="000000" w:themeColor="text1"/>
            </w:tcBorders>
            <w:shd w:val="clear" w:color="auto" w:fill="92D050"/>
            <w:noWrap/>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c>
          <w:tcPr>
            <w:tcW w:w="412" w:type="pct"/>
            <w:tcBorders>
              <w:top w:val="single" w:sz="4" w:space="0" w:color="000000" w:themeColor="text1"/>
            </w:tcBorders>
            <w:shd w:val="clear" w:color="auto" w:fill="92D050"/>
            <w:vAlign w:val="center"/>
          </w:tcPr>
          <w:p w:rsidR="00F55E5B" w:rsidRPr="00913814" w:rsidRDefault="00F55E5B" w:rsidP="00765E37">
            <w:pPr>
              <w:jc w:val="center"/>
              <w:rPr>
                <w:rFonts w:asciiTheme="minorHAnsi" w:hAnsiTheme="minorHAnsi" w:cs="Arial"/>
                <w:bCs/>
                <w:szCs w:val="17"/>
              </w:rPr>
            </w:pPr>
            <w:r w:rsidRPr="00913814">
              <w:rPr>
                <w:rFonts w:asciiTheme="minorHAnsi" w:hAnsiTheme="minorHAnsi" w:cs="Arial"/>
                <w:bCs/>
                <w:szCs w:val="17"/>
              </w:rPr>
              <w:t>5</w:t>
            </w:r>
          </w:p>
        </w:tc>
      </w:tr>
      <w:tr w:rsidR="00913814" w:rsidRPr="00F55E5B" w:rsidTr="000D333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659" w:type="pct"/>
            <w:vMerge/>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p>
        </w:tc>
        <w:tc>
          <w:tcPr>
            <w:tcW w:w="416" w:type="pct"/>
            <w:tcBorders>
              <w:bottom w:val="single" w:sz="4" w:space="0" w:color="000000" w:themeColor="text1"/>
            </w:tcBorders>
            <w:shd w:val="clear" w:color="auto" w:fill="FFFFFF" w:themeFill="background1"/>
          </w:tcPr>
          <w:p w:rsidR="00F55E5B" w:rsidRPr="00A427C6" w:rsidRDefault="00F55E5B" w:rsidP="00765E37">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2015 AQC</w:t>
            </w:r>
          </w:p>
        </w:tc>
        <w:tc>
          <w:tcPr>
            <w:tcW w:w="418"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5"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8"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5"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8"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5" w:type="pct"/>
            <w:tcBorders>
              <w:bottom w:val="single" w:sz="4" w:space="0" w:color="000000" w:themeColor="text1"/>
            </w:tcBorders>
            <w:shd w:val="clear" w:color="auto" w:fill="D8DCDB" w:themeFill="background2"/>
            <w:noWrap/>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c>
          <w:tcPr>
            <w:tcW w:w="412" w:type="pct"/>
            <w:tcBorders>
              <w:bottom w:val="single" w:sz="4" w:space="0" w:color="000000" w:themeColor="text1"/>
            </w:tcBorders>
            <w:shd w:val="clear" w:color="auto" w:fill="D8DCDB" w:themeFill="background2"/>
          </w:tcPr>
          <w:p w:rsidR="00F55E5B" w:rsidRPr="00913814" w:rsidRDefault="00F55E5B" w:rsidP="00765E37">
            <w:pPr>
              <w:keepLines/>
              <w:spacing w:before="40" w:after="40" w:line="200" w:lineRule="atLeast"/>
              <w:jc w:val="center"/>
              <w:rPr>
                <w:rFonts w:asciiTheme="minorHAnsi" w:eastAsia="Times New Roman" w:hAnsiTheme="minorHAnsi"/>
                <w:iCs/>
                <w:szCs w:val="17"/>
                <w:lang w:eastAsia="en-US"/>
              </w:rPr>
            </w:pPr>
            <w:r w:rsidRPr="00913814">
              <w:rPr>
                <w:rFonts w:asciiTheme="minorHAnsi" w:eastAsia="Times New Roman" w:hAnsiTheme="minorHAnsi"/>
                <w:iCs/>
                <w:szCs w:val="17"/>
                <w:lang w:eastAsia="en-US"/>
              </w:rPr>
              <w:t>n/a</w:t>
            </w:r>
          </w:p>
        </w:tc>
      </w:tr>
    </w:tbl>
    <w:p w:rsidR="00400B0F" w:rsidRPr="00C61187"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FAQC ratings</w:t>
      </w:r>
      <w:r w:rsidRPr="00C61187">
        <w:rPr>
          <w:rFonts w:ascii="Helvetica" w:eastAsia="Times New Roman" w:hAnsi="Helvetica" w:cs="Arial"/>
          <w:b/>
          <w:color w:val="124486"/>
          <w:kern w:val="28"/>
          <w:lang w:eastAsia="zh-CN"/>
        </w:rPr>
        <w:t xml:space="preserve"> </w:t>
      </w:r>
    </w:p>
    <w:p w:rsidR="00400B0F" w:rsidRPr="00C61187" w:rsidRDefault="00400B0F" w:rsidP="00784031">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716"/>
        <w:gridCol w:w="1969"/>
        <w:gridCol w:w="1257"/>
        <w:gridCol w:w="1254"/>
        <w:gridCol w:w="1257"/>
        <w:gridCol w:w="1254"/>
        <w:gridCol w:w="1257"/>
        <w:gridCol w:w="1254"/>
        <w:gridCol w:w="1257"/>
        <w:gridCol w:w="1257"/>
      </w:tblGrid>
      <w:tr w:rsidR="00400B0F" w:rsidRPr="00C61187" w:rsidTr="00F55E5B">
        <w:trPr>
          <w:cnfStyle w:val="000000010000" w:firstRow="0" w:lastRow="0" w:firstColumn="0" w:lastColumn="0" w:oddVBand="0" w:evenVBand="0" w:oddHBand="0" w:evenHBand="1" w:firstRowFirstColumn="0" w:firstRowLastColumn="0" w:lastRowFirstColumn="0" w:lastRowLastColumn="0"/>
          <w:trHeight w:val="1505"/>
        </w:trPr>
        <w:tc>
          <w:tcPr>
            <w:tcW w:w="908" w:type="pct"/>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9744" behindDoc="0" locked="0" layoutInCell="1" allowOverlap="1" wp14:anchorId="016F4645" wp14:editId="24E77A31">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9"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7"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Overall rating</w:t>
            </w:r>
          </w:p>
        </w:tc>
        <w:tc>
          <w:tcPr>
            <w:tcW w:w="416"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7"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16"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7"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16" w:type="pct"/>
            <w:noWrap/>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17"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12" w:type="pct"/>
            <w:textDirection w:val="btLr"/>
          </w:tcPr>
          <w:p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913814" w:rsidRPr="00C61187" w:rsidTr="00940A10">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4" w:space="0" w:color="000000" w:themeColor="text1"/>
            </w:tcBorders>
          </w:tcPr>
          <w:p w:rsidR="00913814" w:rsidRPr="00A427C6" w:rsidRDefault="0091381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Maternal Newborn Health in Balochistan</w:t>
            </w:r>
          </w:p>
        </w:tc>
        <w:tc>
          <w:tcPr>
            <w:tcW w:w="659" w:type="pct"/>
            <w:tcBorders>
              <w:bottom w:val="single" w:sz="4" w:space="0" w:color="000000" w:themeColor="text1"/>
            </w:tcBorders>
          </w:tcPr>
          <w:p w:rsidR="00913814" w:rsidRPr="00A427C6" w:rsidRDefault="00913814" w:rsidP="006F27B1">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13.6m</w:t>
            </w:r>
            <w:r w:rsidRPr="00A427C6">
              <w:rPr>
                <w:rFonts w:asciiTheme="minorHAnsi" w:hAnsiTheme="minorHAnsi" w:cs="Franklin Gothic Book"/>
                <w:color w:val="000000"/>
                <w:szCs w:val="17"/>
              </w:rPr>
              <w:t xml:space="preserve"> </w:t>
            </w:r>
          </w:p>
          <w:p w:rsidR="00913814" w:rsidRPr="00A427C6" w:rsidRDefault="00913814"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2012-16</w:t>
            </w:r>
            <w:r w:rsidRPr="00A427C6">
              <w:rPr>
                <w:rFonts w:asciiTheme="minorHAnsi" w:eastAsia="Times New Roman" w:hAnsiTheme="minorHAnsi"/>
                <w:iCs/>
                <w:szCs w:val="17"/>
                <w:lang w:eastAsia="en-US"/>
              </w:rPr>
              <w:t xml:space="preserve"> </w:t>
            </w:r>
          </w:p>
        </w:tc>
        <w:tc>
          <w:tcPr>
            <w:tcW w:w="417" w:type="pct"/>
            <w:tcBorders>
              <w:bottom w:val="single" w:sz="4" w:space="0" w:color="000000" w:themeColor="text1"/>
            </w:tcBorders>
            <w:shd w:val="clear" w:color="auto" w:fill="FFFF0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4</w:t>
            </w:r>
          </w:p>
        </w:tc>
        <w:tc>
          <w:tcPr>
            <w:tcW w:w="416" w:type="pct"/>
            <w:tcBorders>
              <w:bottom w:val="single" w:sz="4" w:space="0" w:color="000000" w:themeColor="text1"/>
            </w:tcBorders>
            <w:shd w:val="clear" w:color="auto" w:fill="92D05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6</w:t>
            </w:r>
          </w:p>
        </w:tc>
        <w:tc>
          <w:tcPr>
            <w:tcW w:w="417" w:type="pct"/>
            <w:tcBorders>
              <w:bottom w:val="single" w:sz="4" w:space="0" w:color="000000" w:themeColor="text1"/>
            </w:tcBorders>
            <w:shd w:val="clear" w:color="auto" w:fill="FFFF00"/>
            <w:noWrap/>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c>
          <w:tcPr>
            <w:tcW w:w="416" w:type="pct"/>
            <w:tcBorders>
              <w:bottom w:val="single" w:sz="4" w:space="0" w:color="000000" w:themeColor="text1"/>
            </w:tcBorders>
            <w:shd w:val="clear" w:color="auto" w:fill="FFFF00"/>
            <w:noWrap/>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c>
          <w:tcPr>
            <w:tcW w:w="417" w:type="pct"/>
            <w:tcBorders>
              <w:bottom w:val="single" w:sz="4" w:space="0" w:color="000000" w:themeColor="text1"/>
            </w:tcBorders>
            <w:shd w:val="clear" w:color="auto" w:fill="92D05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5</w:t>
            </w:r>
          </w:p>
        </w:tc>
        <w:tc>
          <w:tcPr>
            <w:tcW w:w="416" w:type="pct"/>
            <w:tcBorders>
              <w:bottom w:val="single" w:sz="4" w:space="0" w:color="000000" w:themeColor="text1"/>
            </w:tcBorders>
            <w:shd w:val="clear" w:color="auto" w:fill="FF6600"/>
            <w:noWrap/>
            <w:vAlign w:val="center"/>
          </w:tcPr>
          <w:p w:rsidR="00913814" w:rsidRPr="00913814" w:rsidRDefault="00940A10" w:rsidP="00765E37">
            <w:pPr>
              <w:jc w:val="center"/>
              <w:rPr>
                <w:rFonts w:asciiTheme="minorHAnsi" w:hAnsiTheme="minorHAnsi" w:cs="Arial"/>
                <w:bCs/>
                <w:szCs w:val="17"/>
              </w:rPr>
            </w:pPr>
            <w:r w:rsidRPr="00913814">
              <w:rPr>
                <w:rFonts w:asciiTheme="minorHAnsi" w:hAnsiTheme="minorHAnsi" w:cs="Arial"/>
                <w:bCs/>
                <w:szCs w:val="17"/>
              </w:rPr>
              <w:t>3</w:t>
            </w:r>
          </w:p>
        </w:tc>
        <w:tc>
          <w:tcPr>
            <w:tcW w:w="417" w:type="pct"/>
            <w:tcBorders>
              <w:bottom w:val="single" w:sz="4" w:space="0" w:color="000000" w:themeColor="text1"/>
            </w:tcBorders>
            <w:shd w:val="clear" w:color="auto" w:fill="92D050"/>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5</w:t>
            </w:r>
          </w:p>
        </w:tc>
        <w:tc>
          <w:tcPr>
            <w:tcW w:w="412" w:type="pct"/>
            <w:tcBorders>
              <w:bottom w:val="single" w:sz="4" w:space="0" w:color="000000" w:themeColor="text1"/>
            </w:tcBorders>
            <w:shd w:val="clear" w:color="auto" w:fill="92D050"/>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5</w:t>
            </w:r>
          </w:p>
        </w:tc>
      </w:tr>
      <w:tr w:rsidR="00940A10" w:rsidRPr="00C61187" w:rsidTr="00940A10">
        <w:trPr>
          <w:cnfStyle w:val="000000010000" w:firstRow="0" w:lastRow="0" w:firstColumn="0" w:lastColumn="0" w:oddVBand="0" w:evenVBand="0" w:oddHBand="0" w:evenHBand="1" w:firstRowFirstColumn="0" w:firstRowLastColumn="0" w:lastRowFirstColumn="0" w:lastRowLastColumn="0"/>
          <w:trHeight w:val="284"/>
        </w:trPr>
        <w:tc>
          <w:tcPr>
            <w:tcW w:w="908" w:type="pct"/>
            <w:tcBorders>
              <w:top w:val="single" w:sz="4" w:space="0" w:color="000000" w:themeColor="text1"/>
              <w:bottom w:val="single" w:sz="4" w:space="0" w:color="000000" w:themeColor="text1"/>
            </w:tcBorders>
          </w:tcPr>
          <w:p w:rsidR="00913814" w:rsidRPr="00A427C6" w:rsidRDefault="00913814" w:rsidP="0076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Phase2 – Agriculture Sector Linkages Program</w:t>
            </w:r>
          </w:p>
        </w:tc>
        <w:tc>
          <w:tcPr>
            <w:tcW w:w="659" w:type="pct"/>
            <w:tcBorders>
              <w:top w:val="single" w:sz="4" w:space="0" w:color="000000" w:themeColor="text1"/>
              <w:bottom w:val="single" w:sz="4" w:space="0" w:color="000000" w:themeColor="text1"/>
            </w:tcBorders>
          </w:tcPr>
          <w:p w:rsidR="00913814" w:rsidRPr="00A427C6" w:rsidRDefault="00913814"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13.8m</w:t>
            </w:r>
            <w:r w:rsidRPr="00A427C6">
              <w:rPr>
                <w:rFonts w:asciiTheme="minorHAnsi" w:hAnsiTheme="minorHAnsi" w:cs="Franklin Gothic Book"/>
                <w:color w:val="000000"/>
                <w:szCs w:val="17"/>
              </w:rPr>
              <w:t xml:space="preserve"> </w:t>
            </w:r>
          </w:p>
          <w:p w:rsidR="00913814" w:rsidRPr="00A427C6" w:rsidRDefault="00913814" w:rsidP="0091381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2009</w:t>
            </w:r>
            <w:r w:rsidRPr="00A427C6">
              <w:rPr>
                <w:rFonts w:asciiTheme="minorHAnsi" w:eastAsia="Times New Roman" w:hAnsiTheme="minorHAnsi"/>
                <w:iCs/>
                <w:szCs w:val="17"/>
                <w:lang w:eastAsia="en-US"/>
              </w:rPr>
              <w:t xml:space="preserve">-15 </w:t>
            </w:r>
          </w:p>
        </w:tc>
        <w:tc>
          <w:tcPr>
            <w:tcW w:w="417" w:type="pct"/>
            <w:tcBorders>
              <w:top w:val="single" w:sz="4" w:space="0" w:color="000000" w:themeColor="text1"/>
              <w:bottom w:val="single" w:sz="4" w:space="0" w:color="000000" w:themeColor="text1"/>
            </w:tcBorders>
            <w:shd w:val="clear" w:color="auto" w:fill="FF660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3</w:t>
            </w:r>
          </w:p>
        </w:tc>
        <w:tc>
          <w:tcPr>
            <w:tcW w:w="416" w:type="pct"/>
            <w:tcBorders>
              <w:top w:val="single" w:sz="4" w:space="0" w:color="000000" w:themeColor="text1"/>
              <w:bottom w:val="single" w:sz="4" w:space="0" w:color="000000" w:themeColor="text1"/>
            </w:tcBorders>
            <w:shd w:val="clear" w:color="auto" w:fill="92D05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5</w:t>
            </w:r>
          </w:p>
        </w:tc>
        <w:tc>
          <w:tcPr>
            <w:tcW w:w="417" w:type="pct"/>
            <w:tcBorders>
              <w:top w:val="single" w:sz="4" w:space="0" w:color="000000" w:themeColor="text1"/>
              <w:bottom w:val="single" w:sz="4" w:space="0" w:color="000000" w:themeColor="text1"/>
            </w:tcBorders>
            <w:shd w:val="clear" w:color="auto" w:fill="FF660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3</w:t>
            </w:r>
          </w:p>
        </w:tc>
        <w:tc>
          <w:tcPr>
            <w:tcW w:w="416" w:type="pct"/>
            <w:tcBorders>
              <w:top w:val="single" w:sz="4" w:space="0" w:color="000000" w:themeColor="text1"/>
              <w:bottom w:val="single" w:sz="4" w:space="0" w:color="000000" w:themeColor="text1"/>
            </w:tcBorders>
            <w:shd w:val="clear" w:color="auto" w:fill="FFFF0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4</w:t>
            </w:r>
          </w:p>
        </w:tc>
        <w:tc>
          <w:tcPr>
            <w:tcW w:w="417" w:type="pct"/>
            <w:tcBorders>
              <w:top w:val="single" w:sz="4" w:space="0" w:color="000000" w:themeColor="text1"/>
              <w:bottom w:val="single" w:sz="4" w:space="0" w:color="000000" w:themeColor="text1"/>
            </w:tcBorders>
            <w:shd w:val="clear" w:color="auto" w:fill="FF660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3</w:t>
            </w:r>
          </w:p>
        </w:tc>
        <w:tc>
          <w:tcPr>
            <w:tcW w:w="416" w:type="pct"/>
            <w:tcBorders>
              <w:top w:val="single" w:sz="4" w:space="0" w:color="000000" w:themeColor="text1"/>
              <w:bottom w:val="single" w:sz="4" w:space="0" w:color="000000" w:themeColor="text1"/>
            </w:tcBorders>
            <w:shd w:val="clear" w:color="auto" w:fill="FFFF0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4</w:t>
            </w:r>
          </w:p>
        </w:tc>
        <w:tc>
          <w:tcPr>
            <w:tcW w:w="417" w:type="pct"/>
            <w:tcBorders>
              <w:top w:val="single" w:sz="4" w:space="0" w:color="000000" w:themeColor="text1"/>
              <w:bottom w:val="single" w:sz="4" w:space="0" w:color="000000" w:themeColor="text1"/>
            </w:tcBorders>
            <w:shd w:val="clear" w:color="auto" w:fill="FF0000"/>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2</w:t>
            </w:r>
          </w:p>
        </w:tc>
        <w:tc>
          <w:tcPr>
            <w:tcW w:w="412" w:type="pct"/>
            <w:tcBorders>
              <w:top w:val="single" w:sz="4" w:space="0" w:color="000000" w:themeColor="text1"/>
              <w:bottom w:val="single" w:sz="4" w:space="0" w:color="000000" w:themeColor="text1"/>
            </w:tcBorders>
            <w:shd w:val="clear" w:color="auto" w:fill="92D050"/>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5</w:t>
            </w:r>
          </w:p>
        </w:tc>
      </w:tr>
      <w:tr w:rsidR="00913814" w:rsidRPr="00C61187" w:rsidTr="00940A10">
        <w:trPr>
          <w:cnfStyle w:val="000000010000" w:firstRow="0" w:lastRow="0" w:firstColumn="0" w:lastColumn="0" w:oddVBand="0" w:evenVBand="0" w:oddHBand="0" w:evenHBand="1" w:firstRowFirstColumn="0" w:firstRowLastColumn="0" w:lastRowFirstColumn="0" w:lastRowLastColumn="0"/>
          <w:trHeight w:val="284"/>
        </w:trPr>
        <w:tc>
          <w:tcPr>
            <w:tcW w:w="908" w:type="pct"/>
          </w:tcPr>
          <w:p w:rsidR="00913814" w:rsidRPr="00A427C6" w:rsidRDefault="00913814" w:rsidP="00765E3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Citizen Engagement for Social Delivery III</w:t>
            </w:r>
          </w:p>
        </w:tc>
        <w:tc>
          <w:tcPr>
            <w:tcW w:w="659" w:type="pct"/>
          </w:tcPr>
          <w:p w:rsidR="00913814" w:rsidRPr="00A427C6" w:rsidRDefault="00913814" w:rsidP="00765E37">
            <w:pPr>
              <w:autoSpaceDE w:val="0"/>
              <w:autoSpaceDN w:val="0"/>
              <w:adjustRightInd w:val="0"/>
              <w:rPr>
                <w:rFonts w:asciiTheme="minorHAnsi" w:hAnsiTheme="minorHAnsi" w:cs="Franklin Gothic Book"/>
                <w:color w:val="000000"/>
                <w:szCs w:val="17"/>
              </w:rPr>
            </w:pPr>
            <w:r w:rsidRPr="00A427C6">
              <w:rPr>
                <w:rFonts w:asciiTheme="minorHAnsi" w:hAnsiTheme="minorHAnsi" w:cs="Franklin Gothic Book"/>
                <w:color w:val="000000"/>
                <w:szCs w:val="17"/>
              </w:rPr>
              <w:t>$</w:t>
            </w:r>
            <w:r>
              <w:rPr>
                <w:rFonts w:asciiTheme="minorHAnsi" w:hAnsiTheme="minorHAnsi" w:cs="Franklin Gothic Book"/>
                <w:color w:val="000000"/>
                <w:szCs w:val="17"/>
              </w:rPr>
              <w:t>15.8</w:t>
            </w:r>
            <w:r w:rsidRPr="00A427C6">
              <w:rPr>
                <w:rFonts w:asciiTheme="minorHAnsi" w:hAnsiTheme="minorHAnsi" w:cs="Franklin Gothic Book"/>
                <w:color w:val="000000"/>
                <w:szCs w:val="17"/>
              </w:rPr>
              <w:t xml:space="preserve">m </w:t>
            </w:r>
          </w:p>
          <w:p w:rsidR="00913814" w:rsidRPr="00A427C6" w:rsidRDefault="00913814" w:rsidP="00913814">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201</w:t>
            </w:r>
            <w:r>
              <w:rPr>
                <w:rFonts w:asciiTheme="minorHAnsi" w:eastAsia="Times New Roman" w:hAnsiTheme="minorHAnsi"/>
                <w:iCs/>
                <w:szCs w:val="17"/>
                <w:lang w:eastAsia="en-US"/>
              </w:rPr>
              <w:t>2-16</w:t>
            </w:r>
            <w:r w:rsidRPr="00A427C6">
              <w:rPr>
                <w:rFonts w:asciiTheme="minorHAnsi" w:eastAsia="Times New Roman" w:hAnsiTheme="minorHAnsi"/>
                <w:iCs/>
                <w:szCs w:val="17"/>
                <w:lang w:eastAsia="en-US"/>
              </w:rPr>
              <w:t xml:space="preserve"> </w:t>
            </w:r>
          </w:p>
        </w:tc>
        <w:tc>
          <w:tcPr>
            <w:tcW w:w="417" w:type="pct"/>
            <w:tcBorders>
              <w:bottom w:val="single" w:sz="12" w:space="0" w:color="000000" w:themeColor="text1"/>
            </w:tcBorders>
            <w:shd w:val="clear" w:color="auto" w:fill="FFFF00"/>
            <w:noWrap/>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c>
          <w:tcPr>
            <w:tcW w:w="416" w:type="pct"/>
            <w:tcBorders>
              <w:bottom w:val="single" w:sz="12" w:space="0" w:color="000000" w:themeColor="text1"/>
            </w:tcBorders>
            <w:shd w:val="clear" w:color="auto" w:fill="FFFF00"/>
            <w:noWrap/>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c>
          <w:tcPr>
            <w:tcW w:w="417" w:type="pct"/>
            <w:tcBorders>
              <w:bottom w:val="single" w:sz="12" w:space="0" w:color="000000" w:themeColor="text1"/>
            </w:tcBorders>
            <w:shd w:val="clear" w:color="auto" w:fill="FFFF00"/>
            <w:noWrap/>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c>
          <w:tcPr>
            <w:tcW w:w="416" w:type="pct"/>
            <w:tcBorders>
              <w:bottom w:val="single" w:sz="12" w:space="0" w:color="000000" w:themeColor="text1"/>
            </w:tcBorders>
            <w:shd w:val="clear" w:color="auto" w:fill="FFFF00"/>
            <w:noWrap/>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c>
          <w:tcPr>
            <w:tcW w:w="417" w:type="pct"/>
            <w:tcBorders>
              <w:bottom w:val="single" w:sz="12" w:space="0" w:color="000000" w:themeColor="text1"/>
            </w:tcBorders>
            <w:shd w:val="clear" w:color="auto" w:fill="FFFF00"/>
            <w:noWrap/>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c>
          <w:tcPr>
            <w:tcW w:w="416" w:type="pct"/>
            <w:shd w:val="clear" w:color="auto" w:fill="FFFF00"/>
            <w:noWrap/>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4</w:t>
            </w:r>
          </w:p>
        </w:tc>
        <w:tc>
          <w:tcPr>
            <w:tcW w:w="417" w:type="pct"/>
            <w:tcBorders>
              <w:bottom w:val="single" w:sz="12" w:space="0" w:color="000000" w:themeColor="text1"/>
            </w:tcBorders>
            <w:shd w:val="clear" w:color="auto" w:fill="92D050"/>
            <w:vAlign w:val="center"/>
          </w:tcPr>
          <w:p w:rsidR="00913814" w:rsidRPr="00913814" w:rsidRDefault="00940A10" w:rsidP="00765E37">
            <w:pPr>
              <w:jc w:val="center"/>
              <w:rPr>
                <w:rFonts w:asciiTheme="minorHAnsi" w:hAnsiTheme="minorHAnsi" w:cs="Arial"/>
                <w:bCs/>
                <w:szCs w:val="17"/>
              </w:rPr>
            </w:pPr>
            <w:r>
              <w:rPr>
                <w:rFonts w:asciiTheme="minorHAnsi" w:hAnsiTheme="minorHAnsi" w:cs="Arial"/>
                <w:bCs/>
                <w:szCs w:val="17"/>
              </w:rPr>
              <w:t>5</w:t>
            </w:r>
          </w:p>
        </w:tc>
        <w:tc>
          <w:tcPr>
            <w:tcW w:w="412" w:type="pct"/>
            <w:tcBorders>
              <w:bottom w:val="single" w:sz="12" w:space="0" w:color="000000" w:themeColor="text1"/>
            </w:tcBorders>
            <w:shd w:val="clear" w:color="auto" w:fill="FFFF00"/>
            <w:vAlign w:val="center"/>
          </w:tcPr>
          <w:p w:rsidR="00913814" w:rsidRPr="00913814" w:rsidRDefault="00913814" w:rsidP="00765E37">
            <w:pPr>
              <w:jc w:val="center"/>
              <w:rPr>
                <w:rFonts w:asciiTheme="minorHAnsi" w:hAnsiTheme="minorHAnsi" w:cs="Arial"/>
                <w:bCs/>
                <w:szCs w:val="17"/>
              </w:rPr>
            </w:pPr>
            <w:r w:rsidRPr="00913814">
              <w:rPr>
                <w:rFonts w:asciiTheme="minorHAnsi" w:hAnsiTheme="minorHAnsi" w:cs="Arial"/>
                <w:bCs/>
                <w:szCs w:val="17"/>
              </w:rPr>
              <w:t>4</w:t>
            </w:r>
          </w:p>
        </w:tc>
      </w:tr>
    </w:tbl>
    <w:p w:rsidR="00400B0F" w:rsidRPr="00C61187" w:rsidRDefault="00400B0F" w:rsidP="00400B0F">
      <w:pPr>
        <w:spacing w:before="20" w:after="20" w:line="180" w:lineRule="atLeast"/>
        <w:jc w:val="both"/>
        <w:rPr>
          <w:rFonts w:ascii="Franklin Gothic Book" w:eastAsia="Times New Roman" w:hAnsi="Franklin Gothic Book"/>
          <w:b/>
          <w:sz w:val="14"/>
          <w:szCs w:val="14"/>
        </w:rPr>
      </w:pP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Satisfactory (4, 5 and 6)</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rsidR="004E0264" w:rsidRPr="00A427C6" w:rsidRDefault="00400B0F" w:rsidP="00784031">
      <w:pPr>
        <w:spacing w:before="20" w:after="20" w:line="180" w:lineRule="atLeast"/>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rsidR="00400B0F" w:rsidRPr="00E644AE" w:rsidRDefault="00400B0F" w:rsidP="00784031"/>
    <w:sectPr w:rsidR="00400B0F" w:rsidRPr="00E644AE" w:rsidSect="007C6028">
      <w:headerReference w:type="default" r:id="rId22"/>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BA" w:rsidRDefault="008511BA" w:rsidP="00EF4574">
      <w:pPr>
        <w:spacing w:before="0" w:after="0" w:line="240" w:lineRule="auto"/>
      </w:pPr>
      <w:r>
        <w:separator/>
      </w:r>
    </w:p>
  </w:endnote>
  <w:endnote w:type="continuationSeparator" w:id="0">
    <w:p w:rsidR="008511BA" w:rsidRDefault="008511BA"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FF" w:rsidRDefault="00A71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FF" w:rsidRDefault="00A715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FF" w:rsidRDefault="00A715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BA" w:rsidRPr="00CD0E4B" w:rsidRDefault="008511BA" w:rsidP="00784031">
    <w:pPr>
      <w:pStyle w:val="Footer"/>
    </w:pPr>
    <w:r w:rsidRPr="00CD0E4B">
      <w:rPr>
        <w:noProof/>
        <w:lang w:val="en-AU" w:eastAsia="en-AU"/>
      </w:rPr>
      <w:drawing>
        <wp:inline distT="0" distB="0" distL="0" distR="0" wp14:anchorId="09BBF1C6" wp14:editId="0A36E3DE">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8511BA" w:rsidRPr="00CD0E4B" w:rsidRDefault="008511BA"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BA" w:rsidRPr="008C5A0E" w:rsidRDefault="008511BA" w:rsidP="001D663E">
      <w:pPr>
        <w:pStyle w:val="Footer"/>
        <w:pBdr>
          <w:top w:val="single" w:sz="4" w:space="1" w:color="495965" w:themeColor="text2"/>
        </w:pBdr>
      </w:pPr>
    </w:p>
  </w:footnote>
  <w:footnote w:type="continuationSeparator" w:id="0">
    <w:p w:rsidR="008511BA" w:rsidRDefault="008511BA" w:rsidP="00EF4574">
      <w:pPr>
        <w:spacing w:before="0" w:after="0" w:line="240" w:lineRule="auto"/>
      </w:pPr>
      <w:r>
        <w:continuationSeparator/>
      </w:r>
    </w:p>
  </w:footnote>
  <w:footnote w:id="1">
    <w:p w:rsidR="008511BA" w:rsidRPr="005A652A" w:rsidRDefault="008511BA" w:rsidP="005B133C">
      <w:pPr>
        <w:pStyle w:val="FootnoteText"/>
        <w:rPr>
          <w:rFonts w:cs="Times New Roman"/>
          <w:color w:val="auto"/>
          <w:sz w:val="18"/>
          <w:szCs w:val="18"/>
        </w:rPr>
      </w:pPr>
      <w:r w:rsidRPr="005A652A">
        <w:rPr>
          <w:rStyle w:val="FootnoteReference"/>
          <w:rFonts w:cs="Times New Roman"/>
          <w:color w:val="auto"/>
          <w:sz w:val="18"/>
          <w:szCs w:val="18"/>
        </w:rPr>
        <w:footnoteRef/>
      </w:r>
      <w:r w:rsidRPr="005A652A">
        <w:rPr>
          <w:rFonts w:cs="Times New Roman"/>
          <w:color w:val="auto"/>
          <w:sz w:val="18"/>
          <w:szCs w:val="18"/>
        </w:rPr>
        <w:t xml:space="preserve"> UN Women Asian and the Pacific; </w:t>
      </w:r>
      <w:hyperlink r:id="rId1" w:history="1">
        <w:r w:rsidRPr="005A652A">
          <w:rPr>
            <w:rStyle w:val="Hyperlink"/>
            <w:rFonts w:cs="Times New Roman"/>
            <w:sz w:val="18"/>
            <w:szCs w:val="18"/>
          </w:rPr>
          <w:t>http://asiapacific.unwomen.org/en/countries/pakistan</w:t>
        </w:r>
      </w:hyperlink>
    </w:p>
  </w:footnote>
  <w:footnote w:id="2">
    <w:p w:rsidR="008511BA" w:rsidRPr="005A652A" w:rsidRDefault="008511BA" w:rsidP="006E0298">
      <w:pPr>
        <w:pStyle w:val="FootnoteText"/>
        <w:rPr>
          <w:color w:val="auto"/>
          <w:sz w:val="18"/>
          <w:szCs w:val="18"/>
          <w:lang w:val="en-AU"/>
        </w:rPr>
      </w:pPr>
      <w:r w:rsidRPr="005A652A">
        <w:rPr>
          <w:rStyle w:val="FootnoteReference"/>
          <w:color w:val="auto"/>
          <w:sz w:val="18"/>
          <w:szCs w:val="18"/>
        </w:rPr>
        <w:footnoteRef/>
      </w:r>
      <w:r w:rsidRPr="005A652A">
        <w:rPr>
          <w:color w:val="auto"/>
          <w:sz w:val="18"/>
          <w:szCs w:val="18"/>
        </w:rPr>
        <w:t xml:space="preserve"> </w:t>
      </w:r>
      <w:r w:rsidRPr="005A652A">
        <w:rPr>
          <w:color w:val="auto"/>
          <w:sz w:val="18"/>
          <w:szCs w:val="18"/>
          <w:lang w:val="en-AU"/>
        </w:rPr>
        <w:t>World Bank: World Development Indicators: Trade as a % of GDP 2014</w:t>
      </w:r>
    </w:p>
  </w:footnote>
  <w:footnote w:id="3">
    <w:p w:rsidR="008511BA" w:rsidRPr="005A652A" w:rsidRDefault="008511BA" w:rsidP="006E0298">
      <w:pPr>
        <w:pStyle w:val="FootnoteText"/>
        <w:rPr>
          <w:color w:val="auto"/>
          <w:sz w:val="18"/>
          <w:szCs w:val="18"/>
          <w:lang w:val="en-AU"/>
        </w:rPr>
      </w:pPr>
      <w:r w:rsidRPr="005A652A">
        <w:rPr>
          <w:rStyle w:val="FootnoteReference"/>
          <w:color w:val="auto"/>
          <w:sz w:val="18"/>
          <w:szCs w:val="18"/>
        </w:rPr>
        <w:footnoteRef/>
      </w:r>
      <w:r w:rsidRPr="005A652A">
        <w:rPr>
          <w:color w:val="auto"/>
          <w:sz w:val="18"/>
          <w:szCs w:val="18"/>
        </w:rPr>
        <w:t xml:space="preserve"> </w:t>
      </w:r>
      <w:r w:rsidRPr="005A652A">
        <w:rPr>
          <w:color w:val="auto"/>
          <w:sz w:val="18"/>
          <w:szCs w:val="18"/>
          <w:lang w:val="en-AU"/>
        </w:rPr>
        <w:t xml:space="preserve">World Bank: Pakistan Overview 2016; </w:t>
      </w:r>
      <w:hyperlink r:id="rId2" w:history="1">
        <w:r w:rsidRPr="005A652A">
          <w:rPr>
            <w:rStyle w:val="Hyperlink"/>
            <w:rFonts w:cstheme="minorBidi"/>
            <w:sz w:val="18"/>
            <w:szCs w:val="18"/>
            <w:lang w:val="en-AU"/>
          </w:rPr>
          <w:t>http://www.worldbank.org/en/country/pakistan/overview</w:t>
        </w:r>
      </w:hyperlink>
      <w:r w:rsidRPr="005A652A">
        <w:rPr>
          <w:color w:val="auto"/>
          <w:sz w:val="18"/>
          <w:szCs w:val="18"/>
          <w:lang w:val="en-AU"/>
        </w:rPr>
        <w:t xml:space="preserve"> </w:t>
      </w:r>
    </w:p>
  </w:footnote>
  <w:footnote w:id="4">
    <w:p w:rsidR="008511BA" w:rsidRPr="005A652A" w:rsidRDefault="008511BA" w:rsidP="00665B75">
      <w:pPr>
        <w:rPr>
          <w:color w:val="auto"/>
          <w:sz w:val="18"/>
          <w:szCs w:val="18"/>
        </w:rPr>
      </w:pPr>
      <w:r w:rsidRPr="005A652A">
        <w:rPr>
          <w:rStyle w:val="FootnoteReference"/>
          <w:color w:val="auto"/>
          <w:sz w:val="18"/>
          <w:szCs w:val="18"/>
        </w:rPr>
        <w:footnoteRef/>
      </w:r>
      <w:r w:rsidRPr="005A652A">
        <w:rPr>
          <w:color w:val="auto"/>
          <w:sz w:val="18"/>
          <w:szCs w:val="18"/>
        </w:rPr>
        <w:t xml:space="preserve"> </w:t>
      </w:r>
      <w:proofErr w:type="gramStart"/>
      <w:r w:rsidRPr="005A652A">
        <w:rPr>
          <w:color w:val="auto"/>
          <w:sz w:val="18"/>
          <w:szCs w:val="18"/>
          <w:lang w:val="en-AU"/>
        </w:rPr>
        <w:t xml:space="preserve">Food and Agriculture Organisation of the United Nations, 2016; </w:t>
      </w:r>
      <w:hyperlink r:id="rId3" w:history="1">
        <w:r w:rsidRPr="005A652A">
          <w:rPr>
            <w:rStyle w:val="Hyperlink"/>
            <w:sz w:val="18"/>
            <w:szCs w:val="18"/>
          </w:rPr>
          <w:t>http://www.fao.org/pakistan/fao-in-pakistan/pakistan-at-a-glance/en/</w:t>
        </w:r>
      </w:hyperlink>
      <w:r w:rsidRPr="005A652A">
        <w:rPr>
          <w:rStyle w:val="Hyperlink"/>
          <w:sz w:val="18"/>
          <w:szCs w:val="18"/>
        </w:rPr>
        <w:t>.</w:t>
      </w:r>
      <w:proofErr w:type="gramEnd"/>
      <w:r w:rsidRPr="005A652A">
        <w:rPr>
          <w:rStyle w:val="Hyperlink"/>
          <w:sz w:val="18"/>
          <w:szCs w:val="18"/>
        </w:rPr>
        <w:t xml:space="preserve"> </w:t>
      </w:r>
      <w:r w:rsidRPr="005A652A">
        <w:rPr>
          <w:color w:val="auto"/>
          <w:sz w:val="18"/>
          <w:szCs w:val="18"/>
          <w:lang w:val="en-AU"/>
        </w:rPr>
        <w:t>As a result of climate change, it is expected wheat production will decrease by 50% by 2050, further exacerbating food insecurity</w:t>
      </w:r>
      <w:r w:rsidRPr="005A652A">
        <w:rPr>
          <w:color w:val="auto"/>
          <w:sz w:val="18"/>
          <w:szCs w:val="18"/>
        </w:rPr>
        <w:t xml:space="preserve">. </w:t>
      </w:r>
      <w:r w:rsidRPr="005A652A">
        <w:rPr>
          <w:color w:val="auto"/>
          <w:sz w:val="18"/>
          <w:szCs w:val="18"/>
          <w:lang w:val="en-AU"/>
        </w:rPr>
        <w:t xml:space="preserve">Jinnah Institute 2015, </w:t>
      </w:r>
      <w:r w:rsidRPr="005A652A">
        <w:rPr>
          <w:i/>
          <w:color w:val="auto"/>
          <w:sz w:val="18"/>
          <w:szCs w:val="18"/>
          <w:lang w:val="en-AU"/>
        </w:rPr>
        <w:t>Agriculture in Pakistan 2015</w:t>
      </w:r>
      <w:r w:rsidRPr="005A652A">
        <w:rPr>
          <w:color w:val="auto"/>
          <w:sz w:val="18"/>
          <w:szCs w:val="18"/>
          <w:lang w:val="en-AU"/>
        </w:rPr>
        <w:t xml:space="preserve">; </w:t>
      </w:r>
      <w:hyperlink r:id="rId4" w:history="1">
        <w:r w:rsidRPr="005A652A">
          <w:rPr>
            <w:rStyle w:val="Hyperlink"/>
            <w:rFonts w:cstheme="minorBidi"/>
            <w:sz w:val="18"/>
            <w:szCs w:val="18"/>
            <w:lang w:val="en-AU"/>
          </w:rPr>
          <w:t>http://jinnah-institute.org/agriculture-in-pakistan-2015/</w:t>
        </w:r>
      </w:hyperlink>
    </w:p>
  </w:footnote>
  <w:footnote w:id="5">
    <w:p w:rsidR="008511BA" w:rsidRPr="005A652A" w:rsidRDefault="008511BA" w:rsidP="00DD012C">
      <w:pPr>
        <w:pStyle w:val="FootnoteText"/>
        <w:rPr>
          <w:color w:val="auto"/>
          <w:sz w:val="18"/>
          <w:szCs w:val="18"/>
          <w:lang w:val="en-AU"/>
        </w:rPr>
      </w:pPr>
      <w:r w:rsidRPr="005A652A">
        <w:rPr>
          <w:rStyle w:val="FootnoteReference"/>
          <w:color w:val="auto"/>
          <w:sz w:val="18"/>
          <w:szCs w:val="18"/>
        </w:rPr>
        <w:footnoteRef/>
      </w:r>
      <w:r w:rsidRPr="005A652A">
        <w:rPr>
          <w:color w:val="auto"/>
          <w:sz w:val="18"/>
          <w:szCs w:val="18"/>
        </w:rPr>
        <w:t xml:space="preserve"> </w:t>
      </w:r>
      <w:r w:rsidRPr="005A652A">
        <w:rPr>
          <w:color w:val="auto"/>
          <w:sz w:val="18"/>
          <w:szCs w:val="18"/>
          <w:lang w:val="en-AU"/>
        </w:rPr>
        <w:t xml:space="preserve">UNDP 2015 Human Development Report, </w:t>
      </w:r>
      <w:hyperlink r:id="rId5" w:history="1">
        <w:r w:rsidRPr="005A652A">
          <w:rPr>
            <w:rStyle w:val="Hyperlink"/>
            <w:rFonts w:cstheme="minorBidi"/>
            <w:sz w:val="18"/>
            <w:szCs w:val="18"/>
            <w:lang w:val="en-AU"/>
          </w:rPr>
          <w:t>http://hdr.undp.org/sites/default/files/hdr15_standalone_overview_en.pdf</w:t>
        </w:r>
      </w:hyperlink>
      <w:r w:rsidRPr="005A652A">
        <w:rPr>
          <w:color w:val="auto"/>
          <w:sz w:val="18"/>
          <w:szCs w:val="18"/>
          <w:lang w:val="en-AU"/>
        </w:rPr>
        <w:t xml:space="preserve"> </w:t>
      </w:r>
    </w:p>
  </w:footnote>
  <w:footnote w:id="6">
    <w:p w:rsidR="008511BA" w:rsidRPr="005A652A" w:rsidRDefault="008511BA">
      <w:pPr>
        <w:pStyle w:val="FootnoteText"/>
        <w:rPr>
          <w:sz w:val="18"/>
          <w:szCs w:val="18"/>
          <w:lang w:val="en-AU"/>
        </w:rPr>
      </w:pPr>
      <w:r w:rsidRPr="005A652A">
        <w:rPr>
          <w:rStyle w:val="FootnoteReference"/>
          <w:sz w:val="18"/>
          <w:szCs w:val="18"/>
        </w:rPr>
        <w:footnoteRef/>
      </w:r>
      <w:r w:rsidRPr="005A652A">
        <w:rPr>
          <w:sz w:val="18"/>
          <w:szCs w:val="18"/>
        </w:rPr>
        <w:t xml:space="preserve"> Global Nutrition Report, 2014</w:t>
      </w:r>
    </w:p>
  </w:footnote>
  <w:footnote w:id="7">
    <w:p w:rsidR="008511BA" w:rsidRPr="005A652A" w:rsidRDefault="008511BA" w:rsidP="00DD012C">
      <w:pPr>
        <w:pStyle w:val="FootnoteText"/>
        <w:rPr>
          <w:rFonts w:cs="Times New Roman"/>
          <w:color w:val="auto"/>
          <w:sz w:val="18"/>
          <w:szCs w:val="18"/>
        </w:rPr>
      </w:pPr>
      <w:r w:rsidRPr="005A652A">
        <w:rPr>
          <w:rStyle w:val="FootnoteReference"/>
          <w:rFonts w:cs="Times New Roman"/>
          <w:color w:val="auto"/>
          <w:sz w:val="18"/>
          <w:szCs w:val="18"/>
        </w:rPr>
        <w:footnoteRef/>
      </w:r>
      <w:r w:rsidRPr="005A652A">
        <w:rPr>
          <w:rFonts w:cs="Times New Roman"/>
          <w:color w:val="auto"/>
          <w:sz w:val="18"/>
          <w:szCs w:val="18"/>
        </w:rPr>
        <w:t xml:space="preserve"> Pakistan Demographic and Health Survey 2012-2013</w:t>
      </w:r>
    </w:p>
  </w:footnote>
  <w:footnote w:id="8">
    <w:p w:rsidR="008511BA" w:rsidRPr="005A652A" w:rsidRDefault="008511BA" w:rsidP="00DD012C">
      <w:pPr>
        <w:pStyle w:val="FootnoteText"/>
        <w:rPr>
          <w:rFonts w:cs="Times New Roman"/>
          <w:color w:val="auto"/>
          <w:sz w:val="18"/>
          <w:szCs w:val="18"/>
        </w:rPr>
      </w:pPr>
      <w:r w:rsidRPr="005A652A">
        <w:rPr>
          <w:rStyle w:val="FootnoteReference"/>
          <w:rFonts w:cs="Times New Roman"/>
          <w:color w:val="auto"/>
          <w:sz w:val="18"/>
          <w:szCs w:val="18"/>
        </w:rPr>
        <w:footnoteRef/>
      </w:r>
      <w:r w:rsidRPr="005A652A">
        <w:rPr>
          <w:rFonts w:cs="Times New Roman"/>
          <w:color w:val="auto"/>
          <w:sz w:val="18"/>
          <w:szCs w:val="18"/>
        </w:rPr>
        <w:t xml:space="preserve"> UNDP Human Development Report 2014</w:t>
      </w:r>
    </w:p>
  </w:footnote>
  <w:footnote w:id="9">
    <w:p w:rsidR="008511BA" w:rsidRPr="005A652A" w:rsidRDefault="008511BA" w:rsidP="00DD012C">
      <w:pPr>
        <w:pStyle w:val="FootnoteText"/>
        <w:rPr>
          <w:color w:val="auto"/>
          <w:sz w:val="18"/>
          <w:szCs w:val="18"/>
          <w:lang w:val="en-AU"/>
        </w:rPr>
      </w:pPr>
      <w:r w:rsidRPr="005A652A">
        <w:rPr>
          <w:rStyle w:val="FootnoteReference"/>
          <w:color w:val="auto"/>
          <w:sz w:val="18"/>
          <w:szCs w:val="18"/>
        </w:rPr>
        <w:footnoteRef/>
      </w:r>
      <w:r w:rsidRPr="005A652A">
        <w:rPr>
          <w:color w:val="auto"/>
          <w:sz w:val="18"/>
          <w:szCs w:val="18"/>
        </w:rPr>
        <w:t xml:space="preserve"> </w:t>
      </w:r>
      <w:r w:rsidRPr="005A652A">
        <w:rPr>
          <w:color w:val="auto"/>
          <w:sz w:val="18"/>
          <w:szCs w:val="18"/>
          <w:lang w:val="en-AU"/>
        </w:rPr>
        <w:t>United Nations Educational, Scientific, and Cultural Organisation, 2015; illiteracy rate</w:t>
      </w:r>
    </w:p>
  </w:footnote>
  <w:footnote w:id="10">
    <w:p w:rsidR="008511BA" w:rsidRPr="005A652A" w:rsidRDefault="008511BA" w:rsidP="00DD012C">
      <w:pPr>
        <w:suppressAutoHyphens w:val="0"/>
        <w:autoSpaceDE w:val="0"/>
        <w:autoSpaceDN w:val="0"/>
        <w:adjustRightInd w:val="0"/>
        <w:spacing w:before="0" w:after="0" w:line="240" w:lineRule="auto"/>
        <w:rPr>
          <w:rFonts w:eastAsia="Times New Roman" w:cs="Arial"/>
          <w:color w:val="auto"/>
          <w:sz w:val="18"/>
          <w:szCs w:val="18"/>
          <w:lang w:val="en-AU" w:eastAsia="en-AU"/>
        </w:rPr>
      </w:pPr>
      <w:r w:rsidRPr="005A652A">
        <w:rPr>
          <w:rStyle w:val="FootnoteReference"/>
          <w:color w:val="auto"/>
          <w:sz w:val="18"/>
          <w:szCs w:val="18"/>
        </w:rPr>
        <w:footnoteRef/>
      </w:r>
      <w:r w:rsidRPr="005A652A">
        <w:rPr>
          <w:color w:val="auto"/>
          <w:sz w:val="18"/>
          <w:szCs w:val="18"/>
        </w:rPr>
        <w:t xml:space="preserve"> </w:t>
      </w:r>
      <w:r w:rsidRPr="005A652A">
        <w:rPr>
          <w:color w:val="auto"/>
          <w:sz w:val="18"/>
          <w:szCs w:val="18"/>
          <w:lang w:val="en-AU"/>
        </w:rPr>
        <w:t xml:space="preserve">UNICEF: Out of School Children in the </w:t>
      </w:r>
      <w:r w:rsidRPr="005A652A">
        <w:rPr>
          <w:rFonts w:eastAsia="Times New Roman" w:cs="Arial"/>
          <w:color w:val="auto"/>
          <w:sz w:val="18"/>
          <w:szCs w:val="18"/>
          <w:lang w:val="en-AU" w:eastAsia="en-AU"/>
        </w:rPr>
        <w:t>Khyber Pakhtunkhwa, Punjab and Sindh, 2013</w:t>
      </w:r>
    </w:p>
    <w:p w:rsidR="008511BA" w:rsidRPr="005A652A" w:rsidRDefault="008511BA" w:rsidP="00DD012C">
      <w:pPr>
        <w:pStyle w:val="FootnoteText"/>
        <w:rPr>
          <w:color w:val="auto"/>
          <w:sz w:val="18"/>
          <w:szCs w:val="18"/>
          <w:lang w:val="en-AU"/>
        </w:rPr>
      </w:pPr>
      <w:r w:rsidRPr="005A652A">
        <w:rPr>
          <w:rFonts w:eastAsia="Times New Roman" w:cs="Arial"/>
          <w:color w:val="auto"/>
          <w:sz w:val="18"/>
          <w:szCs w:val="18"/>
          <w:lang w:val="en-AU" w:eastAsia="en-AU"/>
        </w:rPr>
        <w:t xml:space="preserve">Provinces of Pakistan 2013; </w:t>
      </w:r>
      <w:hyperlink r:id="rId6" w:history="1">
        <w:r w:rsidRPr="005A652A">
          <w:rPr>
            <w:rStyle w:val="Hyperlink"/>
            <w:rFonts w:eastAsia="Times New Roman" w:cs="Arial"/>
            <w:sz w:val="18"/>
            <w:szCs w:val="18"/>
            <w:lang w:val="en-AU" w:eastAsia="en-AU"/>
          </w:rPr>
          <w:t>http://www.unicef.org/pakistan/overview_8436.htm</w:t>
        </w:r>
      </w:hyperlink>
      <w:r w:rsidRPr="005A652A">
        <w:rPr>
          <w:rFonts w:eastAsia="Times New Roman" w:cs="Arial"/>
          <w:color w:val="auto"/>
          <w:sz w:val="18"/>
          <w:szCs w:val="18"/>
          <w:lang w:val="en-AU" w:eastAsia="en-AU"/>
        </w:rPr>
        <w:t xml:space="preserve"> </w:t>
      </w:r>
    </w:p>
  </w:footnote>
  <w:footnote w:id="11">
    <w:p w:rsidR="008511BA" w:rsidRPr="005A652A" w:rsidRDefault="008511BA" w:rsidP="006E0298">
      <w:pPr>
        <w:pStyle w:val="FootnoteText"/>
        <w:rPr>
          <w:color w:val="auto"/>
          <w:sz w:val="18"/>
          <w:szCs w:val="18"/>
          <w:lang w:val="en-AU"/>
        </w:rPr>
      </w:pPr>
      <w:r w:rsidRPr="005A652A">
        <w:rPr>
          <w:rStyle w:val="FootnoteReference"/>
          <w:color w:val="auto"/>
          <w:sz w:val="18"/>
          <w:szCs w:val="18"/>
        </w:rPr>
        <w:footnoteRef/>
      </w:r>
      <w:r w:rsidRPr="005A652A">
        <w:rPr>
          <w:color w:val="auto"/>
          <w:sz w:val="18"/>
          <w:szCs w:val="18"/>
        </w:rPr>
        <w:t xml:space="preserve"> </w:t>
      </w:r>
      <w:r w:rsidRPr="005A652A">
        <w:rPr>
          <w:i/>
          <w:color w:val="auto"/>
          <w:sz w:val="18"/>
          <w:szCs w:val="18"/>
          <w:lang w:val="en-AU"/>
        </w:rPr>
        <w:t>UNDP 2015 Human Development Report</w:t>
      </w:r>
      <w:r w:rsidRPr="005A652A">
        <w:rPr>
          <w:color w:val="auto"/>
          <w:sz w:val="18"/>
          <w:szCs w:val="18"/>
          <w:lang w:val="en-AU"/>
        </w:rPr>
        <w:t xml:space="preserve">, </w:t>
      </w:r>
      <w:hyperlink r:id="rId7" w:history="1">
        <w:r w:rsidRPr="005A652A">
          <w:rPr>
            <w:rStyle w:val="Hyperlink"/>
            <w:sz w:val="18"/>
            <w:szCs w:val="18"/>
            <w:lang w:val="en-AU"/>
          </w:rPr>
          <w:t>http://hdr.undp.org/en/2015-report</w:t>
        </w:r>
      </w:hyperlink>
      <w:r w:rsidRPr="005A652A">
        <w:rPr>
          <w:color w:val="auto"/>
          <w:sz w:val="18"/>
          <w:szCs w:val="18"/>
          <w:lang w:val="en-AU"/>
        </w:rPr>
        <w:t xml:space="preserve"> </w:t>
      </w:r>
    </w:p>
  </w:footnote>
  <w:footnote w:id="12">
    <w:p w:rsidR="008511BA" w:rsidRPr="005A652A" w:rsidRDefault="008511BA" w:rsidP="00BD6FCB">
      <w:pPr>
        <w:pStyle w:val="FootnoteText"/>
        <w:rPr>
          <w:rFonts w:cs="Times New Roman"/>
          <w:color w:val="auto"/>
          <w:sz w:val="18"/>
          <w:szCs w:val="18"/>
        </w:rPr>
      </w:pPr>
      <w:r w:rsidRPr="005A652A">
        <w:rPr>
          <w:rStyle w:val="FootnoteReference"/>
          <w:rFonts w:cs="Times New Roman"/>
          <w:color w:val="auto"/>
          <w:sz w:val="18"/>
          <w:szCs w:val="18"/>
        </w:rPr>
        <w:footnoteRef/>
      </w:r>
      <w:r w:rsidRPr="005A652A">
        <w:rPr>
          <w:rFonts w:cs="Times New Roman"/>
          <w:color w:val="auto"/>
          <w:sz w:val="18"/>
          <w:szCs w:val="18"/>
        </w:rPr>
        <w:t xml:space="preserve"> </w:t>
      </w:r>
      <w:proofErr w:type="gramStart"/>
      <w:r w:rsidRPr="005A652A">
        <w:rPr>
          <w:rFonts w:cs="Times New Roman"/>
          <w:color w:val="auto"/>
          <w:sz w:val="18"/>
          <w:szCs w:val="18"/>
        </w:rPr>
        <w:t>Thomas Reuters Foundation, Trust Law, ‘FACT SHEET – The world’s most dangerous countries for women’.</w:t>
      </w:r>
      <w:proofErr w:type="gramEnd"/>
      <w:r w:rsidRPr="005A652A">
        <w:rPr>
          <w:rFonts w:cs="Times New Roman"/>
          <w:color w:val="auto"/>
          <w:sz w:val="18"/>
          <w:szCs w:val="18"/>
        </w:rPr>
        <w:t xml:space="preserve"> June 2011</w:t>
      </w:r>
    </w:p>
  </w:footnote>
  <w:footnote w:id="13">
    <w:p w:rsidR="008511BA" w:rsidRPr="00AB0A48" w:rsidRDefault="008511BA" w:rsidP="006E0298">
      <w:pPr>
        <w:pStyle w:val="FootnoteText"/>
        <w:rPr>
          <w:rFonts w:cs="Times New Roman"/>
          <w:color w:val="auto"/>
          <w:sz w:val="18"/>
          <w:szCs w:val="18"/>
        </w:rPr>
      </w:pPr>
      <w:r w:rsidRPr="005A652A">
        <w:rPr>
          <w:rStyle w:val="FootnoteReference"/>
          <w:rFonts w:cs="Times New Roman"/>
          <w:color w:val="auto"/>
          <w:sz w:val="18"/>
          <w:szCs w:val="18"/>
        </w:rPr>
        <w:footnoteRef/>
      </w:r>
      <w:r w:rsidRPr="005A652A">
        <w:rPr>
          <w:rFonts w:cs="Times New Roman"/>
          <w:color w:val="auto"/>
          <w:sz w:val="18"/>
          <w:szCs w:val="18"/>
        </w:rPr>
        <w:t xml:space="preserve"> </w:t>
      </w:r>
      <w:r w:rsidRPr="005A652A">
        <w:rPr>
          <w:rFonts w:cs="Times New Roman"/>
          <w:i/>
          <w:color w:val="auto"/>
          <w:sz w:val="18"/>
          <w:szCs w:val="18"/>
        </w:rPr>
        <w:t>UNDP Human Development Report 2014</w:t>
      </w:r>
    </w:p>
  </w:footnote>
  <w:footnote w:id="14">
    <w:p w:rsidR="008511BA" w:rsidRPr="005A652A" w:rsidRDefault="008511BA" w:rsidP="00DD012C">
      <w:pPr>
        <w:rPr>
          <w:sz w:val="18"/>
          <w:szCs w:val="18"/>
        </w:rPr>
      </w:pPr>
      <w:r w:rsidRPr="005A652A">
        <w:rPr>
          <w:rStyle w:val="FootnoteReference"/>
          <w:sz w:val="18"/>
          <w:szCs w:val="18"/>
        </w:rPr>
        <w:footnoteRef/>
      </w:r>
      <w:r w:rsidRPr="005A652A">
        <w:rPr>
          <w:sz w:val="18"/>
          <w:szCs w:val="18"/>
        </w:rPr>
        <w:t xml:space="preserve"> </w:t>
      </w:r>
      <w:r w:rsidRPr="005A652A">
        <w:rPr>
          <w:sz w:val="18"/>
          <w:szCs w:val="18"/>
          <w:lang w:val="en-AU"/>
        </w:rPr>
        <w:t xml:space="preserve">Pakistan Humanitarian Bulletin December 2015; </w:t>
      </w:r>
      <w:hyperlink r:id="rId8" w:history="1">
        <w:r w:rsidRPr="005A652A">
          <w:rPr>
            <w:rStyle w:val="Hyperlink"/>
            <w:sz w:val="18"/>
            <w:szCs w:val="18"/>
          </w:rPr>
          <w:t>https://www.humanitarianresponse.info/en/system/files/documents/files/humanitarian_bulletin_dec_jan_2016.pdf</w:t>
        </w:r>
      </w:hyperlink>
    </w:p>
  </w:footnote>
  <w:footnote w:id="15">
    <w:p w:rsidR="008511BA" w:rsidRPr="005A652A" w:rsidRDefault="008511BA" w:rsidP="009314E5">
      <w:pPr>
        <w:pStyle w:val="FootnoteText"/>
        <w:rPr>
          <w:sz w:val="18"/>
          <w:szCs w:val="18"/>
          <w:lang w:val="en-AU"/>
        </w:rPr>
      </w:pPr>
      <w:r w:rsidRPr="005A652A">
        <w:rPr>
          <w:rStyle w:val="FootnoteReference"/>
          <w:sz w:val="18"/>
          <w:szCs w:val="18"/>
          <w:u w:val="single"/>
        </w:rPr>
        <w:footnoteRef/>
      </w:r>
      <w:r w:rsidRPr="005A652A">
        <w:rPr>
          <w:rStyle w:val="FootnoteReference"/>
          <w:sz w:val="18"/>
          <w:szCs w:val="18"/>
          <w:u w:val="single"/>
        </w:rPr>
        <w:t xml:space="preserve"> </w:t>
      </w:r>
      <w:r w:rsidR="000A3095" w:rsidRPr="005A652A">
        <w:rPr>
          <w:sz w:val="18"/>
          <w:szCs w:val="18"/>
          <w:lang w:val="en-AU"/>
        </w:rPr>
        <w:t xml:space="preserve"> Pakistan National Action Plan: http://infopak.gov.pk/InnerPage.aspx?Page_ID=46</w:t>
      </w:r>
    </w:p>
  </w:footnote>
  <w:footnote w:id="16">
    <w:p w:rsidR="008511BA" w:rsidRPr="005A652A" w:rsidRDefault="008511BA" w:rsidP="009314E5">
      <w:pPr>
        <w:rPr>
          <w:sz w:val="18"/>
          <w:szCs w:val="18"/>
          <w:lang w:val="en-AU"/>
        </w:rPr>
      </w:pPr>
      <w:r w:rsidRPr="005A652A">
        <w:rPr>
          <w:rStyle w:val="FootnoteReference"/>
          <w:sz w:val="18"/>
          <w:szCs w:val="18"/>
        </w:rPr>
        <w:footnoteRef/>
      </w:r>
      <w:r w:rsidRPr="005A652A">
        <w:rPr>
          <w:sz w:val="18"/>
          <w:szCs w:val="18"/>
        </w:rPr>
        <w:t xml:space="preserve"> </w:t>
      </w:r>
      <w:r w:rsidRPr="005A652A">
        <w:rPr>
          <w:sz w:val="18"/>
          <w:szCs w:val="18"/>
          <w:lang w:val="en-AU"/>
        </w:rPr>
        <w:t xml:space="preserve">UN Office for the  Coordination of Humanitarian affairs 2015; </w:t>
      </w:r>
      <w:hyperlink r:id="rId9" w:history="1">
        <w:r w:rsidRPr="005A652A">
          <w:rPr>
            <w:rStyle w:val="Hyperlink"/>
            <w:sz w:val="18"/>
            <w:szCs w:val="18"/>
          </w:rPr>
          <w:t>http://www.unocha.org/pakistan/</w:t>
        </w:r>
      </w:hyperlink>
    </w:p>
  </w:footnote>
  <w:footnote w:id="17">
    <w:p w:rsidR="008511BA" w:rsidRPr="005A652A" w:rsidRDefault="008511BA" w:rsidP="006E0298">
      <w:pPr>
        <w:pStyle w:val="FootnoteText"/>
        <w:rPr>
          <w:color w:val="auto"/>
          <w:sz w:val="18"/>
          <w:szCs w:val="18"/>
          <w:lang w:val="en-AU"/>
        </w:rPr>
      </w:pPr>
      <w:r w:rsidRPr="005A652A">
        <w:rPr>
          <w:rStyle w:val="FootnoteReference"/>
          <w:color w:val="auto"/>
          <w:sz w:val="18"/>
          <w:szCs w:val="18"/>
        </w:rPr>
        <w:footnoteRef/>
      </w:r>
      <w:r w:rsidRPr="005A652A">
        <w:rPr>
          <w:color w:val="auto"/>
          <w:sz w:val="18"/>
          <w:szCs w:val="18"/>
        </w:rPr>
        <w:t xml:space="preserve"> </w:t>
      </w:r>
      <w:r w:rsidRPr="005A652A">
        <w:rPr>
          <w:color w:val="auto"/>
          <w:sz w:val="18"/>
          <w:szCs w:val="18"/>
          <w:lang w:val="en-AU"/>
        </w:rPr>
        <w:t>LEAD Pakistan, 2015; http://www.preventionweb.net/publications/view/43595</w:t>
      </w:r>
    </w:p>
  </w:footnote>
  <w:footnote w:id="18">
    <w:p w:rsidR="008511BA" w:rsidRPr="005A652A" w:rsidRDefault="008511BA" w:rsidP="006E0298">
      <w:pPr>
        <w:pStyle w:val="FootnoteText"/>
        <w:rPr>
          <w:sz w:val="18"/>
          <w:szCs w:val="18"/>
        </w:rPr>
      </w:pPr>
      <w:r w:rsidRPr="005A652A">
        <w:rPr>
          <w:rStyle w:val="FootnoteReference"/>
          <w:color w:val="auto"/>
          <w:sz w:val="18"/>
          <w:szCs w:val="18"/>
        </w:rPr>
        <w:footnoteRef/>
      </w:r>
      <w:r w:rsidRPr="005A652A">
        <w:rPr>
          <w:color w:val="auto"/>
          <w:sz w:val="18"/>
          <w:szCs w:val="18"/>
        </w:rPr>
        <w:t xml:space="preserve"> </w:t>
      </w:r>
      <w:r w:rsidRPr="005A652A">
        <w:rPr>
          <w:i/>
          <w:color w:val="auto"/>
          <w:sz w:val="18"/>
          <w:szCs w:val="18"/>
        </w:rPr>
        <w:t>Global Assessment Report on Disaster Risk Reduction 2015</w:t>
      </w:r>
      <w:r w:rsidRPr="005A652A">
        <w:rPr>
          <w:color w:val="auto"/>
          <w:sz w:val="18"/>
          <w:szCs w:val="18"/>
        </w:rPr>
        <w:t>. See: http://www.preventionweb.net/english/hyogo/gar/2015/en/home/data.php?iso=PAK</w:t>
      </w:r>
    </w:p>
  </w:footnote>
  <w:footnote w:id="19">
    <w:p w:rsidR="008511BA" w:rsidRPr="005A652A" w:rsidRDefault="008511BA">
      <w:pPr>
        <w:pStyle w:val="FootnoteText"/>
        <w:rPr>
          <w:sz w:val="18"/>
          <w:szCs w:val="18"/>
          <w:lang w:val="en-AU"/>
        </w:rPr>
      </w:pPr>
      <w:r w:rsidRPr="005A652A">
        <w:rPr>
          <w:rStyle w:val="FootnoteReference"/>
          <w:sz w:val="18"/>
          <w:szCs w:val="18"/>
        </w:rPr>
        <w:footnoteRef/>
      </w:r>
      <w:r w:rsidRPr="005A652A">
        <w:rPr>
          <w:sz w:val="18"/>
          <w:szCs w:val="18"/>
        </w:rPr>
        <w:t xml:space="preserve"> </w:t>
      </w:r>
      <w:r w:rsidRPr="005A652A">
        <w:rPr>
          <w:sz w:val="18"/>
          <w:szCs w:val="18"/>
          <w:lang w:val="en-AU"/>
        </w:rPr>
        <w:t>http://dfat.gov.au/about-us/publications/Pages/australian-aid-promoting-prosperity-reducing-poverty-enhancing-stability.aspx</w:t>
      </w:r>
    </w:p>
  </w:footnote>
  <w:footnote w:id="20">
    <w:p w:rsidR="008511BA" w:rsidRPr="005A652A" w:rsidRDefault="008511BA">
      <w:pPr>
        <w:pStyle w:val="FootnoteText"/>
        <w:rPr>
          <w:sz w:val="18"/>
          <w:szCs w:val="18"/>
          <w:lang w:val="en-AU"/>
        </w:rPr>
      </w:pPr>
      <w:r w:rsidRPr="005A652A">
        <w:rPr>
          <w:rStyle w:val="FootnoteReference"/>
          <w:sz w:val="18"/>
          <w:szCs w:val="18"/>
        </w:rPr>
        <w:footnoteRef/>
      </w:r>
      <w:r w:rsidRPr="005A652A">
        <w:rPr>
          <w:sz w:val="18"/>
          <w:szCs w:val="18"/>
        </w:rPr>
        <w:t xml:space="preserve"> </w:t>
      </w:r>
      <w:r w:rsidRPr="005A652A">
        <w:rPr>
          <w:rStyle w:val="HTMLCite"/>
          <w:rFonts w:cs="Arial"/>
          <w:i w:val="0"/>
          <w:color w:val="666666"/>
          <w:sz w:val="18"/>
          <w:szCs w:val="18"/>
        </w:rPr>
        <w:t>www.pc.gov.pk/wp-content/uploads/2015/05/Pakistan-</w:t>
      </w:r>
      <w:r w:rsidRPr="005A652A">
        <w:rPr>
          <w:rStyle w:val="HTMLCite"/>
          <w:rFonts w:cs="Arial"/>
          <w:b/>
          <w:bCs/>
          <w:i w:val="0"/>
          <w:color w:val="666666"/>
          <w:sz w:val="18"/>
          <w:szCs w:val="18"/>
        </w:rPr>
        <w:t>Vision</w:t>
      </w:r>
      <w:r w:rsidRPr="005A652A">
        <w:rPr>
          <w:rStyle w:val="HTMLCite"/>
          <w:rFonts w:cs="Arial"/>
          <w:i w:val="0"/>
          <w:color w:val="666666"/>
          <w:sz w:val="18"/>
          <w:szCs w:val="18"/>
        </w:rPr>
        <w:t>-</w:t>
      </w:r>
      <w:r w:rsidRPr="005A652A">
        <w:rPr>
          <w:rStyle w:val="HTMLCite"/>
          <w:rFonts w:cs="Arial"/>
          <w:b/>
          <w:bCs/>
          <w:i w:val="0"/>
          <w:color w:val="666666"/>
          <w:sz w:val="18"/>
          <w:szCs w:val="18"/>
        </w:rPr>
        <w:t>2025</w:t>
      </w:r>
      <w:r w:rsidRPr="005A652A">
        <w:rPr>
          <w:rStyle w:val="HTMLCite"/>
          <w:rFonts w:cs="Arial"/>
          <w:i w:val="0"/>
          <w:color w:val="666666"/>
          <w:sz w:val="18"/>
          <w:szCs w:val="18"/>
        </w:rPr>
        <w:t>.pdf</w:t>
      </w:r>
    </w:p>
  </w:footnote>
  <w:footnote w:id="21">
    <w:p w:rsidR="008511BA" w:rsidRPr="00C17C5B" w:rsidRDefault="008511BA" w:rsidP="00506A73">
      <w:pPr>
        <w:pStyle w:val="FootnoteText"/>
        <w:rPr>
          <w:lang w:val="en-AU"/>
        </w:rPr>
      </w:pPr>
      <w:r w:rsidRPr="005A652A">
        <w:rPr>
          <w:rStyle w:val="FootnoteReference"/>
          <w:sz w:val="18"/>
          <w:szCs w:val="18"/>
        </w:rPr>
        <w:footnoteRef/>
      </w:r>
      <w:r w:rsidRPr="005A652A">
        <w:rPr>
          <w:sz w:val="18"/>
          <w:szCs w:val="18"/>
        </w:rPr>
        <w:t xml:space="preserve"> http://dfat.gov.au/about-us/publications/Pages/aid-investment-plan-aip-pakistan-2015-16-to-2018-19.aspx</w:t>
      </w:r>
    </w:p>
  </w:footnote>
  <w:footnote w:id="22">
    <w:p w:rsidR="008511BA" w:rsidRDefault="008511BA" w:rsidP="006B09E1">
      <w:pPr>
        <w:pStyle w:val="FootnoteText"/>
        <w:rPr>
          <w:sz w:val="18"/>
          <w:szCs w:val="18"/>
          <w:lang w:val="en-AU"/>
        </w:rPr>
      </w:pPr>
      <w:r>
        <w:rPr>
          <w:rStyle w:val="FootnoteReference"/>
          <w:sz w:val="18"/>
          <w:szCs w:val="18"/>
        </w:rPr>
        <w:footnoteRef/>
      </w:r>
      <w:r>
        <w:rPr>
          <w:sz w:val="18"/>
          <w:szCs w:val="18"/>
        </w:rPr>
        <w:t xml:space="preserve"> Australia Balochistan Agribusiness Program (AusABBA) 2015-16 Annual Report, August 2016</w:t>
      </w:r>
    </w:p>
  </w:footnote>
  <w:footnote w:id="23">
    <w:p w:rsidR="008511BA" w:rsidRPr="004E2C86" w:rsidRDefault="008511BA" w:rsidP="00473B0C">
      <w:pPr>
        <w:pStyle w:val="FootnoteText"/>
        <w:rPr>
          <w:sz w:val="18"/>
          <w:szCs w:val="18"/>
        </w:rPr>
      </w:pPr>
      <w:r w:rsidRPr="004E2C86">
        <w:rPr>
          <w:rStyle w:val="FootnoteReference"/>
          <w:sz w:val="18"/>
          <w:szCs w:val="18"/>
        </w:rPr>
        <w:footnoteRef/>
      </w:r>
      <w:r w:rsidRPr="004E2C86">
        <w:rPr>
          <w:rStyle w:val="FootnoteReference"/>
          <w:sz w:val="18"/>
          <w:szCs w:val="18"/>
        </w:rPr>
        <w:t xml:space="preserve"> </w:t>
      </w:r>
      <w:r w:rsidRPr="004E2C86">
        <w:rPr>
          <w:sz w:val="18"/>
          <w:szCs w:val="18"/>
        </w:rPr>
        <w:t>Australia Balochistan Agribusiness Program (</w:t>
      </w:r>
      <w:proofErr w:type="spellStart"/>
      <w:r w:rsidRPr="004E2C86">
        <w:rPr>
          <w:sz w:val="18"/>
          <w:szCs w:val="18"/>
        </w:rPr>
        <w:t>AusABBA</w:t>
      </w:r>
      <w:proofErr w:type="spellEnd"/>
      <w:r w:rsidRPr="004E2C86">
        <w:rPr>
          <w:sz w:val="18"/>
          <w:szCs w:val="18"/>
        </w:rPr>
        <w:t>) Mid Term Review Debrief, December 2015</w:t>
      </w:r>
    </w:p>
  </w:footnote>
  <w:footnote w:id="24">
    <w:p w:rsidR="008511BA" w:rsidRPr="004E2C86" w:rsidRDefault="008511BA" w:rsidP="00844F38">
      <w:pPr>
        <w:pStyle w:val="FootnoteText"/>
      </w:pPr>
      <w:r w:rsidRPr="004E2C86">
        <w:rPr>
          <w:rStyle w:val="FootnoteReference"/>
          <w:sz w:val="18"/>
          <w:szCs w:val="18"/>
        </w:rPr>
        <w:footnoteRef/>
      </w:r>
      <w:r w:rsidRPr="004E2C86">
        <w:rPr>
          <w:rStyle w:val="FootnoteReference"/>
          <w:sz w:val="18"/>
          <w:szCs w:val="18"/>
        </w:rPr>
        <w:t xml:space="preserve"> </w:t>
      </w:r>
      <w:r w:rsidRPr="004E2C86">
        <w:rPr>
          <w:sz w:val="18"/>
          <w:szCs w:val="18"/>
        </w:rPr>
        <w:t xml:space="preserve">Market Development Facility (MDF) Independent Advisory Group Mission, November 2015 </w:t>
      </w:r>
    </w:p>
  </w:footnote>
  <w:footnote w:id="25">
    <w:p w:rsidR="008511BA" w:rsidRPr="00F17F34" w:rsidRDefault="008511BA">
      <w:pPr>
        <w:pStyle w:val="FootnoteText"/>
        <w:rPr>
          <w:lang w:val="en-AU"/>
        </w:rPr>
      </w:pPr>
      <w:r w:rsidRPr="004E2C86">
        <w:rPr>
          <w:rStyle w:val="FootnoteReference"/>
          <w:sz w:val="18"/>
          <w:szCs w:val="18"/>
        </w:rPr>
        <w:footnoteRef/>
      </w:r>
      <w:r w:rsidRPr="004E2C86">
        <w:rPr>
          <w:rStyle w:val="FootnoteReference"/>
          <w:sz w:val="18"/>
          <w:szCs w:val="18"/>
        </w:rPr>
        <w:t xml:space="preserve"> </w:t>
      </w:r>
      <w:r w:rsidRPr="004E2C86">
        <w:rPr>
          <w:sz w:val="18"/>
          <w:szCs w:val="18"/>
        </w:rPr>
        <w:t>Market Development</w:t>
      </w:r>
      <w:r w:rsidRPr="007F577F">
        <w:rPr>
          <w:sz w:val="18"/>
          <w:szCs w:val="18"/>
        </w:rPr>
        <w:t xml:space="preserve"> Facility (MDF) Independent Advisory Group Mission, </w:t>
      </w:r>
      <w:r>
        <w:rPr>
          <w:sz w:val="18"/>
          <w:szCs w:val="18"/>
        </w:rPr>
        <w:t>July 2016</w:t>
      </w:r>
    </w:p>
  </w:footnote>
  <w:footnote w:id="26">
    <w:p w:rsidR="008511BA" w:rsidRPr="00D31BBE" w:rsidRDefault="008511BA" w:rsidP="003F5094">
      <w:pPr>
        <w:pStyle w:val="FootnoteText"/>
        <w:rPr>
          <w:sz w:val="18"/>
          <w:szCs w:val="18"/>
          <w:lang w:val="en-AU"/>
        </w:rPr>
      </w:pPr>
      <w:r w:rsidRPr="00D31BBE">
        <w:rPr>
          <w:rStyle w:val="FootnoteReference"/>
          <w:sz w:val="18"/>
          <w:szCs w:val="18"/>
        </w:rPr>
        <w:footnoteRef/>
      </w:r>
      <w:r w:rsidRPr="00D31BBE">
        <w:rPr>
          <w:sz w:val="18"/>
          <w:szCs w:val="18"/>
        </w:rPr>
        <w:t xml:space="preserve"> </w:t>
      </w:r>
      <w:r w:rsidRPr="00D31BBE">
        <w:rPr>
          <w:sz w:val="18"/>
          <w:szCs w:val="18"/>
          <w:lang w:val="en-AU"/>
        </w:rPr>
        <w:t>S</w:t>
      </w:r>
      <w:r>
        <w:rPr>
          <w:sz w:val="18"/>
          <w:szCs w:val="18"/>
          <w:lang w:val="en-AU"/>
        </w:rPr>
        <w:t xml:space="preserve">arhad </w:t>
      </w:r>
      <w:r w:rsidRPr="00D31BBE">
        <w:rPr>
          <w:sz w:val="18"/>
          <w:szCs w:val="18"/>
          <w:lang w:val="en-AU"/>
        </w:rPr>
        <w:t>R</w:t>
      </w:r>
      <w:r>
        <w:rPr>
          <w:sz w:val="18"/>
          <w:szCs w:val="18"/>
          <w:lang w:val="en-AU"/>
        </w:rPr>
        <w:t xml:space="preserve">ural </w:t>
      </w:r>
      <w:r w:rsidRPr="00D31BBE">
        <w:rPr>
          <w:sz w:val="18"/>
          <w:szCs w:val="18"/>
          <w:lang w:val="en-AU"/>
        </w:rPr>
        <w:t>S</w:t>
      </w:r>
      <w:r>
        <w:rPr>
          <w:sz w:val="18"/>
          <w:szCs w:val="18"/>
          <w:lang w:val="en-AU"/>
        </w:rPr>
        <w:t xml:space="preserve">upport </w:t>
      </w:r>
      <w:r w:rsidRPr="00D31BBE">
        <w:rPr>
          <w:sz w:val="18"/>
          <w:szCs w:val="18"/>
          <w:lang w:val="en-AU"/>
        </w:rPr>
        <w:t>P</w:t>
      </w:r>
      <w:r>
        <w:rPr>
          <w:sz w:val="18"/>
          <w:szCs w:val="18"/>
          <w:lang w:val="en-AU"/>
        </w:rPr>
        <w:t>rogram</w:t>
      </w:r>
      <w:r w:rsidRPr="00D31BBE">
        <w:rPr>
          <w:sz w:val="18"/>
          <w:szCs w:val="18"/>
          <w:lang w:val="en-AU"/>
        </w:rPr>
        <w:t xml:space="preserve"> </w:t>
      </w:r>
      <w:r w:rsidRPr="00D31BBE">
        <w:rPr>
          <w:sz w:val="18"/>
          <w:szCs w:val="18"/>
        </w:rPr>
        <w:t>Project for Women's Economic Empowerment and Market Development Monitoring Mission, June 2016</w:t>
      </w:r>
    </w:p>
  </w:footnote>
  <w:footnote w:id="27">
    <w:p w:rsidR="008511BA" w:rsidRPr="00844F38" w:rsidRDefault="008511BA">
      <w:pPr>
        <w:pStyle w:val="FootnoteText"/>
        <w:rPr>
          <w:lang w:val="en-AU"/>
        </w:rPr>
      </w:pPr>
      <w:r w:rsidRPr="00844F38">
        <w:rPr>
          <w:rStyle w:val="FootnoteReference"/>
          <w:sz w:val="18"/>
          <w:szCs w:val="18"/>
        </w:rPr>
        <w:footnoteRef/>
      </w:r>
      <w:r w:rsidRPr="00844F38">
        <w:rPr>
          <w:rStyle w:val="FootnoteReference"/>
          <w:sz w:val="18"/>
          <w:szCs w:val="18"/>
        </w:rPr>
        <w:t xml:space="preserve"> </w:t>
      </w:r>
      <w:r w:rsidRPr="00844F38">
        <w:rPr>
          <w:sz w:val="18"/>
          <w:szCs w:val="18"/>
        </w:rPr>
        <w:t>Part of the South Asia Sustainable Development Investment Portfolio regional program</w:t>
      </w:r>
      <w:r>
        <w:rPr>
          <w:sz w:val="18"/>
          <w:szCs w:val="18"/>
        </w:rPr>
        <w:t>.</w:t>
      </w:r>
    </w:p>
  </w:footnote>
  <w:footnote w:id="28">
    <w:p w:rsidR="008511BA" w:rsidRPr="00A676AF" w:rsidRDefault="008511BA" w:rsidP="00A25962">
      <w:pPr>
        <w:pStyle w:val="FootnoteText"/>
        <w:rPr>
          <w:sz w:val="18"/>
          <w:szCs w:val="18"/>
          <w:lang w:val="en-AU"/>
        </w:rPr>
      </w:pPr>
      <w:r w:rsidRPr="00A676AF">
        <w:rPr>
          <w:rStyle w:val="FootnoteReference"/>
          <w:sz w:val="18"/>
          <w:szCs w:val="18"/>
        </w:rPr>
        <w:footnoteRef/>
      </w:r>
      <w:r w:rsidRPr="00A676AF">
        <w:rPr>
          <w:sz w:val="18"/>
          <w:szCs w:val="18"/>
        </w:rPr>
        <w:t xml:space="preserve"> Agricultural Sector Linkages Program Phase II Completion Report</w:t>
      </w:r>
    </w:p>
  </w:footnote>
  <w:footnote w:id="29">
    <w:p w:rsidR="008511BA" w:rsidRPr="00654254" w:rsidRDefault="008511BA">
      <w:pPr>
        <w:pStyle w:val="FootnoteText"/>
        <w:rPr>
          <w:lang w:val="en-AU"/>
        </w:rPr>
      </w:pPr>
      <w:r w:rsidRPr="00A822F4">
        <w:rPr>
          <w:rStyle w:val="FootnoteReference"/>
          <w:sz w:val="18"/>
          <w:szCs w:val="18"/>
        </w:rPr>
        <w:footnoteRef/>
      </w:r>
      <w:r w:rsidRPr="00A822F4">
        <w:rPr>
          <w:rStyle w:val="FootnoteReference"/>
          <w:sz w:val="18"/>
          <w:szCs w:val="18"/>
        </w:rPr>
        <w:t xml:space="preserve"> </w:t>
      </w:r>
      <w:r>
        <w:rPr>
          <w:sz w:val="18"/>
          <w:szCs w:val="18"/>
          <w:lang w:val="en-AU"/>
        </w:rPr>
        <w:t>DFAT, Pakistan Trade and Investment Policy Program, Aid Quality Check 2015-16</w:t>
      </w:r>
    </w:p>
  </w:footnote>
  <w:footnote w:id="30">
    <w:p w:rsidR="008511BA" w:rsidRDefault="008511BA" w:rsidP="00157A95">
      <w:pPr>
        <w:pStyle w:val="FootnoteText"/>
        <w:rPr>
          <w:sz w:val="18"/>
          <w:szCs w:val="18"/>
          <w:lang w:val="en-AU"/>
        </w:rPr>
      </w:pPr>
      <w:r>
        <w:rPr>
          <w:rStyle w:val="FootnoteReference"/>
          <w:sz w:val="18"/>
          <w:szCs w:val="18"/>
        </w:rPr>
        <w:footnoteRef/>
      </w:r>
      <w:r>
        <w:rPr>
          <w:sz w:val="18"/>
          <w:szCs w:val="18"/>
        </w:rPr>
        <w:t xml:space="preserve"> </w:t>
      </w:r>
      <w:r>
        <w:rPr>
          <w:sz w:val="18"/>
          <w:szCs w:val="18"/>
          <w:lang w:val="en-AU"/>
        </w:rPr>
        <w:t>World Bank, Pakistan Trade and Investment Policy Program Progress Report February-June 2016</w:t>
      </w:r>
    </w:p>
  </w:footnote>
  <w:footnote w:id="31">
    <w:p w:rsidR="008511BA" w:rsidRDefault="008511BA" w:rsidP="00BD4875">
      <w:pPr>
        <w:pStyle w:val="FootnoteText"/>
      </w:pPr>
      <w:r w:rsidRPr="00A676AF">
        <w:rPr>
          <w:rStyle w:val="FootnoteReference"/>
          <w:sz w:val="18"/>
          <w:szCs w:val="18"/>
        </w:rPr>
        <w:footnoteRef/>
      </w:r>
      <w:r w:rsidRPr="00A676AF">
        <w:rPr>
          <w:sz w:val="18"/>
          <w:szCs w:val="18"/>
        </w:rPr>
        <w:t xml:space="preserve"> Khyber Pakhtunkhwa Education Sector Programme – Performance Assessment Framework, June 2016</w:t>
      </w:r>
      <w:r>
        <w:t xml:space="preserve"> </w:t>
      </w:r>
    </w:p>
  </w:footnote>
  <w:footnote w:id="32">
    <w:p w:rsidR="008511BA" w:rsidRDefault="008511BA" w:rsidP="00844F38">
      <w:pPr>
        <w:pStyle w:val="FootnoteText"/>
      </w:pPr>
      <w:r w:rsidRPr="00654254">
        <w:rPr>
          <w:rStyle w:val="FootnoteReference"/>
          <w:sz w:val="18"/>
          <w:szCs w:val="18"/>
        </w:rPr>
        <w:footnoteRef/>
      </w:r>
      <w:r w:rsidRPr="00654254">
        <w:rPr>
          <w:rStyle w:val="FootnoteReference"/>
          <w:sz w:val="18"/>
          <w:szCs w:val="18"/>
        </w:rPr>
        <w:t xml:space="preserve"> </w:t>
      </w:r>
      <w:r w:rsidRPr="00654254">
        <w:rPr>
          <w:sz w:val="18"/>
          <w:szCs w:val="18"/>
        </w:rPr>
        <w:t>Adam Smith International – KESP Annual Review 2015/16</w:t>
      </w:r>
    </w:p>
  </w:footnote>
  <w:footnote w:id="33">
    <w:p w:rsidR="008511BA" w:rsidRDefault="008511BA" w:rsidP="00844F38">
      <w:pPr>
        <w:pStyle w:val="FootnoteText"/>
      </w:pPr>
      <w:r w:rsidRPr="00654254">
        <w:rPr>
          <w:rStyle w:val="FootnoteReference"/>
          <w:sz w:val="18"/>
          <w:szCs w:val="18"/>
        </w:rPr>
        <w:footnoteRef/>
      </w:r>
      <w:r w:rsidRPr="00654254">
        <w:rPr>
          <w:rStyle w:val="FootnoteReference"/>
          <w:sz w:val="18"/>
          <w:szCs w:val="18"/>
        </w:rPr>
        <w:t xml:space="preserve"> </w:t>
      </w:r>
      <w:r w:rsidRPr="00654254">
        <w:rPr>
          <w:sz w:val="18"/>
          <w:szCs w:val="18"/>
        </w:rPr>
        <w:t>World Bank MDTF-N Implementation Status Results Report, April 2016</w:t>
      </w:r>
    </w:p>
  </w:footnote>
  <w:footnote w:id="34">
    <w:p w:rsidR="008511BA" w:rsidRDefault="008511BA" w:rsidP="007F5805">
      <w:pPr>
        <w:pStyle w:val="FootnoteText"/>
      </w:pPr>
      <w:r w:rsidRPr="00654254">
        <w:rPr>
          <w:rStyle w:val="FootnoteReference"/>
          <w:b/>
          <w:sz w:val="18"/>
          <w:szCs w:val="18"/>
        </w:rPr>
        <w:footnoteRef/>
      </w:r>
      <w:r>
        <w:t xml:space="preserve"> </w:t>
      </w:r>
      <w:r w:rsidRPr="00654254">
        <w:rPr>
          <w:sz w:val="18"/>
          <w:szCs w:val="18"/>
        </w:rPr>
        <w:t>World Bank Implementation Support Mission, July 2016</w:t>
      </w:r>
    </w:p>
  </w:footnote>
  <w:footnote w:id="35">
    <w:p w:rsidR="008511BA" w:rsidRPr="005A652A" w:rsidRDefault="008511BA" w:rsidP="000716A5">
      <w:pPr>
        <w:pStyle w:val="FootnoteText"/>
        <w:rPr>
          <w:sz w:val="18"/>
          <w:szCs w:val="18"/>
          <w:lang w:val="en-AU"/>
        </w:rPr>
      </w:pPr>
      <w:r w:rsidRPr="005A652A">
        <w:rPr>
          <w:rStyle w:val="FootnoteReference"/>
          <w:sz w:val="18"/>
          <w:szCs w:val="18"/>
        </w:rPr>
        <w:footnoteRef/>
      </w:r>
      <w:r w:rsidRPr="005A652A">
        <w:rPr>
          <w:sz w:val="18"/>
          <w:szCs w:val="18"/>
        </w:rPr>
        <w:t xml:space="preserve"> World Food Programme, Strengthening Policy, Advocacy for legislation and Coordination Capacity of the National Fortification Alliance to Scale Up Fortification Initiatives in Pakistan – Progress Report March 2016</w:t>
      </w:r>
    </w:p>
  </w:footnote>
  <w:footnote w:id="36">
    <w:p w:rsidR="008511BA" w:rsidRPr="005A652A" w:rsidRDefault="008511BA" w:rsidP="000716A5">
      <w:pPr>
        <w:pStyle w:val="FootnoteText"/>
        <w:rPr>
          <w:sz w:val="18"/>
          <w:szCs w:val="18"/>
        </w:rPr>
      </w:pPr>
      <w:r w:rsidRPr="005A652A">
        <w:rPr>
          <w:rStyle w:val="FootnoteReference"/>
          <w:sz w:val="18"/>
          <w:szCs w:val="18"/>
        </w:rPr>
        <w:footnoteRef/>
      </w:r>
      <w:r w:rsidRPr="005A652A">
        <w:rPr>
          <w:sz w:val="18"/>
          <w:szCs w:val="18"/>
        </w:rPr>
        <w:t xml:space="preserve"> Trocaire, Ending Violence Against Women Annual Report, 2015-16</w:t>
      </w:r>
    </w:p>
  </w:footnote>
  <w:footnote w:id="37">
    <w:p w:rsidR="008511BA" w:rsidRPr="005A652A" w:rsidRDefault="008511BA" w:rsidP="001C70F1">
      <w:pPr>
        <w:pStyle w:val="FootnoteText"/>
        <w:rPr>
          <w:sz w:val="18"/>
          <w:szCs w:val="18"/>
        </w:rPr>
      </w:pPr>
      <w:r w:rsidRPr="005A652A">
        <w:rPr>
          <w:rStyle w:val="FootnoteReference"/>
          <w:sz w:val="18"/>
          <w:szCs w:val="18"/>
        </w:rPr>
        <w:footnoteRef/>
      </w:r>
      <w:r w:rsidRPr="005A652A">
        <w:rPr>
          <w:sz w:val="18"/>
          <w:szCs w:val="18"/>
        </w:rPr>
        <w:t xml:space="preserve"> Trocaire, Ending Violence Against Women Annual Report, 2015-16</w:t>
      </w:r>
    </w:p>
  </w:footnote>
  <w:footnote w:id="38">
    <w:p w:rsidR="008511BA" w:rsidRPr="006B10A3" w:rsidRDefault="008511BA" w:rsidP="000716A5">
      <w:pPr>
        <w:pStyle w:val="FootnoteText"/>
        <w:rPr>
          <w:sz w:val="18"/>
          <w:szCs w:val="18"/>
          <w:lang w:val="en-AU"/>
        </w:rPr>
      </w:pPr>
      <w:r w:rsidRPr="005A652A">
        <w:rPr>
          <w:rStyle w:val="FootnoteReference"/>
          <w:sz w:val="18"/>
          <w:szCs w:val="18"/>
        </w:rPr>
        <w:footnoteRef/>
      </w:r>
      <w:r w:rsidRPr="005A652A">
        <w:rPr>
          <w:sz w:val="18"/>
          <w:szCs w:val="18"/>
        </w:rPr>
        <w:t xml:space="preserve"> </w:t>
      </w:r>
      <w:r w:rsidRPr="005A652A">
        <w:rPr>
          <w:sz w:val="18"/>
          <w:szCs w:val="18"/>
          <w:lang w:val="en-AU"/>
        </w:rPr>
        <w:t>IMNCH Balochistan Completion Report, March 2016</w:t>
      </w:r>
    </w:p>
  </w:footnote>
  <w:footnote w:id="39">
    <w:p w:rsidR="008511BA" w:rsidRDefault="008511BA" w:rsidP="004A241A">
      <w:pPr>
        <w:pStyle w:val="FootnoteText"/>
      </w:pPr>
      <w:r w:rsidRPr="006B10A3">
        <w:rPr>
          <w:rStyle w:val="FootnoteReference"/>
          <w:sz w:val="18"/>
          <w:szCs w:val="18"/>
        </w:rPr>
        <w:footnoteRef/>
      </w:r>
      <w:r w:rsidRPr="006B10A3">
        <w:rPr>
          <w:sz w:val="18"/>
          <w:szCs w:val="18"/>
        </w:rPr>
        <w:t xml:space="preserve"> Adam Smith International – KESP Annual Review 2015/16</w:t>
      </w:r>
    </w:p>
  </w:footnote>
  <w:footnote w:id="40">
    <w:p w:rsidR="008511BA" w:rsidRPr="008740DB" w:rsidRDefault="008511BA" w:rsidP="00A822F4">
      <w:pPr>
        <w:pStyle w:val="FootnoteText"/>
        <w:ind w:left="0" w:firstLine="0"/>
        <w:rPr>
          <w:lang w:val="en-AU"/>
        </w:rPr>
      </w:pPr>
      <w:r w:rsidRPr="006B10A3">
        <w:rPr>
          <w:rStyle w:val="FootnoteReference"/>
          <w:sz w:val="18"/>
          <w:szCs w:val="18"/>
        </w:rPr>
        <w:footnoteRef/>
      </w:r>
      <w:r w:rsidRPr="006B10A3">
        <w:rPr>
          <w:sz w:val="18"/>
          <w:szCs w:val="18"/>
        </w:rPr>
        <w:t xml:space="preserve"> </w:t>
      </w:r>
      <w:r w:rsidRPr="006B10A3">
        <w:rPr>
          <w:sz w:val="18"/>
          <w:szCs w:val="18"/>
          <w:lang w:val="en-AU"/>
        </w:rPr>
        <w:t xml:space="preserve">IMNCH </w:t>
      </w:r>
      <w:r>
        <w:rPr>
          <w:sz w:val="18"/>
          <w:szCs w:val="18"/>
          <w:lang w:val="en-AU"/>
        </w:rPr>
        <w:t>Balochistan</w:t>
      </w:r>
      <w:r w:rsidRPr="006B10A3">
        <w:rPr>
          <w:sz w:val="18"/>
          <w:szCs w:val="18"/>
          <w:lang w:val="en-AU"/>
        </w:rPr>
        <w:t xml:space="preserve"> Completion Report, March 2016</w:t>
      </w:r>
    </w:p>
  </w:footnote>
  <w:footnote w:id="41">
    <w:p w:rsidR="008511BA" w:rsidRPr="00F02973" w:rsidRDefault="008511BA" w:rsidP="000716A5">
      <w:pPr>
        <w:pStyle w:val="FootnoteText"/>
        <w:rPr>
          <w:sz w:val="18"/>
          <w:szCs w:val="18"/>
        </w:rPr>
      </w:pPr>
      <w:r w:rsidRPr="00F02973">
        <w:rPr>
          <w:rStyle w:val="FootnoteReference"/>
          <w:sz w:val="18"/>
          <w:szCs w:val="18"/>
        </w:rPr>
        <w:footnoteRef/>
      </w:r>
      <w:r w:rsidRPr="00F02973">
        <w:rPr>
          <w:sz w:val="18"/>
          <w:szCs w:val="18"/>
        </w:rPr>
        <w:t xml:space="preserve"> World Bank Roadmap for MDTF-BA Round II, 2016</w:t>
      </w:r>
    </w:p>
  </w:footnote>
  <w:footnote w:id="42">
    <w:p w:rsidR="008511BA" w:rsidRPr="00F02973" w:rsidRDefault="008511BA" w:rsidP="00C34131">
      <w:pPr>
        <w:pStyle w:val="FootnoteText"/>
        <w:rPr>
          <w:lang w:val="en-AU"/>
        </w:rPr>
      </w:pPr>
      <w:r w:rsidRPr="00DD012C">
        <w:rPr>
          <w:rStyle w:val="FootnoteReference"/>
          <w:color w:val="auto"/>
          <w:sz w:val="18"/>
          <w:szCs w:val="18"/>
        </w:rPr>
        <w:footnoteRef/>
      </w:r>
      <w:r w:rsidRPr="00DD012C">
        <w:rPr>
          <w:rStyle w:val="FootnoteReference"/>
          <w:color w:val="auto"/>
          <w:sz w:val="18"/>
          <w:szCs w:val="18"/>
        </w:rPr>
        <w:t xml:space="preserve"> </w:t>
      </w:r>
      <w:r w:rsidRPr="00DD012C">
        <w:rPr>
          <w:color w:val="auto"/>
          <w:sz w:val="18"/>
          <w:szCs w:val="18"/>
        </w:rPr>
        <w:t xml:space="preserve">DFID </w:t>
      </w:r>
      <w:r w:rsidRPr="00A822F4">
        <w:rPr>
          <w:sz w:val="18"/>
          <w:szCs w:val="18"/>
        </w:rPr>
        <w:t>Annual Review – World Bank Multi-Donor Trust Fund, 2016</w:t>
      </w:r>
    </w:p>
  </w:footnote>
  <w:footnote w:id="43">
    <w:p w:rsidR="00B01CF6" w:rsidRPr="00B01CF6" w:rsidRDefault="00B01CF6">
      <w:pPr>
        <w:pStyle w:val="FootnoteText"/>
        <w:rPr>
          <w:lang w:val="en-AU"/>
        </w:rPr>
      </w:pPr>
      <w:r>
        <w:rPr>
          <w:rStyle w:val="FootnoteReference"/>
        </w:rPr>
        <w:footnoteRef/>
      </w:r>
      <w:r>
        <w:t xml:space="preserve"> </w:t>
      </w:r>
      <w:r>
        <w:rPr>
          <w:rFonts w:ascii="Tahoma" w:hAnsi="Tahoma" w:cs="Tahoma"/>
        </w:rPr>
        <w:t>Australian Assistance to Agriculture Development in Balochistan Border Areas</w:t>
      </w:r>
    </w:p>
  </w:footnote>
  <w:footnote w:id="44">
    <w:p w:rsidR="008511BA" w:rsidRPr="00AB0A48" w:rsidRDefault="008511BA" w:rsidP="00A822F4">
      <w:pPr>
        <w:pStyle w:val="FootnoteText"/>
        <w:rPr>
          <w:sz w:val="18"/>
          <w:szCs w:val="18"/>
          <w:lang w:val="en-AU"/>
        </w:rPr>
      </w:pPr>
      <w:r w:rsidRPr="0058674B">
        <w:rPr>
          <w:rStyle w:val="FootnoteReference"/>
          <w:sz w:val="18"/>
          <w:szCs w:val="18"/>
        </w:rPr>
        <w:footnoteRef/>
      </w:r>
      <w:r w:rsidRPr="0058674B">
        <w:rPr>
          <w:sz w:val="18"/>
          <w:szCs w:val="18"/>
        </w:rPr>
        <w:t xml:space="preserve">  </w:t>
      </w:r>
      <w:r w:rsidRPr="0058674B">
        <w:rPr>
          <w:rFonts w:eastAsia="Times New Roman"/>
          <w:sz w:val="18"/>
          <w:szCs w:val="18"/>
        </w:rPr>
        <w:t xml:space="preserve">Save the Children, Trocaire, Fred Hollows Foundation, </w:t>
      </w:r>
      <w:proofErr w:type="spellStart"/>
      <w:r w:rsidRPr="0058674B">
        <w:rPr>
          <w:rFonts w:eastAsia="Times New Roman"/>
          <w:sz w:val="18"/>
          <w:szCs w:val="18"/>
        </w:rPr>
        <w:t>Sarhad</w:t>
      </w:r>
      <w:proofErr w:type="spellEnd"/>
      <w:r w:rsidRPr="0058674B">
        <w:rPr>
          <w:rFonts w:eastAsia="Times New Roman"/>
          <w:sz w:val="18"/>
          <w:szCs w:val="18"/>
        </w:rPr>
        <w:t xml:space="preserve"> Rural Support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FF" w:rsidRDefault="00A71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BA" w:rsidRPr="00333501" w:rsidRDefault="008511BA" w:rsidP="008F56A8">
    <w:pPr>
      <w:pStyle w:val="Header"/>
      <w:jc w:val="left"/>
    </w:pPr>
    <w:r>
      <w:rPr>
        <w:noProof/>
        <w:lang w:val="en-AU" w:eastAsia="en-AU"/>
      </w:rPr>
      <w:drawing>
        <wp:anchor distT="0" distB="0" distL="114300" distR="114300" simplePos="0" relativeHeight="251681792" behindDoc="1" locked="1" layoutInCell="1" allowOverlap="1" wp14:anchorId="698FFA27" wp14:editId="537CA799">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FF" w:rsidRDefault="00A715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BA" w:rsidRDefault="008511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BA" w:rsidRPr="00333501" w:rsidRDefault="008511BA" w:rsidP="008F56A8">
    <w:pPr>
      <w:pStyle w:val="Header"/>
      <w:jc w:val="left"/>
    </w:pPr>
    <w:r>
      <w:rPr>
        <w:noProof/>
        <w:lang w:val="en-AU" w:eastAsia="en-AU"/>
      </w:rPr>
      <w:drawing>
        <wp:anchor distT="0" distB="0" distL="114300" distR="114300" simplePos="0" relativeHeight="251697152" behindDoc="1" locked="1" layoutInCell="1" allowOverlap="1" wp14:anchorId="0A48DE35" wp14:editId="28814DE1">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BA" w:rsidRPr="003D352D" w:rsidRDefault="008511BA" w:rsidP="003D352D">
    <w:pPr>
      <w:pStyle w:val="Header"/>
      <w:jc w:val="left"/>
    </w:pPr>
    <w:r>
      <w:rPr>
        <w:noProof/>
        <w:lang w:val="en-AU" w:eastAsia="en-AU"/>
      </w:rPr>
      <w:drawing>
        <wp:anchor distT="0" distB="0" distL="114300" distR="114300" simplePos="0" relativeHeight="251695104" behindDoc="1" locked="1" layoutInCell="1" allowOverlap="1" wp14:anchorId="0395742E" wp14:editId="1796A81C">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BA" w:rsidRPr="00333501" w:rsidRDefault="008511BA" w:rsidP="008F56A8">
    <w:pPr>
      <w:pStyle w:val="Header"/>
      <w:jc w:val="left"/>
    </w:pPr>
    <w:r>
      <w:rPr>
        <w:noProof/>
        <w:lang w:val="en-AU" w:eastAsia="en-AU"/>
      </w:rPr>
      <w:drawing>
        <wp:anchor distT="0" distB="0" distL="114300" distR="114300" simplePos="0" relativeHeight="251683840" behindDoc="1" locked="1" layoutInCell="1" allowOverlap="1" wp14:anchorId="0DB84EF7" wp14:editId="72BA1572">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D7B"/>
    <w:multiLevelType w:val="hybridMultilevel"/>
    <w:tmpl w:val="1A48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C71420F"/>
    <w:multiLevelType w:val="hybridMultilevel"/>
    <w:tmpl w:val="0606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372C4A23"/>
    <w:multiLevelType w:val="hybridMultilevel"/>
    <w:tmpl w:val="C03C3A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A6B1F0A"/>
    <w:multiLevelType w:val="hybridMultilevel"/>
    <w:tmpl w:val="E38A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BA36BBD"/>
    <w:multiLevelType w:val="hybridMultilevel"/>
    <w:tmpl w:val="080E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E9B4F93"/>
    <w:multiLevelType w:val="hybridMultilevel"/>
    <w:tmpl w:val="EB8A8CE6"/>
    <w:lvl w:ilvl="0" w:tplc="0C09000F">
      <w:start w:val="1"/>
      <w:numFmt w:val="decimal"/>
      <w:lvlText w:val="%1."/>
      <w:lvlJc w:val="left"/>
      <w:pPr>
        <w:ind w:left="360" w:hanging="360"/>
      </w:pPr>
      <w:rPr>
        <w:rFonts w:hint="default"/>
      </w:rPr>
    </w:lvl>
    <w:lvl w:ilvl="1" w:tplc="0C090001">
      <w:start w:val="1"/>
      <w:numFmt w:val="bullet"/>
      <w:lvlText w:val=""/>
      <w:lvlJc w:val="left"/>
      <w:pPr>
        <w:ind w:left="786"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nsid w:val="5D3C1EA7"/>
    <w:multiLevelType w:val="multilevel"/>
    <w:tmpl w:val="43428892"/>
    <w:numStyleLink w:val="BulletsList"/>
  </w:abstractNum>
  <w:abstractNum w:abstractNumId="12">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nsid w:val="5E27567D"/>
    <w:multiLevelType w:val="hybridMultilevel"/>
    <w:tmpl w:val="AB7C40F0"/>
    <w:lvl w:ilvl="0" w:tplc="A58C548A">
      <w:start w:val="1"/>
      <w:numFmt w:val="decimal"/>
      <w:lvlText w:val="%1."/>
      <w:lvlJc w:val="left"/>
      <w:pPr>
        <w:ind w:left="720" w:hanging="360"/>
      </w:pPr>
      <w:rPr>
        <w:rFonts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2674917"/>
    <w:multiLevelType w:val="multilevel"/>
    <w:tmpl w:val="9A9A86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85E3A17"/>
    <w:multiLevelType w:val="hybridMultilevel"/>
    <w:tmpl w:val="584E0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
  </w:num>
  <w:num w:numId="3">
    <w:abstractNumId w:val="4"/>
  </w:num>
  <w:num w:numId="4">
    <w:abstractNumId w:val="10"/>
  </w:num>
  <w:num w:numId="5">
    <w:abstractNumId w:val="12"/>
  </w:num>
  <w:num w:numId="6">
    <w:abstractNumId w:val="4"/>
  </w:num>
  <w:num w:numId="7">
    <w:abstractNumId w:val="11"/>
  </w:num>
  <w:num w:numId="8">
    <w:abstractNumId w:val="1"/>
  </w:num>
  <w:num w:numId="9">
    <w:abstractNumId w:val="6"/>
  </w:num>
  <w:num w:numId="10">
    <w:abstractNumId w:val="2"/>
  </w:num>
  <w:num w:numId="11">
    <w:abstractNumId w:val="13"/>
  </w:num>
  <w:num w:numId="12">
    <w:abstractNumId w:val="5"/>
  </w:num>
  <w:num w:numId="13">
    <w:abstractNumId w:val="0"/>
  </w:num>
  <w:num w:numId="14">
    <w:abstractNumId w:val="8"/>
  </w:num>
  <w:num w:numId="15">
    <w:abstractNumId w:val="3"/>
  </w:num>
  <w:num w:numId="16">
    <w:abstractNumId w:val="9"/>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35AB"/>
    <w:rsid w:val="0000459D"/>
    <w:rsid w:val="00006C45"/>
    <w:rsid w:val="00010639"/>
    <w:rsid w:val="00013117"/>
    <w:rsid w:val="00014482"/>
    <w:rsid w:val="00015316"/>
    <w:rsid w:val="00016C98"/>
    <w:rsid w:val="0002080A"/>
    <w:rsid w:val="00024C96"/>
    <w:rsid w:val="0002782F"/>
    <w:rsid w:val="00030CEB"/>
    <w:rsid w:val="00031512"/>
    <w:rsid w:val="00031833"/>
    <w:rsid w:val="00033CFA"/>
    <w:rsid w:val="00035EF8"/>
    <w:rsid w:val="00037D99"/>
    <w:rsid w:val="00044AD5"/>
    <w:rsid w:val="00046E0E"/>
    <w:rsid w:val="000513AD"/>
    <w:rsid w:val="0005418A"/>
    <w:rsid w:val="00054E4D"/>
    <w:rsid w:val="00060073"/>
    <w:rsid w:val="00060268"/>
    <w:rsid w:val="000658C3"/>
    <w:rsid w:val="000716A5"/>
    <w:rsid w:val="00074D23"/>
    <w:rsid w:val="00074F21"/>
    <w:rsid w:val="0007556B"/>
    <w:rsid w:val="0007625A"/>
    <w:rsid w:val="0008180A"/>
    <w:rsid w:val="000840D7"/>
    <w:rsid w:val="00084483"/>
    <w:rsid w:val="00093B2E"/>
    <w:rsid w:val="000A2967"/>
    <w:rsid w:val="000A3095"/>
    <w:rsid w:val="000A4E50"/>
    <w:rsid w:val="000A656D"/>
    <w:rsid w:val="000B1B1B"/>
    <w:rsid w:val="000D14EA"/>
    <w:rsid w:val="000D235D"/>
    <w:rsid w:val="000D3330"/>
    <w:rsid w:val="000D66D6"/>
    <w:rsid w:val="000D766F"/>
    <w:rsid w:val="000E314A"/>
    <w:rsid w:val="000E3C42"/>
    <w:rsid w:val="000F55A2"/>
    <w:rsid w:val="000F5A18"/>
    <w:rsid w:val="000F6CB0"/>
    <w:rsid w:val="00104A39"/>
    <w:rsid w:val="001057F1"/>
    <w:rsid w:val="0011486E"/>
    <w:rsid w:val="00122644"/>
    <w:rsid w:val="001322D2"/>
    <w:rsid w:val="00132A44"/>
    <w:rsid w:val="00137730"/>
    <w:rsid w:val="001418E5"/>
    <w:rsid w:val="001541EA"/>
    <w:rsid w:val="00157A95"/>
    <w:rsid w:val="00161488"/>
    <w:rsid w:val="00162F8C"/>
    <w:rsid w:val="00163AEE"/>
    <w:rsid w:val="00164DFC"/>
    <w:rsid w:val="001723BB"/>
    <w:rsid w:val="00192512"/>
    <w:rsid w:val="00192B2C"/>
    <w:rsid w:val="001954D7"/>
    <w:rsid w:val="001B1BE4"/>
    <w:rsid w:val="001B1F08"/>
    <w:rsid w:val="001B4CF2"/>
    <w:rsid w:val="001B7E81"/>
    <w:rsid w:val="001C2DB5"/>
    <w:rsid w:val="001C3CCC"/>
    <w:rsid w:val="001C70F1"/>
    <w:rsid w:val="001C7BFE"/>
    <w:rsid w:val="001D3F94"/>
    <w:rsid w:val="001D464C"/>
    <w:rsid w:val="001D638D"/>
    <w:rsid w:val="001D663E"/>
    <w:rsid w:val="001D6ED3"/>
    <w:rsid w:val="001E17ED"/>
    <w:rsid w:val="001E1DC0"/>
    <w:rsid w:val="001E2138"/>
    <w:rsid w:val="001E3245"/>
    <w:rsid w:val="001F5F8B"/>
    <w:rsid w:val="00200569"/>
    <w:rsid w:val="00203477"/>
    <w:rsid w:val="002066C2"/>
    <w:rsid w:val="0021064A"/>
    <w:rsid w:val="00211649"/>
    <w:rsid w:val="00212B0D"/>
    <w:rsid w:val="0021561B"/>
    <w:rsid w:val="00224FE7"/>
    <w:rsid w:val="00226CE9"/>
    <w:rsid w:val="00230A05"/>
    <w:rsid w:val="00234423"/>
    <w:rsid w:val="00236593"/>
    <w:rsid w:val="00236A53"/>
    <w:rsid w:val="00250C81"/>
    <w:rsid w:val="00252B8D"/>
    <w:rsid w:val="002610DE"/>
    <w:rsid w:val="00265068"/>
    <w:rsid w:val="002664CA"/>
    <w:rsid w:val="00273EDA"/>
    <w:rsid w:val="00275DB7"/>
    <w:rsid w:val="00284957"/>
    <w:rsid w:val="00284FEC"/>
    <w:rsid w:val="0028602A"/>
    <w:rsid w:val="00292BA2"/>
    <w:rsid w:val="00295AA8"/>
    <w:rsid w:val="002A22F7"/>
    <w:rsid w:val="002A51CA"/>
    <w:rsid w:val="002B03D7"/>
    <w:rsid w:val="002B3E95"/>
    <w:rsid w:val="002B5E10"/>
    <w:rsid w:val="002C30FC"/>
    <w:rsid w:val="002C6779"/>
    <w:rsid w:val="002D1AA8"/>
    <w:rsid w:val="002D2764"/>
    <w:rsid w:val="002D6736"/>
    <w:rsid w:val="002E5E31"/>
    <w:rsid w:val="002E7534"/>
    <w:rsid w:val="002F0706"/>
    <w:rsid w:val="002F0E43"/>
    <w:rsid w:val="002F22EE"/>
    <w:rsid w:val="003002C0"/>
    <w:rsid w:val="00301144"/>
    <w:rsid w:val="00304297"/>
    <w:rsid w:val="003045EC"/>
    <w:rsid w:val="0030678C"/>
    <w:rsid w:val="00306FE8"/>
    <w:rsid w:val="003148B7"/>
    <w:rsid w:val="003158C3"/>
    <w:rsid w:val="0032229D"/>
    <w:rsid w:val="003264BE"/>
    <w:rsid w:val="003274CD"/>
    <w:rsid w:val="003319E8"/>
    <w:rsid w:val="00333501"/>
    <w:rsid w:val="003426FC"/>
    <w:rsid w:val="0034519A"/>
    <w:rsid w:val="003457C4"/>
    <w:rsid w:val="0034619F"/>
    <w:rsid w:val="0035119D"/>
    <w:rsid w:val="00354779"/>
    <w:rsid w:val="00360AC3"/>
    <w:rsid w:val="003654ED"/>
    <w:rsid w:val="0038211E"/>
    <w:rsid w:val="0038665E"/>
    <w:rsid w:val="00391975"/>
    <w:rsid w:val="003962C2"/>
    <w:rsid w:val="0039679E"/>
    <w:rsid w:val="003976BE"/>
    <w:rsid w:val="003A2439"/>
    <w:rsid w:val="003B0793"/>
    <w:rsid w:val="003B1D7E"/>
    <w:rsid w:val="003B3E06"/>
    <w:rsid w:val="003B4F12"/>
    <w:rsid w:val="003B6E46"/>
    <w:rsid w:val="003C22EB"/>
    <w:rsid w:val="003C5F33"/>
    <w:rsid w:val="003D352D"/>
    <w:rsid w:val="003D4DBC"/>
    <w:rsid w:val="003D67A3"/>
    <w:rsid w:val="003E2AAF"/>
    <w:rsid w:val="003E6000"/>
    <w:rsid w:val="003F2EBB"/>
    <w:rsid w:val="003F5094"/>
    <w:rsid w:val="003F5B64"/>
    <w:rsid w:val="00400B0F"/>
    <w:rsid w:val="00402ACC"/>
    <w:rsid w:val="00407618"/>
    <w:rsid w:val="00407FB4"/>
    <w:rsid w:val="0041036C"/>
    <w:rsid w:val="004120EC"/>
    <w:rsid w:val="00414CEF"/>
    <w:rsid w:val="00417755"/>
    <w:rsid w:val="004208FD"/>
    <w:rsid w:val="00421BF3"/>
    <w:rsid w:val="00423F31"/>
    <w:rsid w:val="004241B7"/>
    <w:rsid w:val="00431899"/>
    <w:rsid w:val="00445FB4"/>
    <w:rsid w:val="00447951"/>
    <w:rsid w:val="00456F58"/>
    <w:rsid w:val="00473B0C"/>
    <w:rsid w:val="0048338E"/>
    <w:rsid w:val="00486804"/>
    <w:rsid w:val="00494815"/>
    <w:rsid w:val="00495FBD"/>
    <w:rsid w:val="004977A1"/>
    <w:rsid w:val="004977C3"/>
    <w:rsid w:val="004A241A"/>
    <w:rsid w:val="004A50F2"/>
    <w:rsid w:val="004A6A75"/>
    <w:rsid w:val="004B1C03"/>
    <w:rsid w:val="004B3775"/>
    <w:rsid w:val="004B553C"/>
    <w:rsid w:val="004B5D59"/>
    <w:rsid w:val="004C3B01"/>
    <w:rsid w:val="004D0BA0"/>
    <w:rsid w:val="004D67E8"/>
    <w:rsid w:val="004D690D"/>
    <w:rsid w:val="004E0264"/>
    <w:rsid w:val="004E058F"/>
    <w:rsid w:val="004E1942"/>
    <w:rsid w:val="004E2C86"/>
    <w:rsid w:val="004E3B87"/>
    <w:rsid w:val="004E465E"/>
    <w:rsid w:val="004E5CCC"/>
    <w:rsid w:val="00506A73"/>
    <w:rsid w:val="00510921"/>
    <w:rsid w:val="00510AD3"/>
    <w:rsid w:val="00513348"/>
    <w:rsid w:val="00517AC5"/>
    <w:rsid w:val="00517CD6"/>
    <w:rsid w:val="005335CC"/>
    <w:rsid w:val="00533B5D"/>
    <w:rsid w:val="00540CD0"/>
    <w:rsid w:val="00547878"/>
    <w:rsid w:val="005511BF"/>
    <w:rsid w:val="005513FB"/>
    <w:rsid w:val="00552B9A"/>
    <w:rsid w:val="00560C77"/>
    <w:rsid w:val="00560D3E"/>
    <w:rsid w:val="00562164"/>
    <w:rsid w:val="005676A6"/>
    <w:rsid w:val="00571401"/>
    <w:rsid w:val="0057157E"/>
    <w:rsid w:val="00572323"/>
    <w:rsid w:val="00573AEC"/>
    <w:rsid w:val="00573D0E"/>
    <w:rsid w:val="00581043"/>
    <w:rsid w:val="00585CD4"/>
    <w:rsid w:val="0058674B"/>
    <w:rsid w:val="0059146A"/>
    <w:rsid w:val="005940D4"/>
    <w:rsid w:val="005A1AFD"/>
    <w:rsid w:val="005A5008"/>
    <w:rsid w:val="005A652A"/>
    <w:rsid w:val="005B133C"/>
    <w:rsid w:val="005B175B"/>
    <w:rsid w:val="005B3663"/>
    <w:rsid w:val="005B4000"/>
    <w:rsid w:val="005B4378"/>
    <w:rsid w:val="005B5769"/>
    <w:rsid w:val="005C15D1"/>
    <w:rsid w:val="005C2724"/>
    <w:rsid w:val="005C4EB5"/>
    <w:rsid w:val="005C52CC"/>
    <w:rsid w:val="005C6110"/>
    <w:rsid w:val="005C6583"/>
    <w:rsid w:val="005C677B"/>
    <w:rsid w:val="005D307E"/>
    <w:rsid w:val="005D31C4"/>
    <w:rsid w:val="005D3655"/>
    <w:rsid w:val="005E1A79"/>
    <w:rsid w:val="005E51C1"/>
    <w:rsid w:val="005E606B"/>
    <w:rsid w:val="005F1871"/>
    <w:rsid w:val="005F3AC0"/>
    <w:rsid w:val="005F69A4"/>
    <w:rsid w:val="006008A2"/>
    <w:rsid w:val="00600F5B"/>
    <w:rsid w:val="006030F5"/>
    <w:rsid w:val="0060412A"/>
    <w:rsid w:val="00620C91"/>
    <w:rsid w:val="006228E9"/>
    <w:rsid w:val="00623BA1"/>
    <w:rsid w:val="006243B4"/>
    <w:rsid w:val="006265C1"/>
    <w:rsid w:val="00627AFA"/>
    <w:rsid w:val="00632377"/>
    <w:rsid w:val="0063449F"/>
    <w:rsid w:val="006346BC"/>
    <w:rsid w:val="00635D39"/>
    <w:rsid w:val="00637540"/>
    <w:rsid w:val="00637E81"/>
    <w:rsid w:val="00644653"/>
    <w:rsid w:val="00645B2D"/>
    <w:rsid w:val="006527FD"/>
    <w:rsid w:val="00652B14"/>
    <w:rsid w:val="00654254"/>
    <w:rsid w:val="006622BD"/>
    <w:rsid w:val="00665B75"/>
    <w:rsid w:val="0066652A"/>
    <w:rsid w:val="006670E2"/>
    <w:rsid w:val="00676154"/>
    <w:rsid w:val="00680522"/>
    <w:rsid w:val="00680FCD"/>
    <w:rsid w:val="00681355"/>
    <w:rsid w:val="00681F08"/>
    <w:rsid w:val="00682167"/>
    <w:rsid w:val="00685FC4"/>
    <w:rsid w:val="00687691"/>
    <w:rsid w:val="006A43AC"/>
    <w:rsid w:val="006A6315"/>
    <w:rsid w:val="006B09E1"/>
    <w:rsid w:val="006B10A3"/>
    <w:rsid w:val="006B3D1F"/>
    <w:rsid w:val="006C42AF"/>
    <w:rsid w:val="006D143B"/>
    <w:rsid w:val="006D635F"/>
    <w:rsid w:val="006D6DAE"/>
    <w:rsid w:val="006E0298"/>
    <w:rsid w:val="006E202E"/>
    <w:rsid w:val="006E408C"/>
    <w:rsid w:val="006E6872"/>
    <w:rsid w:val="006F27B1"/>
    <w:rsid w:val="006F4DB4"/>
    <w:rsid w:val="006F644E"/>
    <w:rsid w:val="006F70AF"/>
    <w:rsid w:val="00701DBA"/>
    <w:rsid w:val="00702BAC"/>
    <w:rsid w:val="00704CD1"/>
    <w:rsid w:val="007079C6"/>
    <w:rsid w:val="00711D8E"/>
    <w:rsid w:val="00712672"/>
    <w:rsid w:val="00714C13"/>
    <w:rsid w:val="00731FB6"/>
    <w:rsid w:val="0073217D"/>
    <w:rsid w:val="00734021"/>
    <w:rsid w:val="00734E3F"/>
    <w:rsid w:val="00736985"/>
    <w:rsid w:val="00737D73"/>
    <w:rsid w:val="00745DF5"/>
    <w:rsid w:val="007544E2"/>
    <w:rsid w:val="0076250F"/>
    <w:rsid w:val="00765E37"/>
    <w:rsid w:val="007678C3"/>
    <w:rsid w:val="0077008D"/>
    <w:rsid w:val="00771B53"/>
    <w:rsid w:val="00784031"/>
    <w:rsid w:val="007845F0"/>
    <w:rsid w:val="007A31BF"/>
    <w:rsid w:val="007B03E4"/>
    <w:rsid w:val="007B6200"/>
    <w:rsid w:val="007C3C96"/>
    <w:rsid w:val="007C6028"/>
    <w:rsid w:val="007D0A87"/>
    <w:rsid w:val="007D2B51"/>
    <w:rsid w:val="007D602A"/>
    <w:rsid w:val="007E554A"/>
    <w:rsid w:val="007F076B"/>
    <w:rsid w:val="007F0BFA"/>
    <w:rsid w:val="007F1919"/>
    <w:rsid w:val="007F3316"/>
    <w:rsid w:val="007F3395"/>
    <w:rsid w:val="007F565F"/>
    <w:rsid w:val="007F577F"/>
    <w:rsid w:val="007F5805"/>
    <w:rsid w:val="00800CF1"/>
    <w:rsid w:val="00801B9F"/>
    <w:rsid w:val="008057FD"/>
    <w:rsid w:val="00814DE3"/>
    <w:rsid w:val="008268C6"/>
    <w:rsid w:val="0083648C"/>
    <w:rsid w:val="00844408"/>
    <w:rsid w:val="00844F38"/>
    <w:rsid w:val="00845A0F"/>
    <w:rsid w:val="008475F0"/>
    <w:rsid w:val="00847845"/>
    <w:rsid w:val="008511BA"/>
    <w:rsid w:val="00854673"/>
    <w:rsid w:val="00856773"/>
    <w:rsid w:val="008613CE"/>
    <w:rsid w:val="00862FA6"/>
    <w:rsid w:val="0086411E"/>
    <w:rsid w:val="00864210"/>
    <w:rsid w:val="00866CFC"/>
    <w:rsid w:val="00874EA5"/>
    <w:rsid w:val="008829F5"/>
    <w:rsid w:val="008859E7"/>
    <w:rsid w:val="00895691"/>
    <w:rsid w:val="00895FF5"/>
    <w:rsid w:val="008962F0"/>
    <w:rsid w:val="0089704D"/>
    <w:rsid w:val="008970FF"/>
    <w:rsid w:val="008A0075"/>
    <w:rsid w:val="008A1022"/>
    <w:rsid w:val="008A5AFE"/>
    <w:rsid w:val="008B1C0C"/>
    <w:rsid w:val="008B3262"/>
    <w:rsid w:val="008B3BC3"/>
    <w:rsid w:val="008B68D7"/>
    <w:rsid w:val="008B7B6D"/>
    <w:rsid w:val="008C2F58"/>
    <w:rsid w:val="008C4604"/>
    <w:rsid w:val="008C5A0E"/>
    <w:rsid w:val="008C6AC0"/>
    <w:rsid w:val="008D26E0"/>
    <w:rsid w:val="008D5716"/>
    <w:rsid w:val="008E0708"/>
    <w:rsid w:val="008E153D"/>
    <w:rsid w:val="008F2279"/>
    <w:rsid w:val="008F56A8"/>
    <w:rsid w:val="009021DA"/>
    <w:rsid w:val="00903485"/>
    <w:rsid w:val="0091208E"/>
    <w:rsid w:val="00912D24"/>
    <w:rsid w:val="00913814"/>
    <w:rsid w:val="009139AA"/>
    <w:rsid w:val="00917EE4"/>
    <w:rsid w:val="00921BFF"/>
    <w:rsid w:val="00924B83"/>
    <w:rsid w:val="0092619D"/>
    <w:rsid w:val="00926D66"/>
    <w:rsid w:val="009276ED"/>
    <w:rsid w:val="009314E5"/>
    <w:rsid w:val="00931C0B"/>
    <w:rsid w:val="0094069E"/>
    <w:rsid w:val="00940A10"/>
    <w:rsid w:val="00951C10"/>
    <w:rsid w:val="00956116"/>
    <w:rsid w:val="00956A3C"/>
    <w:rsid w:val="00962F4B"/>
    <w:rsid w:val="00967B66"/>
    <w:rsid w:val="0097642D"/>
    <w:rsid w:val="00976F11"/>
    <w:rsid w:val="00985309"/>
    <w:rsid w:val="009853B1"/>
    <w:rsid w:val="009903F3"/>
    <w:rsid w:val="009923B8"/>
    <w:rsid w:val="00992C76"/>
    <w:rsid w:val="009A1F07"/>
    <w:rsid w:val="009B4D3B"/>
    <w:rsid w:val="009C499B"/>
    <w:rsid w:val="009C4C73"/>
    <w:rsid w:val="009C6911"/>
    <w:rsid w:val="009C74E5"/>
    <w:rsid w:val="009C7E1E"/>
    <w:rsid w:val="009D5E2F"/>
    <w:rsid w:val="009D7407"/>
    <w:rsid w:val="009E0866"/>
    <w:rsid w:val="009E0FCD"/>
    <w:rsid w:val="009E3FC1"/>
    <w:rsid w:val="009E461A"/>
    <w:rsid w:val="009E5C11"/>
    <w:rsid w:val="009F5488"/>
    <w:rsid w:val="009F6423"/>
    <w:rsid w:val="00A009ED"/>
    <w:rsid w:val="00A02CB3"/>
    <w:rsid w:val="00A1142A"/>
    <w:rsid w:val="00A11501"/>
    <w:rsid w:val="00A12D4F"/>
    <w:rsid w:val="00A1312C"/>
    <w:rsid w:val="00A16B72"/>
    <w:rsid w:val="00A24A62"/>
    <w:rsid w:val="00A250CA"/>
    <w:rsid w:val="00A25962"/>
    <w:rsid w:val="00A31C9F"/>
    <w:rsid w:val="00A33530"/>
    <w:rsid w:val="00A4144F"/>
    <w:rsid w:val="00A427C6"/>
    <w:rsid w:val="00A42978"/>
    <w:rsid w:val="00A53030"/>
    <w:rsid w:val="00A56F14"/>
    <w:rsid w:val="00A571CC"/>
    <w:rsid w:val="00A578A8"/>
    <w:rsid w:val="00A676AF"/>
    <w:rsid w:val="00A715FF"/>
    <w:rsid w:val="00A7344A"/>
    <w:rsid w:val="00A80F95"/>
    <w:rsid w:val="00A8197B"/>
    <w:rsid w:val="00A822F4"/>
    <w:rsid w:val="00A86DFD"/>
    <w:rsid w:val="00A900E2"/>
    <w:rsid w:val="00A90572"/>
    <w:rsid w:val="00A9104B"/>
    <w:rsid w:val="00A91F00"/>
    <w:rsid w:val="00AA3396"/>
    <w:rsid w:val="00AA5096"/>
    <w:rsid w:val="00AA7BE3"/>
    <w:rsid w:val="00AB0A48"/>
    <w:rsid w:val="00AB3F21"/>
    <w:rsid w:val="00AC164A"/>
    <w:rsid w:val="00AC211B"/>
    <w:rsid w:val="00AC3F0A"/>
    <w:rsid w:val="00AD24A5"/>
    <w:rsid w:val="00AD7E98"/>
    <w:rsid w:val="00AE2B47"/>
    <w:rsid w:val="00AF1B85"/>
    <w:rsid w:val="00AF2050"/>
    <w:rsid w:val="00B01CF6"/>
    <w:rsid w:val="00B03CA8"/>
    <w:rsid w:val="00B137E1"/>
    <w:rsid w:val="00B14B79"/>
    <w:rsid w:val="00B24D73"/>
    <w:rsid w:val="00B331DC"/>
    <w:rsid w:val="00B37BCC"/>
    <w:rsid w:val="00B40671"/>
    <w:rsid w:val="00B41B70"/>
    <w:rsid w:val="00B43813"/>
    <w:rsid w:val="00B438D3"/>
    <w:rsid w:val="00B46725"/>
    <w:rsid w:val="00B54A3B"/>
    <w:rsid w:val="00B55E19"/>
    <w:rsid w:val="00B5779A"/>
    <w:rsid w:val="00B57CB5"/>
    <w:rsid w:val="00B6189B"/>
    <w:rsid w:val="00B63D79"/>
    <w:rsid w:val="00B64766"/>
    <w:rsid w:val="00B65E87"/>
    <w:rsid w:val="00B71715"/>
    <w:rsid w:val="00B77B89"/>
    <w:rsid w:val="00B77C3D"/>
    <w:rsid w:val="00B80522"/>
    <w:rsid w:val="00B80C59"/>
    <w:rsid w:val="00B80EEB"/>
    <w:rsid w:val="00BA39F0"/>
    <w:rsid w:val="00BA4B6D"/>
    <w:rsid w:val="00BA7D02"/>
    <w:rsid w:val="00BB06E6"/>
    <w:rsid w:val="00BB26C5"/>
    <w:rsid w:val="00BC20B4"/>
    <w:rsid w:val="00BD2CAB"/>
    <w:rsid w:val="00BD4875"/>
    <w:rsid w:val="00BD6FCB"/>
    <w:rsid w:val="00BD7E07"/>
    <w:rsid w:val="00BE2649"/>
    <w:rsid w:val="00BF2ADF"/>
    <w:rsid w:val="00BF2E23"/>
    <w:rsid w:val="00BF325D"/>
    <w:rsid w:val="00BF43E5"/>
    <w:rsid w:val="00BF4DE6"/>
    <w:rsid w:val="00BF65BA"/>
    <w:rsid w:val="00C03DFE"/>
    <w:rsid w:val="00C04B10"/>
    <w:rsid w:val="00C04FC8"/>
    <w:rsid w:val="00C065D6"/>
    <w:rsid w:val="00C116C0"/>
    <w:rsid w:val="00C11FB1"/>
    <w:rsid w:val="00C129AC"/>
    <w:rsid w:val="00C16BFD"/>
    <w:rsid w:val="00C17C5B"/>
    <w:rsid w:val="00C225E5"/>
    <w:rsid w:val="00C2528E"/>
    <w:rsid w:val="00C2654F"/>
    <w:rsid w:val="00C272E1"/>
    <w:rsid w:val="00C305B0"/>
    <w:rsid w:val="00C34131"/>
    <w:rsid w:val="00C42CDE"/>
    <w:rsid w:val="00C4386F"/>
    <w:rsid w:val="00C5182A"/>
    <w:rsid w:val="00C51BE5"/>
    <w:rsid w:val="00C53C13"/>
    <w:rsid w:val="00C56E8C"/>
    <w:rsid w:val="00C57454"/>
    <w:rsid w:val="00C63EB7"/>
    <w:rsid w:val="00C63EE9"/>
    <w:rsid w:val="00C64B47"/>
    <w:rsid w:val="00C6528F"/>
    <w:rsid w:val="00C6626C"/>
    <w:rsid w:val="00C66675"/>
    <w:rsid w:val="00C67C23"/>
    <w:rsid w:val="00C72473"/>
    <w:rsid w:val="00C82A8A"/>
    <w:rsid w:val="00C85F0F"/>
    <w:rsid w:val="00C9206C"/>
    <w:rsid w:val="00C96FEB"/>
    <w:rsid w:val="00CA37B1"/>
    <w:rsid w:val="00CA555B"/>
    <w:rsid w:val="00CB1959"/>
    <w:rsid w:val="00CB32F9"/>
    <w:rsid w:val="00CB4A38"/>
    <w:rsid w:val="00CB5BC6"/>
    <w:rsid w:val="00CC0E28"/>
    <w:rsid w:val="00CC2ED7"/>
    <w:rsid w:val="00CC2F83"/>
    <w:rsid w:val="00CD0E4B"/>
    <w:rsid w:val="00CD5E30"/>
    <w:rsid w:val="00CE0155"/>
    <w:rsid w:val="00CE0AFC"/>
    <w:rsid w:val="00CE21A8"/>
    <w:rsid w:val="00CF15C3"/>
    <w:rsid w:val="00D00802"/>
    <w:rsid w:val="00D0296C"/>
    <w:rsid w:val="00D02BBE"/>
    <w:rsid w:val="00D11D04"/>
    <w:rsid w:val="00D1399D"/>
    <w:rsid w:val="00D146A2"/>
    <w:rsid w:val="00D147CE"/>
    <w:rsid w:val="00D15A00"/>
    <w:rsid w:val="00D1728B"/>
    <w:rsid w:val="00D17E18"/>
    <w:rsid w:val="00D21F6A"/>
    <w:rsid w:val="00D249E7"/>
    <w:rsid w:val="00D31BBE"/>
    <w:rsid w:val="00D32314"/>
    <w:rsid w:val="00D355E2"/>
    <w:rsid w:val="00D403B6"/>
    <w:rsid w:val="00D45C4A"/>
    <w:rsid w:val="00D45FA3"/>
    <w:rsid w:val="00D55E91"/>
    <w:rsid w:val="00D62136"/>
    <w:rsid w:val="00D6302C"/>
    <w:rsid w:val="00D64BD1"/>
    <w:rsid w:val="00D66BBB"/>
    <w:rsid w:val="00D70D84"/>
    <w:rsid w:val="00D72760"/>
    <w:rsid w:val="00D76417"/>
    <w:rsid w:val="00D779D8"/>
    <w:rsid w:val="00D8447F"/>
    <w:rsid w:val="00DB2F3D"/>
    <w:rsid w:val="00DC02F2"/>
    <w:rsid w:val="00DC33D1"/>
    <w:rsid w:val="00DC3C70"/>
    <w:rsid w:val="00DC4078"/>
    <w:rsid w:val="00DC537D"/>
    <w:rsid w:val="00DC6F36"/>
    <w:rsid w:val="00DD012C"/>
    <w:rsid w:val="00DD1986"/>
    <w:rsid w:val="00DD3651"/>
    <w:rsid w:val="00DE084C"/>
    <w:rsid w:val="00DE1AD6"/>
    <w:rsid w:val="00DE7AE8"/>
    <w:rsid w:val="00DF1143"/>
    <w:rsid w:val="00DF1C09"/>
    <w:rsid w:val="00DF58D3"/>
    <w:rsid w:val="00E0570A"/>
    <w:rsid w:val="00E0621B"/>
    <w:rsid w:val="00E1325C"/>
    <w:rsid w:val="00E151E9"/>
    <w:rsid w:val="00E26023"/>
    <w:rsid w:val="00E357B7"/>
    <w:rsid w:val="00E35910"/>
    <w:rsid w:val="00E41234"/>
    <w:rsid w:val="00E413B2"/>
    <w:rsid w:val="00E52178"/>
    <w:rsid w:val="00E53800"/>
    <w:rsid w:val="00E57388"/>
    <w:rsid w:val="00E6081F"/>
    <w:rsid w:val="00E63915"/>
    <w:rsid w:val="00E71938"/>
    <w:rsid w:val="00E71C54"/>
    <w:rsid w:val="00E7373B"/>
    <w:rsid w:val="00E75DBA"/>
    <w:rsid w:val="00E76024"/>
    <w:rsid w:val="00E82F53"/>
    <w:rsid w:val="00E86697"/>
    <w:rsid w:val="00E87B05"/>
    <w:rsid w:val="00E9394B"/>
    <w:rsid w:val="00EA04B2"/>
    <w:rsid w:val="00EA20F3"/>
    <w:rsid w:val="00EA317C"/>
    <w:rsid w:val="00EA526F"/>
    <w:rsid w:val="00EB4632"/>
    <w:rsid w:val="00EC117D"/>
    <w:rsid w:val="00EC19D3"/>
    <w:rsid w:val="00EC1F1D"/>
    <w:rsid w:val="00EC38A5"/>
    <w:rsid w:val="00EC41EE"/>
    <w:rsid w:val="00EC4635"/>
    <w:rsid w:val="00EC65F4"/>
    <w:rsid w:val="00EC78BA"/>
    <w:rsid w:val="00EC7F38"/>
    <w:rsid w:val="00ED2831"/>
    <w:rsid w:val="00ED4200"/>
    <w:rsid w:val="00ED43D1"/>
    <w:rsid w:val="00ED58BA"/>
    <w:rsid w:val="00ED5F74"/>
    <w:rsid w:val="00ED66C8"/>
    <w:rsid w:val="00ED68CF"/>
    <w:rsid w:val="00EE4EE1"/>
    <w:rsid w:val="00EE55F0"/>
    <w:rsid w:val="00EE65E1"/>
    <w:rsid w:val="00EE6946"/>
    <w:rsid w:val="00EF12B2"/>
    <w:rsid w:val="00EF30E1"/>
    <w:rsid w:val="00EF4574"/>
    <w:rsid w:val="00F02455"/>
    <w:rsid w:val="00F11818"/>
    <w:rsid w:val="00F11B31"/>
    <w:rsid w:val="00F126CB"/>
    <w:rsid w:val="00F15E9F"/>
    <w:rsid w:val="00F17F34"/>
    <w:rsid w:val="00F219E9"/>
    <w:rsid w:val="00F22D0A"/>
    <w:rsid w:val="00F2684E"/>
    <w:rsid w:val="00F45166"/>
    <w:rsid w:val="00F46797"/>
    <w:rsid w:val="00F47922"/>
    <w:rsid w:val="00F5404C"/>
    <w:rsid w:val="00F55E5B"/>
    <w:rsid w:val="00F65A21"/>
    <w:rsid w:val="00F718D4"/>
    <w:rsid w:val="00F729EF"/>
    <w:rsid w:val="00F72C40"/>
    <w:rsid w:val="00F74582"/>
    <w:rsid w:val="00F75A5C"/>
    <w:rsid w:val="00F76249"/>
    <w:rsid w:val="00F76353"/>
    <w:rsid w:val="00F77129"/>
    <w:rsid w:val="00F77CAE"/>
    <w:rsid w:val="00F77CDB"/>
    <w:rsid w:val="00F80B6D"/>
    <w:rsid w:val="00F82271"/>
    <w:rsid w:val="00F83428"/>
    <w:rsid w:val="00F84F4E"/>
    <w:rsid w:val="00F86589"/>
    <w:rsid w:val="00F868BD"/>
    <w:rsid w:val="00F9435C"/>
    <w:rsid w:val="00F950F3"/>
    <w:rsid w:val="00F96BB9"/>
    <w:rsid w:val="00FA2034"/>
    <w:rsid w:val="00FA25A7"/>
    <w:rsid w:val="00FA3B9A"/>
    <w:rsid w:val="00FB3B69"/>
    <w:rsid w:val="00FB5B4C"/>
    <w:rsid w:val="00FB7B96"/>
    <w:rsid w:val="00FC25D8"/>
    <w:rsid w:val="00FC54A1"/>
    <w:rsid w:val="00FC5D64"/>
    <w:rsid w:val="00FE2BC1"/>
    <w:rsid w:val="00FE6D51"/>
    <w:rsid w:val="00FF09F3"/>
    <w:rsid w:val="00FF4980"/>
    <w:rsid w:val="00FF5F62"/>
    <w:rsid w:val="00FF6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FOOTNOTES,fn,single space,footnote text,ft,ft Char2,Fußnote Char1,ft Char Char Char1,ft Char Char2,Footnote Text Char Char,single space Char Char,FOOTNOTES Char Char,fn Char Char,footnote text Char Char"/>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S Char,fn Char,single space Char,footnote text Char,ft Char,ft Char2 Char,Fußnote Char1 Char,ft Char Char Char1 Char,ft Char Char2 Char,Footnote Text Char Char Char,single space Char Char Char,FOOTNOTES Char Char Char"/>
    <w:basedOn w:val="DefaultParagraphFont"/>
    <w:link w:val="FootnoteText"/>
    <w:rsid w:val="008C5A0E"/>
    <w:rPr>
      <w:color w:val="495965" w:themeColor="text2"/>
      <w:sz w:val="12"/>
      <w:szCs w:val="20"/>
    </w:rPr>
  </w:style>
  <w:style w:type="character" w:styleId="FootnoteReference">
    <w:name w:val="footnote reference"/>
    <w:aliases w:val="ASI Footer,BVI fnr,ftref,16 Point,Superscript 6 Point,Footnotes refss, Char Char,fr,Ref,de nota al pie,FnR-ANZDEC,(NECG) Footnote Reference,Fußnotenzeichen DISS,Footnote Ref in FtNote,SUPERS,Footnote text,Normal + Font:9 Point"/>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customStyle="1" w:styleId="Default">
    <w:name w:val="Default"/>
    <w:rsid w:val="00765E3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aliases w:val="Bullets,List Paragraph1,Akapit z listą BS,List Paragraph (numbered (a)),List_Paragraph,Multilevel para_II,MC Paragraphe Liste,Colorful List - Accent 11,List Bullet-OpsManual,References,Title Style 1,Normal 2,Main numbered paragraph,Body,L"/>
    <w:basedOn w:val="Normal"/>
    <w:link w:val="ListParagraphChar"/>
    <w:uiPriority w:val="34"/>
    <w:qFormat/>
    <w:rsid w:val="00765E37"/>
    <w:pPr>
      <w:ind w:left="720"/>
      <w:contextualSpacing/>
    </w:pPr>
  </w:style>
  <w:style w:type="character" w:customStyle="1" w:styleId="ListParagraphChar">
    <w:name w:val="List Paragraph Char"/>
    <w:aliases w:val="Bullets Char,List Paragraph1 Char,Akapit z listą BS Char,List Paragraph (numbered (a)) Char,List_Paragraph Char,Multilevel para_II Char,MC Paragraphe Liste Char,Colorful List - Accent 11 Char,List Bullet-OpsManual Char,Normal 2 Char"/>
    <w:link w:val="ListParagraph"/>
    <w:uiPriority w:val="34"/>
    <w:qFormat/>
    <w:locked/>
    <w:rsid w:val="00203477"/>
    <w:rPr>
      <w:color w:val="495965" w:themeColor="text2"/>
      <w:lang w:val="en-GB"/>
    </w:rPr>
  </w:style>
  <w:style w:type="character" w:styleId="CommentReference">
    <w:name w:val="annotation reference"/>
    <w:basedOn w:val="DefaultParagraphFont"/>
    <w:uiPriority w:val="99"/>
    <w:semiHidden/>
    <w:unhideWhenUsed/>
    <w:rsid w:val="00161488"/>
    <w:rPr>
      <w:sz w:val="16"/>
      <w:szCs w:val="16"/>
    </w:rPr>
  </w:style>
  <w:style w:type="paragraph" w:styleId="CommentText">
    <w:name w:val="annotation text"/>
    <w:basedOn w:val="Normal"/>
    <w:link w:val="CommentTextChar"/>
    <w:uiPriority w:val="99"/>
    <w:semiHidden/>
    <w:unhideWhenUsed/>
    <w:rsid w:val="00161488"/>
    <w:pPr>
      <w:spacing w:line="240" w:lineRule="auto"/>
    </w:pPr>
    <w:rPr>
      <w:sz w:val="20"/>
      <w:szCs w:val="20"/>
    </w:rPr>
  </w:style>
  <w:style w:type="character" w:customStyle="1" w:styleId="CommentTextChar">
    <w:name w:val="Comment Text Char"/>
    <w:basedOn w:val="DefaultParagraphFont"/>
    <w:link w:val="CommentText"/>
    <w:uiPriority w:val="99"/>
    <w:semiHidden/>
    <w:rsid w:val="0016148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61488"/>
    <w:rPr>
      <w:b/>
      <w:bCs/>
    </w:rPr>
  </w:style>
  <w:style w:type="character" w:customStyle="1" w:styleId="CommentSubjectChar">
    <w:name w:val="Comment Subject Char"/>
    <w:basedOn w:val="CommentTextChar"/>
    <w:link w:val="CommentSubject"/>
    <w:uiPriority w:val="99"/>
    <w:semiHidden/>
    <w:rsid w:val="00161488"/>
    <w:rPr>
      <w:b/>
      <w:bCs/>
      <w:color w:val="495965" w:themeColor="text2"/>
      <w:sz w:val="20"/>
      <w:szCs w:val="20"/>
      <w:lang w:val="en-GB"/>
    </w:rPr>
  </w:style>
  <w:style w:type="character" w:styleId="HTMLCite">
    <w:name w:val="HTML Cite"/>
    <w:basedOn w:val="DefaultParagraphFont"/>
    <w:uiPriority w:val="99"/>
    <w:semiHidden/>
    <w:unhideWhenUsed/>
    <w:rsid w:val="00C53C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FOOTNOTES,fn,single space,footnote text,ft,ft Char2,Fußnote Char1,ft Char Char Char1,ft Char Char2,Footnote Text Char Char,single space Char Char,FOOTNOTES Char Char,fn Char Char,footnote text Char Char"/>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S Char,fn Char,single space Char,footnote text Char,ft Char,ft Char2 Char,Fußnote Char1 Char,ft Char Char Char1 Char,ft Char Char2 Char,Footnote Text Char Char Char,single space Char Char Char,FOOTNOTES Char Char Char"/>
    <w:basedOn w:val="DefaultParagraphFont"/>
    <w:link w:val="FootnoteText"/>
    <w:rsid w:val="008C5A0E"/>
    <w:rPr>
      <w:color w:val="495965" w:themeColor="text2"/>
      <w:sz w:val="12"/>
      <w:szCs w:val="20"/>
    </w:rPr>
  </w:style>
  <w:style w:type="character" w:styleId="FootnoteReference">
    <w:name w:val="footnote reference"/>
    <w:aliases w:val="ASI Footer,BVI fnr,ftref,16 Point,Superscript 6 Point,Footnotes refss, Char Char,fr,Ref,de nota al pie,FnR-ANZDEC,(NECG) Footnote Reference,Fußnotenzeichen DISS,Footnote Ref in FtNote,SUPERS,Footnote text,Normal + Font:9 Point"/>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customStyle="1" w:styleId="Default">
    <w:name w:val="Default"/>
    <w:rsid w:val="00765E3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aliases w:val="Bullets,List Paragraph1,Akapit z listą BS,List Paragraph (numbered (a)),List_Paragraph,Multilevel para_II,MC Paragraphe Liste,Colorful List - Accent 11,List Bullet-OpsManual,References,Title Style 1,Normal 2,Main numbered paragraph,Body,L"/>
    <w:basedOn w:val="Normal"/>
    <w:link w:val="ListParagraphChar"/>
    <w:uiPriority w:val="34"/>
    <w:qFormat/>
    <w:rsid w:val="00765E37"/>
    <w:pPr>
      <w:ind w:left="720"/>
      <w:contextualSpacing/>
    </w:pPr>
  </w:style>
  <w:style w:type="character" w:customStyle="1" w:styleId="ListParagraphChar">
    <w:name w:val="List Paragraph Char"/>
    <w:aliases w:val="Bullets Char,List Paragraph1 Char,Akapit z listą BS Char,List Paragraph (numbered (a)) Char,List_Paragraph Char,Multilevel para_II Char,MC Paragraphe Liste Char,Colorful List - Accent 11 Char,List Bullet-OpsManual Char,Normal 2 Char"/>
    <w:link w:val="ListParagraph"/>
    <w:uiPriority w:val="34"/>
    <w:qFormat/>
    <w:locked/>
    <w:rsid w:val="00203477"/>
    <w:rPr>
      <w:color w:val="495965" w:themeColor="text2"/>
      <w:lang w:val="en-GB"/>
    </w:rPr>
  </w:style>
  <w:style w:type="character" w:styleId="CommentReference">
    <w:name w:val="annotation reference"/>
    <w:basedOn w:val="DefaultParagraphFont"/>
    <w:uiPriority w:val="99"/>
    <w:semiHidden/>
    <w:unhideWhenUsed/>
    <w:rsid w:val="00161488"/>
    <w:rPr>
      <w:sz w:val="16"/>
      <w:szCs w:val="16"/>
    </w:rPr>
  </w:style>
  <w:style w:type="paragraph" w:styleId="CommentText">
    <w:name w:val="annotation text"/>
    <w:basedOn w:val="Normal"/>
    <w:link w:val="CommentTextChar"/>
    <w:uiPriority w:val="99"/>
    <w:semiHidden/>
    <w:unhideWhenUsed/>
    <w:rsid w:val="00161488"/>
    <w:pPr>
      <w:spacing w:line="240" w:lineRule="auto"/>
    </w:pPr>
    <w:rPr>
      <w:sz w:val="20"/>
      <w:szCs w:val="20"/>
    </w:rPr>
  </w:style>
  <w:style w:type="character" w:customStyle="1" w:styleId="CommentTextChar">
    <w:name w:val="Comment Text Char"/>
    <w:basedOn w:val="DefaultParagraphFont"/>
    <w:link w:val="CommentText"/>
    <w:uiPriority w:val="99"/>
    <w:semiHidden/>
    <w:rsid w:val="0016148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61488"/>
    <w:rPr>
      <w:b/>
      <w:bCs/>
    </w:rPr>
  </w:style>
  <w:style w:type="character" w:customStyle="1" w:styleId="CommentSubjectChar">
    <w:name w:val="Comment Subject Char"/>
    <w:basedOn w:val="CommentTextChar"/>
    <w:link w:val="CommentSubject"/>
    <w:uiPriority w:val="99"/>
    <w:semiHidden/>
    <w:rsid w:val="00161488"/>
    <w:rPr>
      <w:b/>
      <w:bCs/>
      <w:color w:val="495965" w:themeColor="text2"/>
      <w:sz w:val="20"/>
      <w:szCs w:val="20"/>
      <w:lang w:val="en-GB"/>
    </w:rPr>
  </w:style>
  <w:style w:type="character" w:styleId="HTMLCite">
    <w:name w:val="HTML Cite"/>
    <w:basedOn w:val="DefaultParagraphFont"/>
    <w:uiPriority w:val="99"/>
    <w:semiHidden/>
    <w:unhideWhenUsed/>
    <w:rsid w:val="00C53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9831">
      <w:bodyDiv w:val="1"/>
      <w:marLeft w:val="0"/>
      <w:marRight w:val="0"/>
      <w:marTop w:val="0"/>
      <w:marBottom w:val="0"/>
      <w:divBdr>
        <w:top w:val="none" w:sz="0" w:space="0" w:color="auto"/>
        <w:left w:val="none" w:sz="0" w:space="0" w:color="auto"/>
        <w:bottom w:val="none" w:sz="0" w:space="0" w:color="auto"/>
        <w:right w:val="none" w:sz="0" w:space="0" w:color="auto"/>
      </w:divBdr>
    </w:div>
    <w:div w:id="383333942">
      <w:bodyDiv w:val="1"/>
      <w:marLeft w:val="0"/>
      <w:marRight w:val="0"/>
      <w:marTop w:val="0"/>
      <w:marBottom w:val="0"/>
      <w:divBdr>
        <w:top w:val="none" w:sz="0" w:space="0" w:color="auto"/>
        <w:left w:val="none" w:sz="0" w:space="0" w:color="auto"/>
        <w:bottom w:val="none" w:sz="0" w:space="0" w:color="auto"/>
        <w:right w:val="none" w:sz="0" w:space="0" w:color="auto"/>
      </w:divBdr>
    </w:div>
    <w:div w:id="489518417">
      <w:bodyDiv w:val="1"/>
      <w:marLeft w:val="0"/>
      <w:marRight w:val="0"/>
      <w:marTop w:val="0"/>
      <w:marBottom w:val="0"/>
      <w:divBdr>
        <w:top w:val="none" w:sz="0" w:space="0" w:color="auto"/>
        <w:left w:val="none" w:sz="0" w:space="0" w:color="auto"/>
        <w:bottom w:val="none" w:sz="0" w:space="0" w:color="auto"/>
        <w:right w:val="none" w:sz="0" w:space="0" w:color="auto"/>
      </w:divBdr>
    </w:div>
    <w:div w:id="1633557904">
      <w:bodyDiv w:val="1"/>
      <w:marLeft w:val="0"/>
      <w:marRight w:val="0"/>
      <w:marTop w:val="0"/>
      <w:marBottom w:val="0"/>
      <w:divBdr>
        <w:top w:val="none" w:sz="0" w:space="0" w:color="auto"/>
        <w:left w:val="none" w:sz="0" w:space="0" w:color="auto"/>
        <w:bottom w:val="none" w:sz="0" w:space="0" w:color="auto"/>
        <w:right w:val="none" w:sz="0" w:space="0" w:color="auto"/>
      </w:divBdr>
    </w:div>
    <w:div w:id="1946375988">
      <w:bodyDiv w:val="1"/>
      <w:marLeft w:val="0"/>
      <w:marRight w:val="0"/>
      <w:marTop w:val="0"/>
      <w:marBottom w:val="0"/>
      <w:divBdr>
        <w:top w:val="none" w:sz="0" w:space="0" w:color="auto"/>
        <w:left w:val="none" w:sz="0" w:space="0" w:color="auto"/>
        <w:bottom w:val="none" w:sz="0" w:space="0" w:color="auto"/>
        <w:right w:val="none" w:sz="0" w:space="0" w:color="auto"/>
      </w:divBdr>
      <w:divsChild>
        <w:div w:id="927347422">
          <w:marLeft w:val="0"/>
          <w:marRight w:val="0"/>
          <w:marTop w:val="0"/>
          <w:marBottom w:val="0"/>
          <w:divBdr>
            <w:top w:val="none" w:sz="0" w:space="0" w:color="auto"/>
            <w:left w:val="none" w:sz="0" w:space="0" w:color="auto"/>
            <w:bottom w:val="none" w:sz="0" w:space="0" w:color="auto"/>
            <w:right w:val="none" w:sz="0" w:space="0" w:color="auto"/>
          </w:divBdr>
          <w:divsChild>
            <w:div w:id="434450203">
              <w:marLeft w:val="0"/>
              <w:marRight w:val="0"/>
              <w:marTop w:val="0"/>
              <w:marBottom w:val="0"/>
              <w:divBdr>
                <w:top w:val="none" w:sz="0" w:space="0" w:color="auto"/>
                <w:left w:val="none" w:sz="0" w:space="0" w:color="auto"/>
                <w:bottom w:val="none" w:sz="0" w:space="0" w:color="auto"/>
                <w:right w:val="none" w:sz="0" w:space="0" w:color="auto"/>
              </w:divBdr>
              <w:divsChild>
                <w:div w:id="235094128">
                  <w:marLeft w:val="0"/>
                  <w:marRight w:val="0"/>
                  <w:marTop w:val="0"/>
                  <w:marBottom w:val="0"/>
                  <w:divBdr>
                    <w:top w:val="none" w:sz="0" w:space="0" w:color="auto"/>
                    <w:left w:val="none" w:sz="0" w:space="0" w:color="auto"/>
                    <w:bottom w:val="none" w:sz="0" w:space="0" w:color="auto"/>
                    <w:right w:val="none" w:sz="0" w:space="0" w:color="auto"/>
                  </w:divBdr>
                  <w:divsChild>
                    <w:div w:id="1183977764">
                      <w:marLeft w:val="0"/>
                      <w:marRight w:val="0"/>
                      <w:marTop w:val="45"/>
                      <w:marBottom w:val="0"/>
                      <w:divBdr>
                        <w:top w:val="none" w:sz="0" w:space="0" w:color="auto"/>
                        <w:left w:val="none" w:sz="0" w:space="0" w:color="auto"/>
                        <w:bottom w:val="none" w:sz="0" w:space="0" w:color="auto"/>
                        <w:right w:val="none" w:sz="0" w:space="0" w:color="auto"/>
                      </w:divBdr>
                      <w:divsChild>
                        <w:div w:id="310403527">
                          <w:marLeft w:val="0"/>
                          <w:marRight w:val="0"/>
                          <w:marTop w:val="0"/>
                          <w:marBottom w:val="0"/>
                          <w:divBdr>
                            <w:top w:val="none" w:sz="0" w:space="0" w:color="auto"/>
                            <w:left w:val="none" w:sz="0" w:space="0" w:color="auto"/>
                            <w:bottom w:val="none" w:sz="0" w:space="0" w:color="auto"/>
                            <w:right w:val="none" w:sz="0" w:space="0" w:color="auto"/>
                          </w:divBdr>
                          <w:divsChild>
                            <w:div w:id="219244498">
                              <w:marLeft w:val="2070"/>
                              <w:marRight w:val="3810"/>
                              <w:marTop w:val="0"/>
                              <w:marBottom w:val="0"/>
                              <w:divBdr>
                                <w:top w:val="none" w:sz="0" w:space="0" w:color="auto"/>
                                <w:left w:val="none" w:sz="0" w:space="0" w:color="auto"/>
                                <w:bottom w:val="none" w:sz="0" w:space="0" w:color="auto"/>
                                <w:right w:val="none" w:sz="0" w:space="0" w:color="auto"/>
                              </w:divBdr>
                              <w:divsChild>
                                <w:div w:id="73205110">
                                  <w:marLeft w:val="0"/>
                                  <w:marRight w:val="0"/>
                                  <w:marTop w:val="0"/>
                                  <w:marBottom w:val="0"/>
                                  <w:divBdr>
                                    <w:top w:val="none" w:sz="0" w:space="0" w:color="auto"/>
                                    <w:left w:val="none" w:sz="0" w:space="0" w:color="auto"/>
                                    <w:bottom w:val="none" w:sz="0" w:space="0" w:color="auto"/>
                                    <w:right w:val="none" w:sz="0" w:space="0" w:color="auto"/>
                                  </w:divBdr>
                                  <w:divsChild>
                                    <w:div w:id="1326013643">
                                      <w:marLeft w:val="0"/>
                                      <w:marRight w:val="0"/>
                                      <w:marTop w:val="0"/>
                                      <w:marBottom w:val="0"/>
                                      <w:divBdr>
                                        <w:top w:val="none" w:sz="0" w:space="0" w:color="auto"/>
                                        <w:left w:val="none" w:sz="0" w:space="0" w:color="auto"/>
                                        <w:bottom w:val="none" w:sz="0" w:space="0" w:color="auto"/>
                                        <w:right w:val="none" w:sz="0" w:space="0" w:color="auto"/>
                                      </w:divBdr>
                                      <w:divsChild>
                                        <w:div w:id="289164269">
                                          <w:marLeft w:val="0"/>
                                          <w:marRight w:val="0"/>
                                          <w:marTop w:val="0"/>
                                          <w:marBottom w:val="0"/>
                                          <w:divBdr>
                                            <w:top w:val="none" w:sz="0" w:space="0" w:color="auto"/>
                                            <w:left w:val="none" w:sz="0" w:space="0" w:color="auto"/>
                                            <w:bottom w:val="none" w:sz="0" w:space="0" w:color="auto"/>
                                            <w:right w:val="none" w:sz="0" w:space="0" w:color="auto"/>
                                          </w:divBdr>
                                          <w:divsChild>
                                            <w:div w:id="1401640396">
                                              <w:marLeft w:val="0"/>
                                              <w:marRight w:val="0"/>
                                              <w:marTop w:val="0"/>
                                              <w:marBottom w:val="0"/>
                                              <w:divBdr>
                                                <w:top w:val="none" w:sz="0" w:space="0" w:color="auto"/>
                                                <w:left w:val="none" w:sz="0" w:space="0" w:color="auto"/>
                                                <w:bottom w:val="none" w:sz="0" w:space="0" w:color="auto"/>
                                                <w:right w:val="none" w:sz="0" w:space="0" w:color="auto"/>
                                              </w:divBdr>
                                              <w:divsChild>
                                                <w:div w:id="49965866">
                                                  <w:marLeft w:val="0"/>
                                                  <w:marRight w:val="0"/>
                                                  <w:marTop w:val="0"/>
                                                  <w:marBottom w:val="0"/>
                                                  <w:divBdr>
                                                    <w:top w:val="none" w:sz="0" w:space="0" w:color="auto"/>
                                                    <w:left w:val="none" w:sz="0" w:space="0" w:color="auto"/>
                                                    <w:bottom w:val="none" w:sz="0" w:space="0" w:color="auto"/>
                                                    <w:right w:val="none" w:sz="0" w:space="0" w:color="auto"/>
                                                  </w:divBdr>
                                                  <w:divsChild>
                                                    <w:div w:id="919948166">
                                                      <w:marLeft w:val="0"/>
                                                      <w:marRight w:val="0"/>
                                                      <w:marTop w:val="0"/>
                                                      <w:marBottom w:val="0"/>
                                                      <w:divBdr>
                                                        <w:top w:val="none" w:sz="0" w:space="0" w:color="auto"/>
                                                        <w:left w:val="none" w:sz="0" w:space="0" w:color="auto"/>
                                                        <w:bottom w:val="none" w:sz="0" w:space="0" w:color="auto"/>
                                                        <w:right w:val="none" w:sz="0" w:space="0" w:color="auto"/>
                                                      </w:divBdr>
                                                      <w:divsChild>
                                                        <w:div w:id="672221848">
                                                          <w:marLeft w:val="0"/>
                                                          <w:marRight w:val="0"/>
                                                          <w:marTop w:val="0"/>
                                                          <w:marBottom w:val="345"/>
                                                          <w:divBdr>
                                                            <w:top w:val="none" w:sz="0" w:space="0" w:color="auto"/>
                                                            <w:left w:val="none" w:sz="0" w:space="0" w:color="auto"/>
                                                            <w:bottom w:val="none" w:sz="0" w:space="0" w:color="auto"/>
                                                            <w:right w:val="none" w:sz="0" w:space="0" w:color="auto"/>
                                                          </w:divBdr>
                                                          <w:divsChild>
                                                            <w:div w:id="1657487479">
                                                              <w:marLeft w:val="0"/>
                                                              <w:marRight w:val="0"/>
                                                              <w:marTop w:val="0"/>
                                                              <w:marBottom w:val="0"/>
                                                              <w:divBdr>
                                                                <w:top w:val="none" w:sz="0" w:space="0" w:color="auto"/>
                                                                <w:left w:val="none" w:sz="0" w:space="0" w:color="auto"/>
                                                                <w:bottom w:val="none" w:sz="0" w:space="0" w:color="auto"/>
                                                                <w:right w:val="none" w:sz="0" w:space="0" w:color="auto"/>
                                                              </w:divBdr>
                                                              <w:divsChild>
                                                                <w:div w:id="1346832894">
                                                                  <w:marLeft w:val="0"/>
                                                                  <w:marRight w:val="0"/>
                                                                  <w:marTop w:val="0"/>
                                                                  <w:marBottom w:val="0"/>
                                                                  <w:divBdr>
                                                                    <w:top w:val="none" w:sz="0" w:space="0" w:color="auto"/>
                                                                    <w:left w:val="none" w:sz="0" w:space="0" w:color="auto"/>
                                                                    <w:bottom w:val="none" w:sz="0" w:space="0" w:color="auto"/>
                                                                    <w:right w:val="none" w:sz="0" w:space="0" w:color="auto"/>
                                                                  </w:divBdr>
                                                                  <w:divsChild>
                                                                    <w:div w:id="1859931924">
                                                                      <w:marLeft w:val="0"/>
                                                                      <w:marRight w:val="0"/>
                                                                      <w:marTop w:val="0"/>
                                                                      <w:marBottom w:val="0"/>
                                                                      <w:divBdr>
                                                                        <w:top w:val="none" w:sz="0" w:space="0" w:color="auto"/>
                                                                        <w:left w:val="none" w:sz="0" w:space="0" w:color="auto"/>
                                                                        <w:bottom w:val="none" w:sz="0" w:space="0" w:color="auto"/>
                                                                        <w:right w:val="none" w:sz="0" w:space="0" w:color="auto"/>
                                                                      </w:divBdr>
                                                                      <w:divsChild>
                                                                        <w:div w:id="1679037591">
                                                                          <w:marLeft w:val="0"/>
                                                                          <w:marRight w:val="0"/>
                                                                          <w:marTop w:val="0"/>
                                                                          <w:marBottom w:val="0"/>
                                                                          <w:divBdr>
                                                                            <w:top w:val="none" w:sz="0" w:space="0" w:color="auto"/>
                                                                            <w:left w:val="none" w:sz="0" w:space="0" w:color="auto"/>
                                                                            <w:bottom w:val="none" w:sz="0" w:space="0" w:color="auto"/>
                                                                            <w:right w:val="none" w:sz="0" w:space="0" w:color="auto"/>
                                                                          </w:divBdr>
                                                                          <w:divsChild>
                                                                            <w:div w:id="90200626">
                                                                              <w:marLeft w:val="0"/>
                                                                              <w:marRight w:val="0"/>
                                                                              <w:marTop w:val="0"/>
                                                                              <w:marBottom w:val="0"/>
                                                                              <w:divBdr>
                                                                                <w:top w:val="none" w:sz="0" w:space="0" w:color="auto"/>
                                                                                <w:left w:val="none" w:sz="0" w:space="0" w:color="auto"/>
                                                                                <w:bottom w:val="none" w:sz="0" w:space="0" w:color="auto"/>
                                                                                <w:right w:val="none" w:sz="0" w:space="0" w:color="auto"/>
                                                                              </w:divBdr>
                                                                              <w:divsChild>
                                                                                <w:div w:id="1492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2587">
      <w:bodyDiv w:val="1"/>
      <w:marLeft w:val="0"/>
      <w:marRight w:val="0"/>
      <w:marTop w:val="0"/>
      <w:marBottom w:val="0"/>
      <w:divBdr>
        <w:top w:val="none" w:sz="0" w:space="0" w:color="auto"/>
        <w:left w:val="none" w:sz="0" w:space="0" w:color="auto"/>
        <w:bottom w:val="none" w:sz="0" w:space="0" w:color="auto"/>
        <w:right w:val="none" w:sz="0" w:space="0" w:color="auto"/>
      </w:divBdr>
    </w:div>
    <w:div w:id="20282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customXml" Target="../customXml/item4.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humanitarianresponse.info/en/system/files/documents/files/humanitarian_bulletin_dec_jan_2016.pdf" TargetMode="External"/><Relationship Id="rId3" Type="http://schemas.openxmlformats.org/officeDocument/2006/relationships/hyperlink" Target="http://www.fao.org/pakistan/fao-in-pakistan/pakistan-at-a-glance/en/" TargetMode="External"/><Relationship Id="rId7" Type="http://schemas.openxmlformats.org/officeDocument/2006/relationships/hyperlink" Target="http://hdr.undp.org/en/2015-report" TargetMode="External"/><Relationship Id="rId2" Type="http://schemas.openxmlformats.org/officeDocument/2006/relationships/hyperlink" Target="http://www.worldbank.org/en/country/pakistan/overview" TargetMode="External"/><Relationship Id="rId1" Type="http://schemas.openxmlformats.org/officeDocument/2006/relationships/hyperlink" Target="http://asiapacific.unwomen.org/en/countries/pakistan" TargetMode="External"/><Relationship Id="rId6" Type="http://schemas.openxmlformats.org/officeDocument/2006/relationships/hyperlink" Target="http://www.unicef.org/pakistan/overview_8436.htm" TargetMode="External"/><Relationship Id="rId5" Type="http://schemas.openxmlformats.org/officeDocument/2006/relationships/hyperlink" Target="http://hdr.undp.org/sites/default/files/hdr15_standalone_overview_en.pdf" TargetMode="External"/><Relationship Id="rId4" Type="http://schemas.openxmlformats.org/officeDocument/2006/relationships/hyperlink" Target="http://jinnah-institute.org/agriculture-in-pakistan-2015/" TargetMode="External"/><Relationship Id="rId9" Type="http://schemas.openxmlformats.org/officeDocument/2006/relationships/hyperlink" Target="http://www.unocha.org/pakist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DEDB0-6B18-43BC-85D4-6F33B46C7938}"/>
</file>

<file path=customXml/itemProps2.xml><?xml version="1.0" encoding="utf-8"?>
<ds:datastoreItem xmlns:ds="http://schemas.openxmlformats.org/officeDocument/2006/customXml" ds:itemID="{E1013A62-F1C2-48E2-A298-00F6CCE5A434}"/>
</file>

<file path=customXml/itemProps3.xml><?xml version="1.0" encoding="utf-8"?>
<ds:datastoreItem xmlns:ds="http://schemas.openxmlformats.org/officeDocument/2006/customXml" ds:itemID="{3B3634C6-6F34-46CF-9575-AEBDDC4B5094}"/>
</file>

<file path=customXml/itemProps4.xml><?xml version="1.0" encoding="utf-8"?>
<ds:datastoreItem xmlns:ds="http://schemas.openxmlformats.org/officeDocument/2006/customXml" ds:itemID="{0B42CC7D-060B-40AE-8B7F-5170AE98E78A}"/>
</file>

<file path=docProps/app.xml><?xml version="1.0" encoding="utf-8"?>
<Properties xmlns="http://schemas.openxmlformats.org/officeDocument/2006/extended-properties" xmlns:vt="http://schemas.openxmlformats.org/officeDocument/2006/docPropsVTypes">
  <Template>5E331809</Template>
  <TotalTime>0</TotalTime>
  <Pages>21</Pages>
  <Words>9443</Words>
  <Characters>54492</Characters>
  <Application>Microsoft Office Word</Application>
  <DocSecurity>0</DocSecurity>
  <Lines>1047</Lines>
  <Paragraphs>470</Paragraphs>
  <ScaleCrop>false</ScaleCrop>
  <Company/>
  <LinksUpToDate>false</LinksUpToDate>
  <CharactersWithSpaces>63465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2016-09-01T07:22:00Z</dcterms:created>
  <dcterms:modified xsi:type="dcterms:W3CDTF">2016-09-01T07:22:00Z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4109b010-5a47-4681-9db6-c90ec4e1d19c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1054200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