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1.xml" ContentType="application/vnd.openxmlformats-officedocument.wordprocessingml.header+xml"/>
  <Override PartName="/word/header10.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D92" w:rsidRPr="00D17249" w:rsidRDefault="00232975" w:rsidP="00B10A3C">
      <w:pPr>
        <w:pStyle w:val="Title"/>
        <w:ind w:right="-171"/>
      </w:pPr>
      <w:r w:rsidRPr="00CA6DB6">
        <w:t>Aid Program Performance Report 2012</w:t>
      </w:r>
      <w:r w:rsidRPr="00052BF3">
        <w:t>−</w:t>
      </w:r>
      <w:r w:rsidRPr="00CA6DB6">
        <w:t xml:space="preserve">13 </w:t>
      </w:r>
      <w:r w:rsidR="00A71731">
        <w:t>Pakistan</w:t>
      </w:r>
    </w:p>
    <w:p w:rsidR="00060B36" w:rsidRPr="00F67041" w:rsidRDefault="00060B36" w:rsidP="00A44D92">
      <w:pPr>
        <w:pStyle w:val="Heading1"/>
      </w:pPr>
      <w:r w:rsidRPr="00F67041">
        <w:t>Key messages</w:t>
      </w:r>
    </w:p>
    <w:p w:rsidR="00060B36" w:rsidRDefault="00060B36" w:rsidP="00F67041">
      <w:pPr>
        <w:pStyle w:val="ListBullet"/>
      </w:pPr>
      <w:r>
        <w:t xml:space="preserve">This report summarises progress in </w:t>
      </w:r>
      <w:smartTag w:uri="urn:schemas-microsoft-com:office:smarttags" w:element="country-region">
        <w:r>
          <w:t>Australia</w:t>
        </w:r>
      </w:smartTag>
      <w:r>
        <w:t xml:space="preserve">'s aid program in </w:t>
      </w:r>
      <w:smartTag w:uri="urn:schemas-microsoft-com:office:smarttags" w:element="country-region">
        <w:r>
          <w:t>Pakistan</w:t>
        </w:r>
      </w:smartTag>
      <w:r>
        <w:t xml:space="preserve"> in 2012–13, under the </w:t>
      </w:r>
      <w:smartTag w:uri="urn:schemas-microsoft-com:office:smarttags" w:element="place">
        <w:smartTag w:uri="urn:schemas-microsoft-com:office:smarttags" w:element="country-region">
          <w:r>
            <w:t>Australia</w:t>
          </w:r>
        </w:smartTag>
      </w:smartTag>
      <w:r>
        <w:t xml:space="preserve"> – Pakistan Development Partnership (APDP).</w:t>
      </w:r>
    </w:p>
    <w:p w:rsidR="00060B36" w:rsidRDefault="00060B36" w:rsidP="00F67041">
      <w:pPr>
        <w:pStyle w:val="ListBullet"/>
      </w:pPr>
      <w:r>
        <w:t xml:space="preserve">The </w:t>
      </w:r>
      <w:r w:rsidR="009D4C2F">
        <w:t>Department of Foreign Affairs and Trade (DFAT)</w:t>
      </w:r>
      <w:r>
        <w:t xml:space="preserve"> plans to prepare a new strategy in 2013–14, around a new set of objectives: </w:t>
      </w:r>
    </w:p>
    <w:p w:rsidR="00060B36" w:rsidRDefault="00060B36" w:rsidP="00F67041">
      <w:pPr>
        <w:pStyle w:val="ListBullet2"/>
      </w:pPr>
      <w:r>
        <w:t>To provide basic services</w:t>
      </w:r>
      <w:r>
        <w:rPr>
          <w:rStyle w:val="FootnoteReference"/>
          <w:sz w:val="16"/>
          <w:szCs w:val="12"/>
        </w:rPr>
        <w:footnoteReference w:id="1"/>
      </w:r>
      <w:r>
        <w:t>, particularly to women and children, in health, education and rural development through credible and experienced partners.</w:t>
      </w:r>
    </w:p>
    <w:p w:rsidR="00060B36" w:rsidRDefault="00060B36" w:rsidP="00F67041">
      <w:pPr>
        <w:pStyle w:val="ListBullet2"/>
      </w:pPr>
      <w:r>
        <w:t>To address the needs of communities most vulnerable to the effects of conflict, remoteness, marginalisation, and natural hazards and disasters.</w:t>
      </w:r>
    </w:p>
    <w:p w:rsidR="00060B36" w:rsidRDefault="00060B36" w:rsidP="00F67041">
      <w:pPr>
        <w:pStyle w:val="ListBullet2"/>
      </w:pPr>
      <w:r>
        <w:t>To engage with national and provincial governments on development priorities that reduce poverty and support greater peace and stability in Pakistan.</w:t>
      </w:r>
    </w:p>
    <w:p w:rsidR="00060B36" w:rsidRDefault="00060B36" w:rsidP="00F67041">
      <w:pPr>
        <w:pStyle w:val="ListBullet"/>
      </w:pPr>
      <w:r>
        <w:t xml:space="preserve">This </w:t>
      </w:r>
      <w:r w:rsidR="0094075F">
        <w:t>Aid</w:t>
      </w:r>
      <w:r w:rsidR="006246DD">
        <w:t xml:space="preserve"> Program Performance Report (</w:t>
      </w:r>
      <w:r w:rsidR="0094075F">
        <w:t>A</w:t>
      </w:r>
      <w:r>
        <w:t>PPR) reports against the new objectives.</w:t>
      </w:r>
    </w:p>
    <w:p w:rsidR="00060B36" w:rsidRDefault="00060B36" w:rsidP="00F67041">
      <w:pPr>
        <w:pStyle w:val="ListBullet"/>
      </w:pPr>
      <w:r w:rsidRPr="00FD125E">
        <w:t xml:space="preserve">Pakistan’s security challenges and its strategic importance </w:t>
      </w:r>
      <w:r>
        <w:t xml:space="preserve">to Australia </w:t>
      </w:r>
      <w:r w:rsidRPr="00FD125E">
        <w:t>require</w:t>
      </w:r>
      <w:r>
        <w:t xml:space="preserve"> a </w:t>
      </w:r>
      <w:r w:rsidRPr="00FD125E">
        <w:t>long-term focus on democratic stability</w:t>
      </w:r>
      <w:r>
        <w:t>,</w:t>
      </w:r>
      <w:r w:rsidRPr="00FD125E">
        <w:t xml:space="preserve"> more effective political governance, broad-based economic and social development</w:t>
      </w:r>
      <w:r>
        <w:t>,</w:t>
      </w:r>
      <w:r w:rsidRPr="00FD125E">
        <w:t xml:space="preserve"> and poverty reduction</w:t>
      </w:r>
      <w:r>
        <w:t xml:space="preserve">. </w:t>
      </w:r>
    </w:p>
    <w:p w:rsidR="00060B36" w:rsidRDefault="00060B36" w:rsidP="00F67041">
      <w:pPr>
        <w:pStyle w:val="ListBullet"/>
      </w:pPr>
      <w:r>
        <w:t xml:space="preserve">During the reporting period, Pakistan’s security and political context continued to make it difficult to deliver aid. Engagement with the Government of Pakistan was limited, and security concerns hampered </w:t>
      </w:r>
      <w:r w:rsidR="009D4C2F">
        <w:t>DFAT</w:t>
      </w:r>
      <w:r>
        <w:t>’s ability to meet with provincial governments and to monitor investments.</w:t>
      </w:r>
    </w:p>
    <w:p w:rsidR="00060B36" w:rsidRDefault="00060B36" w:rsidP="00F67041">
      <w:pPr>
        <w:pStyle w:val="ListBullet"/>
      </w:pPr>
      <w:r>
        <w:t>Although Pakistan is making slow progress in reducing maternal, newborn and child mortality, Australia’s support to the Government of Pakistan to implement its National Maternal, Newborn and Child Health (MNCH) Program is on track to achieve most of its objectives.</w:t>
      </w:r>
    </w:p>
    <w:p w:rsidR="00060B36" w:rsidRDefault="00060B36" w:rsidP="00F67041">
      <w:pPr>
        <w:pStyle w:val="ListBullet"/>
      </w:pPr>
      <w:r>
        <w:t>Australia’s support to the United Nations Development Programme (UNDP) to strengthen the electoral system contributed to national and provincial elections. This program was considered a success by the international community.</w:t>
      </w:r>
    </w:p>
    <w:p w:rsidR="00060B36" w:rsidRDefault="00060B36" w:rsidP="00F67041">
      <w:pPr>
        <w:pStyle w:val="ListBullet"/>
      </w:pPr>
      <w:r>
        <w:t>Support for implementing provincial-level education sector plans and sponsoring early childhood education is showing positive results.</w:t>
      </w:r>
    </w:p>
    <w:p w:rsidR="00060B36" w:rsidRPr="001B1B2D" w:rsidRDefault="00060B36" w:rsidP="00F67041">
      <w:pPr>
        <w:pStyle w:val="ListBullet"/>
      </w:pPr>
      <w:r w:rsidRPr="001B1B2D">
        <w:t>Australia’s response to the needs of vulnerable communities affected by conflict and natural</w:t>
      </w:r>
      <w:r>
        <w:t xml:space="preserve"> disasters in Pakistan has been effective, with life-saving assistance provided to more than 395 000</w:t>
      </w:r>
      <w:r w:rsidRPr="001B1B2D">
        <w:t xml:space="preserve"> people </w:t>
      </w:r>
      <w:r>
        <w:t>through</w:t>
      </w:r>
      <w:r w:rsidRPr="001B1B2D">
        <w:t xml:space="preserve"> food and livelihood assistance.</w:t>
      </w:r>
    </w:p>
    <w:p w:rsidR="00060B36" w:rsidRDefault="00060B36" w:rsidP="00F67041">
      <w:pPr>
        <w:pStyle w:val="ListBullet"/>
      </w:pPr>
      <w:r>
        <w:t xml:space="preserve">Australia’s humanitarian activities have been largely reactive and </w:t>
      </w:r>
      <w:r w:rsidR="009D4C2F">
        <w:t>DFAT</w:t>
      </w:r>
      <w:r>
        <w:t xml:space="preserve"> aims to develop a disaster response and disaster risk reduction delivery strategy by early 2014 to help </w:t>
      </w:r>
      <w:r>
        <w:lastRenderedPageBreak/>
        <w:t>establish national capacity to prepare for and reduce the human and economic costs of crises.</w:t>
      </w:r>
    </w:p>
    <w:p w:rsidR="00060B36" w:rsidRPr="00F67041" w:rsidRDefault="00060B36" w:rsidP="00F67041">
      <w:pPr>
        <w:pStyle w:val="Heading1"/>
      </w:pPr>
      <w:r w:rsidRPr="00F67041">
        <w:t xml:space="preserve">Context </w:t>
      </w:r>
    </w:p>
    <w:p w:rsidR="00060B36" w:rsidRPr="007769D9" w:rsidRDefault="005309E2" w:rsidP="00F67041">
      <w:pPr>
        <w:pStyle w:val="BodyText"/>
        <w:rPr>
          <w:lang w:val="en-US" w:eastAsia="en-US"/>
        </w:rPr>
      </w:pPr>
      <w:r>
        <w:rPr>
          <w:lang w:val="en-US" w:eastAsia="en-US"/>
        </w:rPr>
        <w:t>Australia has</w:t>
      </w:r>
      <w:r w:rsidR="00060B36">
        <w:rPr>
          <w:lang w:val="en-US" w:eastAsia="en-US"/>
        </w:rPr>
        <w:t xml:space="preserve"> global interests, </w:t>
      </w:r>
      <w:r>
        <w:rPr>
          <w:lang w:val="en-US" w:eastAsia="en-US"/>
        </w:rPr>
        <w:t>shared by the international community, and bilateral interests in Pakistan. Pakistan's stability and its commitment to combating violent extremism are critical for regional and global security, as well as for stability in Afghanistan.</w:t>
      </w:r>
      <w:r w:rsidR="00060B36">
        <w:rPr>
          <w:lang w:val="en-US" w:eastAsia="en-US"/>
        </w:rPr>
        <w:t xml:space="preserve"> These challenges require a long-term focus on </w:t>
      </w:r>
      <w:r w:rsidR="00060B36" w:rsidRPr="003E4CA6">
        <w:rPr>
          <w:lang w:val="en-US" w:eastAsia="en-US"/>
        </w:rPr>
        <w:t xml:space="preserve">promoting more effective political </w:t>
      </w:r>
      <w:r w:rsidR="00E8353A">
        <w:rPr>
          <w:lang w:val="en-US" w:eastAsia="en-US"/>
        </w:rPr>
        <w:t xml:space="preserve">and administrative </w:t>
      </w:r>
      <w:r w:rsidR="00060B36" w:rsidRPr="003E4CA6">
        <w:rPr>
          <w:lang w:val="en-US" w:eastAsia="en-US"/>
        </w:rPr>
        <w:t>governance</w:t>
      </w:r>
      <w:r w:rsidR="00060B36">
        <w:rPr>
          <w:lang w:val="en-US" w:eastAsia="en-US"/>
        </w:rPr>
        <w:t xml:space="preserve"> as well as </w:t>
      </w:r>
      <w:r w:rsidR="00060B36" w:rsidRPr="003E4CA6">
        <w:rPr>
          <w:lang w:val="en-US" w:eastAsia="en-US"/>
        </w:rPr>
        <w:t>broad-based economic and social development</w:t>
      </w:r>
      <w:r w:rsidR="00060B36">
        <w:rPr>
          <w:lang w:val="en-US" w:eastAsia="en-US"/>
        </w:rPr>
        <w:t>,</w:t>
      </w:r>
      <w:r w:rsidR="00060B36" w:rsidRPr="003E4CA6">
        <w:rPr>
          <w:lang w:val="en-US" w:eastAsia="en-US"/>
        </w:rPr>
        <w:t xml:space="preserve"> and poverty reduction</w:t>
      </w:r>
      <w:r w:rsidR="00060B36">
        <w:rPr>
          <w:lang w:val="en-US" w:eastAsia="en-US"/>
        </w:rPr>
        <w:t>. To</w:t>
      </w:r>
      <w:r w:rsidR="00060B36" w:rsidRPr="007769D9">
        <w:rPr>
          <w:lang w:val="en-US" w:eastAsia="en-US"/>
        </w:rPr>
        <w:t xml:space="preserve"> address the</w:t>
      </w:r>
      <w:r w:rsidR="00060B36">
        <w:rPr>
          <w:lang w:val="en-US" w:eastAsia="en-US"/>
        </w:rPr>
        <w:t>se challenges,</w:t>
      </w:r>
      <w:r w:rsidR="00060B36" w:rsidRPr="007769D9">
        <w:rPr>
          <w:lang w:val="en-US" w:eastAsia="en-US"/>
        </w:rPr>
        <w:t xml:space="preserve"> </w:t>
      </w:r>
      <w:smartTag w:uri="urn:schemas-microsoft-com:office:smarttags" w:element="place">
        <w:smartTag w:uri="urn:schemas-microsoft-com:office:smarttags" w:element="country-region">
          <w:r w:rsidR="00060B36" w:rsidRPr="007769D9">
            <w:rPr>
              <w:lang w:val="en-US" w:eastAsia="en-US"/>
            </w:rPr>
            <w:t>Pakistan</w:t>
          </w:r>
        </w:smartTag>
      </w:smartTag>
      <w:r w:rsidR="00060B36" w:rsidRPr="007769D9">
        <w:rPr>
          <w:lang w:val="en-US" w:eastAsia="en-US"/>
        </w:rPr>
        <w:t xml:space="preserve"> needs sustained support from the international community</w:t>
      </w:r>
      <w:r w:rsidR="00060B36">
        <w:rPr>
          <w:lang w:val="en-US" w:eastAsia="en-US"/>
        </w:rPr>
        <w:t xml:space="preserve">. </w:t>
      </w:r>
      <w:r w:rsidR="00060B36" w:rsidRPr="007769D9">
        <w:rPr>
          <w:lang w:val="en-US" w:eastAsia="en-US"/>
        </w:rPr>
        <w:t xml:space="preserve">With limited capacity to provide basic services and security to its citizens, achieving development outcomes is difficult. Given </w:t>
      </w:r>
      <w:smartTag w:uri="urn:schemas-microsoft-com:office:smarttags" w:element="country-region">
        <w:r w:rsidR="00060B36" w:rsidRPr="007769D9">
          <w:rPr>
            <w:lang w:val="en-US" w:eastAsia="en-US"/>
          </w:rPr>
          <w:t>Australia</w:t>
        </w:r>
      </w:smartTag>
      <w:r w:rsidR="00060B36" w:rsidRPr="007769D9">
        <w:rPr>
          <w:lang w:val="en-US" w:eastAsia="en-US"/>
        </w:rPr>
        <w:t xml:space="preserve">’s strategic interests and the desire to contribute to development and stability, </w:t>
      </w:r>
      <w:smartTag w:uri="urn:schemas-microsoft-com:office:smarttags" w:element="country-region">
        <w:r w:rsidR="00060B36" w:rsidRPr="007769D9">
          <w:rPr>
            <w:lang w:val="en-US" w:eastAsia="en-US"/>
          </w:rPr>
          <w:t>Australia</w:t>
        </w:r>
      </w:smartTag>
      <w:r w:rsidR="00060B36" w:rsidRPr="007769D9">
        <w:rPr>
          <w:lang w:val="en-US" w:eastAsia="en-US"/>
        </w:rPr>
        <w:t xml:space="preserve"> is committed to continuing its aid support to </w:t>
      </w:r>
      <w:smartTag w:uri="urn:schemas-microsoft-com:office:smarttags" w:element="place">
        <w:smartTag w:uri="urn:schemas-microsoft-com:office:smarttags" w:element="country-region">
          <w:r w:rsidR="00060B36" w:rsidRPr="007769D9">
            <w:rPr>
              <w:lang w:val="en-US" w:eastAsia="en-US"/>
            </w:rPr>
            <w:t>Pakistan</w:t>
          </w:r>
        </w:smartTag>
      </w:smartTag>
      <w:r w:rsidR="00060B36" w:rsidRPr="007769D9">
        <w:rPr>
          <w:lang w:val="en-US" w:eastAsia="en-US"/>
        </w:rPr>
        <w:t>.</w:t>
      </w:r>
    </w:p>
    <w:p w:rsidR="00060B36" w:rsidRDefault="00060B36" w:rsidP="00F67041">
      <w:pPr>
        <w:pStyle w:val="BodyText"/>
        <w:rPr>
          <w:lang w:val="en-US" w:eastAsia="en-US"/>
        </w:rPr>
      </w:pPr>
      <w:r w:rsidRPr="00A84DB7">
        <w:rPr>
          <w:lang w:val="en-US" w:eastAsia="en-US"/>
        </w:rPr>
        <w:t xml:space="preserve">This </w:t>
      </w:r>
      <w:r w:rsidR="0094075F">
        <w:rPr>
          <w:lang w:val="en-US" w:eastAsia="en-US"/>
        </w:rPr>
        <w:t>A</w:t>
      </w:r>
      <w:r>
        <w:rPr>
          <w:lang w:val="en-US" w:eastAsia="en-US"/>
        </w:rPr>
        <w:t>PPR</w:t>
      </w:r>
      <w:r w:rsidRPr="00A84DB7">
        <w:rPr>
          <w:lang w:val="en-US" w:eastAsia="en-US"/>
        </w:rPr>
        <w:t xml:space="preserve"> outlines performance against</w:t>
      </w:r>
      <w:r>
        <w:rPr>
          <w:lang w:val="en-US" w:eastAsia="en-US"/>
        </w:rPr>
        <w:t xml:space="preserve"> the</w:t>
      </w:r>
      <w:r w:rsidRPr="00A84DB7">
        <w:rPr>
          <w:lang w:val="en-US" w:eastAsia="en-US"/>
        </w:rPr>
        <w:t xml:space="preserve"> th</w:t>
      </w:r>
      <w:r>
        <w:rPr>
          <w:lang w:val="en-US" w:eastAsia="en-US"/>
        </w:rPr>
        <w:t>re</w:t>
      </w:r>
      <w:r w:rsidRPr="00A84DB7">
        <w:rPr>
          <w:lang w:val="en-US" w:eastAsia="en-US"/>
        </w:rPr>
        <w:t xml:space="preserve">e </w:t>
      </w:r>
      <w:r>
        <w:rPr>
          <w:lang w:val="en-US" w:eastAsia="en-US"/>
        </w:rPr>
        <w:t xml:space="preserve">new program </w:t>
      </w:r>
      <w:r w:rsidRPr="00A84DB7">
        <w:rPr>
          <w:lang w:val="en-US" w:eastAsia="en-US"/>
        </w:rPr>
        <w:t>objectives</w:t>
      </w:r>
      <w:r>
        <w:rPr>
          <w:lang w:val="en-US" w:eastAsia="en-US"/>
        </w:rPr>
        <w:t>, marking a change from t</w:t>
      </w:r>
      <w:r w:rsidRPr="00A84DB7">
        <w:rPr>
          <w:lang w:val="en-US" w:eastAsia="en-US"/>
        </w:rPr>
        <w:t xml:space="preserve">he 2011 </w:t>
      </w:r>
      <w:r w:rsidR="0094075F">
        <w:rPr>
          <w:lang w:val="en-US" w:eastAsia="en-US"/>
        </w:rPr>
        <w:t>Annual Program Performance Report (</w:t>
      </w:r>
      <w:r>
        <w:rPr>
          <w:lang w:val="en-US" w:eastAsia="en-US"/>
        </w:rPr>
        <w:t>APPR</w:t>
      </w:r>
      <w:r w:rsidR="0094075F">
        <w:rPr>
          <w:lang w:val="en-US" w:eastAsia="en-US"/>
        </w:rPr>
        <w:t>)</w:t>
      </w:r>
      <w:r>
        <w:rPr>
          <w:lang w:val="en-US" w:eastAsia="en-US"/>
        </w:rPr>
        <w:t>,</w:t>
      </w:r>
      <w:r w:rsidR="006246DD">
        <w:rPr>
          <w:rStyle w:val="FootnoteReference"/>
          <w:lang w:val="en-US" w:eastAsia="en-US"/>
        </w:rPr>
        <w:footnoteReference w:id="2"/>
      </w:r>
      <w:r>
        <w:rPr>
          <w:lang w:val="en-US" w:eastAsia="en-US"/>
        </w:rPr>
        <w:t xml:space="preserve"> which</w:t>
      </w:r>
      <w:r w:rsidRPr="00A84DB7">
        <w:rPr>
          <w:lang w:val="en-US" w:eastAsia="en-US"/>
        </w:rPr>
        <w:t xml:space="preserve"> reported </w:t>
      </w:r>
      <w:r>
        <w:rPr>
          <w:lang w:val="en-US" w:eastAsia="en-US"/>
        </w:rPr>
        <w:t>against the</w:t>
      </w:r>
      <w:r w:rsidRPr="00A84DB7">
        <w:rPr>
          <w:lang w:val="en-US" w:eastAsia="en-US"/>
        </w:rPr>
        <w:t xml:space="preserve"> five </w:t>
      </w:r>
      <w:r>
        <w:rPr>
          <w:lang w:val="en-US" w:eastAsia="en-US"/>
        </w:rPr>
        <w:t xml:space="preserve">previous </w:t>
      </w:r>
      <w:r w:rsidRPr="00A84DB7">
        <w:rPr>
          <w:lang w:val="en-US" w:eastAsia="en-US"/>
        </w:rPr>
        <w:t>objectives</w:t>
      </w:r>
      <w:r>
        <w:rPr>
          <w:lang w:val="en-US" w:eastAsia="en-US"/>
        </w:rPr>
        <w:t xml:space="preserve">. </w:t>
      </w:r>
    </w:p>
    <w:p w:rsidR="00060B36" w:rsidRDefault="00060B36" w:rsidP="00F67041">
      <w:pPr>
        <w:pStyle w:val="BodyText"/>
        <w:rPr>
          <w:lang w:val="en-US" w:eastAsia="en-US"/>
        </w:rPr>
      </w:pPr>
      <w:r>
        <w:rPr>
          <w:lang w:val="en-US" w:eastAsia="en-US"/>
        </w:rPr>
        <w:t>The new objectives better represent Australian aid’s capacity to make a difference, noting that total official development assistance (ODA) represents just 1.7 per cent of Pakistan's gross national income, and our ODA contribution is 1.8 per cent</w:t>
      </w:r>
      <w:r w:rsidR="005309E2">
        <w:rPr>
          <w:lang w:val="en-US" w:eastAsia="en-US"/>
        </w:rPr>
        <w:t xml:space="preserve"> of Pakistan's total ODA</w:t>
      </w:r>
      <w:r>
        <w:rPr>
          <w:lang w:val="en-US" w:eastAsia="en-US"/>
        </w:rPr>
        <w:t>.</w:t>
      </w:r>
      <w:r>
        <w:rPr>
          <w:rStyle w:val="FootnoteReference"/>
          <w:sz w:val="16"/>
          <w:szCs w:val="12"/>
          <w:lang w:val="en-US" w:eastAsia="en-US"/>
        </w:rPr>
        <w:footnoteReference w:id="3"/>
      </w:r>
      <w:r>
        <w:rPr>
          <w:lang w:val="en-US" w:eastAsia="en-US"/>
        </w:rPr>
        <w:t xml:space="preserve"> The objectives will be incorporated into the </w:t>
      </w:r>
      <w:r w:rsidRPr="00A84DB7">
        <w:rPr>
          <w:lang w:val="en-US" w:eastAsia="en-US"/>
        </w:rPr>
        <w:t xml:space="preserve">new country </w:t>
      </w:r>
      <w:r>
        <w:rPr>
          <w:lang w:val="en-US" w:eastAsia="en-US"/>
        </w:rPr>
        <w:t xml:space="preserve">program </w:t>
      </w:r>
      <w:r w:rsidRPr="00A84DB7">
        <w:rPr>
          <w:lang w:val="en-US" w:eastAsia="en-US"/>
        </w:rPr>
        <w:t>strategy</w:t>
      </w:r>
      <w:r>
        <w:rPr>
          <w:lang w:val="en-US" w:eastAsia="en-US"/>
        </w:rPr>
        <w:t xml:space="preserve"> </w:t>
      </w:r>
      <w:r w:rsidR="009D4C2F">
        <w:rPr>
          <w:lang w:val="en-US" w:eastAsia="en-US"/>
        </w:rPr>
        <w:t>DFAT</w:t>
      </w:r>
      <w:r>
        <w:rPr>
          <w:lang w:val="en-US" w:eastAsia="en-US"/>
        </w:rPr>
        <w:t xml:space="preserve"> is developing </w:t>
      </w:r>
      <w:r w:rsidRPr="00A84DB7">
        <w:rPr>
          <w:lang w:val="en-US" w:eastAsia="en-US"/>
        </w:rPr>
        <w:t>in 2013</w:t>
      </w:r>
      <w:r>
        <w:rPr>
          <w:lang w:val="en-US" w:eastAsia="en-US"/>
        </w:rPr>
        <w:t xml:space="preserve">–14. </w:t>
      </w:r>
    </w:p>
    <w:p w:rsidR="00060B36" w:rsidRPr="001327C4" w:rsidRDefault="00060B36" w:rsidP="00F67041">
      <w:pPr>
        <w:pStyle w:val="Heading3"/>
        <w:rPr>
          <w:lang w:val="en-US"/>
        </w:rPr>
      </w:pPr>
      <w:r w:rsidRPr="001327C4">
        <w:rPr>
          <w:lang w:val="en-US"/>
        </w:rPr>
        <w:t>Pakistan’s operating environment</w:t>
      </w:r>
    </w:p>
    <w:p w:rsidR="00060B36" w:rsidRPr="00280C28" w:rsidRDefault="00060B36" w:rsidP="00F67041">
      <w:pPr>
        <w:pStyle w:val="BodyText"/>
        <w:rPr>
          <w:lang w:val="en-US" w:eastAsia="en-US"/>
        </w:rPr>
      </w:pPr>
      <w:r w:rsidRPr="00280C28">
        <w:rPr>
          <w:lang w:val="en-US" w:eastAsia="en-US"/>
        </w:rPr>
        <w:t>Pakistan is a complex operating environment. It is the sixth most populous country in the world</w:t>
      </w:r>
      <w:r>
        <w:rPr>
          <w:lang w:val="en-US" w:eastAsia="en-US"/>
        </w:rPr>
        <w:t>,</w:t>
      </w:r>
      <w:r w:rsidRPr="00280C28">
        <w:rPr>
          <w:lang w:val="en-US" w:eastAsia="en-US"/>
        </w:rPr>
        <w:t xml:space="preserve"> with an estimated population of </w:t>
      </w:r>
      <w:r>
        <w:rPr>
          <w:lang w:val="en-US" w:eastAsia="en-US"/>
        </w:rPr>
        <w:t>more than</w:t>
      </w:r>
      <w:r w:rsidRPr="00280C28">
        <w:rPr>
          <w:lang w:val="en-US" w:eastAsia="en-US"/>
        </w:rPr>
        <w:t xml:space="preserve"> 180 million.</w:t>
      </w:r>
      <w:r w:rsidRPr="00280C28">
        <w:rPr>
          <w:vertAlign w:val="superscript"/>
          <w:lang w:val="en-US" w:eastAsia="en-US"/>
        </w:rPr>
        <w:footnoteReference w:id="4"/>
      </w:r>
      <w:r w:rsidRPr="00280C28">
        <w:rPr>
          <w:lang w:val="en-US" w:eastAsia="en-US"/>
        </w:rPr>
        <w:t xml:space="preserve"> Decades of internal political instability and low levels of foreign investment have resulted in sluggish growth and slow development progress. With high population growth and </w:t>
      </w:r>
      <w:r>
        <w:rPr>
          <w:lang w:val="en-US" w:eastAsia="en-US"/>
        </w:rPr>
        <w:t xml:space="preserve">gross domestic product </w:t>
      </w:r>
      <w:r w:rsidRPr="00280C28">
        <w:rPr>
          <w:lang w:val="en-US" w:eastAsia="en-US"/>
        </w:rPr>
        <w:t>growing at an average of 3.5</w:t>
      </w:r>
      <w:r>
        <w:rPr>
          <w:lang w:val="en-US" w:eastAsia="en-US"/>
        </w:rPr>
        <w:t xml:space="preserve"> per cent</w:t>
      </w:r>
      <w:r w:rsidRPr="00280C28">
        <w:rPr>
          <w:lang w:val="en-US" w:eastAsia="en-US"/>
        </w:rPr>
        <w:t xml:space="preserve"> since 2007</w:t>
      </w:r>
      <w:r>
        <w:rPr>
          <w:lang w:val="en-US" w:eastAsia="en-US"/>
        </w:rPr>
        <w:t>,</w:t>
      </w:r>
      <w:r w:rsidRPr="00280C28">
        <w:rPr>
          <w:vertAlign w:val="superscript"/>
          <w:lang w:val="en-US" w:eastAsia="en-US"/>
        </w:rPr>
        <w:footnoteReference w:id="5"/>
      </w:r>
      <w:r w:rsidRPr="00280C28">
        <w:rPr>
          <w:lang w:val="en-US" w:eastAsia="en-US"/>
        </w:rPr>
        <w:t xml:space="preserve"> Pakistan struggles to maintain standards of living and create jobs for its youth</w:t>
      </w:r>
      <w:r>
        <w:rPr>
          <w:lang w:val="en-US" w:eastAsia="en-US"/>
        </w:rPr>
        <w:t xml:space="preserve">. </w:t>
      </w:r>
    </w:p>
    <w:p w:rsidR="00060B36" w:rsidRPr="001327C4" w:rsidRDefault="005C63CC" w:rsidP="00F67041">
      <w:pPr>
        <w:pStyle w:val="Heading3"/>
        <w:rPr>
          <w:lang w:val="en-US"/>
        </w:rPr>
      </w:pPr>
      <w:r>
        <w:rPr>
          <w:lang w:val="en-US"/>
        </w:rPr>
        <w:t xml:space="preserve">Progress </w:t>
      </w:r>
      <w:r w:rsidR="005309E2">
        <w:rPr>
          <w:lang w:val="en-US"/>
        </w:rPr>
        <w:t xml:space="preserve">against </w:t>
      </w:r>
      <w:r>
        <w:rPr>
          <w:lang w:val="en-US"/>
        </w:rPr>
        <w:t xml:space="preserve">the </w:t>
      </w:r>
      <w:r w:rsidR="00060B36" w:rsidRPr="001327C4">
        <w:rPr>
          <w:lang w:val="en-US"/>
        </w:rPr>
        <w:t>Millennium Development Goal</w:t>
      </w:r>
      <w:r>
        <w:rPr>
          <w:lang w:val="en-US"/>
        </w:rPr>
        <w:t>s</w:t>
      </w:r>
      <w:r w:rsidR="00195575">
        <w:rPr>
          <w:lang w:val="en-US"/>
        </w:rPr>
        <w:t xml:space="preserve"> (MDGs)</w:t>
      </w:r>
    </w:p>
    <w:p w:rsidR="00060B36" w:rsidRDefault="005309E2" w:rsidP="00F67041">
      <w:pPr>
        <w:pStyle w:val="BodyText"/>
        <w:rPr>
          <w:lang w:val="en-US" w:eastAsia="en-US"/>
        </w:rPr>
      </w:pPr>
      <w:r>
        <w:rPr>
          <w:lang w:val="en-US" w:eastAsia="en-US"/>
        </w:rPr>
        <w:t>P</w:t>
      </w:r>
      <w:r w:rsidR="00060B36" w:rsidRPr="00280C28">
        <w:rPr>
          <w:lang w:val="en-US" w:eastAsia="en-US"/>
        </w:rPr>
        <w:t>rogress towards the MDGs is slow. Only two</w:t>
      </w:r>
      <w:r w:rsidR="00060B36">
        <w:rPr>
          <w:lang w:val="en-US" w:eastAsia="en-US"/>
        </w:rPr>
        <w:t>-</w:t>
      </w:r>
      <w:r w:rsidR="00060B36" w:rsidRPr="00280C28">
        <w:rPr>
          <w:lang w:val="en-US" w:eastAsia="en-US"/>
        </w:rPr>
        <w:t xml:space="preserve">thirds of children are enrolled in primary school (MDG 2) and </w:t>
      </w:r>
      <w:r w:rsidR="00060B36">
        <w:rPr>
          <w:lang w:val="en-US" w:eastAsia="en-US"/>
        </w:rPr>
        <w:t>more than</w:t>
      </w:r>
      <w:r w:rsidR="00060B36" w:rsidRPr="00280C28">
        <w:rPr>
          <w:lang w:val="en-US" w:eastAsia="en-US"/>
        </w:rPr>
        <w:t xml:space="preserve"> half the population is illiterate. The maternal mortality rate (MDG 5) remains high at 260 deaths per 100</w:t>
      </w:r>
      <w:r w:rsidR="00060B36">
        <w:rPr>
          <w:lang w:val="en-US" w:eastAsia="en-US"/>
        </w:rPr>
        <w:t> </w:t>
      </w:r>
      <w:r w:rsidR="00060B36" w:rsidRPr="00280C28">
        <w:rPr>
          <w:lang w:val="en-US" w:eastAsia="en-US"/>
        </w:rPr>
        <w:t>000 live births,</w:t>
      </w:r>
      <w:r w:rsidR="00060B36" w:rsidRPr="00280C28">
        <w:rPr>
          <w:vertAlign w:val="superscript"/>
          <w:lang w:val="en-US" w:eastAsia="en-US"/>
        </w:rPr>
        <w:footnoteReference w:id="6"/>
      </w:r>
      <w:r w:rsidR="00060B36" w:rsidRPr="00280C28">
        <w:rPr>
          <w:lang w:val="en-US" w:eastAsia="en-US"/>
        </w:rPr>
        <w:t xml:space="preserve"> and a skilled midwife attends only 39 per cent of births</w:t>
      </w:r>
      <w:r w:rsidR="00060B36">
        <w:rPr>
          <w:lang w:val="en-US" w:eastAsia="en-US"/>
        </w:rPr>
        <w:t>.</w:t>
      </w:r>
      <w:r w:rsidR="00060B36">
        <w:rPr>
          <w:rStyle w:val="FootnoteReference"/>
          <w:sz w:val="16"/>
          <w:szCs w:val="12"/>
          <w:lang w:val="en-US" w:eastAsia="en-US"/>
        </w:rPr>
        <w:footnoteReference w:id="7"/>
      </w:r>
      <w:r w:rsidR="00060B36" w:rsidRPr="00280C28">
        <w:rPr>
          <w:lang w:val="en-US" w:eastAsia="en-US"/>
        </w:rPr>
        <w:t xml:space="preserve"> </w:t>
      </w:r>
      <w:r w:rsidR="00060B36">
        <w:rPr>
          <w:lang w:val="en-US" w:eastAsia="en-US"/>
        </w:rPr>
        <w:t>The Government’s</w:t>
      </w:r>
      <w:r w:rsidR="00060B36" w:rsidRPr="00280C28">
        <w:rPr>
          <w:lang w:val="en-US" w:eastAsia="en-US"/>
        </w:rPr>
        <w:t xml:space="preserve"> 2011 Nat</w:t>
      </w:r>
      <w:r w:rsidR="00060B36">
        <w:rPr>
          <w:lang w:val="en-US" w:eastAsia="en-US"/>
        </w:rPr>
        <w:t xml:space="preserve">ional Nutrition Survey showed that </w:t>
      </w:r>
      <w:r w:rsidR="00060B36" w:rsidRPr="00280C28">
        <w:rPr>
          <w:lang w:val="en-US" w:eastAsia="en-US"/>
        </w:rPr>
        <w:t>30</w:t>
      </w:r>
      <w:r w:rsidR="00060B36">
        <w:rPr>
          <w:lang w:val="en-US" w:eastAsia="en-US"/>
        </w:rPr>
        <w:t> </w:t>
      </w:r>
      <w:r w:rsidR="00060B36" w:rsidRPr="00280C28">
        <w:rPr>
          <w:lang w:val="en-US" w:eastAsia="en-US"/>
        </w:rPr>
        <w:t>per cent of children under the age of five</w:t>
      </w:r>
      <w:r w:rsidR="00060B36">
        <w:rPr>
          <w:lang w:val="en-US" w:eastAsia="en-US"/>
        </w:rPr>
        <w:t xml:space="preserve"> years</w:t>
      </w:r>
      <w:r w:rsidR="00060B36" w:rsidRPr="00280C28">
        <w:rPr>
          <w:lang w:val="en-US" w:eastAsia="en-US"/>
        </w:rPr>
        <w:t xml:space="preserve"> </w:t>
      </w:r>
      <w:r w:rsidR="00FC7353">
        <w:rPr>
          <w:lang w:val="en-US" w:eastAsia="en-US"/>
        </w:rPr>
        <w:t xml:space="preserve">are </w:t>
      </w:r>
      <w:r w:rsidR="00060B36" w:rsidRPr="00280C28">
        <w:rPr>
          <w:lang w:val="en-US" w:eastAsia="en-US"/>
        </w:rPr>
        <w:t>malnourished (MDG 4).</w:t>
      </w:r>
    </w:p>
    <w:p w:rsidR="00060B36" w:rsidRPr="00280C28" w:rsidRDefault="00060B36" w:rsidP="00525542">
      <w:pPr>
        <w:pStyle w:val="StyleBodyTextLeft0cmHanging127cm"/>
        <w:rPr>
          <w:lang w:val="en-US" w:eastAsia="en-US"/>
        </w:rPr>
      </w:pPr>
      <w:r w:rsidRPr="00B25FB5">
        <w:rPr>
          <w:lang w:val="en-US" w:eastAsia="en-US"/>
        </w:rPr>
        <w:t>According to the Uni</w:t>
      </w:r>
      <w:r>
        <w:rPr>
          <w:lang w:val="en-US" w:eastAsia="en-US"/>
        </w:rPr>
        <w:t xml:space="preserve">ted Nations Human Development </w:t>
      </w:r>
      <w:r w:rsidRPr="00B25FB5">
        <w:rPr>
          <w:lang w:val="en-US" w:eastAsia="en-US"/>
        </w:rPr>
        <w:t>Index 2013, Pakistan is a coun</w:t>
      </w:r>
      <w:r w:rsidR="00525542">
        <w:rPr>
          <w:lang w:val="en-US" w:eastAsia="en-US"/>
        </w:rPr>
        <w:t xml:space="preserve">try with </w:t>
      </w:r>
      <w:r>
        <w:rPr>
          <w:lang w:val="en-US" w:eastAsia="en-US"/>
        </w:rPr>
        <w:t xml:space="preserve">low human development, </w:t>
      </w:r>
      <w:r w:rsidRPr="00B25FB5">
        <w:rPr>
          <w:lang w:val="en-US" w:eastAsia="en-US"/>
        </w:rPr>
        <w:t>ranking 146 out of 186 countries</w:t>
      </w:r>
      <w:r>
        <w:rPr>
          <w:lang w:val="en-US" w:eastAsia="en-US"/>
        </w:rPr>
        <w:t>.</w:t>
      </w:r>
      <w:r w:rsidRPr="00280C28">
        <w:rPr>
          <w:vertAlign w:val="superscript"/>
          <w:lang w:val="en-US" w:eastAsia="en-US"/>
        </w:rPr>
        <w:footnoteReference w:id="8"/>
      </w:r>
      <w:r w:rsidRPr="00280C28">
        <w:rPr>
          <w:lang w:val="en-US" w:eastAsia="en-US"/>
        </w:rPr>
        <w:t xml:space="preserve"> </w:t>
      </w:r>
      <w:r>
        <w:rPr>
          <w:lang w:val="en-US" w:eastAsia="en-US"/>
        </w:rPr>
        <w:t>It</w:t>
      </w:r>
      <w:r w:rsidRPr="00280C28">
        <w:rPr>
          <w:lang w:val="en-US" w:eastAsia="en-US"/>
        </w:rPr>
        <w:t xml:space="preserve"> rates 123</w:t>
      </w:r>
      <w:r>
        <w:rPr>
          <w:lang w:val="en-US" w:eastAsia="en-US"/>
        </w:rPr>
        <w:t> </w:t>
      </w:r>
      <w:r w:rsidRPr="00280C28">
        <w:rPr>
          <w:lang w:val="en-US" w:eastAsia="en-US"/>
        </w:rPr>
        <w:t>out of 1</w:t>
      </w:r>
      <w:r>
        <w:rPr>
          <w:lang w:val="en-US" w:eastAsia="en-US"/>
        </w:rPr>
        <w:t>48</w:t>
      </w:r>
      <w:r w:rsidRPr="00280C28">
        <w:rPr>
          <w:lang w:val="en-US" w:eastAsia="en-US"/>
        </w:rPr>
        <w:t xml:space="preserve"> countries </w:t>
      </w:r>
      <w:r>
        <w:rPr>
          <w:lang w:val="en-US" w:eastAsia="en-US"/>
        </w:rPr>
        <w:lastRenderedPageBreak/>
        <w:t>on</w:t>
      </w:r>
      <w:r w:rsidRPr="00280C28">
        <w:rPr>
          <w:lang w:val="en-US" w:eastAsia="en-US"/>
        </w:rPr>
        <w:t xml:space="preserve"> gender equality.</w:t>
      </w:r>
      <w:r w:rsidRPr="00280C28">
        <w:rPr>
          <w:vertAlign w:val="superscript"/>
          <w:lang w:val="en-US" w:eastAsia="en-US"/>
        </w:rPr>
        <w:footnoteReference w:id="9"/>
      </w:r>
      <w:r w:rsidRPr="00280C28">
        <w:rPr>
          <w:lang w:val="en-US" w:eastAsia="en-US"/>
        </w:rPr>
        <w:t xml:space="preserve"> </w:t>
      </w:r>
      <w:r>
        <w:rPr>
          <w:lang w:val="en-US" w:eastAsia="en-US"/>
        </w:rPr>
        <w:t xml:space="preserve">Its </w:t>
      </w:r>
      <w:r w:rsidRPr="00280C28">
        <w:rPr>
          <w:lang w:val="en-US" w:eastAsia="en-US"/>
        </w:rPr>
        <w:t>minority population</w:t>
      </w:r>
      <w:r>
        <w:rPr>
          <w:lang w:val="en-US" w:eastAsia="en-US"/>
        </w:rPr>
        <w:t>s</w:t>
      </w:r>
      <w:r w:rsidRPr="00280C28">
        <w:rPr>
          <w:lang w:val="en-US" w:eastAsia="en-US"/>
        </w:rPr>
        <w:t xml:space="preserve"> face barriers to inclusion in social and economic life</w:t>
      </w:r>
      <w:r>
        <w:rPr>
          <w:lang w:val="en-US" w:eastAsia="en-US"/>
        </w:rPr>
        <w:t>,</w:t>
      </w:r>
      <w:r w:rsidRPr="00280C28">
        <w:rPr>
          <w:lang w:val="en-US" w:eastAsia="en-US"/>
        </w:rPr>
        <w:t xml:space="preserve"> lack political influence</w:t>
      </w:r>
      <w:r>
        <w:rPr>
          <w:lang w:val="en-US" w:eastAsia="en-US"/>
        </w:rPr>
        <w:t>, and</w:t>
      </w:r>
      <w:r w:rsidRPr="00280C28">
        <w:rPr>
          <w:lang w:val="en-US" w:eastAsia="en-US"/>
        </w:rPr>
        <w:t xml:space="preserve"> are frequently victims of violence and ethnic or religious persecution.</w:t>
      </w:r>
      <w:r>
        <w:rPr>
          <w:lang w:val="en-US" w:eastAsia="en-US"/>
        </w:rPr>
        <w:t xml:space="preserve"> </w:t>
      </w:r>
      <w:r w:rsidRPr="00280C28">
        <w:rPr>
          <w:lang w:val="en-US" w:eastAsia="en-US"/>
        </w:rPr>
        <w:t xml:space="preserve">While </w:t>
      </w:r>
      <w:r>
        <w:rPr>
          <w:lang w:val="en-US" w:eastAsia="en-US"/>
        </w:rPr>
        <w:t xml:space="preserve">an </w:t>
      </w:r>
      <w:r w:rsidRPr="00280C28">
        <w:rPr>
          <w:lang w:val="en-US" w:eastAsia="en-US"/>
        </w:rPr>
        <w:t xml:space="preserve">official figure on the people living with disability in Pakistan </w:t>
      </w:r>
      <w:r>
        <w:rPr>
          <w:lang w:val="en-US" w:eastAsia="en-US"/>
        </w:rPr>
        <w:t>is</w:t>
      </w:r>
      <w:r w:rsidRPr="00280C28">
        <w:rPr>
          <w:lang w:val="en-US" w:eastAsia="en-US"/>
        </w:rPr>
        <w:t xml:space="preserve"> not available, estimates indicate </w:t>
      </w:r>
      <w:r>
        <w:rPr>
          <w:lang w:val="en-US" w:eastAsia="en-US"/>
        </w:rPr>
        <w:t>it is</w:t>
      </w:r>
      <w:r w:rsidRPr="00280C28">
        <w:rPr>
          <w:lang w:val="en-US" w:eastAsia="en-US"/>
        </w:rPr>
        <w:t xml:space="preserve"> between 2.5 </w:t>
      </w:r>
      <w:r>
        <w:rPr>
          <w:lang w:val="en-US" w:eastAsia="en-US"/>
        </w:rPr>
        <w:t>per cent and</w:t>
      </w:r>
      <w:r w:rsidRPr="00280C28">
        <w:rPr>
          <w:lang w:val="en-US" w:eastAsia="en-US"/>
        </w:rPr>
        <w:t xml:space="preserve"> 10 per cent</w:t>
      </w:r>
      <w:r w:rsidR="00AA4D8A">
        <w:rPr>
          <w:lang w:val="en-US" w:eastAsia="en-US"/>
        </w:rPr>
        <w:t xml:space="preserve"> which is high by global standards</w:t>
      </w:r>
      <w:r>
        <w:rPr>
          <w:lang w:val="en-US" w:eastAsia="en-US"/>
        </w:rPr>
        <w:t>.</w:t>
      </w:r>
      <w:r w:rsidR="00241C24">
        <w:rPr>
          <w:rStyle w:val="FootnoteReference"/>
          <w:lang w:val="en-US" w:eastAsia="en-US"/>
        </w:rPr>
        <w:footnoteReference w:id="10"/>
      </w:r>
      <w:r w:rsidR="00A07A24" w:rsidRPr="00A07A24">
        <w:rPr>
          <w:vertAlign w:val="superscript"/>
          <w:lang w:val="en-US" w:eastAsia="en-US"/>
        </w:rPr>
        <w:t>,</w:t>
      </w:r>
      <w:r w:rsidR="00A07A24">
        <w:rPr>
          <w:vertAlign w:val="superscript"/>
          <w:lang w:val="en-US" w:eastAsia="en-US"/>
        </w:rPr>
        <w:t xml:space="preserve"> </w:t>
      </w:r>
      <w:r w:rsidR="000B166F">
        <w:rPr>
          <w:rStyle w:val="FootnoteReference"/>
          <w:lang w:val="en-US" w:eastAsia="en-US"/>
        </w:rPr>
        <w:footnoteReference w:id="11"/>
      </w:r>
    </w:p>
    <w:p w:rsidR="00060B36" w:rsidRPr="001327C4" w:rsidRDefault="00060B36" w:rsidP="00F67041">
      <w:pPr>
        <w:pStyle w:val="Heading3"/>
        <w:rPr>
          <w:lang w:val="en-US"/>
        </w:rPr>
      </w:pPr>
      <w:r w:rsidRPr="001327C4">
        <w:rPr>
          <w:lang w:val="en-US"/>
        </w:rPr>
        <w:t>Conflict and disasters</w:t>
      </w:r>
    </w:p>
    <w:p w:rsidR="00060B36" w:rsidRPr="00280C28" w:rsidRDefault="00060B36" w:rsidP="00F67041">
      <w:pPr>
        <w:pStyle w:val="BodyText"/>
        <w:rPr>
          <w:lang w:val="en-US" w:eastAsia="en-US"/>
        </w:rPr>
      </w:pPr>
      <w:r w:rsidRPr="00280C28">
        <w:rPr>
          <w:lang w:val="en-US" w:eastAsia="en-US"/>
        </w:rPr>
        <w:t>Pakistan is vulnerable to natural disasters and the effects of conflict. In 2008</w:t>
      </w:r>
      <w:r>
        <w:rPr>
          <w:lang w:val="en-US" w:eastAsia="en-US"/>
        </w:rPr>
        <w:t>–</w:t>
      </w:r>
      <w:r w:rsidRPr="00280C28">
        <w:rPr>
          <w:lang w:val="en-US" w:eastAsia="en-US"/>
        </w:rPr>
        <w:t>09 approximately 3 million people were internally displaced due to ongoing conflict between militants and the Pakistan military, largely in the Federally Administered Tribal Areas (FATA)</w:t>
      </w:r>
      <w:r>
        <w:rPr>
          <w:lang w:val="en-US" w:eastAsia="en-US"/>
        </w:rPr>
        <w:t>.</w:t>
      </w:r>
      <w:r w:rsidRPr="00280C28">
        <w:rPr>
          <w:vertAlign w:val="superscript"/>
          <w:lang w:val="en-US" w:eastAsia="en-US"/>
        </w:rPr>
        <w:footnoteReference w:id="12"/>
      </w:r>
      <w:r>
        <w:rPr>
          <w:lang w:val="en-US" w:eastAsia="en-US"/>
        </w:rPr>
        <w:t xml:space="preserve"> Currently, 1.05 million displaced people are in need of humanitarian assistance in </w:t>
      </w:r>
      <w:r w:rsidRPr="002B5E27">
        <w:t xml:space="preserve">Khyber </w:t>
      </w:r>
      <w:proofErr w:type="spellStart"/>
      <w:r w:rsidRPr="002B5E27">
        <w:t>Pakhtunkhwa</w:t>
      </w:r>
      <w:proofErr w:type="spellEnd"/>
      <w:r>
        <w:rPr>
          <w:rStyle w:val="st1"/>
          <w:rFonts w:ascii="Arial" w:hAnsi="Arial" w:cs="Arial"/>
          <w:color w:val="444444"/>
        </w:rPr>
        <w:t xml:space="preserve"> </w:t>
      </w:r>
      <w:r w:rsidRPr="002B5E27">
        <w:rPr>
          <w:rStyle w:val="st1"/>
          <w:rFonts w:ascii="Arial" w:hAnsi="Arial" w:cs="Arial"/>
          <w:color w:val="444444"/>
          <w:sz w:val="24"/>
        </w:rPr>
        <w:t>(</w:t>
      </w:r>
      <w:r>
        <w:rPr>
          <w:lang w:val="en-US" w:eastAsia="en-US"/>
        </w:rPr>
        <w:t>KP) and FATA.</w:t>
      </w:r>
      <w:r>
        <w:rPr>
          <w:rStyle w:val="FootnoteReference"/>
          <w:sz w:val="16"/>
          <w:szCs w:val="12"/>
          <w:lang w:val="en-US" w:eastAsia="en-US"/>
        </w:rPr>
        <w:footnoteReference w:id="13"/>
      </w:r>
      <w:r>
        <w:rPr>
          <w:lang w:val="en-US" w:eastAsia="en-US"/>
        </w:rPr>
        <w:t xml:space="preserve"> </w:t>
      </w:r>
      <w:r w:rsidRPr="00280C28">
        <w:rPr>
          <w:lang w:val="en-US" w:eastAsia="en-US"/>
        </w:rPr>
        <w:t>The 2010, 2011 and 2012 floods affected approximately 20 million, 5.2 million and 4.8 million people respectively</w:t>
      </w:r>
      <w:r w:rsidR="00AA4D8A">
        <w:rPr>
          <w:lang w:val="en-US" w:eastAsia="en-US"/>
        </w:rPr>
        <w:t xml:space="preserve"> destroying agriculturally productive land resulting in severe economic hardship for affected populations</w:t>
      </w:r>
      <w:r w:rsidRPr="00280C28">
        <w:rPr>
          <w:lang w:val="en-US" w:eastAsia="en-US"/>
        </w:rPr>
        <w:t xml:space="preserve">. </w:t>
      </w:r>
    </w:p>
    <w:p w:rsidR="00060B36" w:rsidRPr="00200A13" w:rsidRDefault="00060B36" w:rsidP="00F67041">
      <w:pPr>
        <w:pStyle w:val="BodyText"/>
        <w:rPr>
          <w:lang w:val="en-US" w:eastAsia="en-US"/>
        </w:rPr>
      </w:pPr>
      <w:r w:rsidRPr="00200A13">
        <w:rPr>
          <w:lang w:val="en-US" w:eastAsia="en-US"/>
        </w:rPr>
        <w:t>Insecurity remains a challenge across Pakistan</w:t>
      </w:r>
      <w:r w:rsidR="00A227C5">
        <w:rPr>
          <w:lang w:val="en-US" w:eastAsia="en-US"/>
        </w:rPr>
        <w:t xml:space="preserve">, </w:t>
      </w:r>
      <w:r>
        <w:rPr>
          <w:lang w:val="en-US" w:eastAsia="en-US"/>
        </w:rPr>
        <w:t xml:space="preserve">with more than </w:t>
      </w:r>
      <w:r w:rsidRPr="003C2702">
        <w:rPr>
          <w:lang w:val="en-US" w:eastAsia="en-US"/>
        </w:rPr>
        <w:t xml:space="preserve">1 million </w:t>
      </w:r>
      <w:r>
        <w:rPr>
          <w:lang w:val="en-US" w:eastAsia="en-US"/>
        </w:rPr>
        <w:t xml:space="preserve">registered internally displaced persons </w:t>
      </w:r>
      <w:r w:rsidRPr="003C2702">
        <w:rPr>
          <w:lang w:val="en-US" w:eastAsia="en-US"/>
        </w:rPr>
        <w:t>in KP and FATA</w:t>
      </w:r>
      <w:r>
        <w:rPr>
          <w:rStyle w:val="FootnoteReference"/>
          <w:sz w:val="16"/>
          <w:szCs w:val="12"/>
          <w:lang w:val="en-US" w:eastAsia="en-US"/>
        </w:rPr>
        <w:footnoteReference w:id="14"/>
      </w:r>
      <w:r>
        <w:rPr>
          <w:lang w:val="en-US" w:eastAsia="en-US"/>
        </w:rPr>
        <w:t xml:space="preserve">, </w:t>
      </w:r>
      <w:r w:rsidRPr="00200A13">
        <w:rPr>
          <w:lang w:val="en-US" w:eastAsia="en-US"/>
        </w:rPr>
        <w:t>spill</w:t>
      </w:r>
      <w:r>
        <w:rPr>
          <w:lang w:val="en-US" w:eastAsia="en-US"/>
        </w:rPr>
        <w:t>ing</w:t>
      </w:r>
      <w:r w:rsidRPr="00200A13">
        <w:rPr>
          <w:lang w:val="en-US" w:eastAsia="en-US"/>
        </w:rPr>
        <w:t xml:space="preserve"> over the border from neighboring Afghanistan. Politically motivated violence, insurgency, law enforcement operations and kidnapping continue to threaten stability and development in Pakistan and the region. 2012 and 2013 </w:t>
      </w:r>
      <w:r>
        <w:rPr>
          <w:lang w:val="en-US" w:eastAsia="en-US"/>
        </w:rPr>
        <w:t>saw</w:t>
      </w:r>
      <w:r w:rsidRPr="00200A13">
        <w:rPr>
          <w:lang w:val="en-US" w:eastAsia="en-US"/>
        </w:rPr>
        <w:t xml:space="preserve"> a spike in the targeting of foreign aid workers.</w:t>
      </w:r>
    </w:p>
    <w:p w:rsidR="00060B36" w:rsidRPr="001327C4" w:rsidRDefault="00060B36" w:rsidP="00F67041">
      <w:pPr>
        <w:pStyle w:val="Heading3"/>
        <w:rPr>
          <w:lang w:val="en-US"/>
        </w:rPr>
      </w:pPr>
      <w:r w:rsidRPr="001327C4">
        <w:rPr>
          <w:lang w:val="en-US"/>
        </w:rPr>
        <w:t>Economy</w:t>
      </w:r>
    </w:p>
    <w:p w:rsidR="00060B36" w:rsidRPr="00200A13" w:rsidRDefault="00060B36" w:rsidP="00F67041">
      <w:pPr>
        <w:pStyle w:val="BodyText"/>
        <w:rPr>
          <w:lang w:val="en-US" w:eastAsia="en-US"/>
        </w:rPr>
      </w:pPr>
      <w:r w:rsidRPr="00200A13">
        <w:rPr>
          <w:lang w:val="en-US"/>
        </w:rPr>
        <w:t>Pakistan’s economy remains vulnerable to external and domestic shocks.</w:t>
      </w:r>
      <w:r w:rsidRPr="00200A13">
        <w:rPr>
          <w:vertAlign w:val="superscript"/>
          <w:lang w:val="en-US"/>
        </w:rPr>
        <w:footnoteReference w:id="15"/>
      </w:r>
      <w:r w:rsidRPr="00200A13">
        <w:rPr>
          <w:lang w:val="en-US" w:eastAsia="en-US"/>
        </w:rPr>
        <w:t xml:space="preserve"> A dysfunctional energy sector acts as a significant brake to economic activity and dampens growth prospects</w:t>
      </w:r>
      <w:r>
        <w:rPr>
          <w:lang w:val="en-US" w:eastAsia="en-US"/>
        </w:rPr>
        <w:t xml:space="preserve">. </w:t>
      </w:r>
      <w:r w:rsidRPr="00200A13">
        <w:rPr>
          <w:lang w:val="en-US" w:eastAsia="en-US"/>
        </w:rPr>
        <w:t>This difficult business environment</w:t>
      </w:r>
      <w:r>
        <w:rPr>
          <w:lang w:val="en-US" w:eastAsia="en-US"/>
        </w:rPr>
        <w:t>,</w:t>
      </w:r>
      <w:r w:rsidRPr="00200A13">
        <w:rPr>
          <w:lang w:val="en-US" w:eastAsia="en-US"/>
        </w:rPr>
        <w:t xml:space="preserve"> coupled with sharp falls in investment, double-digit inflation and a growing budget deficit remain major concern</w:t>
      </w:r>
      <w:r>
        <w:rPr>
          <w:lang w:val="en-US" w:eastAsia="en-US"/>
        </w:rPr>
        <w:t>s</w:t>
      </w:r>
      <w:r w:rsidRPr="00200A13">
        <w:rPr>
          <w:lang w:val="en-US" w:eastAsia="en-US"/>
        </w:rPr>
        <w:t xml:space="preserve">. The balance of payments position remains precarious due to declining financial inflows and growing debt repayments, pressuring foreign exchange reserves. Despite subdued growth compared to other countries in the region, 2012 </w:t>
      </w:r>
      <w:r>
        <w:rPr>
          <w:lang w:val="en-US" w:eastAsia="en-US"/>
        </w:rPr>
        <w:t xml:space="preserve">saw some resilience </w:t>
      </w:r>
      <w:r w:rsidRPr="00200A13">
        <w:rPr>
          <w:lang w:val="en-US" w:eastAsia="en-US"/>
        </w:rPr>
        <w:t xml:space="preserve">with </w:t>
      </w:r>
      <w:r>
        <w:rPr>
          <w:lang w:val="en-US" w:eastAsia="en-US"/>
        </w:rPr>
        <w:t>gross domestic product</w:t>
      </w:r>
      <w:r w:rsidRPr="00200A13">
        <w:rPr>
          <w:lang w:val="en-US" w:eastAsia="en-US"/>
        </w:rPr>
        <w:t xml:space="preserve"> growing 3.7 per cent (compared to 3 per cent in 2011) despite severe flooding, increases in fuel and commodity prices and the impact of the global slowdown</w:t>
      </w:r>
      <w:r>
        <w:rPr>
          <w:lang w:val="en-US" w:eastAsia="en-US"/>
        </w:rPr>
        <w:t xml:space="preserve">. </w:t>
      </w:r>
      <w:r w:rsidRPr="00200A13">
        <w:rPr>
          <w:lang w:val="en-US" w:eastAsia="en-US"/>
        </w:rPr>
        <w:t>The benefits of stronger export performance in 2012 were undermined by a 15</w:t>
      </w:r>
      <w:r>
        <w:rPr>
          <w:lang w:val="en-US" w:eastAsia="en-US"/>
        </w:rPr>
        <w:t xml:space="preserve"> per cent</w:t>
      </w:r>
      <w:r w:rsidRPr="00200A13">
        <w:rPr>
          <w:lang w:val="en-US" w:eastAsia="en-US"/>
        </w:rPr>
        <w:t xml:space="preserve"> growth in imports</w:t>
      </w:r>
      <w:r>
        <w:rPr>
          <w:lang w:val="en-US" w:eastAsia="en-US"/>
        </w:rPr>
        <w:t>,</w:t>
      </w:r>
      <w:r w:rsidRPr="00200A13">
        <w:rPr>
          <w:lang w:val="en-US" w:eastAsia="en-US"/>
        </w:rPr>
        <w:t xml:space="preserve"> resulting in a large trade deficit. Growth in remittances helped contain the current account deficit. </w:t>
      </w:r>
      <w:r w:rsidR="00702EED">
        <w:rPr>
          <w:lang w:val="en-US" w:eastAsia="en-US"/>
        </w:rPr>
        <w:t>Growth in r</w:t>
      </w:r>
      <w:r w:rsidRPr="00200A13">
        <w:rPr>
          <w:lang w:val="en-US" w:eastAsia="en-US"/>
        </w:rPr>
        <w:t xml:space="preserve">eal </w:t>
      </w:r>
      <w:r>
        <w:rPr>
          <w:lang w:val="en-US" w:eastAsia="en-US"/>
        </w:rPr>
        <w:t xml:space="preserve">gross domestic product, </w:t>
      </w:r>
      <w:r w:rsidRPr="00200A13">
        <w:rPr>
          <w:lang w:val="en-US" w:eastAsia="en-US"/>
        </w:rPr>
        <w:t>forecast to slow to 3.5 per cent in 2013,</w:t>
      </w:r>
      <w:r w:rsidRPr="00200A13">
        <w:rPr>
          <w:vertAlign w:val="superscript"/>
          <w:lang w:val="en-US" w:eastAsia="en-US"/>
        </w:rPr>
        <w:footnoteReference w:id="16"/>
      </w:r>
      <w:r w:rsidRPr="00200A13">
        <w:rPr>
          <w:lang w:val="en-US" w:eastAsia="en-US"/>
        </w:rPr>
        <w:t xml:space="preserve"> </w:t>
      </w:r>
      <w:r>
        <w:rPr>
          <w:lang w:val="en-US" w:eastAsia="en-US"/>
        </w:rPr>
        <w:t xml:space="preserve">is </w:t>
      </w:r>
      <w:r w:rsidRPr="00200A13">
        <w:rPr>
          <w:lang w:val="en-US" w:eastAsia="en-US"/>
        </w:rPr>
        <w:t xml:space="preserve">insufficient to generate economic activity and revenues needed for employment growth and to fund social services for </w:t>
      </w:r>
      <w:r>
        <w:rPr>
          <w:lang w:val="en-US" w:eastAsia="en-US"/>
        </w:rPr>
        <w:t>the country’s</w:t>
      </w:r>
      <w:r w:rsidRPr="00200A13">
        <w:rPr>
          <w:lang w:val="en-US" w:eastAsia="en-US"/>
        </w:rPr>
        <w:t xml:space="preserve"> growing population.</w:t>
      </w:r>
      <w:r>
        <w:rPr>
          <w:rStyle w:val="FootnoteReference"/>
          <w:sz w:val="16"/>
          <w:szCs w:val="12"/>
          <w:lang w:val="en-US" w:eastAsia="en-US"/>
        </w:rPr>
        <w:footnoteReference w:id="17"/>
      </w:r>
      <w:r w:rsidRPr="00200A13">
        <w:rPr>
          <w:lang w:val="en-US" w:eastAsia="en-US"/>
        </w:rPr>
        <w:t xml:space="preserve">  </w:t>
      </w:r>
    </w:p>
    <w:p w:rsidR="00060B36" w:rsidRPr="00200A13" w:rsidRDefault="00060B36" w:rsidP="00F67041">
      <w:pPr>
        <w:pStyle w:val="BodyText"/>
        <w:rPr>
          <w:bCs/>
          <w:lang w:val="en-US" w:eastAsia="en-US"/>
        </w:rPr>
      </w:pPr>
      <w:r w:rsidRPr="00200A13">
        <w:rPr>
          <w:bCs/>
          <w:lang w:val="en-US" w:eastAsia="en-US"/>
        </w:rPr>
        <w:lastRenderedPageBreak/>
        <w:t xml:space="preserve">In 2008, </w:t>
      </w:r>
      <w:r w:rsidRPr="00200A13">
        <w:rPr>
          <w:lang w:val="en-US" w:eastAsia="en-US"/>
        </w:rPr>
        <w:t xml:space="preserve">the International Monetary Fund (IMF) </w:t>
      </w:r>
      <w:r>
        <w:rPr>
          <w:lang w:val="en-US" w:eastAsia="en-US"/>
        </w:rPr>
        <w:t xml:space="preserve">approved a </w:t>
      </w:r>
      <w:r w:rsidRPr="00200A13">
        <w:rPr>
          <w:lang w:val="en-US" w:eastAsia="en-US"/>
        </w:rPr>
        <w:t xml:space="preserve">US$7.6 billion stand-by arrangement to support </w:t>
      </w:r>
      <w:r>
        <w:rPr>
          <w:lang w:val="en-US" w:eastAsia="en-US"/>
        </w:rPr>
        <w:t>Pakistan’</w:t>
      </w:r>
      <w:r w:rsidRPr="00200A13">
        <w:rPr>
          <w:lang w:val="en-US" w:eastAsia="en-US"/>
        </w:rPr>
        <w:t>s</w:t>
      </w:r>
      <w:r w:rsidRPr="00200A13">
        <w:rPr>
          <w:bCs/>
          <w:lang w:val="en-US" w:eastAsia="en-US"/>
        </w:rPr>
        <w:t xml:space="preserve"> macroeconomic </w:t>
      </w:r>
      <w:proofErr w:type="spellStart"/>
      <w:r w:rsidRPr="00200A13">
        <w:rPr>
          <w:bCs/>
          <w:lang w:val="en-US" w:eastAsia="en-US"/>
        </w:rPr>
        <w:t>stabilisation</w:t>
      </w:r>
      <w:proofErr w:type="spellEnd"/>
      <w:r w:rsidRPr="00200A13">
        <w:rPr>
          <w:bCs/>
          <w:lang w:val="en-US" w:eastAsia="en-US"/>
        </w:rPr>
        <w:t xml:space="preserve"> program.</w:t>
      </w:r>
      <w:r w:rsidRPr="00200A13">
        <w:rPr>
          <w:vertAlign w:val="superscript"/>
          <w:lang w:val="en-US" w:eastAsia="en-US"/>
        </w:rPr>
        <w:footnoteReference w:id="18"/>
      </w:r>
      <w:r>
        <w:rPr>
          <w:lang w:val="en-US" w:eastAsia="en-US"/>
        </w:rPr>
        <w:t xml:space="preserve"> This</w:t>
      </w:r>
      <w:r w:rsidRPr="00200A13">
        <w:rPr>
          <w:lang w:val="en-US" w:eastAsia="en-US"/>
        </w:rPr>
        <w:t xml:space="preserve"> committed Pakistan to economic reforms designed to increase government revenue, broaden the tax base and eliminate energy tariff subsidies</w:t>
      </w:r>
      <w:r>
        <w:rPr>
          <w:lang w:val="en-US" w:eastAsia="en-US"/>
        </w:rPr>
        <w:t>. M</w:t>
      </w:r>
      <w:r w:rsidRPr="00200A13">
        <w:rPr>
          <w:lang w:val="en-US" w:eastAsia="en-US"/>
        </w:rPr>
        <w:t>easures were not fully implemented before th</w:t>
      </w:r>
      <w:r>
        <w:rPr>
          <w:lang w:val="en-US" w:eastAsia="en-US"/>
        </w:rPr>
        <w:t>e arrangement</w:t>
      </w:r>
      <w:r w:rsidRPr="00200A13">
        <w:rPr>
          <w:lang w:val="en-US" w:eastAsia="en-US"/>
        </w:rPr>
        <w:t xml:space="preserve"> lapsed at the end of 2011. Media reports in May 2013 indicated that Paki</w:t>
      </w:r>
      <w:r>
        <w:rPr>
          <w:lang w:val="en-US" w:eastAsia="en-US"/>
        </w:rPr>
        <w:t>stan repaid an installment of US$</w:t>
      </w:r>
      <w:r w:rsidRPr="00200A13">
        <w:rPr>
          <w:lang w:val="en-US" w:eastAsia="en-US"/>
        </w:rPr>
        <w:t>386 million in debt to the IMF on 26 May 2013 and will pay a</w:t>
      </w:r>
      <w:r>
        <w:rPr>
          <w:lang w:val="en-US" w:eastAsia="en-US"/>
        </w:rPr>
        <w:t>nother</w:t>
      </w:r>
      <w:r w:rsidRPr="00200A13">
        <w:rPr>
          <w:lang w:val="en-US" w:eastAsia="en-US"/>
        </w:rPr>
        <w:t xml:space="preserve"> US</w:t>
      </w:r>
      <w:r>
        <w:rPr>
          <w:lang w:val="en-US" w:eastAsia="en-US"/>
        </w:rPr>
        <w:t>$</w:t>
      </w:r>
      <w:r w:rsidRPr="00200A13">
        <w:rPr>
          <w:lang w:val="en-US" w:eastAsia="en-US"/>
        </w:rPr>
        <w:t xml:space="preserve">140 million by 28 June 2013. </w:t>
      </w:r>
    </w:p>
    <w:p w:rsidR="00060B36" w:rsidRPr="001327C4" w:rsidRDefault="00060B36" w:rsidP="00F67041">
      <w:pPr>
        <w:pStyle w:val="Heading3"/>
        <w:rPr>
          <w:lang w:val="en-US"/>
        </w:rPr>
      </w:pPr>
      <w:r>
        <w:rPr>
          <w:lang w:val="en-US"/>
        </w:rPr>
        <w:t>Governance, devolution and elections</w:t>
      </w:r>
    </w:p>
    <w:p w:rsidR="00060B36" w:rsidRPr="00280C28" w:rsidRDefault="00060B36" w:rsidP="00F67041">
      <w:pPr>
        <w:pStyle w:val="BodyText"/>
        <w:rPr>
          <w:lang w:val="en-US" w:eastAsia="en-US"/>
        </w:rPr>
      </w:pPr>
      <w:r>
        <w:rPr>
          <w:lang w:val="en-US" w:eastAsia="en-US"/>
        </w:rPr>
        <w:t>G</w:t>
      </w:r>
      <w:r w:rsidRPr="00200A13">
        <w:rPr>
          <w:lang w:val="en-US" w:eastAsia="en-US"/>
        </w:rPr>
        <w:t>ood governance continues to be a challenge</w:t>
      </w:r>
      <w:r w:rsidRPr="00280C28">
        <w:rPr>
          <w:lang w:val="en-US" w:eastAsia="en-US"/>
        </w:rPr>
        <w:t>. Pakistan rank</w:t>
      </w:r>
      <w:r>
        <w:rPr>
          <w:lang w:val="en-US" w:eastAsia="en-US"/>
        </w:rPr>
        <w:t>ed</w:t>
      </w:r>
      <w:r w:rsidRPr="00280C28">
        <w:rPr>
          <w:lang w:val="en-US" w:eastAsia="en-US"/>
        </w:rPr>
        <w:t xml:space="preserve"> 139 out of 176 countries listed in Transparency International’s 2012 Corruption Perceptions Index.</w:t>
      </w:r>
      <w:r w:rsidRPr="00280C28">
        <w:rPr>
          <w:vertAlign w:val="superscript"/>
          <w:lang w:val="en-US" w:eastAsia="en-US"/>
        </w:rPr>
        <w:footnoteReference w:id="19"/>
      </w:r>
      <w:r w:rsidRPr="00280C28">
        <w:rPr>
          <w:lang w:val="en-US" w:eastAsia="en-US"/>
        </w:rPr>
        <w:t xml:space="preserve"> At 14.36 per cent, </w:t>
      </w:r>
      <w:r>
        <w:rPr>
          <w:lang w:val="en-US" w:eastAsia="en-US"/>
        </w:rPr>
        <w:t>g</w:t>
      </w:r>
      <w:r w:rsidRPr="00280C28">
        <w:rPr>
          <w:lang w:val="en-US" w:eastAsia="en-US"/>
        </w:rPr>
        <w:t xml:space="preserve">overnment revenue as a share of </w:t>
      </w:r>
      <w:r>
        <w:rPr>
          <w:lang w:val="en-US" w:eastAsia="en-US"/>
        </w:rPr>
        <w:t>gross domestic product</w:t>
      </w:r>
      <w:r w:rsidRPr="00280C28">
        <w:rPr>
          <w:lang w:val="en-US" w:eastAsia="en-US"/>
        </w:rPr>
        <w:t xml:space="preserve"> rank</w:t>
      </w:r>
      <w:r>
        <w:rPr>
          <w:lang w:val="en-US" w:eastAsia="en-US"/>
        </w:rPr>
        <w:t>ed</w:t>
      </w:r>
      <w:r w:rsidRPr="00280C28">
        <w:rPr>
          <w:lang w:val="en-US" w:eastAsia="en-US"/>
        </w:rPr>
        <w:t xml:space="preserve"> Pakistan as the third lowest in 42 countries classified as fragile and conflict affected</w:t>
      </w:r>
      <w:r w:rsidRPr="00280C28">
        <w:rPr>
          <w:vertAlign w:val="superscript"/>
          <w:lang w:val="en-US" w:eastAsia="en-US"/>
        </w:rPr>
        <w:footnoteReference w:id="20"/>
      </w:r>
      <w:r w:rsidRPr="00280C28">
        <w:rPr>
          <w:lang w:val="en-US" w:eastAsia="en-US"/>
        </w:rPr>
        <w:t xml:space="preserve"> by the O</w:t>
      </w:r>
      <w:r>
        <w:rPr>
          <w:lang w:val="en-US" w:eastAsia="en-US"/>
        </w:rPr>
        <w:t>rganisation for Economic Co-operation and Development.</w:t>
      </w:r>
      <w:r w:rsidRPr="00280C28">
        <w:rPr>
          <w:vertAlign w:val="superscript"/>
          <w:lang w:val="en-US" w:eastAsia="en-US"/>
        </w:rPr>
        <w:footnoteReference w:id="21"/>
      </w:r>
      <w:r w:rsidRPr="00280C28">
        <w:rPr>
          <w:lang w:val="en-US" w:eastAsia="en-US"/>
        </w:rPr>
        <w:t xml:space="preserve"> This</w:t>
      </w:r>
      <w:r>
        <w:rPr>
          <w:lang w:val="en-US" w:eastAsia="en-US"/>
        </w:rPr>
        <w:t>,</w:t>
      </w:r>
      <w:r w:rsidRPr="00280C28">
        <w:rPr>
          <w:lang w:val="en-US" w:eastAsia="en-US"/>
        </w:rPr>
        <w:t xml:space="preserve"> coupled with endemic corruption and poor institutional capability, severely limits government service provision and constrains inclusive development.</w:t>
      </w:r>
    </w:p>
    <w:p w:rsidR="00060B36" w:rsidRPr="005C1CDD" w:rsidRDefault="00060B36" w:rsidP="00F67041">
      <w:pPr>
        <w:pStyle w:val="BodyText"/>
        <w:rPr>
          <w:lang w:val="en-US" w:eastAsia="en-US"/>
        </w:rPr>
      </w:pPr>
      <w:r w:rsidRPr="00280C28">
        <w:rPr>
          <w:lang w:val="en-US" w:eastAsia="en-US"/>
        </w:rPr>
        <w:t>While donors broadly welcomed the 18</w:t>
      </w:r>
      <w:r w:rsidRPr="00280C28">
        <w:rPr>
          <w:vertAlign w:val="superscript"/>
          <w:lang w:val="en-US" w:eastAsia="en-US"/>
        </w:rPr>
        <w:t>th</w:t>
      </w:r>
      <w:r>
        <w:rPr>
          <w:lang w:val="en-US" w:eastAsia="en-US"/>
        </w:rPr>
        <w:t xml:space="preserve"> Amendment to Pakistan’s C</w:t>
      </w:r>
      <w:r w:rsidRPr="00280C28">
        <w:rPr>
          <w:lang w:val="en-US" w:eastAsia="en-US"/>
        </w:rPr>
        <w:t>onstitution</w:t>
      </w:r>
      <w:r>
        <w:rPr>
          <w:lang w:val="en-US" w:eastAsia="en-US"/>
        </w:rPr>
        <w:t xml:space="preserve"> in 2010</w:t>
      </w:r>
      <w:r w:rsidRPr="00280C28">
        <w:rPr>
          <w:lang w:val="en-US" w:eastAsia="en-US"/>
        </w:rPr>
        <w:t xml:space="preserve">, </w:t>
      </w:r>
      <w:r>
        <w:rPr>
          <w:lang w:val="en-US" w:eastAsia="en-US"/>
        </w:rPr>
        <w:t>which devolved a number of responsibilities, such as education, health and local government, from the f</w:t>
      </w:r>
      <w:r w:rsidRPr="00280C28">
        <w:rPr>
          <w:lang w:val="en-US" w:eastAsia="en-US"/>
        </w:rPr>
        <w:t xml:space="preserve">ederal </w:t>
      </w:r>
      <w:r>
        <w:rPr>
          <w:lang w:val="en-US" w:eastAsia="en-US"/>
        </w:rPr>
        <w:t>government</w:t>
      </w:r>
      <w:r w:rsidRPr="00280C28">
        <w:rPr>
          <w:lang w:val="en-US" w:eastAsia="en-US"/>
        </w:rPr>
        <w:t xml:space="preserve"> to </w:t>
      </w:r>
      <w:r>
        <w:rPr>
          <w:lang w:val="en-US" w:eastAsia="en-US"/>
        </w:rPr>
        <w:t>p</w:t>
      </w:r>
      <w:r w:rsidRPr="00280C28">
        <w:rPr>
          <w:lang w:val="en-US" w:eastAsia="en-US"/>
        </w:rPr>
        <w:t>rovinc</w:t>
      </w:r>
      <w:r>
        <w:rPr>
          <w:lang w:val="en-US" w:eastAsia="en-US"/>
        </w:rPr>
        <w:t>ial governments,</w:t>
      </w:r>
      <w:r>
        <w:rPr>
          <w:rStyle w:val="FootnoteReference"/>
          <w:sz w:val="16"/>
          <w:szCs w:val="12"/>
          <w:lang w:val="en-US" w:eastAsia="en-US"/>
        </w:rPr>
        <w:footnoteReference w:id="22"/>
      </w:r>
      <w:r>
        <w:rPr>
          <w:lang w:val="en-US" w:eastAsia="en-US"/>
        </w:rPr>
        <w:t xml:space="preserve"> </w:t>
      </w:r>
      <w:r w:rsidRPr="00280C28">
        <w:rPr>
          <w:lang w:val="en-US" w:eastAsia="en-US"/>
        </w:rPr>
        <w:t>implementation has been problematic</w:t>
      </w:r>
      <w:r>
        <w:rPr>
          <w:lang w:val="en-US" w:eastAsia="en-US"/>
        </w:rPr>
        <w:t xml:space="preserve">. While the Federal Government has provided certainty in revenue distribution to provinces, it lacks </w:t>
      </w:r>
      <w:r>
        <w:rPr>
          <w:lang w:eastAsia="en-US"/>
        </w:rPr>
        <w:t xml:space="preserve">oversight of provincial budget decisions. Shifting </w:t>
      </w:r>
      <w:r w:rsidRPr="009F07C5">
        <w:rPr>
          <w:lang w:eastAsia="en-US"/>
        </w:rPr>
        <w:t>provincial priorities</w:t>
      </w:r>
      <w:r>
        <w:rPr>
          <w:lang w:eastAsia="en-US"/>
        </w:rPr>
        <w:t xml:space="preserve"> have resulted in increased budget uncertainty for sector planning. </w:t>
      </w:r>
      <w:r w:rsidRPr="009F07C5">
        <w:rPr>
          <w:lang w:eastAsia="en-US"/>
        </w:rPr>
        <w:t>For example</w:t>
      </w:r>
      <w:r>
        <w:rPr>
          <w:lang w:eastAsia="en-US"/>
        </w:rPr>
        <w:t>, analysis of the KP health budget has highlighted underfunding</w:t>
      </w:r>
      <w:r w:rsidRPr="009F07C5">
        <w:rPr>
          <w:lang w:eastAsia="en-US"/>
        </w:rPr>
        <w:t xml:space="preserve"> for drugs and medicines since 2011, while allocations for repairs and maintenance for district health facilities are down 5% since 2010</w:t>
      </w:r>
      <w:r>
        <w:rPr>
          <w:lang w:eastAsia="en-US"/>
        </w:rPr>
        <w:t>–</w:t>
      </w:r>
      <w:r w:rsidRPr="009F07C5">
        <w:rPr>
          <w:lang w:eastAsia="en-US"/>
        </w:rPr>
        <w:t>11</w:t>
      </w:r>
      <w:r>
        <w:rPr>
          <w:lang w:eastAsia="en-US"/>
        </w:rPr>
        <w:t>.</w:t>
      </w:r>
      <w:r>
        <w:rPr>
          <w:rStyle w:val="FootnoteReference"/>
          <w:sz w:val="16"/>
          <w:szCs w:val="12"/>
          <w:lang w:eastAsia="en-US"/>
        </w:rPr>
        <w:footnoteReference w:id="23"/>
      </w:r>
      <w:r w:rsidRPr="009F07C5">
        <w:rPr>
          <w:lang w:eastAsia="en-US"/>
        </w:rPr>
        <w:t xml:space="preserve"> </w:t>
      </w:r>
    </w:p>
    <w:p w:rsidR="00060B36" w:rsidRPr="00280C28" w:rsidRDefault="00060B36" w:rsidP="00F67041">
      <w:pPr>
        <w:pStyle w:val="BodyText"/>
        <w:rPr>
          <w:lang w:val="en-US" w:eastAsia="en-US"/>
        </w:rPr>
      </w:pPr>
      <w:r w:rsidRPr="00280C28">
        <w:rPr>
          <w:lang w:val="en-US" w:eastAsia="en-US"/>
        </w:rPr>
        <w:t>Pakistan</w:t>
      </w:r>
      <w:r>
        <w:rPr>
          <w:lang w:val="en-US" w:eastAsia="en-US"/>
        </w:rPr>
        <w:t>’s 2013</w:t>
      </w:r>
      <w:r w:rsidRPr="00280C28">
        <w:rPr>
          <w:lang w:val="en-US" w:eastAsia="en-US"/>
        </w:rPr>
        <w:t xml:space="preserve"> election resulted in the first democratic transition since independence. </w:t>
      </w:r>
      <w:r>
        <w:rPr>
          <w:lang w:val="en-US" w:eastAsia="en-US"/>
        </w:rPr>
        <w:t>With this</w:t>
      </w:r>
      <w:r w:rsidRPr="00280C28">
        <w:rPr>
          <w:lang w:val="en-US" w:eastAsia="en-US"/>
        </w:rPr>
        <w:t xml:space="preserve"> important milestone</w:t>
      </w:r>
      <w:r>
        <w:rPr>
          <w:lang w:val="en-US" w:eastAsia="en-US"/>
        </w:rPr>
        <w:t>, t</w:t>
      </w:r>
      <w:r w:rsidRPr="00280C28">
        <w:rPr>
          <w:lang w:val="en-US" w:eastAsia="en-US"/>
        </w:rPr>
        <w:t xml:space="preserve">he foundations for effective government are now in place with the moderate Pakistan Muslim League leading a majority </w:t>
      </w:r>
      <w:r>
        <w:rPr>
          <w:lang w:val="en-US" w:eastAsia="en-US"/>
        </w:rPr>
        <w:t xml:space="preserve">federal </w:t>
      </w:r>
      <w:r w:rsidRPr="00280C28">
        <w:rPr>
          <w:lang w:val="en-US" w:eastAsia="en-US"/>
        </w:rPr>
        <w:t xml:space="preserve">government. </w:t>
      </w:r>
      <w:r w:rsidRPr="00B7189A">
        <w:rPr>
          <w:lang w:val="en-US" w:eastAsia="en-US"/>
        </w:rPr>
        <w:t>The Government faces</w:t>
      </w:r>
      <w:r>
        <w:rPr>
          <w:lang w:val="en-US" w:eastAsia="en-US"/>
        </w:rPr>
        <w:t xml:space="preserve"> significant pressure</w:t>
      </w:r>
      <w:r w:rsidRPr="00280C28">
        <w:rPr>
          <w:lang w:val="en-US" w:eastAsia="en-US"/>
        </w:rPr>
        <w:t xml:space="preserve"> to reform the economy and solve the energy crisis during its five</w:t>
      </w:r>
      <w:r>
        <w:rPr>
          <w:lang w:val="en-US" w:eastAsia="en-US"/>
        </w:rPr>
        <w:t>-</w:t>
      </w:r>
      <w:r w:rsidRPr="00280C28">
        <w:rPr>
          <w:lang w:val="en-US" w:eastAsia="en-US"/>
        </w:rPr>
        <w:t xml:space="preserve">year term. Early indications suggest </w:t>
      </w:r>
      <w:r>
        <w:rPr>
          <w:lang w:val="en-US" w:eastAsia="en-US"/>
        </w:rPr>
        <w:t>it</w:t>
      </w:r>
      <w:r w:rsidRPr="00280C28">
        <w:rPr>
          <w:lang w:val="en-US" w:eastAsia="en-US"/>
        </w:rPr>
        <w:t xml:space="preserve"> will seek to </w:t>
      </w:r>
      <w:proofErr w:type="spellStart"/>
      <w:r w:rsidRPr="00280C28">
        <w:rPr>
          <w:lang w:val="en-US" w:eastAsia="en-US"/>
        </w:rPr>
        <w:t>rationalise</w:t>
      </w:r>
      <w:proofErr w:type="spellEnd"/>
      <w:r w:rsidRPr="00280C28">
        <w:rPr>
          <w:lang w:val="en-US" w:eastAsia="en-US"/>
        </w:rPr>
        <w:t xml:space="preserve"> the tax base to increas</w:t>
      </w:r>
      <w:r>
        <w:rPr>
          <w:lang w:val="en-US" w:eastAsia="en-US"/>
        </w:rPr>
        <w:t>e</w:t>
      </w:r>
      <w:r w:rsidRPr="00280C28">
        <w:rPr>
          <w:lang w:val="en-US" w:eastAsia="en-US"/>
        </w:rPr>
        <w:t xml:space="preserve"> revenues to reduce the budget deficit, direct energy subsidies more accurately to the poor and introduc</w:t>
      </w:r>
      <w:r>
        <w:rPr>
          <w:lang w:val="en-US" w:eastAsia="en-US"/>
        </w:rPr>
        <w:t>e</w:t>
      </w:r>
      <w:r w:rsidRPr="00280C28">
        <w:rPr>
          <w:lang w:val="en-US" w:eastAsia="en-US"/>
        </w:rPr>
        <w:t xml:space="preserve"> policies to encourage greater foreign direct investment</w:t>
      </w:r>
      <w:r>
        <w:rPr>
          <w:lang w:val="en-US" w:eastAsia="en-US"/>
        </w:rPr>
        <w:t xml:space="preserve">. </w:t>
      </w:r>
      <w:r w:rsidRPr="00280C28">
        <w:rPr>
          <w:lang w:val="en-US" w:eastAsia="en-US"/>
        </w:rPr>
        <w:t>However</w:t>
      </w:r>
      <w:r>
        <w:rPr>
          <w:lang w:val="en-US" w:eastAsia="en-US"/>
        </w:rPr>
        <w:t>,</w:t>
      </w:r>
      <w:r w:rsidRPr="00280C28">
        <w:rPr>
          <w:lang w:val="en-US" w:eastAsia="en-US"/>
        </w:rPr>
        <w:t xml:space="preserve"> powerful political interests </w:t>
      </w:r>
      <w:r>
        <w:rPr>
          <w:lang w:val="en-US" w:eastAsia="en-US"/>
        </w:rPr>
        <w:t xml:space="preserve">are </w:t>
      </w:r>
      <w:r w:rsidRPr="00280C28">
        <w:rPr>
          <w:lang w:val="en-US" w:eastAsia="en-US"/>
        </w:rPr>
        <w:t xml:space="preserve">at play and the </w:t>
      </w:r>
      <w:r>
        <w:rPr>
          <w:lang w:val="en-US" w:eastAsia="en-US"/>
        </w:rPr>
        <w:t>G</w:t>
      </w:r>
      <w:r w:rsidRPr="00280C28">
        <w:rPr>
          <w:lang w:val="en-US" w:eastAsia="en-US"/>
        </w:rPr>
        <w:t>overnment need</w:t>
      </w:r>
      <w:r>
        <w:rPr>
          <w:lang w:val="en-US" w:eastAsia="en-US"/>
        </w:rPr>
        <w:t>s</w:t>
      </w:r>
      <w:r w:rsidRPr="00280C28">
        <w:rPr>
          <w:lang w:val="en-US" w:eastAsia="en-US"/>
        </w:rPr>
        <w:t xml:space="preserve"> considerable determination to push through these reforms. </w:t>
      </w:r>
    </w:p>
    <w:p w:rsidR="00060B36" w:rsidRPr="00C2491D" w:rsidRDefault="00060B36" w:rsidP="00F67041">
      <w:pPr>
        <w:pStyle w:val="Heading3"/>
        <w:rPr>
          <w:lang w:val="en-US"/>
        </w:rPr>
      </w:pPr>
      <w:r w:rsidRPr="00C2491D">
        <w:rPr>
          <w:lang w:val="en-US"/>
        </w:rPr>
        <w:t>Australia’s development assistance</w:t>
      </w:r>
    </w:p>
    <w:p w:rsidR="00060B36" w:rsidRPr="00280C28" w:rsidRDefault="00060B36" w:rsidP="00F67041">
      <w:pPr>
        <w:pStyle w:val="BodyText"/>
        <w:rPr>
          <w:lang w:val="en-US" w:eastAsia="en-US"/>
        </w:rPr>
      </w:pPr>
      <w:r w:rsidRPr="00280C28">
        <w:rPr>
          <w:lang w:val="en-US" w:eastAsia="en-US"/>
        </w:rPr>
        <w:t>Against this challenging context</w:t>
      </w:r>
      <w:r>
        <w:rPr>
          <w:lang w:val="en-US" w:eastAsia="en-US"/>
        </w:rPr>
        <w:t>,</w:t>
      </w:r>
      <w:r w:rsidRPr="00280C28">
        <w:rPr>
          <w:lang w:val="en-US" w:eastAsia="en-US"/>
        </w:rPr>
        <w:t xml:space="preserve"> Australia’s development assistance program continues to grow</w:t>
      </w:r>
      <w:r>
        <w:rPr>
          <w:lang w:val="en-US" w:eastAsia="en-US"/>
        </w:rPr>
        <w:t>. In 2012–13 we committed $</w:t>
      </w:r>
      <w:r w:rsidR="00A227C5">
        <w:rPr>
          <w:lang w:val="en-US" w:eastAsia="en-US"/>
        </w:rPr>
        <w:t>85.7</w:t>
      </w:r>
      <w:r w:rsidRPr="00280C28">
        <w:rPr>
          <w:lang w:val="en-US" w:eastAsia="en-US"/>
        </w:rPr>
        <w:t xml:space="preserve"> million in </w:t>
      </w:r>
      <w:r>
        <w:rPr>
          <w:lang w:val="en-US" w:eastAsia="en-US"/>
        </w:rPr>
        <w:t xml:space="preserve">ODA. </w:t>
      </w:r>
    </w:p>
    <w:p w:rsidR="00060B36" w:rsidRPr="00C43749" w:rsidRDefault="00060B36" w:rsidP="00F67041">
      <w:pPr>
        <w:pStyle w:val="BodyText"/>
        <w:rPr>
          <w:lang w:val="en-US" w:eastAsia="en-US"/>
        </w:rPr>
      </w:pPr>
      <w:r>
        <w:rPr>
          <w:lang w:val="en-US" w:eastAsia="en-US"/>
        </w:rPr>
        <w:t>Australia focuses most of its</w:t>
      </w:r>
      <w:r w:rsidRPr="00280C28">
        <w:rPr>
          <w:lang w:val="en-US" w:eastAsia="en-US"/>
        </w:rPr>
        <w:t xml:space="preserve"> </w:t>
      </w:r>
      <w:r>
        <w:rPr>
          <w:lang w:val="en-US" w:eastAsia="en-US"/>
        </w:rPr>
        <w:t xml:space="preserve">aid on the border areas with Afghanistan, including the provinces of </w:t>
      </w:r>
      <w:proofErr w:type="spellStart"/>
      <w:r w:rsidRPr="00E92B7B">
        <w:rPr>
          <w:lang w:val="en-US" w:eastAsia="en-US"/>
        </w:rPr>
        <w:t>Balochistan</w:t>
      </w:r>
      <w:proofErr w:type="spellEnd"/>
      <w:r w:rsidRPr="00873D4A">
        <w:rPr>
          <w:lang w:val="en-US" w:eastAsia="en-US"/>
        </w:rPr>
        <w:t>, FATA</w:t>
      </w:r>
      <w:r w:rsidRPr="00E92B7B">
        <w:rPr>
          <w:lang w:val="en-US" w:eastAsia="en-US"/>
        </w:rPr>
        <w:t xml:space="preserve"> and KP</w:t>
      </w:r>
      <w:r>
        <w:rPr>
          <w:lang w:val="en-US" w:eastAsia="en-US"/>
        </w:rPr>
        <w:t xml:space="preserve">. These areas are home to some of Pakistan’s most vulnerable populations and are where we can best apply resources to meet gaps in donor assistance. Our development assistance in </w:t>
      </w:r>
      <w:proofErr w:type="spellStart"/>
      <w:r>
        <w:rPr>
          <w:lang w:val="en-US" w:eastAsia="en-US"/>
        </w:rPr>
        <w:t>Balochistan</w:t>
      </w:r>
      <w:proofErr w:type="spellEnd"/>
      <w:r>
        <w:rPr>
          <w:lang w:val="en-US" w:eastAsia="en-US"/>
        </w:rPr>
        <w:t xml:space="preserve"> and KP began in 1998 in the health sector. Australia’s </w:t>
      </w:r>
      <w:r>
        <w:rPr>
          <w:lang w:val="en-US" w:eastAsia="en-US"/>
        </w:rPr>
        <w:lastRenderedPageBreak/>
        <w:t xml:space="preserve">recent investment through a World Bank-managed Multi-Donor Trust Fund (MDTF) in 2009 has seen Australia’s engagement extend to FATA. </w:t>
      </w:r>
    </w:p>
    <w:p w:rsidR="00060B36" w:rsidRDefault="00060B36" w:rsidP="00F67041">
      <w:pPr>
        <w:pStyle w:val="BodyText"/>
        <w:rPr>
          <w:lang w:val="en-US" w:eastAsia="en-US"/>
        </w:rPr>
      </w:pPr>
      <w:r>
        <w:rPr>
          <w:lang w:val="en-US" w:eastAsia="en-US"/>
        </w:rPr>
        <w:t>Australian aid is managed</w:t>
      </w:r>
      <w:r w:rsidRPr="00280C28">
        <w:rPr>
          <w:lang w:val="en-US" w:eastAsia="en-US"/>
        </w:rPr>
        <w:t xml:space="preserve"> principally </w:t>
      </w:r>
      <w:r>
        <w:rPr>
          <w:lang w:val="en-US" w:eastAsia="en-US"/>
        </w:rPr>
        <w:t>by</w:t>
      </w:r>
      <w:r w:rsidRPr="00280C28">
        <w:rPr>
          <w:lang w:val="en-US" w:eastAsia="en-US"/>
        </w:rPr>
        <w:t xml:space="preserve"> </w:t>
      </w:r>
      <w:r w:rsidR="009D4C2F">
        <w:rPr>
          <w:lang w:val="en-US" w:eastAsia="en-US"/>
        </w:rPr>
        <w:t>DFAT</w:t>
      </w:r>
      <w:r w:rsidRPr="00280C28">
        <w:rPr>
          <w:lang w:val="en-US" w:eastAsia="en-US"/>
        </w:rPr>
        <w:t xml:space="preserve">, </w:t>
      </w:r>
      <w:r>
        <w:rPr>
          <w:lang w:val="en-US" w:eastAsia="en-US"/>
        </w:rPr>
        <w:t xml:space="preserve">with 6.5 per cent of the program </w:t>
      </w:r>
      <w:r w:rsidRPr="00280C28">
        <w:rPr>
          <w:lang w:val="en-US" w:eastAsia="en-US"/>
        </w:rPr>
        <w:t>delivered by the Australian Centre for International Agricultural Research</w:t>
      </w:r>
      <w:r>
        <w:rPr>
          <w:lang w:val="en-US" w:eastAsia="en-US"/>
        </w:rPr>
        <w:t xml:space="preserve"> (ACIAR)</w:t>
      </w:r>
      <w:r w:rsidRPr="00280C28">
        <w:rPr>
          <w:lang w:val="en-US" w:eastAsia="en-US"/>
        </w:rPr>
        <w:t xml:space="preserve"> and </w:t>
      </w:r>
      <w:r>
        <w:rPr>
          <w:lang w:val="en-US" w:eastAsia="en-US"/>
        </w:rPr>
        <w:t xml:space="preserve">the </w:t>
      </w:r>
      <w:r w:rsidRPr="00280C28">
        <w:rPr>
          <w:lang w:val="en-US" w:eastAsia="en-US"/>
        </w:rPr>
        <w:t>Australian Federal Police</w:t>
      </w:r>
      <w:r>
        <w:rPr>
          <w:lang w:val="en-US" w:eastAsia="en-US"/>
        </w:rPr>
        <w:t xml:space="preserve">. </w:t>
      </w:r>
      <w:r w:rsidR="009D4C2F">
        <w:rPr>
          <w:lang w:val="en-US" w:eastAsia="en-US"/>
        </w:rPr>
        <w:t>DFAT</w:t>
      </w:r>
      <w:r>
        <w:rPr>
          <w:lang w:val="en-US" w:eastAsia="en-US"/>
        </w:rPr>
        <w:t xml:space="preserve"> manages its assistance through partnerships with</w:t>
      </w:r>
      <w:r w:rsidRPr="00280C28">
        <w:rPr>
          <w:lang w:val="en-US" w:eastAsia="en-US"/>
        </w:rPr>
        <w:t xml:space="preserve"> multilateral, bilateral and </w:t>
      </w:r>
      <w:r>
        <w:rPr>
          <w:lang w:val="en-US" w:eastAsia="en-US"/>
        </w:rPr>
        <w:t>non-government organisation (</w:t>
      </w:r>
      <w:r w:rsidRPr="00280C28">
        <w:rPr>
          <w:lang w:val="en-US" w:eastAsia="en-US"/>
        </w:rPr>
        <w:t>NGO</w:t>
      </w:r>
      <w:r>
        <w:rPr>
          <w:lang w:val="en-US" w:eastAsia="en-US"/>
        </w:rPr>
        <w:t>)</w:t>
      </w:r>
      <w:r w:rsidRPr="00280C28">
        <w:rPr>
          <w:lang w:val="en-US" w:eastAsia="en-US"/>
        </w:rPr>
        <w:t xml:space="preserve"> partners </w:t>
      </w:r>
      <w:r w:rsidR="00A227C5">
        <w:rPr>
          <w:lang w:val="en-US" w:eastAsia="en-US"/>
        </w:rPr>
        <w:t xml:space="preserve">including </w:t>
      </w:r>
      <w:r w:rsidRPr="00280C28">
        <w:rPr>
          <w:lang w:val="en-US" w:eastAsia="en-US"/>
        </w:rPr>
        <w:t>the World Bank, United Nations</w:t>
      </w:r>
      <w:r>
        <w:rPr>
          <w:lang w:val="en-US" w:eastAsia="en-US"/>
        </w:rPr>
        <w:t xml:space="preserve"> (UN)</w:t>
      </w:r>
      <w:r w:rsidRPr="00280C28">
        <w:rPr>
          <w:lang w:val="en-US" w:eastAsia="en-US"/>
        </w:rPr>
        <w:t xml:space="preserve"> agencies, the U</w:t>
      </w:r>
      <w:r>
        <w:rPr>
          <w:lang w:val="en-US" w:eastAsia="en-US"/>
        </w:rPr>
        <w:t xml:space="preserve">nited </w:t>
      </w:r>
      <w:r w:rsidRPr="00280C28">
        <w:rPr>
          <w:lang w:val="en-US" w:eastAsia="en-US"/>
        </w:rPr>
        <w:t>K</w:t>
      </w:r>
      <w:r>
        <w:rPr>
          <w:lang w:val="en-US" w:eastAsia="en-US"/>
        </w:rPr>
        <w:t>ingdom’s</w:t>
      </w:r>
      <w:r w:rsidRPr="00280C28">
        <w:rPr>
          <w:lang w:val="en-US" w:eastAsia="en-US"/>
        </w:rPr>
        <w:t xml:space="preserve"> Department for International Development</w:t>
      </w:r>
      <w:r>
        <w:rPr>
          <w:lang w:val="en-US" w:eastAsia="en-US"/>
        </w:rPr>
        <w:t xml:space="preserve"> (DFID)</w:t>
      </w:r>
      <w:r w:rsidRPr="00280C28">
        <w:rPr>
          <w:lang w:val="en-US" w:eastAsia="en-US"/>
        </w:rPr>
        <w:t xml:space="preserve"> and Save the Children</w:t>
      </w:r>
      <w:r>
        <w:rPr>
          <w:lang w:val="en-US" w:eastAsia="en-US"/>
        </w:rPr>
        <w:t xml:space="preserve">.  This approach </w:t>
      </w:r>
      <w:r w:rsidR="00AA4D8A">
        <w:rPr>
          <w:lang w:val="en-US" w:eastAsia="en-US"/>
        </w:rPr>
        <w:t xml:space="preserve">leverages larger investment, </w:t>
      </w:r>
      <w:r w:rsidRPr="005B2826">
        <w:rPr>
          <w:lang w:val="en-US" w:eastAsia="en-US"/>
        </w:rPr>
        <w:t>improve</w:t>
      </w:r>
      <w:r>
        <w:rPr>
          <w:lang w:val="en-US" w:eastAsia="en-US"/>
        </w:rPr>
        <w:t>s</w:t>
      </w:r>
      <w:r w:rsidRPr="005B2826">
        <w:rPr>
          <w:lang w:val="en-US" w:eastAsia="en-US"/>
        </w:rPr>
        <w:t xml:space="preserve"> donor coordination, shar</w:t>
      </w:r>
      <w:r>
        <w:rPr>
          <w:lang w:val="en-US" w:eastAsia="en-US"/>
        </w:rPr>
        <w:t xml:space="preserve">es expertise and </w:t>
      </w:r>
      <w:proofErr w:type="spellStart"/>
      <w:r>
        <w:rPr>
          <w:lang w:val="en-US" w:eastAsia="en-US"/>
        </w:rPr>
        <w:t>minimises</w:t>
      </w:r>
      <w:proofErr w:type="spellEnd"/>
      <w:r w:rsidRPr="005B2826">
        <w:rPr>
          <w:lang w:val="en-US" w:eastAsia="en-US"/>
        </w:rPr>
        <w:t xml:space="preserve"> duplication</w:t>
      </w:r>
      <w:r w:rsidR="00AA4D8A">
        <w:rPr>
          <w:lang w:val="en-US" w:eastAsia="en-US"/>
        </w:rPr>
        <w:t xml:space="preserve"> and shares risk</w:t>
      </w:r>
      <w:r>
        <w:rPr>
          <w:lang w:val="en-US" w:eastAsia="en-US"/>
        </w:rPr>
        <w:t xml:space="preserve">. </w:t>
      </w:r>
      <w:r w:rsidR="00A227C5">
        <w:rPr>
          <w:lang w:val="en-US" w:eastAsia="en-US"/>
        </w:rPr>
        <w:t xml:space="preserve">For example, </w:t>
      </w:r>
      <w:r w:rsidR="009D4C2F">
        <w:rPr>
          <w:lang w:val="en-US" w:eastAsia="en-US"/>
        </w:rPr>
        <w:t>DFAT</w:t>
      </w:r>
      <w:r>
        <w:rPr>
          <w:lang w:val="en-US" w:eastAsia="en-US"/>
        </w:rPr>
        <w:t xml:space="preserve"> participates in joint monitoring and evaluation activities with partners. </w:t>
      </w:r>
    </w:p>
    <w:p w:rsidR="00060B36" w:rsidRPr="00280C28" w:rsidRDefault="00060B36" w:rsidP="00F67041">
      <w:pPr>
        <w:pStyle w:val="BodyText"/>
        <w:rPr>
          <w:lang w:val="en-US" w:eastAsia="en-US"/>
        </w:rPr>
      </w:pPr>
      <w:r w:rsidRPr="00280C28">
        <w:rPr>
          <w:lang w:val="en-US" w:eastAsia="en-US"/>
        </w:rPr>
        <w:t>Aus</w:t>
      </w:r>
      <w:r>
        <w:rPr>
          <w:lang w:val="en-US" w:eastAsia="en-US"/>
        </w:rPr>
        <w:t>tralia’s</w:t>
      </w:r>
      <w:r w:rsidRPr="00280C28">
        <w:rPr>
          <w:lang w:val="en-US" w:eastAsia="en-US"/>
        </w:rPr>
        <w:t xml:space="preserve"> bilateral investments are complemented by a South and West Asia regional program that supports </w:t>
      </w:r>
      <w:r>
        <w:rPr>
          <w:lang w:val="en-US" w:eastAsia="en-US"/>
        </w:rPr>
        <w:t xml:space="preserve">broader </w:t>
      </w:r>
      <w:r w:rsidRPr="00280C28">
        <w:rPr>
          <w:lang w:val="en-US" w:eastAsia="en-US"/>
        </w:rPr>
        <w:t>regional approaches to climate change and economic integration</w:t>
      </w:r>
      <w:r>
        <w:rPr>
          <w:lang w:val="en-US" w:eastAsia="en-US"/>
        </w:rPr>
        <w:t xml:space="preserve">, benefiting Pakistan. </w:t>
      </w:r>
    </w:p>
    <w:p w:rsidR="00060B36" w:rsidRPr="00280C28" w:rsidRDefault="00060B36" w:rsidP="00F67041">
      <w:pPr>
        <w:pStyle w:val="BodyText"/>
        <w:rPr>
          <w:lang w:val="en-US" w:eastAsia="en-US"/>
        </w:rPr>
      </w:pPr>
      <w:r w:rsidRPr="00280C28">
        <w:rPr>
          <w:lang w:val="en-US" w:eastAsia="en-US"/>
        </w:rPr>
        <w:t>The Australia – P</w:t>
      </w:r>
      <w:r>
        <w:rPr>
          <w:lang w:val="en-US" w:eastAsia="en-US"/>
        </w:rPr>
        <w:t>akistan Development Partnership</w:t>
      </w:r>
      <w:r w:rsidRPr="00280C28">
        <w:rPr>
          <w:lang w:val="en-US" w:eastAsia="en-US"/>
        </w:rPr>
        <w:t xml:space="preserve"> agreement expires in June 2013 and will be re-negotiated</w:t>
      </w:r>
      <w:r>
        <w:rPr>
          <w:lang w:val="en-US" w:eastAsia="en-US"/>
        </w:rPr>
        <w:t xml:space="preserve"> in 2014. </w:t>
      </w:r>
      <w:r w:rsidRPr="00280C28">
        <w:rPr>
          <w:lang w:val="en-US" w:eastAsia="en-US"/>
        </w:rPr>
        <w:t xml:space="preserve">Under the </w:t>
      </w:r>
      <w:r>
        <w:rPr>
          <w:lang w:val="en-US" w:eastAsia="en-US"/>
        </w:rPr>
        <w:t>p</w:t>
      </w:r>
      <w:r w:rsidRPr="00280C28">
        <w:rPr>
          <w:lang w:val="en-US" w:eastAsia="en-US"/>
        </w:rPr>
        <w:t xml:space="preserve">artnership, Australia </w:t>
      </w:r>
      <w:r>
        <w:rPr>
          <w:lang w:val="en-US" w:eastAsia="en-US"/>
        </w:rPr>
        <w:t xml:space="preserve">and Pakistan </w:t>
      </w:r>
      <w:r w:rsidRPr="00280C28">
        <w:rPr>
          <w:lang w:val="en-US" w:eastAsia="en-US"/>
        </w:rPr>
        <w:t xml:space="preserve">will agree </w:t>
      </w:r>
      <w:r>
        <w:rPr>
          <w:lang w:val="en-US" w:eastAsia="en-US"/>
        </w:rPr>
        <w:t xml:space="preserve">on </w:t>
      </w:r>
      <w:r w:rsidRPr="00280C28">
        <w:rPr>
          <w:lang w:val="en-US" w:eastAsia="en-US"/>
        </w:rPr>
        <w:t>a new country</w:t>
      </w:r>
      <w:r>
        <w:rPr>
          <w:lang w:val="en-US" w:eastAsia="en-US"/>
        </w:rPr>
        <w:t xml:space="preserve"> program</w:t>
      </w:r>
      <w:r w:rsidRPr="00280C28">
        <w:rPr>
          <w:lang w:val="en-US" w:eastAsia="en-US"/>
        </w:rPr>
        <w:t xml:space="preserve"> strategy</w:t>
      </w:r>
      <w:r>
        <w:rPr>
          <w:lang w:val="en-US" w:eastAsia="en-US"/>
        </w:rPr>
        <w:t xml:space="preserve"> for Australian aid, focused on supporting</w:t>
      </w:r>
      <w:r w:rsidRPr="00280C28">
        <w:rPr>
          <w:lang w:val="en-US" w:eastAsia="en-US"/>
        </w:rPr>
        <w:t xml:space="preserve"> the Government of Pakistan to maintain a stable, secure and democratic country through equitable social and economic development and poverty reduction. The strategy will </w:t>
      </w:r>
      <w:r>
        <w:rPr>
          <w:lang w:val="en-US" w:eastAsia="en-US"/>
        </w:rPr>
        <w:t xml:space="preserve">focus on </w:t>
      </w:r>
      <w:r w:rsidRPr="00280C28">
        <w:rPr>
          <w:lang w:val="en-US" w:eastAsia="en-US"/>
        </w:rPr>
        <w:t>three high</w:t>
      </w:r>
      <w:r>
        <w:rPr>
          <w:lang w:val="en-US" w:eastAsia="en-US"/>
        </w:rPr>
        <w:t>-</w:t>
      </w:r>
      <w:r w:rsidRPr="00280C28">
        <w:rPr>
          <w:lang w:val="en-US" w:eastAsia="en-US"/>
        </w:rPr>
        <w:t xml:space="preserve">level program objectives: </w:t>
      </w:r>
    </w:p>
    <w:p w:rsidR="00060B36" w:rsidRPr="00280C28" w:rsidRDefault="00060B36" w:rsidP="00F67041">
      <w:pPr>
        <w:pStyle w:val="ListBullet"/>
        <w:rPr>
          <w:lang w:val="en-US" w:eastAsia="en-US"/>
        </w:rPr>
      </w:pPr>
      <w:r w:rsidRPr="00101580">
        <w:rPr>
          <w:lang w:val="en-US" w:eastAsia="en-US"/>
        </w:rPr>
        <w:t>To provide basic services, particularly to women and children, in health, education</w:t>
      </w:r>
      <w:r w:rsidRPr="00280C28">
        <w:rPr>
          <w:lang w:val="en-US" w:eastAsia="en-US"/>
        </w:rPr>
        <w:t xml:space="preserve"> and rural development through credible and experienced partners</w:t>
      </w:r>
      <w:r>
        <w:rPr>
          <w:lang w:val="en-US" w:eastAsia="en-US"/>
        </w:rPr>
        <w:t>.</w:t>
      </w:r>
    </w:p>
    <w:p w:rsidR="00060B36" w:rsidRPr="00280C28" w:rsidRDefault="00060B36" w:rsidP="00F67041">
      <w:pPr>
        <w:pStyle w:val="ListBullet"/>
        <w:rPr>
          <w:lang w:val="en-US" w:eastAsia="en-US"/>
        </w:rPr>
      </w:pPr>
      <w:r w:rsidRPr="00280C28">
        <w:rPr>
          <w:lang w:val="en-US" w:eastAsia="en-US"/>
        </w:rPr>
        <w:t>To address the need</w:t>
      </w:r>
      <w:r>
        <w:rPr>
          <w:lang w:val="en-US" w:eastAsia="en-US"/>
        </w:rPr>
        <w:t>s</w:t>
      </w:r>
      <w:r w:rsidRPr="00280C28">
        <w:rPr>
          <w:lang w:val="en-US" w:eastAsia="en-US"/>
        </w:rPr>
        <w:t xml:space="preserve"> of communities most vulnerable to the effects of conflict, remoteness, </w:t>
      </w:r>
      <w:proofErr w:type="spellStart"/>
      <w:r w:rsidRPr="00280C28">
        <w:rPr>
          <w:lang w:val="en-US" w:eastAsia="en-US"/>
        </w:rPr>
        <w:t>marginali</w:t>
      </w:r>
      <w:r>
        <w:rPr>
          <w:lang w:val="en-US" w:eastAsia="en-US"/>
        </w:rPr>
        <w:t>s</w:t>
      </w:r>
      <w:r w:rsidRPr="00280C28">
        <w:rPr>
          <w:lang w:val="en-US" w:eastAsia="en-US"/>
        </w:rPr>
        <w:t>ation</w:t>
      </w:r>
      <w:proofErr w:type="spellEnd"/>
      <w:r w:rsidRPr="00280C28">
        <w:rPr>
          <w:lang w:val="en-US" w:eastAsia="en-US"/>
        </w:rPr>
        <w:t>, and natural hazards and disasters</w:t>
      </w:r>
      <w:r>
        <w:rPr>
          <w:lang w:val="en-US" w:eastAsia="en-US"/>
        </w:rPr>
        <w:t>.</w:t>
      </w:r>
    </w:p>
    <w:p w:rsidR="00060B36" w:rsidRPr="00280C28" w:rsidRDefault="00060B36" w:rsidP="00F67041">
      <w:pPr>
        <w:pStyle w:val="ListBullet"/>
        <w:rPr>
          <w:lang w:val="en-US" w:eastAsia="en-US"/>
        </w:rPr>
      </w:pPr>
      <w:r w:rsidRPr="00280C28">
        <w:rPr>
          <w:lang w:val="en-US" w:eastAsia="en-US"/>
        </w:rPr>
        <w:t xml:space="preserve">To engage with national and provincial governments on development priorities that </w:t>
      </w:r>
      <w:r>
        <w:rPr>
          <w:lang w:val="en-US" w:eastAsia="en-US"/>
        </w:rPr>
        <w:t>reduce</w:t>
      </w:r>
      <w:r w:rsidRPr="00280C28">
        <w:rPr>
          <w:lang w:val="en-US" w:eastAsia="en-US"/>
        </w:rPr>
        <w:t xml:space="preserve"> poverty and support greater peace and stability in Pakistan.</w:t>
      </w:r>
    </w:p>
    <w:p w:rsidR="00060B36" w:rsidRPr="00280C28" w:rsidRDefault="00060B36" w:rsidP="00F67041">
      <w:pPr>
        <w:pStyle w:val="BodyText"/>
        <w:rPr>
          <w:lang w:val="en-US" w:eastAsia="en-US"/>
        </w:rPr>
      </w:pPr>
      <w:r w:rsidRPr="00280C28">
        <w:rPr>
          <w:lang w:val="en-US" w:eastAsia="en-US"/>
        </w:rPr>
        <w:t xml:space="preserve">These new objectives align with Pakistan’s national and provincial development </w:t>
      </w:r>
      <w:r w:rsidRPr="00C2491D">
        <w:rPr>
          <w:lang w:val="en-US" w:eastAsia="en-US"/>
        </w:rPr>
        <w:t>plans, relevant sector-specific strategies and the Australian Government’s aid policy</w:t>
      </w:r>
      <w:r>
        <w:rPr>
          <w:lang w:val="en-US" w:eastAsia="en-US"/>
        </w:rPr>
        <w:t xml:space="preserve"> priorities.</w:t>
      </w:r>
      <w:r w:rsidRPr="00280C28">
        <w:rPr>
          <w:lang w:val="en-US" w:eastAsia="en-US"/>
        </w:rPr>
        <w:t xml:space="preserve"> </w:t>
      </w:r>
    </w:p>
    <w:p w:rsidR="00060B36" w:rsidRDefault="00060B36" w:rsidP="00F67041">
      <w:pPr>
        <w:pStyle w:val="Heading2"/>
      </w:pPr>
      <w:r w:rsidRPr="00F67041">
        <w:t>Expenditure</w:t>
      </w:r>
    </w:p>
    <w:p w:rsidR="00060B36" w:rsidRDefault="00060B36" w:rsidP="00F67041">
      <w:pPr>
        <w:pStyle w:val="BodyText"/>
      </w:pPr>
      <w:r w:rsidRPr="00F67041">
        <w:t xml:space="preserve">To align with the timing of the Annual Review of Aid Effectiveness, APPRs are moving from calendar year to financial year reporting. As a result, for this year financial expenditure will be reported in two periods, the first covering January 2012 to June 2012, with the second covering the 2012–13 financial year. </w:t>
      </w:r>
    </w:p>
    <w:p w:rsidR="00060B36" w:rsidRDefault="00060B36" w:rsidP="00D4716E">
      <w:pPr>
        <w:pStyle w:val="Caption"/>
      </w:pPr>
      <w:r>
        <w:t xml:space="preserve">Table </w:t>
      </w:r>
      <w:fldSimple w:instr=" SEQ Table \* ARABIC ">
        <w:r w:rsidR="001E5DD2">
          <w:rPr>
            <w:noProof/>
          </w:rPr>
          <w:t>1</w:t>
        </w:r>
      </w:fldSimple>
      <w:r>
        <w:t>A Expenditure 01 Jan 2012- 30 Jun 2012</w:t>
      </w:r>
    </w:p>
    <w:tbl>
      <w:tblPr>
        <w:tblW w:w="5000" w:type="pct"/>
        <w:tblCellSpacing w:w="14" w:type="dxa"/>
        <w:tblBorders>
          <w:top w:val="single" w:sz="12" w:space="0" w:color="000000"/>
          <w:bottom w:val="single" w:sz="12" w:space="0" w:color="000000"/>
        </w:tblBorders>
        <w:tblLayout w:type="fixed"/>
        <w:tblLook w:val="0000" w:firstRow="0" w:lastRow="0" w:firstColumn="0" w:lastColumn="0" w:noHBand="0" w:noVBand="0"/>
      </w:tblPr>
      <w:tblGrid>
        <w:gridCol w:w="6131"/>
        <w:gridCol w:w="998"/>
        <w:gridCol w:w="1477"/>
      </w:tblGrid>
      <w:tr w:rsidR="00060B36" w:rsidRPr="00180B19" w:rsidTr="00F67041">
        <w:trPr>
          <w:tblHeader/>
          <w:tblCellSpacing w:w="14" w:type="dxa"/>
        </w:trPr>
        <w:tc>
          <w:tcPr>
            <w:tcW w:w="6048" w:type="dxa"/>
            <w:tcBorders>
              <w:top w:val="nil"/>
              <w:left w:val="nil"/>
              <w:bottom w:val="nil"/>
              <w:right w:val="nil"/>
            </w:tcBorders>
          </w:tcPr>
          <w:p w:rsidR="00060B36" w:rsidRPr="00180B19" w:rsidRDefault="00060B36" w:rsidP="00F67041">
            <w:pPr>
              <w:pStyle w:val="TableTextColumnHeading"/>
            </w:pPr>
            <w:r w:rsidRPr="00180B19">
              <w:t>Objective</w:t>
            </w:r>
          </w:p>
        </w:tc>
        <w:tc>
          <w:tcPr>
            <w:tcW w:w="964" w:type="dxa"/>
            <w:tcBorders>
              <w:top w:val="nil"/>
              <w:left w:val="nil"/>
              <w:bottom w:val="nil"/>
              <w:right w:val="nil"/>
            </w:tcBorders>
          </w:tcPr>
          <w:p w:rsidR="00060B36" w:rsidRPr="00180B19" w:rsidRDefault="00060B36" w:rsidP="00F67041">
            <w:pPr>
              <w:pStyle w:val="TableTextColumnHeading"/>
            </w:pPr>
            <w:r w:rsidRPr="00180B19">
              <w:t>A$ million</w:t>
            </w:r>
          </w:p>
        </w:tc>
        <w:tc>
          <w:tcPr>
            <w:tcW w:w="1426" w:type="dxa"/>
            <w:tcBorders>
              <w:top w:val="nil"/>
              <w:left w:val="nil"/>
              <w:bottom w:val="nil"/>
              <w:right w:val="nil"/>
            </w:tcBorders>
          </w:tcPr>
          <w:p w:rsidR="00060B36" w:rsidRPr="00180B19" w:rsidRDefault="00060B36" w:rsidP="00F67041">
            <w:pPr>
              <w:pStyle w:val="TableTextColumnHeading"/>
            </w:pPr>
            <w:r w:rsidRPr="00180B19">
              <w:t>% of bilateral program</w:t>
            </w:r>
            <w:r w:rsidRPr="00040943">
              <w:rPr>
                <w:rFonts w:ascii="Courier New" w:hAnsi="Courier New" w:cs="Courier New"/>
              </w:rPr>
              <w:t>*</w:t>
            </w:r>
          </w:p>
        </w:tc>
      </w:tr>
      <w:tr w:rsidR="00060B36" w:rsidRPr="00180B19" w:rsidTr="00F67041">
        <w:trPr>
          <w:tblHeader/>
          <w:tblCellSpacing w:w="14" w:type="dxa"/>
        </w:trPr>
        <w:tc>
          <w:tcPr>
            <w:tcW w:w="6048" w:type="dxa"/>
            <w:tcBorders>
              <w:top w:val="nil"/>
              <w:left w:val="nil"/>
              <w:bottom w:val="nil"/>
              <w:right w:val="nil"/>
            </w:tcBorders>
          </w:tcPr>
          <w:p w:rsidR="00060B36" w:rsidRPr="006B5A9C" w:rsidRDefault="00060B36" w:rsidP="006B5A9C">
            <w:pPr>
              <w:pStyle w:val="TableTextEntries"/>
            </w:pPr>
            <w:r w:rsidRPr="00040943">
              <w:t>Objective 1: To provide basic services, particularly to women and children, in health, education and rural development through credible and experienced partners.</w:t>
            </w:r>
          </w:p>
        </w:tc>
        <w:tc>
          <w:tcPr>
            <w:tcW w:w="964" w:type="dxa"/>
            <w:tcBorders>
              <w:top w:val="nil"/>
              <w:left w:val="nil"/>
              <w:bottom w:val="nil"/>
              <w:right w:val="nil"/>
            </w:tcBorders>
          </w:tcPr>
          <w:p w:rsidR="00060B36" w:rsidRPr="008415CB" w:rsidRDefault="00060B36" w:rsidP="006B5A9C">
            <w:pPr>
              <w:pStyle w:val="TableTextEntries"/>
            </w:pPr>
            <w:r w:rsidRPr="008415CB">
              <w:t>11.9</w:t>
            </w:r>
          </w:p>
        </w:tc>
        <w:tc>
          <w:tcPr>
            <w:tcW w:w="1426" w:type="dxa"/>
            <w:tcBorders>
              <w:top w:val="nil"/>
              <w:left w:val="nil"/>
              <w:bottom w:val="nil"/>
              <w:right w:val="nil"/>
            </w:tcBorders>
          </w:tcPr>
          <w:p w:rsidR="00060B36" w:rsidRPr="008415CB" w:rsidRDefault="00060B36" w:rsidP="006B5A9C">
            <w:pPr>
              <w:pStyle w:val="TableTextEntries"/>
            </w:pPr>
            <w:r w:rsidRPr="008415CB">
              <w:t>15</w:t>
            </w:r>
          </w:p>
        </w:tc>
      </w:tr>
      <w:tr w:rsidR="00060B36" w:rsidRPr="00180B19" w:rsidTr="00F67041">
        <w:trPr>
          <w:tblHeader/>
          <w:tblCellSpacing w:w="14" w:type="dxa"/>
        </w:trPr>
        <w:tc>
          <w:tcPr>
            <w:tcW w:w="6048" w:type="dxa"/>
            <w:tcBorders>
              <w:top w:val="nil"/>
              <w:left w:val="nil"/>
              <w:bottom w:val="nil"/>
              <w:right w:val="nil"/>
            </w:tcBorders>
          </w:tcPr>
          <w:p w:rsidR="00060B36" w:rsidRPr="006B5A9C" w:rsidRDefault="00060B36" w:rsidP="006B5A9C">
            <w:pPr>
              <w:pStyle w:val="TableTextEntries"/>
            </w:pPr>
            <w:r w:rsidRPr="00040943">
              <w:t>Objective 2: To address the needs of communities most vulnerable to the effects of conflict, remoteness, marginalisation, natural hazards and disasters.</w:t>
            </w:r>
          </w:p>
        </w:tc>
        <w:tc>
          <w:tcPr>
            <w:tcW w:w="964" w:type="dxa"/>
            <w:tcBorders>
              <w:top w:val="nil"/>
              <w:left w:val="nil"/>
              <w:bottom w:val="nil"/>
              <w:right w:val="nil"/>
            </w:tcBorders>
          </w:tcPr>
          <w:p w:rsidR="00060B36" w:rsidRPr="008415CB" w:rsidRDefault="00060B36" w:rsidP="006B5A9C">
            <w:pPr>
              <w:pStyle w:val="TableTextEntries"/>
            </w:pPr>
            <w:r w:rsidRPr="008415CB">
              <w:t>9.9</w:t>
            </w:r>
          </w:p>
        </w:tc>
        <w:tc>
          <w:tcPr>
            <w:tcW w:w="1426" w:type="dxa"/>
            <w:tcBorders>
              <w:top w:val="nil"/>
              <w:left w:val="nil"/>
              <w:bottom w:val="nil"/>
              <w:right w:val="nil"/>
            </w:tcBorders>
          </w:tcPr>
          <w:p w:rsidR="00060B36" w:rsidRPr="008415CB" w:rsidRDefault="00060B36" w:rsidP="006B5A9C">
            <w:pPr>
              <w:pStyle w:val="TableTextEntries"/>
            </w:pPr>
            <w:r w:rsidRPr="008415CB">
              <w:t>12.5</w:t>
            </w:r>
          </w:p>
        </w:tc>
      </w:tr>
      <w:tr w:rsidR="00060B36" w:rsidRPr="00180B19" w:rsidTr="00F67041">
        <w:trPr>
          <w:tblHeader/>
          <w:tblCellSpacing w:w="14" w:type="dxa"/>
        </w:trPr>
        <w:tc>
          <w:tcPr>
            <w:tcW w:w="6048" w:type="dxa"/>
            <w:tcBorders>
              <w:top w:val="nil"/>
              <w:left w:val="nil"/>
              <w:bottom w:val="nil"/>
              <w:right w:val="nil"/>
            </w:tcBorders>
          </w:tcPr>
          <w:p w:rsidR="00060B36" w:rsidRPr="006B5A9C" w:rsidRDefault="00060B36" w:rsidP="006B5A9C">
            <w:pPr>
              <w:pStyle w:val="TableTextEntries"/>
            </w:pPr>
            <w:r w:rsidRPr="00040943">
              <w:t xml:space="preserve">Objective 3: To engage with national and provincial governments on development priorities that reduce poverty and support greater peace and stability. </w:t>
            </w:r>
          </w:p>
        </w:tc>
        <w:tc>
          <w:tcPr>
            <w:tcW w:w="964" w:type="dxa"/>
            <w:tcBorders>
              <w:top w:val="nil"/>
              <w:left w:val="nil"/>
              <w:bottom w:val="nil"/>
              <w:right w:val="nil"/>
            </w:tcBorders>
          </w:tcPr>
          <w:p w:rsidR="00060B36" w:rsidRPr="008415CB" w:rsidRDefault="00060B36" w:rsidP="006B5A9C">
            <w:pPr>
              <w:pStyle w:val="TableTextEntries"/>
            </w:pPr>
            <w:r w:rsidRPr="008415CB">
              <w:t>16.7</w:t>
            </w:r>
          </w:p>
        </w:tc>
        <w:tc>
          <w:tcPr>
            <w:tcW w:w="1426" w:type="dxa"/>
            <w:tcBorders>
              <w:top w:val="nil"/>
              <w:left w:val="nil"/>
              <w:bottom w:val="nil"/>
              <w:right w:val="nil"/>
            </w:tcBorders>
          </w:tcPr>
          <w:p w:rsidR="00060B36" w:rsidRPr="008415CB" w:rsidRDefault="00060B36" w:rsidP="006B5A9C">
            <w:pPr>
              <w:pStyle w:val="TableTextEntries"/>
            </w:pPr>
            <w:r w:rsidRPr="008415CB">
              <w:t>21.2</w:t>
            </w:r>
          </w:p>
        </w:tc>
      </w:tr>
    </w:tbl>
    <w:p w:rsidR="00060B36" w:rsidRDefault="00060B36" w:rsidP="006B5A9C">
      <w:pPr>
        <w:pStyle w:val="Note"/>
      </w:pPr>
      <w:r w:rsidRPr="00A85D16">
        <w:t xml:space="preserve">*Note: </w:t>
      </w:r>
      <w:r>
        <w:t xml:space="preserve">The expenditure figures are for a six-month period, and are a proportion of </w:t>
      </w:r>
      <w:r w:rsidRPr="00A85D16">
        <w:t>the 2011</w:t>
      </w:r>
      <w:r>
        <w:t>–</w:t>
      </w:r>
      <w:r w:rsidRPr="00A85D16">
        <w:t>12</w:t>
      </w:r>
      <w:r>
        <w:t xml:space="preserve"> financial year</w:t>
      </w:r>
      <w:r w:rsidRPr="00A85D16">
        <w:t xml:space="preserve"> bilateral program budget of $78.9</w:t>
      </w:r>
      <w:r>
        <w:t xml:space="preserve"> </w:t>
      </w:r>
      <w:r w:rsidRPr="00A85D16">
        <w:t>m</w:t>
      </w:r>
      <w:r>
        <w:t xml:space="preserve">illion. </w:t>
      </w:r>
    </w:p>
    <w:p w:rsidR="006B5A9C" w:rsidRPr="006B5A9C" w:rsidRDefault="006B5A9C" w:rsidP="006B5A9C">
      <w:pPr>
        <w:rPr>
          <w:lang w:val="en-US" w:eastAsia="ko-KR"/>
        </w:rPr>
      </w:pPr>
    </w:p>
    <w:p w:rsidR="00060B36" w:rsidRPr="00180B19" w:rsidRDefault="00060B36" w:rsidP="00D4716E">
      <w:pPr>
        <w:pStyle w:val="Caption"/>
      </w:pPr>
      <w:r w:rsidRPr="00180B19">
        <w:lastRenderedPageBreak/>
        <w:t>Table 1B Estimated expenditure in FY 2012-13</w:t>
      </w:r>
      <w:r w:rsidRPr="008415CB">
        <w:rPr>
          <w:rFonts w:ascii="Courier New" w:hAnsi="Courier New" w:cs="Courier New"/>
          <w:color w:val="auto"/>
        </w:rPr>
        <w:t>*</w:t>
      </w:r>
    </w:p>
    <w:tbl>
      <w:tblPr>
        <w:tblW w:w="5000" w:type="pct"/>
        <w:tblCellSpacing w:w="14" w:type="dxa"/>
        <w:tblBorders>
          <w:top w:val="single" w:sz="12" w:space="0" w:color="000000"/>
          <w:bottom w:val="single" w:sz="12" w:space="0" w:color="000000"/>
        </w:tblBorders>
        <w:tblLayout w:type="fixed"/>
        <w:tblLook w:val="0000" w:firstRow="0" w:lastRow="0" w:firstColumn="0" w:lastColumn="0" w:noHBand="0" w:noVBand="0"/>
      </w:tblPr>
      <w:tblGrid>
        <w:gridCol w:w="6131"/>
        <w:gridCol w:w="998"/>
        <w:gridCol w:w="1477"/>
      </w:tblGrid>
      <w:tr w:rsidR="00060B36" w:rsidRPr="00180B19" w:rsidTr="00F67041">
        <w:trPr>
          <w:tblHeader/>
          <w:tblCellSpacing w:w="14" w:type="dxa"/>
        </w:trPr>
        <w:tc>
          <w:tcPr>
            <w:tcW w:w="6048" w:type="dxa"/>
            <w:tcBorders>
              <w:top w:val="nil"/>
              <w:left w:val="nil"/>
              <w:bottom w:val="nil"/>
              <w:right w:val="nil"/>
            </w:tcBorders>
          </w:tcPr>
          <w:p w:rsidR="00060B36" w:rsidRPr="00180B19" w:rsidRDefault="00060B36" w:rsidP="00F67041">
            <w:pPr>
              <w:pStyle w:val="TableTextColumnHeading"/>
            </w:pPr>
            <w:r w:rsidRPr="00180B19">
              <w:t>Objective</w:t>
            </w:r>
          </w:p>
        </w:tc>
        <w:tc>
          <w:tcPr>
            <w:tcW w:w="964" w:type="dxa"/>
            <w:tcBorders>
              <w:top w:val="nil"/>
              <w:left w:val="nil"/>
              <w:bottom w:val="nil"/>
              <w:right w:val="nil"/>
            </w:tcBorders>
          </w:tcPr>
          <w:p w:rsidR="00060B36" w:rsidRPr="00180B19" w:rsidRDefault="00060B36" w:rsidP="00F67041">
            <w:pPr>
              <w:pStyle w:val="TableTextColumnHeading"/>
            </w:pPr>
            <w:r w:rsidRPr="00180B19">
              <w:t>A$ million</w:t>
            </w:r>
          </w:p>
        </w:tc>
        <w:tc>
          <w:tcPr>
            <w:tcW w:w="1426" w:type="dxa"/>
            <w:tcBorders>
              <w:top w:val="nil"/>
              <w:left w:val="nil"/>
              <w:bottom w:val="nil"/>
              <w:right w:val="nil"/>
            </w:tcBorders>
          </w:tcPr>
          <w:p w:rsidR="00060B36" w:rsidRPr="00180B19" w:rsidRDefault="00060B36" w:rsidP="00F67041">
            <w:pPr>
              <w:pStyle w:val="TableTextColumnHeading"/>
            </w:pPr>
            <w:r w:rsidRPr="00180B19">
              <w:t>% of bilateral program</w:t>
            </w:r>
          </w:p>
        </w:tc>
      </w:tr>
      <w:tr w:rsidR="00060B36" w:rsidRPr="00180B19" w:rsidTr="00F67041">
        <w:trPr>
          <w:tblHeader/>
          <w:tblCellSpacing w:w="14" w:type="dxa"/>
        </w:trPr>
        <w:tc>
          <w:tcPr>
            <w:tcW w:w="6048" w:type="dxa"/>
            <w:tcBorders>
              <w:top w:val="nil"/>
              <w:left w:val="nil"/>
              <w:bottom w:val="nil"/>
              <w:right w:val="nil"/>
            </w:tcBorders>
          </w:tcPr>
          <w:p w:rsidR="00060B36" w:rsidRPr="006B5A9C" w:rsidRDefault="00060B36" w:rsidP="006B5A9C">
            <w:pPr>
              <w:pStyle w:val="TableTextEntries"/>
            </w:pPr>
            <w:r w:rsidRPr="00040943">
              <w:t>Objective 1: To provide basic services, particularly to women and children, in health, education and rural development through credible and experienced partners.</w:t>
            </w:r>
          </w:p>
        </w:tc>
        <w:tc>
          <w:tcPr>
            <w:tcW w:w="964" w:type="dxa"/>
            <w:tcBorders>
              <w:top w:val="nil"/>
              <w:left w:val="nil"/>
              <w:bottom w:val="nil"/>
              <w:right w:val="nil"/>
            </w:tcBorders>
          </w:tcPr>
          <w:p w:rsidR="00060B36" w:rsidRPr="00100AA2" w:rsidRDefault="00060B36" w:rsidP="006B5A9C">
            <w:pPr>
              <w:pStyle w:val="TableTextEntries"/>
            </w:pPr>
            <w:r>
              <w:t>34</w:t>
            </w:r>
          </w:p>
        </w:tc>
        <w:tc>
          <w:tcPr>
            <w:tcW w:w="1426" w:type="dxa"/>
            <w:tcBorders>
              <w:top w:val="nil"/>
              <w:left w:val="nil"/>
              <w:bottom w:val="nil"/>
              <w:right w:val="nil"/>
            </w:tcBorders>
          </w:tcPr>
          <w:p w:rsidR="00060B36" w:rsidRPr="00100AA2" w:rsidRDefault="00060B36" w:rsidP="006B5A9C">
            <w:pPr>
              <w:pStyle w:val="TableTextEntries"/>
            </w:pPr>
            <w:r>
              <w:t>53</w:t>
            </w:r>
          </w:p>
        </w:tc>
      </w:tr>
      <w:tr w:rsidR="00060B36" w:rsidRPr="00180B19" w:rsidTr="00F67041">
        <w:trPr>
          <w:tblHeader/>
          <w:tblCellSpacing w:w="14" w:type="dxa"/>
        </w:trPr>
        <w:tc>
          <w:tcPr>
            <w:tcW w:w="6048" w:type="dxa"/>
            <w:tcBorders>
              <w:top w:val="nil"/>
              <w:left w:val="nil"/>
              <w:bottom w:val="nil"/>
              <w:right w:val="nil"/>
            </w:tcBorders>
          </w:tcPr>
          <w:p w:rsidR="00060B36" w:rsidRPr="006B5A9C" w:rsidRDefault="00060B36" w:rsidP="006B5A9C">
            <w:pPr>
              <w:pStyle w:val="TableTextEntries"/>
            </w:pPr>
            <w:r w:rsidRPr="00040943">
              <w:t>Objective 2: To address the needs of communities most vulnerable to the effects of conflict, remoteness, marginalisation, natural hazards and disasters.</w:t>
            </w:r>
          </w:p>
        </w:tc>
        <w:tc>
          <w:tcPr>
            <w:tcW w:w="964" w:type="dxa"/>
            <w:tcBorders>
              <w:top w:val="nil"/>
              <w:left w:val="nil"/>
              <w:bottom w:val="nil"/>
              <w:right w:val="nil"/>
            </w:tcBorders>
          </w:tcPr>
          <w:p w:rsidR="00060B36" w:rsidRPr="00100AA2" w:rsidRDefault="00060B36" w:rsidP="006B5A9C">
            <w:pPr>
              <w:pStyle w:val="TableTextEntries"/>
            </w:pPr>
            <w:r>
              <w:t>14.1</w:t>
            </w:r>
          </w:p>
        </w:tc>
        <w:tc>
          <w:tcPr>
            <w:tcW w:w="1426" w:type="dxa"/>
            <w:tcBorders>
              <w:top w:val="nil"/>
              <w:left w:val="nil"/>
              <w:bottom w:val="nil"/>
              <w:right w:val="nil"/>
            </w:tcBorders>
          </w:tcPr>
          <w:p w:rsidR="00060B36" w:rsidRPr="00100AA2" w:rsidRDefault="00060B36" w:rsidP="006B5A9C">
            <w:pPr>
              <w:pStyle w:val="TableTextEntries"/>
            </w:pPr>
            <w:r>
              <w:t>21.9</w:t>
            </w:r>
          </w:p>
        </w:tc>
      </w:tr>
      <w:tr w:rsidR="00060B36" w:rsidRPr="00180B19" w:rsidTr="00F67041">
        <w:trPr>
          <w:tblHeader/>
          <w:tblCellSpacing w:w="14" w:type="dxa"/>
        </w:trPr>
        <w:tc>
          <w:tcPr>
            <w:tcW w:w="6048" w:type="dxa"/>
            <w:tcBorders>
              <w:top w:val="nil"/>
              <w:left w:val="nil"/>
              <w:bottom w:val="nil"/>
              <w:right w:val="nil"/>
            </w:tcBorders>
          </w:tcPr>
          <w:p w:rsidR="00060B36" w:rsidRPr="006B5A9C" w:rsidRDefault="00060B36" w:rsidP="006B5A9C">
            <w:pPr>
              <w:pStyle w:val="TableTextEntries"/>
            </w:pPr>
            <w:r w:rsidRPr="00040943">
              <w:t xml:space="preserve">Objective 3: To engage with national and provincial governments on development priorities that reduce poverty and support greater peace and stability. </w:t>
            </w:r>
          </w:p>
        </w:tc>
        <w:tc>
          <w:tcPr>
            <w:tcW w:w="964" w:type="dxa"/>
            <w:tcBorders>
              <w:top w:val="nil"/>
              <w:left w:val="nil"/>
              <w:bottom w:val="nil"/>
              <w:right w:val="nil"/>
            </w:tcBorders>
          </w:tcPr>
          <w:p w:rsidR="00060B36" w:rsidRPr="00100AA2" w:rsidRDefault="00060B36" w:rsidP="006B5A9C">
            <w:pPr>
              <w:pStyle w:val="TableTextEntries"/>
            </w:pPr>
            <w:r>
              <w:t>16</w:t>
            </w:r>
          </w:p>
        </w:tc>
        <w:tc>
          <w:tcPr>
            <w:tcW w:w="1426" w:type="dxa"/>
            <w:tcBorders>
              <w:top w:val="nil"/>
              <w:left w:val="nil"/>
              <w:bottom w:val="nil"/>
              <w:right w:val="nil"/>
            </w:tcBorders>
          </w:tcPr>
          <w:p w:rsidR="00060B36" w:rsidRPr="00100AA2" w:rsidRDefault="00060B36" w:rsidP="006B5A9C">
            <w:pPr>
              <w:pStyle w:val="TableTextEntries"/>
            </w:pPr>
            <w:r>
              <w:t>25</w:t>
            </w:r>
          </w:p>
        </w:tc>
      </w:tr>
    </w:tbl>
    <w:p w:rsidR="00060B36" w:rsidRPr="00A85D16" w:rsidRDefault="00060B36" w:rsidP="006B5A9C">
      <w:pPr>
        <w:pStyle w:val="Note"/>
      </w:pPr>
      <w:r w:rsidRPr="00A85D16">
        <w:t>*</w:t>
      </w:r>
      <w:r>
        <w:t xml:space="preserve">Note: These figures have been updated since the </w:t>
      </w:r>
      <w:r w:rsidRPr="00A85D16">
        <w:t xml:space="preserve">estimate of </w:t>
      </w:r>
      <w:r>
        <w:t>$</w:t>
      </w:r>
      <w:r w:rsidRPr="00A85D16">
        <w:t>70.1 million</w:t>
      </w:r>
      <w:r>
        <w:t xml:space="preserve"> from </w:t>
      </w:r>
      <w:r w:rsidRPr="00974919">
        <w:rPr>
          <w:i/>
        </w:rPr>
        <w:t>Budget: Australia's international development assistance program 2012</w:t>
      </w:r>
      <w:r>
        <w:rPr>
          <w:i/>
        </w:rPr>
        <w:t>–</w:t>
      </w:r>
      <w:r w:rsidRPr="00974919">
        <w:rPr>
          <w:i/>
        </w:rPr>
        <w:t>13</w:t>
      </w:r>
      <w:r>
        <w:t>, and are</w:t>
      </w:r>
      <w:r w:rsidRPr="00A85D16">
        <w:t xml:space="preserve"> based on the updated estimate of the bilateral program budget of $64.1 million</w:t>
      </w:r>
      <w:r>
        <w:t>.</w:t>
      </w:r>
      <w:r w:rsidRPr="00A85D16">
        <w:t xml:space="preserve"> </w:t>
      </w:r>
    </w:p>
    <w:p w:rsidR="00060B36" w:rsidRDefault="00060B36" w:rsidP="00180B19">
      <w:pPr>
        <w:pStyle w:val="Heading1"/>
      </w:pPr>
      <w:r w:rsidRPr="00180B19">
        <w:t>Progress towards objectives</w:t>
      </w:r>
    </w:p>
    <w:p w:rsidR="00060B36" w:rsidRPr="00200A13" w:rsidRDefault="00060B36" w:rsidP="006B5A9C">
      <w:pPr>
        <w:pStyle w:val="BodyText"/>
      </w:pPr>
      <w:r>
        <w:t>In</w:t>
      </w:r>
      <w:r w:rsidRPr="00200A13">
        <w:t xml:space="preserve"> 2013</w:t>
      </w:r>
      <w:r>
        <w:t>–</w:t>
      </w:r>
      <w:r w:rsidRPr="00200A13">
        <w:t>14, the program will develop</w:t>
      </w:r>
      <w:r>
        <w:t xml:space="preserve"> and negotiate</w:t>
      </w:r>
      <w:r w:rsidRPr="00200A13">
        <w:t xml:space="preserve"> a new country</w:t>
      </w:r>
      <w:r>
        <w:t xml:space="preserve"> program</w:t>
      </w:r>
      <w:r w:rsidRPr="00200A13">
        <w:t xml:space="preserve"> strategy and performance assessment framework</w:t>
      </w:r>
      <w:r w:rsidR="00A03685">
        <w:t xml:space="preserve">, which </w:t>
      </w:r>
      <w:r w:rsidRPr="00200A13">
        <w:t xml:space="preserve">will </w:t>
      </w:r>
      <w:r>
        <w:t xml:space="preserve">help </w:t>
      </w:r>
      <w:r w:rsidR="009D4C2F">
        <w:t>DFAT</w:t>
      </w:r>
      <w:r w:rsidR="00A03685">
        <w:t xml:space="preserve"> measure performance of investments and </w:t>
      </w:r>
      <w:r>
        <w:t xml:space="preserve">ensure that </w:t>
      </w:r>
      <w:r w:rsidRPr="00200A13">
        <w:t xml:space="preserve">reporting </w:t>
      </w:r>
      <w:r>
        <w:t xml:space="preserve">aligns with agreed performance objectives. </w:t>
      </w:r>
      <w:r w:rsidRPr="00200A13">
        <w:t>For 2012</w:t>
      </w:r>
      <w:r>
        <w:t>–</w:t>
      </w:r>
      <w:r w:rsidRPr="00200A13">
        <w:t>13</w:t>
      </w:r>
      <w:r w:rsidRPr="0081017B">
        <w:t>, our</w:t>
      </w:r>
      <w:r w:rsidRPr="00200A13">
        <w:t xml:space="preserve"> reporting </w:t>
      </w:r>
      <w:r>
        <w:t>against the</w:t>
      </w:r>
      <w:r w:rsidRPr="00200A13">
        <w:t xml:space="preserve"> new objectives </w:t>
      </w:r>
      <w:r>
        <w:t xml:space="preserve">as part of </w:t>
      </w:r>
      <w:r w:rsidRPr="00200A13">
        <w:t xml:space="preserve">the program’s </w:t>
      </w:r>
      <w:r>
        <w:t xml:space="preserve">new </w:t>
      </w:r>
      <w:r w:rsidRPr="00200A13">
        <w:t xml:space="preserve">strategic framework </w:t>
      </w:r>
      <w:r>
        <w:t>can form the basis for future reporting</w:t>
      </w:r>
      <w:r w:rsidRPr="00200A13">
        <w:t>.</w:t>
      </w:r>
    </w:p>
    <w:p w:rsidR="00060B36" w:rsidRDefault="00060B36" w:rsidP="00BE65E4">
      <w:pPr>
        <w:pStyle w:val="Caption"/>
      </w:pPr>
      <w:r>
        <w:t xml:space="preserve">Table </w:t>
      </w:r>
      <w:fldSimple w:instr=" SEQ Table \* ARABIC ">
        <w:r w:rsidR="001E5DD2">
          <w:rPr>
            <w:noProof/>
          </w:rPr>
          <w:t>2</w:t>
        </w:r>
      </w:fldSimple>
      <w:r>
        <w:t xml:space="preserve"> Rating of the program's progress towards the objectives</w:t>
      </w:r>
    </w:p>
    <w:tbl>
      <w:tblPr>
        <w:tblW w:w="5000" w:type="pct"/>
        <w:tblCellSpacing w:w="14" w:type="dxa"/>
        <w:tblBorders>
          <w:top w:val="single" w:sz="12" w:space="0" w:color="000000"/>
          <w:bottom w:val="single" w:sz="12" w:space="0" w:color="000000"/>
        </w:tblBorders>
        <w:tblLook w:val="0000" w:firstRow="0" w:lastRow="0" w:firstColumn="0" w:lastColumn="0" w:noHBand="0" w:noVBand="0"/>
      </w:tblPr>
      <w:tblGrid>
        <w:gridCol w:w="7396"/>
        <w:gridCol w:w="1210"/>
      </w:tblGrid>
      <w:tr w:rsidR="006B5A9C" w:rsidRPr="0019341B" w:rsidTr="006B5A9C">
        <w:trPr>
          <w:trHeight w:val="651"/>
          <w:tblHeader/>
          <w:tblCellSpacing w:w="14" w:type="dxa"/>
        </w:trPr>
        <w:tc>
          <w:tcPr>
            <w:tcW w:w="6029" w:type="dxa"/>
            <w:tcBorders>
              <w:top w:val="nil"/>
              <w:left w:val="nil"/>
              <w:bottom w:val="nil"/>
              <w:right w:val="nil"/>
            </w:tcBorders>
          </w:tcPr>
          <w:p w:rsidR="006B5A9C" w:rsidRPr="0019341B" w:rsidRDefault="006B5A9C" w:rsidP="00443639">
            <w:pPr>
              <w:pStyle w:val="TableTextColumnHeading"/>
            </w:pPr>
            <w:r>
              <w:rPr>
                <w:noProof/>
                <w:lang w:eastAsia="en-AU"/>
              </w:rPr>
              <w:drawing>
                <wp:anchor distT="0" distB="0" distL="114300" distR="114300" simplePos="0" relativeHeight="251663360" behindDoc="0" locked="0" layoutInCell="1" allowOverlap="1" wp14:anchorId="7768158F" wp14:editId="6F0FFF57">
                  <wp:simplePos x="0" y="0"/>
                  <wp:positionH relativeFrom="column">
                    <wp:posOffset>0</wp:posOffset>
                  </wp:positionH>
                  <wp:positionV relativeFrom="paragraph">
                    <wp:posOffset>0</wp:posOffset>
                  </wp:positionV>
                  <wp:extent cx="1857375" cy="228600"/>
                  <wp:effectExtent l="0" t="0" r="9525" b="0"/>
                  <wp:wrapNone/>
                  <wp:docPr id="19" name="Picture 1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hidden="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pic:spPr>
                      </pic:pic>
                    </a:graphicData>
                  </a:graphic>
                  <wp14:sizeRelH relativeFrom="page">
                    <wp14:pctWidth>0</wp14:pctWidth>
                  </wp14:sizeRelH>
                  <wp14:sizeRelV relativeFrom="page">
                    <wp14:pctHeight>0</wp14:pctHeight>
                  </wp14:sizeRelV>
                </wp:anchor>
              </w:drawing>
            </w:r>
            <w:r>
              <w:t>Objective</w:t>
            </w:r>
          </w:p>
        </w:tc>
        <w:tc>
          <w:tcPr>
            <w:tcW w:w="958" w:type="dxa"/>
            <w:tcBorders>
              <w:top w:val="nil"/>
              <w:left w:val="nil"/>
              <w:bottom w:val="nil"/>
              <w:right w:val="nil"/>
            </w:tcBorders>
          </w:tcPr>
          <w:p w:rsidR="006B5A9C" w:rsidRPr="0019341B" w:rsidRDefault="006B5A9C" w:rsidP="00443639">
            <w:pPr>
              <w:pStyle w:val="TableTextColumnHeading"/>
            </w:pPr>
            <w:r>
              <w:t>Current Rating</w:t>
            </w:r>
          </w:p>
        </w:tc>
      </w:tr>
      <w:tr w:rsidR="006B5A9C" w:rsidRPr="006B5A9C" w:rsidTr="006B5A9C">
        <w:trPr>
          <w:tblHeader/>
          <w:tblCellSpacing w:w="14" w:type="dxa"/>
        </w:trPr>
        <w:tc>
          <w:tcPr>
            <w:tcW w:w="6029" w:type="dxa"/>
            <w:tcBorders>
              <w:top w:val="nil"/>
              <w:left w:val="nil"/>
              <w:bottom w:val="nil"/>
              <w:right w:val="nil"/>
            </w:tcBorders>
          </w:tcPr>
          <w:p w:rsidR="006B5A9C" w:rsidRPr="006B5A9C" w:rsidRDefault="006B5A9C" w:rsidP="006B5A9C">
            <w:pPr>
              <w:pStyle w:val="TableTextEntries"/>
            </w:pPr>
            <w:r w:rsidRPr="006B5A9C">
              <w:t>Objective 1</w:t>
            </w:r>
          </w:p>
        </w:tc>
        <w:tc>
          <w:tcPr>
            <w:tcW w:w="958" w:type="dxa"/>
            <w:tcBorders>
              <w:top w:val="nil"/>
              <w:left w:val="nil"/>
              <w:bottom w:val="nil"/>
              <w:right w:val="nil"/>
            </w:tcBorders>
            <w:shd w:val="clear" w:color="auto" w:fill="F79646"/>
            <w:noWrap/>
          </w:tcPr>
          <w:p w:rsidR="006B5A9C" w:rsidRPr="006B5A9C" w:rsidRDefault="006B5A9C" w:rsidP="006B5A9C">
            <w:pPr>
              <w:pStyle w:val="TableTextEntries"/>
            </w:pPr>
            <w:r w:rsidRPr="006B5A9C">
              <w:t>Amber</w:t>
            </w:r>
          </w:p>
        </w:tc>
      </w:tr>
      <w:tr w:rsidR="006B5A9C" w:rsidRPr="006B5A9C" w:rsidTr="006B5A9C">
        <w:trPr>
          <w:tblHeader/>
          <w:tblCellSpacing w:w="14" w:type="dxa"/>
        </w:trPr>
        <w:tc>
          <w:tcPr>
            <w:tcW w:w="6029" w:type="dxa"/>
            <w:tcBorders>
              <w:top w:val="nil"/>
              <w:left w:val="nil"/>
              <w:bottom w:val="nil"/>
              <w:right w:val="nil"/>
            </w:tcBorders>
          </w:tcPr>
          <w:p w:rsidR="006B5A9C" w:rsidRPr="006B5A9C" w:rsidRDefault="006B5A9C" w:rsidP="006B5A9C">
            <w:pPr>
              <w:pStyle w:val="TableTextEntries"/>
            </w:pPr>
            <w:r w:rsidRPr="006B5A9C">
              <w:t>Objective 2</w:t>
            </w:r>
          </w:p>
        </w:tc>
        <w:tc>
          <w:tcPr>
            <w:tcW w:w="958" w:type="dxa"/>
            <w:tcBorders>
              <w:top w:val="nil"/>
              <w:left w:val="nil"/>
              <w:bottom w:val="nil"/>
              <w:right w:val="nil"/>
            </w:tcBorders>
            <w:shd w:val="clear" w:color="auto" w:fill="F79646"/>
            <w:noWrap/>
          </w:tcPr>
          <w:p w:rsidR="006B5A9C" w:rsidRPr="006B5A9C" w:rsidRDefault="006B5A9C" w:rsidP="006B5A9C">
            <w:pPr>
              <w:pStyle w:val="TableTextEntries"/>
            </w:pPr>
            <w:r w:rsidRPr="006B5A9C">
              <w:t>Amber</w:t>
            </w:r>
          </w:p>
        </w:tc>
      </w:tr>
      <w:tr w:rsidR="006B5A9C" w:rsidRPr="006B5A9C" w:rsidTr="006B5A9C">
        <w:trPr>
          <w:tblHeader/>
          <w:tblCellSpacing w:w="14" w:type="dxa"/>
        </w:trPr>
        <w:tc>
          <w:tcPr>
            <w:tcW w:w="6029" w:type="dxa"/>
            <w:tcBorders>
              <w:top w:val="nil"/>
              <w:left w:val="nil"/>
              <w:bottom w:val="nil"/>
              <w:right w:val="nil"/>
            </w:tcBorders>
          </w:tcPr>
          <w:p w:rsidR="006B5A9C" w:rsidRPr="006B5A9C" w:rsidRDefault="006B5A9C" w:rsidP="006B5A9C">
            <w:pPr>
              <w:pStyle w:val="TableTextEntries"/>
            </w:pPr>
            <w:r w:rsidRPr="006B5A9C">
              <w:t>Objective 3</w:t>
            </w:r>
          </w:p>
        </w:tc>
        <w:tc>
          <w:tcPr>
            <w:tcW w:w="958" w:type="dxa"/>
            <w:tcBorders>
              <w:top w:val="nil"/>
              <w:left w:val="nil"/>
              <w:bottom w:val="nil"/>
              <w:right w:val="nil"/>
            </w:tcBorders>
            <w:shd w:val="clear" w:color="auto" w:fill="F79646"/>
            <w:noWrap/>
          </w:tcPr>
          <w:p w:rsidR="006B5A9C" w:rsidRPr="006B5A9C" w:rsidRDefault="006B5A9C" w:rsidP="006B5A9C">
            <w:pPr>
              <w:pStyle w:val="TableTextEntries"/>
            </w:pPr>
            <w:r w:rsidRPr="006B5A9C">
              <w:t>Amber</w:t>
            </w:r>
          </w:p>
        </w:tc>
      </w:tr>
    </w:tbl>
    <w:p w:rsidR="00060B36" w:rsidRPr="00180B19" w:rsidRDefault="00060B36" w:rsidP="00100AA2">
      <w:pPr>
        <w:pStyle w:val="Note"/>
      </w:pPr>
      <w:r w:rsidRPr="00180B19">
        <w:t xml:space="preserve">Note: </w:t>
      </w:r>
    </w:p>
    <w:p w:rsidR="00060B36" w:rsidRPr="00180B19" w:rsidRDefault="00060B36" w:rsidP="00100AA2">
      <w:pPr>
        <w:pStyle w:val="Note"/>
      </w:pPr>
      <w:r w:rsidRPr="004C4A3E">
        <w:rPr>
          <w:color w:val="92D050"/>
        </w:rPr>
        <w:sym w:font="Webdings" w:char="F067"/>
      </w:r>
      <w:r w:rsidRPr="00180B19">
        <w:t> </w:t>
      </w:r>
      <w:r w:rsidRPr="00180B19">
        <w:t xml:space="preserve"> </w:t>
      </w:r>
      <w:r>
        <w:t xml:space="preserve">Green. </w:t>
      </w:r>
      <w:r w:rsidRPr="00180B19">
        <w:t>Progress is as expected for this point in time and it is likely that the objective will be achieved. Standard program management practices are sufficient.</w:t>
      </w:r>
    </w:p>
    <w:p w:rsidR="00060B36" w:rsidRPr="00180B19" w:rsidRDefault="00060B36" w:rsidP="00100AA2">
      <w:pPr>
        <w:pStyle w:val="Note"/>
      </w:pPr>
      <w:r w:rsidRPr="004C4A3E">
        <w:rPr>
          <w:color w:val="F79646"/>
        </w:rPr>
        <w:sym w:font="Webdings" w:char="F067"/>
      </w:r>
      <w:r w:rsidRPr="00180B19">
        <w:t> </w:t>
      </w:r>
      <w:r w:rsidRPr="00180B19">
        <w:t xml:space="preserve"> </w:t>
      </w:r>
      <w:r>
        <w:t xml:space="preserve">Amber. </w:t>
      </w:r>
      <w:r w:rsidRPr="00180B19">
        <w:t>Progress is somewhat less than expected for this point in time and restorative action will be necessary if the objective is to be achieved. Close performance monitoring is recommended.</w:t>
      </w:r>
    </w:p>
    <w:p w:rsidR="00060B36" w:rsidRPr="00180B19" w:rsidRDefault="00060B36" w:rsidP="00020121">
      <w:pPr>
        <w:pStyle w:val="Note"/>
      </w:pPr>
      <w:r w:rsidRPr="004C4A3E">
        <w:rPr>
          <w:color w:val="FF0000"/>
        </w:rPr>
        <w:sym w:font="Webdings" w:char="F067"/>
      </w:r>
      <w:r w:rsidRPr="00180B19">
        <w:t> </w:t>
      </w:r>
      <w:r w:rsidRPr="00180B19">
        <w:t xml:space="preserve"> </w:t>
      </w:r>
      <w:r>
        <w:t xml:space="preserve">Red. </w:t>
      </w:r>
      <w:r w:rsidRPr="00180B19">
        <w:t xml:space="preserve">Progress is significantly less than expected for this point in time and the objective is not likely to be met given available resources and priorities. Recasting the objective may be required. </w:t>
      </w:r>
    </w:p>
    <w:p w:rsidR="00060B36" w:rsidRPr="00280C28" w:rsidRDefault="00060B36" w:rsidP="006B5A9C">
      <w:pPr>
        <w:pStyle w:val="Heading2"/>
      </w:pPr>
      <w:r w:rsidRPr="00021A9E">
        <w:t>Objective</w:t>
      </w:r>
      <w:r>
        <w:t xml:space="preserve"> 1</w:t>
      </w:r>
      <w:r w:rsidR="006B5A9C">
        <w:t xml:space="preserve">: </w:t>
      </w:r>
      <w:r w:rsidRPr="00280C28">
        <w:t>To provide basic services, particularly to women and children, in health, education and rural development through credible and experienced partners</w:t>
      </w:r>
      <w:r>
        <w:t>.</w:t>
      </w:r>
    </w:p>
    <w:p w:rsidR="00060B36" w:rsidRPr="006B5A9C" w:rsidRDefault="00060B36" w:rsidP="006B5A9C">
      <w:pPr>
        <w:pStyle w:val="BodyText"/>
        <w:rPr>
          <w:i/>
        </w:rPr>
      </w:pPr>
      <w:r w:rsidRPr="006B5A9C">
        <w:rPr>
          <w:i/>
        </w:rPr>
        <w:t xml:space="preserve">The amber rating reflects that a number of factors hampered progress against this objective. Insecurity and national and provincial elections significantly inhibited the implementation of programs during the reporting period. The push to devolve service delivery responsibility to provinces exposed significant capacity deficits, hampering efforts designed to deliver assistance through government. </w:t>
      </w:r>
    </w:p>
    <w:p w:rsidR="00060B36" w:rsidRPr="00451E89" w:rsidRDefault="00060B36" w:rsidP="006B5A9C">
      <w:pPr>
        <w:pStyle w:val="BodyText"/>
      </w:pPr>
      <w:r w:rsidRPr="00742DD1">
        <w:t xml:space="preserve">Australia’s assistance is producing early results, particularly in advancing provincial-level health and education policies and plans. </w:t>
      </w:r>
      <w:r>
        <w:t>We have</w:t>
      </w:r>
      <w:r w:rsidRPr="00742DD1">
        <w:t xml:space="preserve"> been instrumental in securing commitments from the Government of K</w:t>
      </w:r>
      <w:r>
        <w:t xml:space="preserve">P </w:t>
      </w:r>
      <w:r w:rsidRPr="00742DD1">
        <w:t xml:space="preserve">to introduce early childhood education. Rural development initiatives delivered some good results, but the footprint of </w:t>
      </w:r>
      <w:r w:rsidR="009D4C2F">
        <w:t>DFAT</w:t>
      </w:r>
      <w:r>
        <w:t xml:space="preserve">’s </w:t>
      </w:r>
      <w:r w:rsidRPr="00451E89">
        <w:t xml:space="preserve">engagement limits the number </w:t>
      </w:r>
      <w:r>
        <w:t xml:space="preserve">who </w:t>
      </w:r>
      <w:r w:rsidRPr="00451E89">
        <w:t xml:space="preserve">directly benefit. </w:t>
      </w:r>
    </w:p>
    <w:p w:rsidR="00060B36" w:rsidRDefault="00060B36" w:rsidP="006B5A9C">
      <w:pPr>
        <w:pStyle w:val="BodyText"/>
        <w:rPr>
          <w:color w:val="000000"/>
        </w:rPr>
      </w:pPr>
      <w:r w:rsidRPr="00813480">
        <w:rPr>
          <w:b/>
          <w:color w:val="000000"/>
        </w:rPr>
        <w:t xml:space="preserve">Australia's health and education assistance addresses factors that support human development. </w:t>
      </w:r>
      <w:r w:rsidR="009D4C2F">
        <w:rPr>
          <w:color w:val="000000"/>
        </w:rPr>
        <w:t>DFAT</w:t>
      </w:r>
      <w:r w:rsidRPr="003658C4">
        <w:rPr>
          <w:color w:val="000000"/>
        </w:rPr>
        <w:t xml:space="preserve">’s </w:t>
      </w:r>
      <w:r>
        <w:rPr>
          <w:color w:val="000000"/>
        </w:rPr>
        <w:t>focus on: maternal, neonatal and child healthcare, especially on the critical first five years of life; avoidable blindness; nutrition</w:t>
      </w:r>
      <w:r w:rsidR="00E73581">
        <w:rPr>
          <w:color w:val="000000"/>
        </w:rPr>
        <w:t>;</w:t>
      </w:r>
      <w:r>
        <w:rPr>
          <w:color w:val="000000"/>
        </w:rPr>
        <w:t xml:space="preserve"> and engagement in early childhood</w:t>
      </w:r>
      <w:r w:rsidR="00E73581">
        <w:rPr>
          <w:color w:val="000000"/>
        </w:rPr>
        <w:t xml:space="preserve"> development</w:t>
      </w:r>
      <w:r>
        <w:rPr>
          <w:color w:val="000000"/>
        </w:rPr>
        <w:t xml:space="preserve">; and basic education aim to support Pakistan's efforts to give the next </w:t>
      </w:r>
      <w:r>
        <w:rPr>
          <w:color w:val="000000"/>
        </w:rPr>
        <w:lastRenderedPageBreak/>
        <w:t xml:space="preserve">generation of women and men the best chance for a peaceful and productive life. </w:t>
      </w:r>
      <w:r w:rsidR="009D4C2F">
        <w:rPr>
          <w:color w:val="000000"/>
        </w:rPr>
        <w:t>DFAT</w:t>
      </w:r>
      <w:r>
        <w:rPr>
          <w:color w:val="000000"/>
        </w:rPr>
        <w:t xml:space="preserve">’s rural development assistance supports </w:t>
      </w:r>
      <w:r w:rsidR="00A03685">
        <w:rPr>
          <w:color w:val="000000"/>
        </w:rPr>
        <w:t>farmers to better access markets, and tests</w:t>
      </w:r>
      <w:r>
        <w:rPr>
          <w:color w:val="000000"/>
        </w:rPr>
        <w:t xml:space="preserve"> and introduc</w:t>
      </w:r>
      <w:r w:rsidR="00A03685">
        <w:rPr>
          <w:color w:val="000000"/>
        </w:rPr>
        <w:t xml:space="preserve">es </w:t>
      </w:r>
      <w:r>
        <w:rPr>
          <w:color w:val="000000"/>
        </w:rPr>
        <w:t>appropriate technologies and processes that will, in time, strengthen rural livelihoods, particularly of vulnerable communities in border regions.</w:t>
      </w:r>
    </w:p>
    <w:p w:rsidR="00060B36" w:rsidRPr="00254972" w:rsidRDefault="00060B36" w:rsidP="006B5A9C">
      <w:pPr>
        <w:pStyle w:val="BodyText"/>
        <w:rPr>
          <w:color w:val="000000"/>
        </w:rPr>
      </w:pPr>
      <w:r>
        <w:rPr>
          <w:b/>
          <w:color w:val="000000"/>
        </w:rPr>
        <w:t>G</w:t>
      </w:r>
      <w:r w:rsidRPr="00254972">
        <w:rPr>
          <w:b/>
          <w:color w:val="000000"/>
        </w:rPr>
        <w:t>ender equality and women’s empowerment are integrated at every step of the</w:t>
      </w:r>
      <w:r>
        <w:rPr>
          <w:b/>
          <w:color w:val="000000"/>
        </w:rPr>
        <w:t xml:space="preserve"> program’s</w:t>
      </w:r>
      <w:r w:rsidRPr="00254972">
        <w:rPr>
          <w:b/>
          <w:color w:val="000000"/>
        </w:rPr>
        <w:t xml:space="preserve"> design, implementation, and monitoring and evaluation process.</w:t>
      </w:r>
      <w:r w:rsidRPr="00254972">
        <w:rPr>
          <w:color w:val="000000"/>
        </w:rPr>
        <w:t xml:space="preserve"> </w:t>
      </w:r>
      <w:r>
        <w:rPr>
          <w:color w:val="000000"/>
        </w:rPr>
        <w:t>An</w:t>
      </w:r>
      <w:r w:rsidRPr="00254972">
        <w:rPr>
          <w:color w:val="000000"/>
        </w:rPr>
        <w:t xml:space="preserve"> example</w:t>
      </w:r>
      <w:r>
        <w:rPr>
          <w:color w:val="000000"/>
        </w:rPr>
        <w:t xml:space="preserve"> of this is a program under</w:t>
      </w:r>
      <w:r w:rsidRPr="00254972">
        <w:rPr>
          <w:color w:val="000000"/>
        </w:rPr>
        <w:t xml:space="preserve"> the </w:t>
      </w:r>
      <w:r>
        <w:rPr>
          <w:color w:val="000000"/>
        </w:rPr>
        <w:t xml:space="preserve">joint </w:t>
      </w:r>
      <w:r w:rsidR="009D4C2F">
        <w:rPr>
          <w:color w:val="000000"/>
        </w:rPr>
        <w:t>DFAT</w:t>
      </w:r>
      <w:r>
        <w:rPr>
          <w:color w:val="000000"/>
        </w:rPr>
        <w:t xml:space="preserve"> – </w:t>
      </w:r>
      <w:r w:rsidRPr="00254972">
        <w:rPr>
          <w:color w:val="000000"/>
        </w:rPr>
        <w:t>Canadian International Development Agency</w:t>
      </w:r>
      <w:r>
        <w:rPr>
          <w:color w:val="000000"/>
        </w:rPr>
        <w:t xml:space="preserve"> (CIDA)</w:t>
      </w:r>
      <w:r w:rsidRPr="00254972">
        <w:rPr>
          <w:color w:val="000000"/>
        </w:rPr>
        <w:t xml:space="preserve"> initiative, the CESSD III </w:t>
      </w:r>
      <w:r w:rsidR="00F715C5">
        <w:rPr>
          <w:color w:val="000000"/>
        </w:rPr>
        <w:t>Project</w:t>
      </w:r>
      <w:r w:rsidRPr="00254972">
        <w:rPr>
          <w:color w:val="000000"/>
        </w:rPr>
        <w:t xml:space="preserve"> </w:t>
      </w:r>
      <w:r>
        <w:rPr>
          <w:color w:val="000000"/>
        </w:rPr>
        <w:t>(</w:t>
      </w:r>
      <w:r w:rsidRPr="00254972">
        <w:rPr>
          <w:color w:val="000000"/>
        </w:rPr>
        <w:t>Citizen Engagement for Effective Service Delivery) in KP</w:t>
      </w:r>
      <w:r>
        <w:rPr>
          <w:color w:val="000000"/>
        </w:rPr>
        <w:t>. Through this program</w:t>
      </w:r>
      <w:r w:rsidRPr="00254972">
        <w:rPr>
          <w:color w:val="000000"/>
        </w:rPr>
        <w:t xml:space="preserve">, women are encouraged to have a stake </w:t>
      </w:r>
      <w:r>
        <w:rPr>
          <w:color w:val="000000"/>
        </w:rPr>
        <w:t xml:space="preserve">and participate </w:t>
      </w:r>
      <w:r w:rsidRPr="00254972">
        <w:rPr>
          <w:color w:val="000000"/>
        </w:rPr>
        <w:t xml:space="preserve">in </w:t>
      </w:r>
      <w:r>
        <w:rPr>
          <w:color w:val="000000"/>
        </w:rPr>
        <w:t>p</w:t>
      </w:r>
      <w:r w:rsidRPr="00254972">
        <w:rPr>
          <w:color w:val="000000"/>
        </w:rPr>
        <w:t xml:space="preserve">arent </w:t>
      </w:r>
      <w:r>
        <w:rPr>
          <w:color w:val="000000"/>
        </w:rPr>
        <w:t>t</w:t>
      </w:r>
      <w:r w:rsidRPr="00254972">
        <w:rPr>
          <w:color w:val="000000"/>
        </w:rPr>
        <w:t xml:space="preserve">eacher </w:t>
      </w:r>
      <w:r>
        <w:rPr>
          <w:color w:val="000000"/>
        </w:rPr>
        <w:t>c</w:t>
      </w:r>
      <w:r w:rsidRPr="00254972">
        <w:rPr>
          <w:color w:val="000000"/>
        </w:rPr>
        <w:t xml:space="preserve">ouncils so they </w:t>
      </w:r>
      <w:r>
        <w:rPr>
          <w:color w:val="000000"/>
        </w:rPr>
        <w:t>are</w:t>
      </w:r>
      <w:r w:rsidRPr="00254972">
        <w:rPr>
          <w:color w:val="000000"/>
        </w:rPr>
        <w:t xml:space="preserve"> equal</w:t>
      </w:r>
      <w:r>
        <w:rPr>
          <w:color w:val="000000"/>
        </w:rPr>
        <w:t>ly</w:t>
      </w:r>
      <w:r w:rsidRPr="00254972">
        <w:rPr>
          <w:color w:val="000000"/>
        </w:rPr>
        <w:t xml:space="preserve"> involve</w:t>
      </w:r>
      <w:r>
        <w:rPr>
          <w:color w:val="000000"/>
        </w:rPr>
        <w:t>d</w:t>
      </w:r>
      <w:r w:rsidRPr="00254972">
        <w:rPr>
          <w:color w:val="000000"/>
        </w:rPr>
        <w:t xml:space="preserve"> in running their local school</w:t>
      </w:r>
      <w:r>
        <w:rPr>
          <w:color w:val="000000"/>
        </w:rPr>
        <w:t>s</w:t>
      </w:r>
      <w:r w:rsidRPr="00254972">
        <w:rPr>
          <w:color w:val="000000"/>
        </w:rPr>
        <w:t>.</w:t>
      </w:r>
    </w:p>
    <w:p w:rsidR="00060B36" w:rsidRDefault="00060B36" w:rsidP="006B5A9C">
      <w:pPr>
        <w:pStyle w:val="BodyText"/>
        <w:rPr>
          <w:color w:val="000000"/>
        </w:rPr>
      </w:pPr>
      <w:r w:rsidRPr="00813480">
        <w:rPr>
          <w:b/>
          <w:color w:val="000000"/>
        </w:rPr>
        <w:t>Australia’s aid program in Pakistan focuses p</w:t>
      </w:r>
      <w:r w:rsidR="0053685E">
        <w:rPr>
          <w:b/>
          <w:color w:val="000000"/>
        </w:rPr>
        <w:t xml:space="preserve">rincipally </w:t>
      </w:r>
      <w:r w:rsidRPr="00813480">
        <w:rPr>
          <w:b/>
          <w:color w:val="000000"/>
        </w:rPr>
        <w:t>on K</w:t>
      </w:r>
      <w:r>
        <w:rPr>
          <w:b/>
          <w:color w:val="000000"/>
        </w:rPr>
        <w:t>P</w:t>
      </w:r>
      <w:r w:rsidRPr="00813480">
        <w:rPr>
          <w:b/>
          <w:color w:val="000000"/>
        </w:rPr>
        <w:t xml:space="preserve"> and </w:t>
      </w:r>
      <w:proofErr w:type="spellStart"/>
      <w:r w:rsidRPr="00813480">
        <w:rPr>
          <w:b/>
          <w:color w:val="000000"/>
        </w:rPr>
        <w:t>Balochistan</w:t>
      </w:r>
      <w:proofErr w:type="spellEnd"/>
      <w:r>
        <w:rPr>
          <w:color w:val="000000"/>
          <w:lang w:val="en-CA"/>
        </w:rPr>
        <w:t>,</w:t>
      </w:r>
      <w:r w:rsidRPr="0070671E">
        <w:rPr>
          <w:color w:val="000000"/>
        </w:rPr>
        <w:t xml:space="preserve"> two provinces with some of the lowest development indicators</w:t>
      </w:r>
      <w:r>
        <w:rPr>
          <w:color w:val="000000"/>
          <w:lang w:val="en-CA"/>
        </w:rPr>
        <w:t>. A</w:t>
      </w:r>
      <w:r>
        <w:rPr>
          <w:color w:val="000000"/>
        </w:rPr>
        <w:t xml:space="preserve"> low population density makes providing basic services difficult. Two examples illustrating this are:</w:t>
      </w:r>
    </w:p>
    <w:p w:rsidR="00060B36" w:rsidRPr="006B5A9C" w:rsidRDefault="00060B36" w:rsidP="006B5A9C">
      <w:pPr>
        <w:pStyle w:val="ListBullet"/>
      </w:pPr>
      <w:r w:rsidRPr="006B5A9C">
        <w:t>the female literacy rate in KP, estimated at 31 per cent (down to 3 per cent in one district) compared to the national average of 45 per cent</w:t>
      </w:r>
      <w:r w:rsidR="00DD3CA8">
        <w:rPr>
          <w:rStyle w:val="FootnoteReference"/>
        </w:rPr>
        <w:footnoteReference w:id="24"/>
      </w:r>
      <w:r w:rsidRPr="006B5A9C">
        <w:t xml:space="preserve"> </w:t>
      </w:r>
    </w:p>
    <w:p w:rsidR="00060B36" w:rsidRPr="006B5A9C" w:rsidRDefault="00060B36" w:rsidP="006B5A9C">
      <w:pPr>
        <w:pStyle w:val="ListBullet"/>
      </w:pPr>
      <w:r w:rsidRPr="006B5A9C">
        <w:t xml:space="preserve">poverty incidence (people living on less than US$1.25 per day) in </w:t>
      </w:r>
      <w:proofErr w:type="spellStart"/>
      <w:r w:rsidRPr="006B5A9C">
        <w:t>Balochistan</w:t>
      </w:r>
      <w:proofErr w:type="spellEnd"/>
      <w:r w:rsidRPr="006B5A9C">
        <w:t xml:space="preserve"> is 50.9 per cent</w:t>
      </w:r>
      <w:r w:rsidR="00DD3CA8">
        <w:rPr>
          <w:rStyle w:val="FootnoteReference"/>
        </w:rPr>
        <w:footnoteReference w:id="25"/>
      </w:r>
      <w:r w:rsidRPr="006B5A9C">
        <w:t xml:space="preserve"> compared to the national average of 21 per cent.</w:t>
      </w:r>
      <w:r w:rsidR="00DD3CA8">
        <w:rPr>
          <w:rStyle w:val="FootnoteReference"/>
        </w:rPr>
        <w:footnoteReference w:id="26"/>
      </w:r>
      <w:r w:rsidRPr="006B5A9C">
        <w:t xml:space="preserve"> </w:t>
      </w:r>
    </w:p>
    <w:p w:rsidR="00060B36" w:rsidRDefault="00060B36" w:rsidP="006B5A9C">
      <w:pPr>
        <w:pStyle w:val="BodyText"/>
      </w:pPr>
      <w:r w:rsidRPr="0095506B">
        <w:rPr>
          <w:b/>
        </w:rPr>
        <w:t>Th</w:t>
      </w:r>
      <w:r>
        <w:rPr>
          <w:b/>
        </w:rPr>
        <w:t>e</w:t>
      </w:r>
      <w:r w:rsidRPr="0095506B">
        <w:rPr>
          <w:b/>
        </w:rPr>
        <w:t xml:space="preserve"> </w:t>
      </w:r>
      <w:r w:rsidRPr="00813480">
        <w:rPr>
          <w:b/>
        </w:rPr>
        <w:t xml:space="preserve">difficult operating environment has </w:t>
      </w:r>
      <w:r w:rsidR="00A03685">
        <w:rPr>
          <w:b/>
        </w:rPr>
        <w:t xml:space="preserve">meant that </w:t>
      </w:r>
      <w:r w:rsidRPr="00813480">
        <w:rPr>
          <w:b/>
        </w:rPr>
        <w:t xml:space="preserve">some programs </w:t>
      </w:r>
      <w:r w:rsidR="00AA4D8A">
        <w:rPr>
          <w:b/>
        </w:rPr>
        <w:t xml:space="preserve">are </w:t>
      </w:r>
      <w:r>
        <w:rPr>
          <w:b/>
        </w:rPr>
        <w:t xml:space="preserve">off </w:t>
      </w:r>
      <w:r w:rsidRPr="00813480">
        <w:rPr>
          <w:b/>
        </w:rPr>
        <w:t>track</w:t>
      </w:r>
      <w:r>
        <w:t>. Our partnership with DFID</w:t>
      </w:r>
      <w:r>
        <w:rPr>
          <w:rStyle w:val="FootnoteReference"/>
          <w:color w:val="000000"/>
          <w:sz w:val="16"/>
          <w:szCs w:val="12"/>
        </w:rPr>
        <w:footnoteReference w:id="27"/>
      </w:r>
      <w:r>
        <w:t xml:space="preserve"> to support the KP Government’s Education Sector Plan has moved much slower than anticipated, owing in large part to limited government capacity and a hiatus in government decision making in the lead up to elections.</w:t>
      </w:r>
    </w:p>
    <w:p w:rsidR="00060B36" w:rsidRPr="00380FAB" w:rsidRDefault="00060B36" w:rsidP="006B5A9C">
      <w:pPr>
        <w:pStyle w:val="BodyText"/>
      </w:pPr>
      <w:r>
        <w:rPr>
          <w:b/>
        </w:rPr>
        <w:t>With</w:t>
      </w:r>
      <w:r w:rsidRPr="00813480">
        <w:rPr>
          <w:b/>
        </w:rPr>
        <w:t xml:space="preserve"> rural development, some livelihood programs operate in </w:t>
      </w:r>
      <w:proofErr w:type="spellStart"/>
      <w:r w:rsidRPr="00813480">
        <w:rPr>
          <w:b/>
        </w:rPr>
        <w:t>Balochistan</w:t>
      </w:r>
      <w:proofErr w:type="spellEnd"/>
      <w:r>
        <w:t xml:space="preserve">. This work is being structured to increase engagement with farmers in border provinces to ensure </w:t>
      </w:r>
      <w:r w:rsidR="00A03685">
        <w:t xml:space="preserve">innovative farming practices are </w:t>
      </w:r>
      <w:r>
        <w:t>taken up in these remote areas.</w:t>
      </w:r>
      <w:r w:rsidR="00E73581">
        <w:t xml:space="preserve"> One program (managed by ACIAR) operates in Punjab and Sindh.</w:t>
      </w:r>
    </w:p>
    <w:p w:rsidR="00060B36" w:rsidRPr="0070671E" w:rsidRDefault="00060B36" w:rsidP="006B5A9C">
      <w:pPr>
        <w:pStyle w:val="BodyText"/>
      </w:pPr>
      <w:r w:rsidRPr="0070671E">
        <w:rPr>
          <w:b/>
        </w:rPr>
        <w:t xml:space="preserve">To mitigate the risks of working in Pakistan, Australia delivers its health, education and rural development programs through credible </w:t>
      </w:r>
      <w:r w:rsidRPr="00320CA5">
        <w:rPr>
          <w:b/>
        </w:rPr>
        <w:t>and experienced partners</w:t>
      </w:r>
      <w:r w:rsidRPr="0070671E">
        <w:t>, such as the World Bank, UN age</w:t>
      </w:r>
      <w:r>
        <w:t xml:space="preserve">ncies, other donors such as </w:t>
      </w:r>
      <w:r w:rsidRPr="0070671E">
        <w:t>DFID, and international and domestic NGOs</w:t>
      </w:r>
      <w:r>
        <w:t xml:space="preserve">. </w:t>
      </w:r>
      <w:r w:rsidRPr="0070671E">
        <w:t xml:space="preserve">Working </w:t>
      </w:r>
      <w:r>
        <w:t xml:space="preserve">through these </w:t>
      </w:r>
      <w:r w:rsidRPr="0070671E">
        <w:t xml:space="preserve">partners also allows </w:t>
      </w:r>
      <w:r>
        <w:t>us</w:t>
      </w:r>
      <w:r w:rsidRPr="0070671E">
        <w:t xml:space="preserve"> to </w:t>
      </w:r>
      <w:r w:rsidR="00A03685">
        <w:t xml:space="preserve">invest in </w:t>
      </w:r>
      <w:r w:rsidRPr="0070671E">
        <w:t xml:space="preserve">larger programs to achieve more significant and sustainable results. </w:t>
      </w:r>
      <w:r w:rsidR="009D4C2F">
        <w:t>DFAT</w:t>
      </w:r>
      <w:r>
        <w:t xml:space="preserve">’s </w:t>
      </w:r>
      <w:r w:rsidRPr="0070671E">
        <w:t>ability to directly monitor programs</w:t>
      </w:r>
      <w:r>
        <w:t xml:space="preserve"> in Pakistan</w:t>
      </w:r>
      <w:r w:rsidRPr="0070671E">
        <w:t xml:space="preserve"> is extremely limited</w:t>
      </w:r>
      <w:r>
        <w:t xml:space="preserve"> by security issues</w:t>
      </w:r>
      <w:r w:rsidRPr="0070671E">
        <w:t xml:space="preserve">, so </w:t>
      </w:r>
      <w:r>
        <w:t xml:space="preserve">there is reliance </w:t>
      </w:r>
      <w:r w:rsidRPr="0070671E">
        <w:t>on regular monitoring by implementing partners and third party validation to track programs and results.</w:t>
      </w:r>
      <w:r>
        <w:t xml:space="preserve"> Many of </w:t>
      </w:r>
      <w:r w:rsidR="009D4C2F">
        <w:t>DFAT</w:t>
      </w:r>
      <w:r>
        <w:t xml:space="preserve">’s partners commission remote monitoring to monitor on their behalf. For example, the World Bank MDTF </w:t>
      </w:r>
      <w:r w:rsidRPr="007B7D7F">
        <w:t xml:space="preserve">for KP, FATA and </w:t>
      </w:r>
      <w:proofErr w:type="spellStart"/>
      <w:r w:rsidRPr="007B7D7F">
        <w:t>Balochistan</w:t>
      </w:r>
      <w:proofErr w:type="spellEnd"/>
      <w:r w:rsidRPr="007B7D7F">
        <w:t xml:space="preserve"> has local monitoring agents to undertake this work i</w:t>
      </w:r>
      <w:r>
        <w:t>n each province. However, the capacity of locally based monitoring and evaluation agencies is limited so it is no panacea to the challenge of being able to comprehensively monitor our programs.</w:t>
      </w:r>
    </w:p>
    <w:p w:rsidR="00060B36" w:rsidRPr="0070671E" w:rsidRDefault="00060B36" w:rsidP="006B5A9C">
      <w:pPr>
        <w:pStyle w:val="BodyText"/>
      </w:pPr>
      <w:r w:rsidRPr="0070671E">
        <w:rPr>
          <w:b/>
        </w:rPr>
        <w:t>Australia’s assistance to the health sector aims to improve maternal and child health, reduce childhood malnutrition and reduce the incidence of avoidable blindness</w:t>
      </w:r>
      <w:r>
        <w:rPr>
          <w:b/>
        </w:rPr>
        <w:t xml:space="preserve">. </w:t>
      </w:r>
      <w:r w:rsidRPr="007C73FD">
        <w:t>Our efforts to improve maternal and child health are aligned with national and provincial government strategies</w:t>
      </w:r>
      <w:r>
        <w:t>. These strategies</w:t>
      </w:r>
      <w:r w:rsidRPr="0070671E">
        <w:t xml:space="preserve"> aim to fill gaps in the health system; primarily through</w:t>
      </w:r>
      <w:r>
        <w:t xml:space="preserve"> providing</w:t>
      </w:r>
      <w:r w:rsidRPr="0070671E">
        <w:t xml:space="preserve"> emergency obstetric and new-born services, training a new cadre of community midwives, and </w:t>
      </w:r>
      <w:r>
        <w:t xml:space="preserve">introducing improved management </w:t>
      </w:r>
      <w:r w:rsidRPr="0070671E">
        <w:t xml:space="preserve">systems, especially at provincial and </w:t>
      </w:r>
      <w:r w:rsidRPr="0070671E">
        <w:lastRenderedPageBreak/>
        <w:t>district level</w:t>
      </w:r>
      <w:r>
        <w:t>s</w:t>
      </w:r>
      <w:r w:rsidRPr="0070671E">
        <w:t>, to</w:t>
      </w:r>
      <w:r>
        <w:t xml:space="preserve"> support delivering MNCH services. Long-term </w:t>
      </w:r>
      <w:r w:rsidRPr="0070671E">
        <w:t>goals are to reduce the maternal mortality ratio to 200 per 100</w:t>
      </w:r>
      <w:r>
        <w:t xml:space="preserve"> </w:t>
      </w:r>
      <w:r w:rsidRPr="0070671E">
        <w:t xml:space="preserve">000 live births (from </w:t>
      </w:r>
      <w:r>
        <w:t>260</w:t>
      </w:r>
      <w:r w:rsidRPr="0070671E">
        <w:t>) and lower the neonatal mortality rate to less than 40 per 1000 live births (from 54).</w:t>
      </w:r>
      <w:r>
        <w:rPr>
          <w:rStyle w:val="FootnoteReference"/>
          <w:sz w:val="16"/>
          <w:szCs w:val="12"/>
        </w:rPr>
        <w:footnoteReference w:id="28"/>
      </w:r>
    </w:p>
    <w:p w:rsidR="00060B36" w:rsidRPr="0070671E" w:rsidRDefault="00060B36" w:rsidP="006B5A9C">
      <w:pPr>
        <w:pStyle w:val="BodyText"/>
      </w:pPr>
      <w:r>
        <w:rPr>
          <w:b/>
        </w:rPr>
        <w:t xml:space="preserve">Australia’s support to the health sector, post devolution, has contributed to the development of provincial health and nutrition plans which provide all donors, including </w:t>
      </w:r>
      <w:r w:rsidR="009D4C2F">
        <w:rPr>
          <w:b/>
        </w:rPr>
        <w:t>DFAT</w:t>
      </w:r>
      <w:r>
        <w:rPr>
          <w:b/>
        </w:rPr>
        <w:t xml:space="preserve">, with the opportunity to align support. </w:t>
      </w:r>
      <w:r w:rsidRPr="00813480">
        <w:t xml:space="preserve">Our </w:t>
      </w:r>
      <w:r>
        <w:t xml:space="preserve">collaboration </w:t>
      </w:r>
      <w:r w:rsidRPr="00813480">
        <w:t xml:space="preserve">with DFID to support the Government of Pakistan to </w:t>
      </w:r>
      <w:r w:rsidRPr="00EB7904">
        <w:t>implement its National MNCH Program has supported the development of p</w:t>
      </w:r>
      <w:r>
        <w:t xml:space="preserve">rovincial health plans for </w:t>
      </w:r>
      <w:proofErr w:type="spellStart"/>
      <w:r>
        <w:t>Balochistan</w:t>
      </w:r>
      <w:proofErr w:type="spellEnd"/>
      <w:r>
        <w:t>, KP, Punjab and Sindh.</w:t>
      </w:r>
      <w:r w:rsidRPr="00813480">
        <w:t xml:space="preserve"> </w:t>
      </w:r>
    </w:p>
    <w:p w:rsidR="00060B36" w:rsidRPr="0070671E" w:rsidRDefault="00060B36" w:rsidP="006B5A9C">
      <w:pPr>
        <w:pStyle w:val="BodyText"/>
      </w:pPr>
      <w:r>
        <w:rPr>
          <w:b/>
        </w:rPr>
        <w:t>Australia’s</w:t>
      </w:r>
      <w:r w:rsidRPr="00575A27">
        <w:rPr>
          <w:b/>
        </w:rPr>
        <w:t xml:space="preserve"> partnership with DFID (as part of our MNC</w:t>
      </w:r>
      <w:r>
        <w:rPr>
          <w:b/>
        </w:rPr>
        <w:t>H delegated</w:t>
      </w:r>
      <w:r w:rsidRPr="00575A27">
        <w:rPr>
          <w:b/>
        </w:rPr>
        <w:t xml:space="preserve"> </w:t>
      </w:r>
      <w:r>
        <w:rPr>
          <w:b/>
        </w:rPr>
        <w:t>co</w:t>
      </w:r>
      <w:r w:rsidRPr="00575A27">
        <w:rPr>
          <w:b/>
        </w:rPr>
        <w:t xml:space="preserve">operation agreement) is on track to achieve most objectives, </w:t>
      </w:r>
      <w:r w:rsidRPr="008E1D4D">
        <w:t>particularly those related to increasing the number of skilled birth attendants and institutional deliveries in public sector facilities</w:t>
      </w:r>
      <w:r w:rsidRPr="006E5BE6">
        <w:t>.</w:t>
      </w:r>
      <w:r>
        <w:t xml:space="preserve"> </w:t>
      </w:r>
      <w:r w:rsidRPr="0070671E">
        <w:t>Australia</w:t>
      </w:r>
      <w:r w:rsidR="00A03685">
        <w:t>n</w:t>
      </w:r>
      <w:r w:rsidRPr="0070671E">
        <w:t xml:space="preserve"> support has</w:t>
      </w:r>
      <w:r>
        <w:t xml:space="preserve"> already</w:t>
      </w:r>
      <w:r w:rsidRPr="0070671E">
        <w:t xml:space="preserve"> helped </w:t>
      </w:r>
      <w:r w:rsidRPr="004F72E5">
        <w:t>8078</w:t>
      </w:r>
      <w:r w:rsidRPr="0070671E">
        <w:rPr>
          <w:b/>
        </w:rPr>
        <w:t xml:space="preserve"> </w:t>
      </w:r>
      <w:r w:rsidRPr="0070671E">
        <w:t>community midwives</w:t>
      </w:r>
      <w:r>
        <w:t xml:space="preserve"> to complete training</w:t>
      </w:r>
      <w:r w:rsidRPr="0070671E">
        <w:t>, of which 4859 have been deployed to serve.</w:t>
      </w:r>
      <w:r>
        <w:rPr>
          <w:rStyle w:val="FootnoteReference"/>
          <w:sz w:val="16"/>
          <w:szCs w:val="12"/>
        </w:rPr>
        <w:footnoteReference w:id="29"/>
      </w:r>
      <w:r w:rsidRPr="0070671E">
        <w:t xml:space="preserve"> </w:t>
      </w:r>
      <w:r w:rsidRPr="006E5BE6">
        <w:t>M</w:t>
      </w:r>
      <w:r w:rsidRPr="0070671E">
        <w:t xml:space="preserve">ore than </w:t>
      </w:r>
      <w:r w:rsidRPr="004F72E5">
        <w:t>9200</w:t>
      </w:r>
      <w:r w:rsidRPr="0070671E">
        <w:t xml:space="preserve"> healthcare workers</w:t>
      </w:r>
      <w:r>
        <w:t xml:space="preserve"> have </w:t>
      </w:r>
      <w:r w:rsidR="00A03685">
        <w:t xml:space="preserve">also </w:t>
      </w:r>
      <w:r>
        <w:t>been trained</w:t>
      </w:r>
      <w:r w:rsidRPr="0070671E">
        <w:t xml:space="preserve"> in newborn childhood illnesses, emergency obstetrics and newborn care, a</w:t>
      </w:r>
      <w:r>
        <w:t>s well as</w:t>
      </w:r>
      <w:r w:rsidRPr="0070671E">
        <w:t xml:space="preserve"> in </w:t>
      </w:r>
      <w:r w:rsidRPr="00F715C5">
        <w:t>ultra-sound</w:t>
      </w:r>
      <w:r w:rsidRPr="0070671E">
        <w:t xml:space="preserve"> and family planning in rural areas.</w:t>
      </w:r>
      <w:r>
        <w:rPr>
          <w:rStyle w:val="FootnoteReference"/>
          <w:sz w:val="16"/>
          <w:szCs w:val="12"/>
        </w:rPr>
        <w:footnoteReference w:id="30"/>
      </w:r>
      <w:r w:rsidRPr="0070671E">
        <w:t xml:space="preserve"> </w:t>
      </w:r>
      <w:r>
        <w:t>Deliveries attended by a community midwife per month increased in the last 12 months from 1.6 to 3, while institutional deliveries in public sector facilities increased from 11 per cent in 2010 to 13.2 per cent in 2011 and to 19 per cent in the first quarter of 2013.</w:t>
      </w:r>
      <w:r>
        <w:rPr>
          <w:rStyle w:val="FootnoteReference"/>
          <w:sz w:val="16"/>
          <w:szCs w:val="12"/>
        </w:rPr>
        <w:footnoteReference w:id="31"/>
      </w:r>
      <w:r>
        <w:t xml:space="preserve"> </w:t>
      </w:r>
    </w:p>
    <w:p w:rsidR="00060B36" w:rsidRDefault="00060B36" w:rsidP="006B5A9C">
      <w:pPr>
        <w:pStyle w:val="BodyText"/>
      </w:pPr>
      <w:r>
        <w:rPr>
          <w:b/>
        </w:rPr>
        <w:t xml:space="preserve">Australia’s recently approved support to the World Bank's MDTF for Nutrition will support the implementation of the National Nutrition Strategy in </w:t>
      </w:r>
      <w:proofErr w:type="spellStart"/>
      <w:r>
        <w:rPr>
          <w:b/>
        </w:rPr>
        <w:t>Balochistan</w:t>
      </w:r>
      <w:proofErr w:type="spellEnd"/>
      <w:r>
        <w:rPr>
          <w:b/>
        </w:rPr>
        <w:t xml:space="preserve"> and KP. </w:t>
      </w:r>
      <w:r w:rsidR="0013427D">
        <w:t>With this support,</w:t>
      </w:r>
      <w:r w:rsidR="00E73581">
        <w:t xml:space="preserve"> by 2016–17</w:t>
      </w:r>
      <w:r w:rsidR="0013427D">
        <w:t xml:space="preserve"> </w:t>
      </w:r>
      <w:r w:rsidR="00A03685">
        <w:t xml:space="preserve">we aim </w:t>
      </w:r>
      <w:r>
        <w:t xml:space="preserve">to provide nutrition services </w:t>
      </w:r>
      <w:r w:rsidR="00E73581">
        <w:t xml:space="preserve">in </w:t>
      </w:r>
      <w:proofErr w:type="spellStart"/>
      <w:r w:rsidR="00E73581">
        <w:t>Balochistan</w:t>
      </w:r>
      <w:proofErr w:type="spellEnd"/>
      <w:r w:rsidR="00E73581">
        <w:t xml:space="preserve"> </w:t>
      </w:r>
      <w:r>
        <w:t>to</w:t>
      </w:r>
      <w:r w:rsidR="002931A9">
        <w:t xml:space="preserve"> </w:t>
      </w:r>
      <w:r>
        <w:t>167 000 women of childbearing age and 207 000 children aged zero to 24 months</w:t>
      </w:r>
      <w:r w:rsidR="00E73581">
        <w:t>.</w:t>
      </w:r>
      <w:r>
        <w:t>. Similar figures will be available for KP when project designs are finalised.</w:t>
      </w:r>
    </w:p>
    <w:p w:rsidR="00060B36" w:rsidRDefault="00060B36" w:rsidP="006B5A9C">
      <w:pPr>
        <w:pStyle w:val="BodyText"/>
      </w:pPr>
      <w:r>
        <w:rPr>
          <w:b/>
        </w:rPr>
        <w:t xml:space="preserve">Australia </w:t>
      </w:r>
      <w:r w:rsidRPr="00F56610">
        <w:rPr>
          <w:b/>
        </w:rPr>
        <w:t>support</w:t>
      </w:r>
      <w:r>
        <w:rPr>
          <w:b/>
        </w:rPr>
        <w:t>s</w:t>
      </w:r>
      <w:r w:rsidRPr="00F56610">
        <w:rPr>
          <w:b/>
        </w:rPr>
        <w:t xml:space="preserve"> the Government of Pakistan to reduce the incidence of avoidable blindness</w:t>
      </w:r>
      <w:r>
        <w:rPr>
          <w:b/>
        </w:rPr>
        <w:t xml:space="preserve">. </w:t>
      </w:r>
      <w:r w:rsidRPr="002737C7">
        <w:t>Through a partnership with the Fred Hollows Foundation</w:t>
      </w:r>
      <w:r>
        <w:t xml:space="preserve">, </w:t>
      </w:r>
      <w:r w:rsidR="009D4C2F">
        <w:t>DFAT</w:t>
      </w:r>
      <w:r>
        <w:t xml:space="preserve"> continued to make a substantive contribution through the second phase of the Pakistan District Eye Care Project (PADEC Phase II) and the Pakistan Australia Sub-Specialty Eye Care Project (PASEC). In 2012, 290 healthcare workers were trained</w:t>
      </w:r>
      <w:r w:rsidR="000E0331">
        <w:t xml:space="preserve"> </w:t>
      </w:r>
      <w:r w:rsidR="000E0331" w:rsidRPr="000E0331">
        <w:t>various skills related to eye care</w:t>
      </w:r>
      <w:r>
        <w:t>, more than 13 000 cataract surgeries performed and 2496 free spectacles provided for children. In delivering these services, the Fred Hollows Foundation aims to maximise access for women and girls by:</w:t>
      </w:r>
    </w:p>
    <w:p w:rsidR="00060B36" w:rsidRPr="006B5A9C" w:rsidRDefault="00060B36" w:rsidP="006B5A9C">
      <w:pPr>
        <w:pStyle w:val="ListBullet"/>
      </w:pPr>
      <w:r w:rsidRPr="006B5A9C">
        <w:t>training and deploying Lady Health Workers who can reach women and girls</w:t>
      </w:r>
    </w:p>
    <w:p w:rsidR="00060B36" w:rsidRPr="006B5A9C" w:rsidRDefault="00060B36" w:rsidP="006B5A9C">
      <w:pPr>
        <w:pStyle w:val="ListBullet"/>
      </w:pPr>
      <w:r w:rsidRPr="006B5A9C">
        <w:t xml:space="preserve">launching initiatives in the public sector (so people on low incomes can access services) </w:t>
      </w:r>
    </w:p>
    <w:p w:rsidR="00060B36" w:rsidRPr="008E1D4D" w:rsidRDefault="00060B36" w:rsidP="006B5A9C">
      <w:pPr>
        <w:pStyle w:val="ListBullet"/>
      </w:pPr>
      <w:r w:rsidRPr="006B5A9C">
        <w:t>providing separate</w:t>
      </w:r>
      <w:r w:rsidRPr="008E1D4D">
        <w:t xml:space="preserve"> treatment and waiting room areas for women. </w:t>
      </w:r>
    </w:p>
    <w:p w:rsidR="00060B36" w:rsidRPr="0016103A" w:rsidRDefault="00060B36" w:rsidP="006B5A9C">
      <w:pPr>
        <w:pStyle w:val="BodyText"/>
      </w:pPr>
      <w:r w:rsidRPr="0016103A">
        <w:t xml:space="preserve">These minor inputs provide substantially greater access </w:t>
      </w:r>
      <w:r w:rsidR="000E0331">
        <w:t xml:space="preserve">to eye care </w:t>
      </w:r>
      <w:r w:rsidRPr="0016103A">
        <w:t>for females</w:t>
      </w:r>
      <w:r>
        <w:t>. I</w:t>
      </w:r>
      <w:r w:rsidRPr="0016103A">
        <w:t>n some districts</w:t>
      </w:r>
      <w:r>
        <w:t>,</w:t>
      </w:r>
      <w:r w:rsidRPr="0016103A">
        <w:t xml:space="preserve"> project data shows women are visiting eye units more than the men.</w:t>
      </w:r>
      <w:r>
        <w:rPr>
          <w:rStyle w:val="FootnoteReference"/>
          <w:sz w:val="16"/>
          <w:szCs w:val="12"/>
        </w:rPr>
        <w:footnoteReference w:id="32"/>
      </w:r>
    </w:p>
    <w:p w:rsidR="00060B36" w:rsidRPr="0070671E" w:rsidRDefault="00060B36" w:rsidP="006B5A9C">
      <w:pPr>
        <w:pStyle w:val="BodyText"/>
      </w:pPr>
      <w:r w:rsidRPr="0070671E">
        <w:rPr>
          <w:b/>
        </w:rPr>
        <w:t>Australia has made catalytic investments in early childhood education</w:t>
      </w:r>
      <w:r>
        <w:rPr>
          <w:b/>
        </w:rPr>
        <w:t>, which has</w:t>
      </w:r>
      <w:r w:rsidRPr="0070671E">
        <w:rPr>
          <w:b/>
        </w:rPr>
        <w:t xml:space="preserve"> markedly improved the availability and quality of early childhood schooling in </w:t>
      </w:r>
      <w:r>
        <w:rPr>
          <w:b/>
        </w:rPr>
        <w:t xml:space="preserve">KP. </w:t>
      </w:r>
      <w:r>
        <w:t xml:space="preserve">Through a project with </w:t>
      </w:r>
      <w:r w:rsidRPr="0070671E">
        <w:t>Save the Children</w:t>
      </w:r>
      <w:r>
        <w:t xml:space="preserve">, </w:t>
      </w:r>
      <w:r w:rsidR="009D4C2F">
        <w:t>DFAT</w:t>
      </w:r>
      <w:r>
        <w:t xml:space="preserve"> aims to improve educational outcomes and access to 120 000 children in</w:t>
      </w:r>
      <w:r w:rsidRPr="0070671E">
        <w:t xml:space="preserve"> 400 government schools in </w:t>
      </w:r>
      <w:r>
        <w:t>KP</w:t>
      </w:r>
      <w:r w:rsidRPr="0070671E">
        <w:t xml:space="preserve"> for children aged 3 to 8 years</w:t>
      </w:r>
      <w:r>
        <w:t xml:space="preserve"> of age</w:t>
      </w:r>
      <w:r w:rsidRPr="0070671E">
        <w:t xml:space="preserve">. </w:t>
      </w:r>
      <w:r>
        <w:t>In</w:t>
      </w:r>
      <w:r w:rsidRPr="0070671E">
        <w:t xml:space="preserve"> 2012</w:t>
      </w:r>
      <w:r>
        <w:t>,</w:t>
      </w:r>
      <w:r w:rsidRPr="0070671E">
        <w:t xml:space="preserve"> this </w:t>
      </w:r>
      <w:r>
        <w:t>project</w:t>
      </w:r>
      <w:r w:rsidRPr="0070671E">
        <w:t xml:space="preserve"> trained</w:t>
      </w:r>
      <w:r>
        <w:t xml:space="preserve"> more than</w:t>
      </w:r>
      <w:r w:rsidRPr="0070671E">
        <w:t xml:space="preserve"> </w:t>
      </w:r>
      <w:r w:rsidRPr="00E50948">
        <w:t>1500</w:t>
      </w:r>
      <w:r w:rsidRPr="0070671E">
        <w:rPr>
          <w:b/>
        </w:rPr>
        <w:t xml:space="preserve"> </w:t>
      </w:r>
      <w:r w:rsidRPr="0070671E">
        <w:t>teachers</w:t>
      </w:r>
      <w:r>
        <w:t>, refurbished 160</w:t>
      </w:r>
      <w:r w:rsidRPr="0070671E">
        <w:t xml:space="preserve"> class</w:t>
      </w:r>
      <w:r>
        <w:t>rooms,</w:t>
      </w:r>
      <w:r w:rsidRPr="0070671E">
        <w:t xml:space="preserve"> </w:t>
      </w:r>
      <w:r w:rsidRPr="0070671E">
        <w:lastRenderedPageBreak/>
        <w:t xml:space="preserve">supported early childhood curriculum development and established </w:t>
      </w:r>
      <w:r w:rsidRPr="00E50948">
        <w:t>136</w:t>
      </w:r>
      <w:r w:rsidRPr="0070671E">
        <w:t xml:space="preserve"> school libraries and book banks</w:t>
      </w:r>
      <w:r>
        <w:t>.</w:t>
      </w:r>
      <w:r>
        <w:rPr>
          <w:rStyle w:val="FootnoteReference"/>
          <w:sz w:val="16"/>
          <w:szCs w:val="12"/>
        </w:rPr>
        <w:footnoteReference w:id="33"/>
      </w:r>
      <w:r>
        <w:t xml:space="preserve"> This early success has resulted in children moving from private schools to the government schools participating in the program, </w:t>
      </w:r>
      <w:r w:rsidR="000E0331">
        <w:t xml:space="preserve">as </w:t>
      </w:r>
      <w:r>
        <w:t>parents consider the quality of education in government schools to now be superior.</w:t>
      </w:r>
    </w:p>
    <w:p w:rsidR="00060B36" w:rsidRPr="0070671E" w:rsidRDefault="00060B36" w:rsidP="006B5A9C">
      <w:pPr>
        <w:pStyle w:val="BodyText"/>
      </w:pPr>
      <w:r>
        <w:rPr>
          <w:b/>
        </w:rPr>
        <w:t>The Government of KP, as</w:t>
      </w:r>
      <w:r w:rsidRPr="0070671E">
        <w:rPr>
          <w:b/>
        </w:rPr>
        <w:t xml:space="preserve"> a </w:t>
      </w:r>
      <w:r>
        <w:rPr>
          <w:b/>
        </w:rPr>
        <w:t>consequence of the success of this pro</w:t>
      </w:r>
      <w:r w:rsidR="000E0331">
        <w:rPr>
          <w:b/>
        </w:rPr>
        <w:t>ject</w:t>
      </w:r>
      <w:r>
        <w:rPr>
          <w:b/>
        </w:rPr>
        <w:t>,</w:t>
      </w:r>
      <w:r w:rsidRPr="0070671E">
        <w:rPr>
          <w:b/>
        </w:rPr>
        <w:t xml:space="preserve"> has </w:t>
      </w:r>
      <w:r>
        <w:rPr>
          <w:b/>
        </w:rPr>
        <w:t xml:space="preserve">formally </w:t>
      </w:r>
      <w:r w:rsidRPr="0070671E">
        <w:rPr>
          <w:b/>
        </w:rPr>
        <w:t xml:space="preserve">introduced </w:t>
      </w:r>
      <w:r>
        <w:rPr>
          <w:b/>
        </w:rPr>
        <w:t>e</w:t>
      </w:r>
      <w:r w:rsidRPr="0070671E">
        <w:rPr>
          <w:b/>
        </w:rPr>
        <w:t xml:space="preserve">arly </w:t>
      </w:r>
      <w:r>
        <w:rPr>
          <w:b/>
        </w:rPr>
        <w:t>c</w:t>
      </w:r>
      <w:r w:rsidRPr="0070671E">
        <w:rPr>
          <w:b/>
        </w:rPr>
        <w:t xml:space="preserve">hildhood </w:t>
      </w:r>
      <w:r>
        <w:rPr>
          <w:b/>
        </w:rPr>
        <w:t>c</w:t>
      </w:r>
      <w:r w:rsidRPr="0070671E">
        <w:rPr>
          <w:b/>
        </w:rPr>
        <w:t xml:space="preserve">are and </w:t>
      </w:r>
      <w:r>
        <w:rPr>
          <w:b/>
        </w:rPr>
        <w:t>e</w:t>
      </w:r>
      <w:r w:rsidRPr="0070671E">
        <w:rPr>
          <w:b/>
        </w:rPr>
        <w:t>ducation (ECCE) to the school system</w:t>
      </w:r>
      <w:r>
        <w:rPr>
          <w:b/>
        </w:rPr>
        <w:t>.</w:t>
      </w:r>
      <w:r w:rsidRPr="0070671E">
        <w:rPr>
          <w:b/>
        </w:rPr>
        <w:t xml:space="preserve"> </w:t>
      </w:r>
      <w:r w:rsidRPr="0071605A">
        <w:t>As part of its plan to expand the pro</w:t>
      </w:r>
      <w:r w:rsidR="000E0331">
        <w:t xml:space="preserve">ject </w:t>
      </w:r>
      <w:r w:rsidRPr="0071605A">
        <w:t xml:space="preserve">across other districts, </w:t>
      </w:r>
      <w:r>
        <w:t>the Government</w:t>
      </w:r>
      <w:r w:rsidRPr="0070671E">
        <w:t xml:space="preserve"> </w:t>
      </w:r>
      <w:r>
        <w:t xml:space="preserve">has allocated funds </w:t>
      </w:r>
      <w:r w:rsidR="000E0331">
        <w:t xml:space="preserve">to build </w:t>
      </w:r>
      <w:r>
        <w:t>500 additional ECCE classrooms.</w:t>
      </w:r>
      <w:r>
        <w:rPr>
          <w:rStyle w:val="FootnoteReference"/>
          <w:sz w:val="16"/>
          <w:szCs w:val="12"/>
        </w:rPr>
        <w:footnoteReference w:id="34"/>
      </w:r>
    </w:p>
    <w:p w:rsidR="00060B36" w:rsidRPr="0070671E" w:rsidRDefault="00060B36" w:rsidP="006B5A9C">
      <w:pPr>
        <w:pStyle w:val="BodyText"/>
      </w:pPr>
      <w:r>
        <w:rPr>
          <w:b/>
        </w:rPr>
        <w:t xml:space="preserve">The joint </w:t>
      </w:r>
      <w:r w:rsidR="009D4C2F">
        <w:rPr>
          <w:b/>
        </w:rPr>
        <w:t>DFAT</w:t>
      </w:r>
      <w:r>
        <w:rPr>
          <w:b/>
        </w:rPr>
        <w:t xml:space="preserve"> – CIDA</w:t>
      </w:r>
      <w:r w:rsidRPr="0070671E">
        <w:rPr>
          <w:b/>
        </w:rPr>
        <w:t xml:space="preserve"> CESSD </w:t>
      </w:r>
      <w:r w:rsidR="00AA4D8A">
        <w:rPr>
          <w:b/>
        </w:rPr>
        <w:t xml:space="preserve">III </w:t>
      </w:r>
      <w:r w:rsidR="00F715C5">
        <w:rPr>
          <w:b/>
        </w:rPr>
        <w:t>Project</w:t>
      </w:r>
      <w:r w:rsidRPr="007E0BC5">
        <w:rPr>
          <w:rStyle w:val="FootnoteReference"/>
          <w:sz w:val="16"/>
          <w:szCs w:val="12"/>
        </w:rPr>
        <w:footnoteReference w:id="35"/>
      </w:r>
      <w:r>
        <w:rPr>
          <w:b/>
        </w:rPr>
        <w:t xml:space="preserve"> has seen attendance rates </w:t>
      </w:r>
      <w:r w:rsidR="00AA4D8A">
        <w:rPr>
          <w:b/>
        </w:rPr>
        <w:t xml:space="preserve">of </w:t>
      </w:r>
      <w:r>
        <w:rPr>
          <w:b/>
        </w:rPr>
        <w:t>students markedly improve in KP</w:t>
      </w:r>
      <w:r w:rsidRPr="0070671E">
        <w:rPr>
          <w:b/>
        </w:rPr>
        <w:t>.</w:t>
      </w:r>
      <w:r w:rsidRPr="0070671E">
        <w:t xml:space="preserve"> </w:t>
      </w:r>
      <w:r>
        <w:t xml:space="preserve">Reporting on </w:t>
      </w:r>
      <w:r w:rsidR="00AA4D8A">
        <w:t xml:space="preserve">student enrolment rates in </w:t>
      </w:r>
      <w:r w:rsidR="00AA4D8A">
        <w:br/>
        <w:t xml:space="preserve">CESSD-designated schools in KP indicate overall enrolment rates have improved from 31 per cent to 64 per cent, which includes an improvement in enrolment rates for boys of 31 per cent </w:t>
      </w:r>
      <w:r w:rsidR="001A463F">
        <w:t xml:space="preserve">and for girls of 36 per cent. </w:t>
      </w:r>
      <w:r w:rsidRPr="0070671E">
        <w:t>.</w:t>
      </w:r>
      <w:r>
        <w:rPr>
          <w:rStyle w:val="FootnoteReference"/>
          <w:sz w:val="16"/>
          <w:szCs w:val="12"/>
        </w:rPr>
        <w:footnoteReference w:id="36"/>
      </w:r>
    </w:p>
    <w:p w:rsidR="00060B36" w:rsidRPr="0070671E" w:rsidRDefault="009D4C2F" w:rsidP="006B5A9C">
      <w:pPr>
        <w:pStyle w:val="BodyText"/>
      </w:pPr>
      <w:r>
        <w:rPr>
          <w:b/>
        </w:rPr>
        <w:t>The Australian Government</w:t>
      </w:r>
      <w:r w:rsidR="00060B36">
        <w:rPr>
          <w:b/>
        </w:rPr>
        <w:t>-</w:t>
      </w:r>
      <w:r w:rsidR="00060B36" w:rsidRPr="0070671E">
        <w:rPr>
          <w:b/>
        </w:rPr>
        <w:t xml:space="preserve">supported education programs have </w:t>
      </w:r>
      <w:r w:rsidR="00060B36">
        <w:rPr>
          <w:b/>
        </w:rPr>
        <w:t xml:space="preserve">not all </w:t>
      </w:r>
      <w:r w:rsidR="00060B36" w:rsidRPr="0070671E">
        <w:rPr>
          <w:b/>
        </w:rPr>
        <w:t xml:space="preserve">had the </w:t>
      </w:r>
      <w:r w:rsidR="000E0331">
        <w:rPr>
          <w:b/>
        </w:rPr>
        <w:t xml:space="preserve">desired </w:t>
      </w:r>
      <w:r w:rsidR="00060B36" w:rsidRPr="0070671E">
        <w:rPr>
          <w:b/>
        </w:rPr>
        <w:t xml:space="preserve">impact. </w:t>
      </w:r>
      <w:r w:rsidR="00060B36" w:rsidRPr="00F56610">
        <w:t>The Aus</w:t>
      </w:r>
      <w:r>
        <w:t>tralian Government</w:t>
      </w:r>
      <w:r w:rsidR="00060B36">
        <w:t>-</w:t>
      </w:r>
      <w:r w:rsidR="00060B36" w:rsidRPr="00F56610">
        <w:t>supported E</w:t>
      </w:r>
      <w:r w:rsidR="00060B36">
        <w:t>arly Childhood Development Project (ECDP), delivered by the Aga Khan Foundation</w:t>
      </w:r>
      <w:r w:rsidR="00060B36" w:rsidRPr="00F56610">
        <w:t xml:space="preserve"> (A</w:t>
      </w:r>
      <w:r w:rsidR="00060B36">
        <w:t>KF</w:t>
      </w:r>
      <w:r w:rsidR="00060B36" w:rsidRPr="00F56610">
        <w:t>) suffered delays in 2011 and early 2012 due to insec</w:t>
      </w:r>
      <w:r w:rsidR="00060B36">
        <w:t xml:space="preserve">urity preventing AKF from </w:t>
      </w:r>
      <w:r w:rsidR="00060B36" w:rsidRPr="00F56610">
        <w:t>c</w:t>
      </w:r>
      <w:r w:rsidR="00060B36">
        <w:t xml:space="preserve">ontracting </w:t>
      </w:r>
      <w:r w:rsidR="00060B36" w:rsidRPr="00F56610">
        <w:t>construction</w:t>
      </w:r>
      <w:r w:rsidR="00060B36">
        <w:t xml:space="preserve"> firms</w:t>
      </w:r>
      <w:r w:rsidR="00060B36" w:rsidRPr="00F56610">
        <w:t xml:space="preserve"> and a high turnover in government officials and teachers.</w:t>
      </w:r>
      <w:r w:rsidR="00060B36">
        <w:rPr>
          <w:b/>
        </w:rPr>
        <w:t xml:space="preserve"> </w:t>
      </w:r>
      <w:r w:rsidR="00060B36" w:rsidRPr="00531F2F">
        <w:t xml:space="preserve">A mid-term review identified some </w:t>
      </w:r>
      <w:r w:rsidR="00060B36" w:rsidRPr="0070671E">
        <w:t xml:space="preserve">progress </w:t>
      </w:r>
      <w:r w:rsidR="00060B36">
        <w:t xml:space="preserve">and recommended a two-year, no-cost extension to enable planned work to be completed. Given these challenges, </w:t>
      </w:r>
      <w:r>
        <w:t>DFAT</w:t>
      </w:r>
      <w:r w:rsidR="00060B36">
        <w:t xml:space="preserve"> and AKF have agreed on a strategy to more closely guide the project to achieve results.</w:t>
      </w:r>
      <w:r w:rsidR="00060B36" w:rsidRPr="007E43C4">
        <w:t xml:space="preserve"> The </w:t>
      </w:r>
      <w:r w:rsidR="00060B36">
        <w:t>AKF programs</w:t>
      </w:r>
      <w:r w:rsidR="00060B36" w:rsidRPr="007E43C4">
        <w:t xml:space="preserve"> have been extended until 2015 to ensure </w:t>
      </w:r>
      <w:r w:rsidR="00060B36">
        <w:t>o</w:t>
      </w:r>
      <w:r w:rsidR="00060B36" w:rsidRPr="007E43C4">
        <w:t>utcomes are met.</w:t>
      </w:r>
    </w:p>
    <w:p w:rsidR="00060B36" w:rsidRPr="006B5A9C" w:rsidRDefault="00060B36" w:rsidP="006B5A9C">
      <w:pPr>
        <w:pStyle w:val="BodyText"/>
        <w:rPr>
          <w:color w:val="000000"/>
        </w:rPr>
      </w:pPr>
      <w:r w:rsidRPr="0070671E">
        <w:rPr>
          <w:b/>
          <w:color w:val="000000"/>
        </w:rPr>
        <w:t xml:space="preserve">Australia's assistance to the agriculture and rural development sector in Pakistan aims to improve livelihoods </w:t>
      </w:r>
      <w:r w:rsidRPr="0070671E">
        <w:rPr>
          <w:b/>
        </w:rPr>
        <w:t>for the rural poor in Pakistan</w:t>
      </w:r>
      <w:r w:rsidRPr="0070671E">
        <w:rPr>
          <w:color w:val="000000"/>
        </w:rPr>
        <w:t xml:space="preserve">. </w:t>
      </w:r>
      <w:r w:rsidRPr="001912FD">
        <w:rPr>
          <w:color w:val="000000"/>
        </w:rPr>
        <w:t>Australia—aligning with the Government of Pakistan’s Poverty Reduction Strategy Paper II 2009—</w:t>
      </w:r>
      <w:r w:rsidRPr="001912FD">
        <w:t xml:space="preserve">is collaborating with a number of partners </w:t>
      </w:r>
      <w:r w:rsidRPr="001912FD">
        <w:rPr>
          <w:color w:val="000000"/>
        </w:rPr>
        <w:t xml:space="preserve">to build Pakistan’s technical capacity to </w:t>
      </w:r>
      <w:r w:rsidRPr="001912FD">
        <w:t xml:space="preserve">improve agricultural production. </w:t>
      </w:r>
      <w:r w:rsidRPr="0070671E">
        <w:t xml:space="preserve">Through </w:t>
      </w:r>
      <w:r>
        <w:rPr>
          <w:color w:val="000000"/>
          <w:lang w:val="en-CA"/>
        </w:rPr>
        <w:t>ACIAR’s</w:t>
      </w:r>
      <w:r w:rsidRPr="0070671E">
        <w:rPr>
          <w:color w:val="000000"/>
        </w:rPr>
        <w:t xml:space="preserve"> Agriculture Sector Linkages Program</w:t>
      </w:r>
      <w:r>
        <w:rPr>
          <w:color w:val="000000"/>
        </w:rPr>
        <w:t xml:space="preserve"> (ASLP)</w:t>
      </w:r>
      <w:r w:rsidRPr="0070671E">
        <w:rPr>
          <w:color w:val="000000"/>
        </w:rPr>
        <w:t xml:space="preserve"> Phase </w:t>
      </w:r>
      <w:r>
        <w:rPr>
          <w:color w:val="000000"/>
        </w:rPr>
        <w:t>II</w:t>
      </w:r>
      <w:r w:rsidRPr="0070671E">
        <w:t>, Australia is helping</w:t>
      </w:r>
      <w:r>
        <w:t xml:space="preserve"> to</w:t>
      </w:r>
      <w:r w:rsidRPr="0070671E">
        <w:t xml:space="preserve"> build linkages</w:t>
      </w:r>
      <w:r w:rsidRPr="0070671E">
        <w:rPr>
          <w:color w:val="000000"/>
        </w:rPr>
        <w:t xml:space="preserve"> between Pakistan’s research agencies</w:t>
      </w:r>
      <w:r w:rsidRPr="0070671E">
        <w:t xml:space="preserve">, expand local research capacity and test </w:t>
      </w:r>
      <w:r w:rsidR="000E0331">
        <w:t xml:space="preserve">agricultural </w:t>
      </w:r>
      <w:r w:rsidRPr="0070671E">
        <w:t xml:space="preserve">technologies and approaches. </w:t>
      </w:r>
      <w:r>
        <w:t xml:space="preserve">While lacking the capacity to support farmers at scale, the program’s innovations are being adopted by farmers participating in trial activities. </w:t>
      </w:r>
      <w:r w:rsidR="000E0331">
        <w:t xml:space="preserve">For example, </w:t>
      </w:r>
      <w:r w:rsidRPr="0070671E">
        <w:t xml:space="preserve">1300 smallholder farmers </w:t>
      </w:r>
      <w:r w:rsidR="000E0331">
        <w:t xml:space="preserve">have been </w:t>
      </w:r>
      <w:r w:rsidRPr="0070671E">
        <w:t>engaged in adopting new practices to improve the productivity and health of their dairy herds</w:t>
      </w:r>
      <w:r>
        <w:t xml:space="preserve">. </w:t>
      </w:r>
    </w:p>
    <w:p w:rsidR="00060B36" w:rsidRPr="0070671E" w:rsidRDefault="00060B36" w:rsidP="006B5A9C">
      <w:pPr>
        <w:pStyle w:val="BodyText"/>
      </w:pPr>
      <w:r>
        <w:rPr>
          <w:b/>
        </w:rPr>
        <w:t>D</w:t>
      </w:r>
      <w:r w:rsidRPr="0070671E">
        <w:rPr>
          <w:b/>
        </w:rPr>
        <w:t xml:space="preserve">eveloping effective pro-poor approaches to enhance rural employment opportunities and incomes remain a challenge. </w:t>
      </w:r>
      <w:r w:rsidRPr="0070671E">
        <w:t xml:space="preserve">While </w:t>
      </w:r>
      <w:r>
        <w:t xml:space="preserve">the </w:t>
      </w:r>
      <w:r w:rsidRPr="0070671E">
        <w:t xml:space="preserve">ASLP has made strong progress in building Pakistan’s agricultural research capacity </w:t>
      </w:r>
      <w:r>
        <w:t xml:space="preserve">and allowed some products to secure new markets, </w:t>
      </w:r>
      <w:r w:rsidRPr="0070671E">
        <w:t>adoptin</w:t>
      </w:r>
      <w:r>
        <w:t>g</w:t>
      </w:r>
      <w:r w:rsidRPr="0070671E">
        <w:t xml:space="preserve"> improved farm management practices and </w:t>
      </w:r>
      <w:r>
        <w:t xml:space="preserve">greater market access </w:t>
      </w:r>
      <w:r w:rsidRPr="0070671E">
        <w:t>for smallholder</w:t>
      </w:r>
      <w:r>
        <w:t xml:space="preserve">s remains </w:t>
      </w:r>
      <w:r w:rsidRPr="0070671E">
        <w:t xml:space="preserve">limited. </w:t>
      </w:r>
      <w:r>
        <w:t>Our</w:t>
      </w:r>
      <w:r w:rsidRPr="00693150">
        <w:t xml:space="preserve"> </w:t>
      </w:r>
      <w:r w:rsidR="000E0331">
        <w:t xml:space="preserve">other </w:t>
      </w:r>
      <w:r w:rsidRPr="00693150">
        <w:t>rural development activities</w:t>
      </w:r>
      <w:r>
        <w:t>,</w:t>
      </w:r>
      <w:r w:rsidRPr="00693150">
        <w:t xml:space="preserve"> however</w:t>
      </w:r>
      <w:r>
        <w:t>,</w:t>
      </w:r>
      <w:r w:rsidRPr="00693150">
        <w:t xml:space="preserve"> more directly target improving the livelihoods of poor rural communities. </w:t>
      </w:r>
      <w:r>
        <w:t>In 2012–13, t</w:t>
      </w:r>
      <w:r w:rsidRPr="00693150">
        <w:t xml:space="preserve">he </w:t>
      </w:r>
      <w:proofErr w:type="spellStart"/>
      <w:r w:rsidRPr="00693150">
        <w:t>Sarhad</w:t>
      </w:r>
      <w:proofErr w:type="spellEnd"/>
      <w:r w:rsidRPr="00693150">
        <w:t xml:space="preserve"> Rural Support</w:t>
      </w:r>
      <w:r w:rsidRPr="0070671E">
        <w:t xml:space="preserve"> Programme in </w:t>
      </w:r>
      <w:r>
        <w:t>KP</w:t>
      </w:r>
      <w:r w:rsidRPr="0070671E">
        <w:t xml:space="preserve"> </w:t>
      </w:r>
      <w:r>
        <w:t>increased</w:t>
      </w:r>
      <w:r w:rsidRPr="0070671E">
        <w:t xml:space="preserve"> the incomes of 725 poor women and 175 men</w:t>
      </w:r>
      <w:r>
        <w:t>,</w:t>
      </w:r>
      <w:r w:rsidRPr="0070671E">
        <w:t xml:space="preserve"> and provid</w:t>
      </w:r>
      <w:r>
        <w:t>ed</w:t>
      </w:r>
      <w:r w:rsidRPr="0070671E">
        <w:t xml:space="preserve"> access to agricultural technologies for 295 poor women and 323 men. The program also established 145 infrastructure schemes</w:t>
      </w:r>
      <w:r>
        <w:t>,</w:t>
      </w:r>
      <w:r w:rsidRPr="0070671E">
        <w:t xml:space="preserve"> provid</w:t>
      </w:r>
      <w:r>
        <w:t>ing</w:t>
      </w:r>
      <w:r w:rsidRPr="0070671E">
        <w:t xml:space="preserve"> </w:t>
      </w:r>
      <w:r w:rsidR="00E73581">
        <w:t>almost 360 000</w:t>
      </w:r>
      <w:r w:rsidRPr="0070671E">
        <w:t xml:space="preserve"> men and women</w:t>
      </w:r>
      <w:r>
        <w:t xml:space="preserve"> with access</w:t>
      </w:r>
      <w:r w:rsidRPr="0070671E">
        <w:t xml:space="preserve"> to clean drinking water, improved irrigation,</w:t>
      </w:r>
      <w:r>
        <w:t xml:space="preserve"> improved</w:t>
      </w:r>
      <w:r w:rsidRPr="0070671E">
        <w:t xml:space="preserve"> sanitation and </w:t>
      </w:r>
      <w:r>
        <w:t xml:space="preserve">better </w:t>
      </w:r>
      <w:r w:rsidRPr="0070671E">
        <w:t>market</w:t>
      </w:r>
      <w:r w:rsidR="001A463F">
        <w:t xml:space="preserve"> access</w:t>
      </w:r>
      <w:r w:rsidRPr="0070671E">
        <w:t xml:space="preserve"> through building link roads.</w:t>
      </w:r>
      <w:r>
        <w:rPr>
          <w:rStyle w:val="FootnoteReference"/>
          <w:sz w:val="16"/>
          <w:szCs w:val="12"/>
        </w:rPr>
        <w:footnoteReference w:id="37"/>
      </w:r>
      <w:r w:rsidRPr="0070671E">
        <w:t xml:space="preserve"> </w:t>
      </w:r>
    </w:p>
    <w:p w:rsidR="00060B36" w:rsidRPr="0070671E" w:rsidRDefault="00060B36" w:rsidP="006B5A9C">
      <w:pPr>
        <w:pStyle w:val="BodyText"/>
      </w:pPr>
      <w:r w:rsidRPr="00693150">
        <w:rPr>
          <w:b/>
        </w:rPr>
        <w:lastRenderedPageBreak/>
        <w:t xml:space="preserve">Australia is supporting a </w:t>
      </w:r>
      <w:proofErr w:type="spellStart"/>
      <w:r w:rsidRPr="00693150">
        <w:rPr>
          <w:b/>
        </w:rPr>
        <w:t>Balochistan</w:t>
      </w:r>
      <w:proofErr w:type="spellEnd"/>
      <w:r w:rsidRPr="00693150">
        <w:rPr>
          <w:b/>
        </w:rPr>
        <w:t xml:space="preserve"> Border Areas program implemented by the </w:t>
      </w:r>
      <w:r w:rsidR="000E0331">
        <w:rPr>
          <w:b/>
        </w:rPr>
        <w:t>Food and Agricultural Organisation (</w:t>
      </w:r>
      <w:r w:rsidRPr="00693150">
        <w:rPr>
          <w:b/>
        </w:rPr>
        <w:t>FAO</w:t>
      </w:r>
      <w:r w:rsidR="000E0331">
        <w:rPr>
          <w:b/>
        </w:rPr>
        <w:t>)</w:t>
      </w:r>
      <w:r>
        <w:rPr>
          <w:b/>
        </w:rPr>
        <w:t xml:space="preserve"> to improve the pro-poor focus of </w:t>
      </w:r>
      <w:r w:rsidR="009D4C2F">
        <w:rPr>
          <w:b/>
        </w:rPr>
        <w:t>DF</w:t>
      </w:r>
      <w:r w:rsidR="00FE6F15">
        <w:rPr>
          <w:b/>
        </w:rPr>
        <w:t>AT</w:t>
      </w:r>
      <w:r>
        <w:rPr>
          <w:b/>
        </w:rPr>
        <w:t>’s contribution to the rural development sector</w:t>
      </w:r>
      <w:r w:rsidRPr="00DA2B97">
        <w:t>. While in its early stages</w:t>
      </w:r>
      <w:r>
        <w:t xml:space="preserve"> </w:t>
      </w:r>
      <w:r w:rsidRPr="0070671E">
        <w:t>of implementation</w:t>
      </w:r>
      <w:r>
        <w:t>, the program extends a successful USAID-sponsored initiative</w:t>
      </w:r>
      <w:r w:rsidRPr="0070671E">
        <w:t xml:space="preserve"> </w:t>
      </w:r>
      <w:r>
        <w:t xml:space="preserve">to another six districts. </w:t>
      </w:r>
      <w:r w:rsidR="001A463F">
        <w:t>The new initiative will</w:t>
      </w:r>
      <w:r>
        <w:t xml:space="preserve"> </w:t>
      </w:r>
      <w:r w:rsidRPr="0070671E">
        <w:t xml:space="preserve">improve </w:t>
      </w:r>
      <w:r w:rsidR="00097701">
        <w:t>food and nutrition security and</w:t>
      </w:r>
      <w:bookmarkStart w:id="0" w:name="_GoBack"/>
      <w:bookmarkEnd w:id="0"/>
      <w:r>
        <w:t xml:space="preserve"> </w:t>
      </w:r>
      <w:r w:rsidRPr="0070671E">
        <w:t>increase</w:t>
      </w:r>
      <w:r>
        <w:t xml:space="preserve"> the</w:t>
      </w:r>
      <w:r w:rsidRPr="0070671E">
        <w:t xml:space="preserve"> income of up to 30</w:t>
      </w:r>
      <w:r>
        <w:t xml:space="preserve"> </w:t>
      </w:r>
      <w:r w:rsidRPr="0070671E">
        <w:t xml:space="preserve">600 poor households from 340 rural communities. </w:t>
      </w:r>
    </w:p>
    <w:p w:rsidR="00060B36" w:rsidRPr="006B5A9C" w:rsidRDefault="00060B36" w:rsidP="006B5A9C">
      <w:pPr>
        <w:pStyle w:val="Heading2"/>
      </w:pPr>
      <w:r>
        <w:t>Objective 2</w:t>
      </w:r>
      <w:r w:rsidR="006B5A9C">
        <w:t xml:space="preserve">: </w:t>
      </w:r>
      <w:r w:rsidRPr="006B5A9C">
        <w:t>To address the needs of communities most vulnerable to the effects of conflict, remoteness, marginalisation, natural hazards and disasters.</w:t>
      </w:r>
    </w:p>
    <w:p w:rsidR="00060B36" w:rsidRPr="006B5A9C" w:rsidRDefault="00060B36" w:rsidP="006B5A9C">
      <w:pPr>
        <w:pStyle w:val="BodyText"/>
        <w:rPr>
          <w:i/>
          <w:lang w:val="en-GB" w:eastAsia="en-US"/>
        </w:rPr>
      </w:pPr>
      <w:r w:rsidRPr="006B5A9C">
        <w:rPr>
          <w:i/>
          <w:lang w:val="en-GB" w:eastAsia="en-US"/>
        </w:rPr>
        <w:t xml:space="preserve">The amber rating reflects that, while individual activities have performed well in a difficult operating environment, Australia’s engagement is reactive and at times lacks strategic direction. Much of our humanitarian funding has been recently disbursed and not all results were available at time of writing. </w:t>
      </w:r>
    </w:p>
    <w:p w:rsidR="00060B36" w:rsidRDefault="00060B36" w:rsidP="00E25B75">
      <w:pPr>
        <w:pStyle w:val="BodyText"/>
      </w:pPr>
      <w:r w:rsidRPr="00F56610">
        <w:rPr>
          <w:b/>
        </w:rPr>
        <w:t>Beyond security</w:t>
      </w:r>
      <w:r>
        <w:rPr>
          <w:b/>
        </w:rPr>
        <w:t>-</w:t>
      </w:r>
      <w:r w:rsidRPr="00F56610">
        <w:rPr>
          <w:b/>
        </w:rPr>
        <w:t xml:space="preserve">related </w:t>
      </w:r>
      <w:r>
        <w:rPr>
          <w:b/>
        </w:rPr>
        <w:t>drivers</w:t>
      </w:r>
      <w:r w:rsidRPr="00F56610">
        <w:rPr>
          <w:b/>
        </w:rPr>
        <w:t>, a rapidly growing population moving to marginal land that is more vulnerable to disaster, coupled with environmental degradation and poor economic performance</w:t>
      </w:r>
      <w:r>
        <w:rPr>
          <w:b/>
        </w:rPr>
        <w:t>,</w:t>
      </w:r>
      <w:r w:rsidRPr="00F56610">
        <w:rPr>
          <w:b/>
        </w:rPr>
        <w:t xml:space="preserve"> make Pakistan extremely sensitive to staple food and energy price fluctuations</w:t>
      </w:r>
      <w:r>
        <w:rPr>
          <w:b/>
        </w:rPr>
        <w:t xml:space="preserve">. </w:t>
      </w:r>
      <w:r w:rsidR="000E0331" w:rsidRPr="000E0331">
        <w:t xml:space="preserve">Australia's </w:t>
      </w:r>
      <w:r w:rsidRPr="008F665C">
        <w:t>humanitarian partners performed well in 2012</w:t>
      </w:r>
      <w:r>
        <w:t>–</w:t>
      </w:r>
      <w:r w:rsidRPr="008F665C">
        <w:t xml:space="preserve">13, despite </w:t>
      </w:r>
      <w:r>
        <w:t>a</w:t>
      </w:r>
      <w:r w:rsidRPr="008F665C">
        <w:t xml:space="preserve"> difficult operating environment</w:t>
      </w:r>
      <w:r>
        <w:t>. A challenge for</w:t>
      </w:r>
      <w:r w:rsidRPr="000F1ED7">
        <w:t xml:space="preserve"> the coordination of an effective international </w:t>
      </w:r>
      <w:r>
        <w:t xml:space="preserve">disaster </w:t>
      </w:r>
      <w:r w:rsidRPr="000F1ED7">
        <w:t xml:space="preserve">response </w:t>
      </w:r>
      <w:r>
        <w:t xml:space="preserve">has been the reluctance of the </w:t>
      </w:r>
      <w:r w:rsidRPr="000F1ED7">
        <w:t>Pakistan Government to call for international help or agree to the initiation of a common a</w:t>
      </w:r>
      <w:r>
        <w:t xml:space="preserve">ppeal in times of major crisis, and restrictions on access to affected populations by humanitarian workers. </w:t>
      </w:r>
    </w:p>
    <w:p w:rsidR="00D90785" w:rsidRDefault="00060B36" w:rsidP="00E25B75">
      <w:pPr>
        <w:pStyle w:val="BodyText"/>
        <w:rPr>
          <w:b/>
        </w:rPr>
      </w:pPr>
      <w:r>
        <w:t xml:space="preserve">From July 2012 to May 2013, 25 Pakistani humanitarian workers were killed and four kidnapped in targeted attacks in FATA, KP and Sindh. This insecurity meant </w:t>
      </w:r>
      <w:r w:rsidR="000E0331">
        <w:t xml:space="preserve">that </w:t>
      </w:r>
      <w:r>
        <w:t xml:space="preserve">Australia and its partners could not directly monitor activities and </w:t>
      </w:r>
      <w:r w:rsidR="000E0331">
        <w:t xml:space="preserve">relied </w:t>
      </w:r>
      <w:r>
        <w:t xml:space="preserve">on third parties to verify results. </w:t>
      </w:r>
    </w:p>
    <w:p w:rsidR="00D90785" w:rsidRPr="00D90785" w:rsidRDefault="00060B36" w:rsidP="00E25B75">
      <w:pPr>
        <w:pStyle w:val="BodyText"/>
        <w:rPr>
          <w:b/>
        </w:rPr>
      </w:pPr>
      <w:r>
        <w:rPr>
          <w:b/>
        </w:rPr>
        <w:t xml:space="preserve">In 2012 </w:t>
      </w:r>
      <w:r w:rsidRPr="0070671E">
        <w:rPr>
          <w:b/>
        </w:rPr>
        <w:t xml:space="preserve">Australia </w:t>
      </w:r>
      <w:r>
        <w:rPr>
          <w:b/>
        </w:rPr>
        <w:t xml:space="preserve">provided life-saving assistance to </w:t>
      </w:r>
      <w:r w:rsidRPr="0070671E">
        <w:rPr>
          <w:b/>
        </w:rPr>
        <w:t xml:space="preserve">vulnerable communities to </w:t>
      </w:r>
      <w:r>
        <w:rPr>
          <w:b/>
          <w:lang w:val="en-CA"/>
        </w:rPr>
        <w:t xml:space="preserve">help them </w:t>
      </w:r>
      <w:r w:rsidRPr="0070671E">
        <w:rPr>
          <w:b/>
        </w:rPr>
        <w:t>recover from natural disasters and conflict.</w:t>
      </w:r>
      <w:r w:rsidRPr="0070671E">
        <w:t xml:space="preserve"> </w:t>
      </w:r>
      <w:r w:rsidR="009D4C2F">
        <w:t xml:space="preserve">The </w:t>
      </w:r>
      <w:r w:rsidR="005028AE">
        <w:t>department</w:t>
      </w:r>
      <w:r>
        <w:t xml:space="preserve"> supported</w:t>
      </w:r>
      <w:r>
        <w:rPr>
          <w:lang w:val="en-CA"/>
        </w:rPr>
        <w:t xml:space="preserve"> the</w:t>
      </w:r>
      <w:r>
        <w:t xml:space="preserve"> FAO to help </w:t>
      </w:r>
      <w:r w:rsidRPr="0070671E">
        <w:t>245</w:t>
      </w:r>
      <w:r w:rsidR="00E25B75">
        <w:rPr>
          <w:lang w:val="en-CA"/>
        </w:rPr>
        <w:t> </w:t>
      </w:r>
      <w:r w:rsidRPr="0070671E">
        <w:t>000 vulnerable people (35</w:t>
      </w:r>
      <w:r>
        <w:rPr>
          <w:lang w:val="en-CA"/>
        </w:rPr>
        <w:t> </w:t>
      </w:r>
      <w:r w:rsidRPr="0070671E">
        <w:t>000</w:t>
      </w:r>
      <w:r>
        <w:rPr>
          <w:lang w:val="en-CA"/>
        </w:rPr>
        <w:t> </w:t>
      </w:r>
      <w:r w:rsidRPr="0070671E">
        <w:t>farming families) recover livelihoods following the 2011 Pakistan floods through the provision of seeds, fertiliser and agricultural training.</w:t>
      </w:r>
      <w:r>
        <w:rPr>
          <w:rStyle w:val="FootnoteReference"/>
          <w:color w:val="000000"/>
          <w:sz w:val="16"/>
          <w:szCs w:val="12"/>
        </w:rPr>
        <w:footnoteReference w:id="38"/>
      </w:r>
      <w:r w:rsidRPr="0070671E">
        <w:t xml:space="preserve"> </w:t>
      </w:r>
      <w:r>
        <w:t xml:space="preserve">An assessment of FAO's livelihood initiatives indicated that </w:t>
      </w:r>
      <w:r w:rsidRPr="0070671E">
        <w:t>every US$1 invested generated US$3.03 worth of production value for beneficiaries.</w:t>
      </w:r>
      <w:r w:rsidRPr="0070671E">
        <w:rPr>
          <w:vertAlign w:val="superscript"/>
          <w:lang w:val="en-GB" w:eastAsia="en-US"/>
        </w:rPr>
        <w:footnoteReference w:id="39"/>
      </w:r>
      <w:r>
        <w:rPr>
          <w:lang w:val="en-GB" w:eastAsia="en-US"/>
        </w:rPr>
        <w:t xml:space="preserve"> </w:t>
      </w:r>
      <w:r w:rsidRPr="00E068D9">
        <w:rPr>
          <w:lang w:eastAsia="en-US"/>
        </w:rPr>
        <w:t>Australia provided the major portion of its humanitarian assistance through the World Food Program</w:t>
      </w:r>
      <w:r>
        <w:rPr>
          <w:lang w:eastAsia="en-US"/>
        </w:rPr>
        <w:t>me</w:t>
      </w:r>
      <w:r w:rsidRPr="00E068D9">
        <w:rPr>
          <w:lang w:eastAsia="en-US"/>
        </w:rPr>
        <w:t>’s (WFP) Protracted Relief and Recovery Operation.</w:t>
      </w:r>
      <w:r>
        <w:rPr>
          <w:rStyle w:val="FootnoteReference"/>
          <w:sz w:val="16"/>
          <w:szCs w:val="12"/>
          <w:lang w:eastAsia="en-US"/>
        </w:rPr>
        <w:footnoteReference w:id="40"/>
      </w:r>
      <w:r w:rsidRPr="00E068D9">
        <w:rPr>
          <w:lang w:val="en-US" w:eastAsia="en-US"/>
        </w:rPr>
        <w:t xml:space="preserve"> </w:t>
      </w:r>
      <w:r w:rsidRPr="0087186E">
        <w:rPr>
          <w:lang w:eastAsia="en-US"/>
        </w:rPr>
        <w:t>As the world’s largest food aid provider, the WFP has the purchasing power to source food close to the destination, saving transport costs and ensuring food is culturally and nutritionally appropriate</w:t>
      </w:r>
      <w:r>
        <w:rPr>
          <w:lang w:eastAsia="en-US"/>
        </w:rPr>
        <w:t>. This</w:t>
      </w:r>
      <w:r w:rsidRPr="0087186E">
        <w:rPr>
          <w:lang w:eastAsia="en-US"/>
        </w:rPr>
        <w:t xml:space="preserve"> maximis</w:t>
      </w:r>
      <w:r>
        <w:rPr>
          <w:lang w:eastAsia="en-US"/>
        </w:rPr>
        <w:t>es</w:t>
      </w:r>
      <w:r w:rsidRPr="0087186E">
        <w:rPr>
          <w:lang w:eastAsia="en-US"/>
        </w:rPr>
        <w:t xml:space="preserve"> the </w:t>
      </w:r>
      <w:r>
        <w:rPr>
          <w:lang w:eastAsia="en-US"/>
        </w:rPr>
        <w:t xml:space="preserve">aid dollar </w:t>
      </w:r>
      <w:r w:rsidRPr="0087186E">
        <w:rPr>
          <w:lang w:eastAsia="en-US"/>
        </w:rPr>
        <w:t>impact to deliver a humanitarian outcome</w:t>
      </w:r>
      <w:r>
        <w:rPr>
          <w:lang w:eastAsia="en-US"/>
        </w:rPr>
        <w:t xml:space="preserve">. </w:t>
      </w:r>
      <w:r w:rsidRPr="00E068D9">
        <w:rPr>
          <w:lang w:eastAsia="en-US"/>
        </w:rPr>
        <w:t>In 2012</w:t>
      </w:r>
      <w:r>
        <w:rPr>
          <w:lang w:val="en-CA" w:eastAsia="en-US"/>
        </w:rPr>
        <w:t>,</w:t>
      </w:r>
      <w:r w:rsidRPr="00E068D9">
        <w:rPr>
          <w:lang w:eastAsia="en-US"/>
        </w:rPr>
        <w:t xml:space="preserve"> the WFP provided food assistance to </w:t>
      </w:r>
      <w:r>
        <w:rPr>
          <w:lang w:val="en-CA" w:eastAsia="en-US"/>
        </w:rPr>
        <w:t>more than</w:t>
      </w:r>
      <w:r w:rsidRPr="00E068D9">
        <w:rPr>
          <w:lang w:eastAsia="en-US"/>
        </w:rPr>
        <w:t xml:space="preserve"> 7.9 </w:t>
      </w:r>
      <w:r w:rsidR="00D90785">
        <w:rPr>
          <w:lang w:eastAsia="en-US"/>
        </w:rPr>
        <w:t>m</w:t>
      </w:r>
      <w:r w:rsidRPr="00E068D9">
        <w:rPr>
          <w:lang w:eastAsia="en-US"/>
        </w:rPr>
        <w:t>illion people affected by floods and displaced by conflict in FATA and KP</w:t>
      </w:r>
      <w:r>
        <w:rPr>
          <w:lang w:eastAsia="en-US"/>
        </w:rPr>
        <w:t xml:space="preserve">. </w:t>
      </w:r>
      <w:r w:rsidRPr="0087186E">
        <w:rPr>
          <w:lang w:eastAsia="en-US"/>
        </w:rPr>
        <w:t>A</w:t>
      </w:r>
      <w:r>
        <w:rPr>
          <w:lang w:eastAsia="en-US"/>
        </w:rPr>
        <w:t>nother</w:t>
      </w:r>
      <w:r w:rsidRPr="0087186E">
        <w:rPr>
          <w:lang w:eastAsia="en-US"/>
        </w:rPr>
        <w:t xml:space="preserve"> 975</w:t>
      </w:r>
      <w:r w:rsidR="00E25B75">
        <w:rPr>
          <w:lang w:eastAsia="en-US"/>
        </w:rPr>
        <w:t> </w:t>
      </w:r>
      <w:r w:rsidRPr="0087186E">
        <w:rPr>
          <w:lang w:eastAsia="en-US"/>
        </w:rPr>
        <w:t xml:space="preserve">000 </w:t>
      </w:r>
      <w:r>
        <w:rPr>
          <w:lang w:eastAsia="en-US"/>
        </w:rPr>
        <w:t>internally displaced people</w:t>
      </w:r>
      <w:r w:rsidRPr="0087186E">
        <w:rPr>
          <w:lang w:eastAsia="en-US"/>
        </w:rPr>
        <w:t xml:space="preserve"> were assisted in 2013</w:t>
      </w:r>
      <w:r>
        <w:rPr>
          <w:lang w:eastAsia="en-US"/>
        </w:rPr>
        <w:t>.</w:t>
      </w:r>
      <w:r w:rsidRPr="0087186E">
        <w:rPr>
          <w:vertAlign w:val="superscript"/>
          <w:lang w:eastAsia="en-US"/>
        </w:rPr>
        <w:footnoteReference w:id="41"/>
      </w:r>
    </w:p>
    <w:p w:rsidR="00060B36" w:rsidRPr="0087186E" w:rsidRDefault="00060B36" w:rsidP="00E25B75">
      <w:pPr>
        <w:pStyle w:val="BodyText"/>
        <w:rPr>
          <w:lang w:eastAsia="en-US"/>
        </w:rPr>
      </w:pPr>
      <w:r w:rsidRPr="00D46055">
        <w:rPr>
          <w:b/>
          <w:lang w:eastAsia="en-US"/>
        </w:rPr>
        <w:t>In the first half of 2013, Australian funds assisted the U</w:t>
      </w:r>
      <w:r>
        <w:rPr>
          <w:b/>
          <w:lang w:val="en-CA" w:eastAsia="en-US"/>
        </w:rPr>
        <w:t>N</w:t>
      </w:r>
      <w:r w:rsidRPr="00D46055">
        <w:rPr>
          <w:b/>
          <w:lang w:eastAsia="en-US"/>
        </w:rPr>
        <w:t xml:space="preserve"> High Commissioner for Refugees to provide protection </w:t>
      </w:r>
      <w:r>
        <w:rPr>
          <w:b/>
          <w:lang w:eastAsia="en-US"/>
        </w:rPr>
        <w:t xml:space="preserve">to </w:t>
      </w:r>
      <w:r w:rsidRPr="00D46055">
        <w:rPr>
          <w:b/>
          <w:lang w:eastAsia="en-US"/>
        </w:rPr>
        <w:t xml:space="preserve">and </w:t>
      </w:r>
      <w:r>
        <w:rPr>
          <w:b/>
          <w:lang w:eastAsia="en-US"/>
        </w:rPr>
        <w:t xml:space="preserve">meet the </w:t>
      </w:r>
      <w:r w:rsidRPr="00D46055">
        <w:rPr>
          <w:b/>
          <w:lang w:eastAsia="en-US"/>
        </w:rPr>
        <w:t xml:space="preserve">basic needs (shelter, health, education and water </w:t>
      </w:r>
      <w:r>
        <w:rPr>
          <w:b/>
          <w:lang w:val="en-CA" w:eastAsia="en-US"/>
        </w:rPr>
        <w:t>and</w:t>
      </w:r>
      <w:r w:rsidRPr="00D46055">
        <w:rPr>
          <w:b/>
          <w:lang w:eastAsia="en-US"/>
        </w:rPr>
        <w:t xml:space="preserve"> sanitation) </w:t>
      </w:r>
      <w:r>
        <w:rPr>
          <w:b/>
          <w:lang w:eastAsia="en-US"/>
        </w:rPr>
        <w:t>of</w:t>
      </w:r>
      <w:r w:rsidRPr="00D46055">
        <w:rPr>
          <w:b/>
          <w:lang w:eastAsia="en-US"/>
        </w:rPr>
        <w:t xml:space="preserve"> 1.5 million Afghan refugees, 700</w:t>
      </w:r>
      <w:r>
        <w:rPr>
          <w:b/>
          <w:lang w:val="en-CA" w:eastAsia="en-US"/>
        </w:rPr>
        <w:t xml:space="preserve"> </w:t>
      </w:r>
      <w:r w:rsidRPr="00D46055">
        <w:rPr>
          <w:b/>
          <w:lang w:eastAsia="en-US"/>
        </w:rPr>
        <w:t xml:space="preserve">000 </w:t>
      </w:r>
      <w:r>
        <w:rPr>
          <w:b/>
          <w:lang w:val="en-CA" w:eastAsia="en-US"/>
        </w:rPr>
        <w:t>internally displaced people</w:t>
      </w:r>
      <w:r w:rsidRPr="00D46055">
        <w:rPr>
          <w:b/>
          <w:lang w:eastAsia="en-US"/>
        </w:rPr>
        <w:t xml:space="preserve"> and their host communities</w:t>
      </w:r>
      <w:r>
        <w:rPr>
          <w:b/>
          <w:lang w:eastAsia="en-US"/>
        </w:rPr>
        <w:t xml:space="preserve">. </w:t>
      </w:r>
      <w:r w:rsidRPr="0087186E">
        <w:rPr>
          <w:lang w:eastAsia="en-US"/>
        </w:rPr>
        <w:t>A</w:t>
      </w:r>
      <w:proofErr w:type="spellStart"/>
      <w:r>
        <w:rPr>
          <w:lang w:val="en-CA" w:eastAsia="en-US"/>
        </w:rPr>
        <w:t>nother</w:t>
      </w:r>
      <w:proofErr w:type="spellEnd"/>
      <w:r w:rsidRPr="0087186E">
        <w:rPr>
          <w:lang w:eastAsia="en-US"/>
        </w:rPr>
        <w:t xml:space="preserve"> 400</w:t>
      </w:r>
      <w:r>
        <w:rPr>
          <w:lang w:eastAsia="en-US"/>
        </w:rPr>
        <w:t xml:space="preserve"> </w:t>
      </w:r>
      <w:r w:rsidRPr="0087186E">
        <w:rPr>
          <w:lang w:eastAsia="en-US"/>
        </w:rPr>
        <w:t xml:space="preserve">000 former </w:t>
      </w:r>
      <w:r>
        <w:rPr>
          <w:lang w:val="en-CA" w:eastAsia="en-US"/>
        </w:rPr>
        <w:t>internally displaced people</w:t>
      </w:r>
      <w:r w:rsidRPr="0087186E">
        <w:rPr>
          <w:lang w:eastAsia="en-US"/>
        </w:rPr>
        <w:t xml:space="preserve"> </w:t>
      </w:r>
      <w:r>
        <w:rPr>
          <w:lang w:eastAsia="en-US"/>
        </w:rPr>
        <w:t>who</w:t>
      </w:r>
      <w:r w:rsidRPr="0087186E">
        <w:rPr>
          <w:lang w:eastAsia="en-US"/>
        </w:rPr>
        <w:t xml:space="preserve"> still required humanitarian assistance were helped </w:t>
      </w:r>
      <w:r>
        <w:rPr>
          <w:lang w:eastAsia="en-US"/>
        </w:rPr>
        <w:t xml:space="preserve">on </w:t>
      </w:r>
      <w:r w:rsidRPr="0087186E">
        <w:rPr>
          <w:lang w:eastAsia="en-US"/>
        </w:rPr>
        <w:t>return to their homes.</w:t>
      </w:r>
    </w:p>
    <w:p w:rsidR="00060B36" w:rsidRPr="0087186E" w:rsidRDefault="00060B36" w:rsidP="00E25B75">
      <w:pPr>
        <w:pStyle w:val="BodyText"/>
      </w:pPr>
      <w:r w:rsidRPr="00D46055">
        <w:rPr>
          <w:b/>
        </w:rPr>
        <w:lastRenderedPageBreak/>
        <w:t>Straddling the humanitarian and development divide, Australia continued to support post-disaster and post-conflict reconstruction through the World Bank's M</w:t>
      </w:r>
      <w:r>
        <w:rPr>
          <w:b/>
          <w:lang w:val="en-CA"/>
        </w:rPr>
        <w:t>DTF</w:t>
      </w:r>
      <w:r w:rsidRPr="00D46055">
        <w:rPr>
          <w:b/>
        </w:rPr>
        <w:t xml:space="preserve"> for </w:t>
      </w:r>
      <w:r>
        <w:rPr>
          <w:b/>
        </w:rPr>
        <w:t>KP</w:t>
      </w:r>
      <w:r w:rsidRPr="00D46055">
        <w:rPr>
          <w:b/>
        </w:rPr>
        <w:t xml:space="preserve">, FATA and </w:t>
      </w:r>
      <w:proofErr w:type="spellStart"/>
      <w:r w:rsidRPr="00D46055">
        <w:rPr>
          <w:b/>
        </w:rPr>
        <w:t>Balochistan</w:t>
      </w:r>
      <w:proofErr w:type="spellEnd"/>
      <w:r>
        <w:t>.</w:t>
      </w:r>
      <w:r>
        <w:rPr>
          <w:rStyle w:val="FootnoteReference"/>
          <w:color w:val="000000"/>
          <w:sz w:val="16"/>
          <w:szCs w:val="12"/>
        </w:rPr>
        <w:footnoteReference w:id="42"/>
      </w:r>
      <w:r w:rsidRPr="0070671E">
        <w:t xml:space="preserve"> </w:t>
      </w:r>
      <w:r>
        <w:t xml:space="preserve">Working through provincial government systems has led to delays in project implementation. However, </w:t>
      </w:r>
      <w:r w:rsidRPr="0070671E">
        <w:t xml:space="preserve">the MDTF </w:t>
      </w:r>
      <w:r>
        <w:t xml:space="preserve">picked up pace this year with 12 km of road completed and </w:t>
      </w:r>
      <w:r w:rsidRPr="0070671E">
        <w:t xml:space="preserve">181 small and medium enterprises </w:t>
      </w:r>
      <w:r>
        <w:t>supported to r</w:t>
      </w:r>
      <w:r w:rsidRPr="0070671E">
        <w:t>ebuild their businesses, creating 210 additional jobs</w:t>
      </w:r>
      <w:r>
        <w:t xml:space="preserve"> in the process.</w:t>
      </w:r>
      <w:r>
        <w:rPr>
          <w:rStyle w:val="FootnoteReference"/>
          <w:color w:val="000000"/>
          <w:sz w:val="16"/>
          <w:szCs w:val="12"/>
        </w:rPr>
        <w:footnoteReference w:id="43"/>
      </w:r>
      <w:r>
        <w:t xml:space="preserve"> Through its efforts in the sensitive area of justice reform, the MDTF supported the peaceful resolution of</w:t>
      </w:r>
      <w:r w:rsidRPr="0070671E">
        <w:t xml:space="preserve"> 190 legal cases by the FATA Tribunal (some </w:t>
      </w:r>
      <w:r>
        <w:t xml:space="preserve">of which had been </w:t>
      </w:r>
      <w:r w:rsidRPr="0070671E">
        <w:t>pending since 1998) and 532 cases by the Ombudsman’s Office</w:t>
      </w:r>
      <w:r>
        <w:t xml:space="preserve">. </w:t>
      </w:r>
      <w:r w:rsidR="009D4C2F">
        <w:t>The Australian Government</w:t>
      </w:r>
      <w:r>
        <w:t xml:space="preserve"> was engaged in a recent donor review that found the MDTF has proved to be a catalyst for better planning and prioritising of development investments by provincial governments and donors. It achieved this through its ability to bring together partners, its technical analysis and its capacity building ability in core areas of government.</w:t>
      </w:r>
    </w:p>
    <w:p w:rsidR="00060B36" w:rsidRPr="00F903A6" w:rsidRDefault="00060B36" w:rsidP="00E25B75">
      <w:pPr>
        <w:pStyle w:val="BodyText"/>
      </w:pPr>
      <w:r w:rsidRPr="00F903A6">
        <w:rPr>
          <w:b/>
        </w:rPr>
        <w:t xml:space="preserve">Despite the effectiveness of individual activities, Australia's </w:t>
      </w:r>
      <w:r>
        <w:rPr>
          <w:b/>
        </w:rPr>
        <w:t xml:space="preserve">humanitarian </w:t>
      </w:r>
      <w:r w:rsidRPr="00F903A6">
        <w:rPr>
          <w:b/>
        </w:rPr>
        <w:t xml:space="preserve">investments have been largely reactive, responding to those most in need in the midst of conflict </w:t>
      </w:r>
      <w:r>
        <w:rPr>
          <w:b/>
        </w:rPr>
        <w:t xml:space="preserve">or </w:t>
      </w:r>
      <w:r w:rsidRPr="00F903A6">
        <w:rPr>
          <w:b/>
        </w:rPr>
        <w:t>in the wake of natural disaster</w:t>
      </w:r>
      <w:r>
        <w:rPr>
          <w:b/>
        </w:rPr>
        <w:t>s</w:t>
      </w:r>
      <w:r w:rsidRPr="00F903A6">
        <w:rPr>
          <w:b/>
        </w:rPr>
        <w:t xml:space="preserve">. </w:t>
      </w:r>
      <w:r>
        <w:t xml:space="preserve">The massive damages or losses resulting from a series of major disasters in Pakistan highlighted the need to invest more heavily in disaster preparedness, management and risk reduction. </w:t>
      </w:r>
      <w:r w:rsidR="009D4C2F">
        <w:t>DFAT</w:t>
      </w:r>
      <w:r w:rsidRPr="00125C7E">
        <w:t xml:space="preserve"> does not support stand-alone disaster risk reduction programs in Pakistan, but has incorporated disaster risk reduction into some, although not all, </w:t>
      </w:r>
      <w:r>
        <w:t xml:space="preserve">of the </w:t>
      </w:r>
      <w:r w:rsidRPr="00125C7E">
        <w:t>programs</w:t>
      </w:r>
      <w:r>
        <w:t xml:space="preserve"> it supports. </w:t>
      </w:r>
      <w:r w:rsidR="009D4C2F">
        <w:t xml:space="preserve">The </w:t>
      </w:r>
      <w:r w:rsidR="009770D4">
        <w:t>department</w:t>
      </w:r>
      <w:r>
        <w:t xml:space="preserve"> identified </w:t>
      </w:r>
      <w:r w:rsidRPr="0070671E">
        <w:t>the vulnerability of school buildings</w:t>
      </w:r>
      <w:r>
        <w:t xml:space="preserve">; supported the development of </w:t>
      </w:r>
      <w:r w:rsidRPr="0070671E">
        <w:t>a Safe School Strategy; construct</w:t>
      </w:r>
      <w:r>
        <w:t>ed and refurbished</w:t>
      </w:r>
      <w:r w:rsidRPr="0070671E">
        <w:t xml:space="preserve"> schools to earthquake </w:t>
      </w:r>
      <w:r>
        <w:t>resilient standards; trained</w:t>
      </w:r>
      <w:r w:rsidRPr="0070671E">
        <w:t xml:space="preserve"> government </w:t>
      </w:r>
      <w:r>
        <w:t xml:space="preserve">officials </w:t>
      </w:r>
      <w:r w:rsidRPr="0070671E">
        <w:t xml:space="preserve">departments, school staff, students and </w:t>
      </w:r>
      <w:r>
        <w:t xml:space="preserve">parent-teacher </w:t>
      </w:r>
      <w:r w:rsidRPr="0070671E">
        <w:t>communities to prepare for and</w:t>
      </w:r>
      <w:r>
        <w:t xml:space="preserve"> respond to disasters; prepared</w:t>
      </w:r>
      <w:r w:rsidRPr="0070671E">
        <w:t xml:space="preserve"> </w:t>
      </w:r>
      <w:r>
        <w:rPr>
          <w:lang w:val="en-CA"/>
        </w:rPr>
        <w:t>disaster risk reduction</w:t>
      </w:r>
      <w:r w:rsidRPr="0070671E">
        <w:t xml:space="preserve"> modules for teacher training; </w:t>
      </w:r>
      <w:r>
        <w:t>and constructed flood protection for agricultural land. Aus</w:t>
      </w:r>
      <w:r w:rsidR="009D4C2F">
        <w:t xml:space="preserve">tralian </w:t>
      </w:r>
      <w:r w:rsidR="009770D4">
        <w:t xml:space="preserve">Government </w:t>
      </w:r>
      <w:r>
        <w:t xml:space="preserve">funds have also helped strengthen the capacity of the </w:t>
      </w:r>
      <w:proofErr w:type="spellStart"/>
      <w:r w:rsidRPr="0070671E">
        <w:t>Balochistan</w:t>
      </w:r>
      <w:proofErr w:type="spellEnd"/>
      <w:r w:rsidRPr="0070671E">
        <w:t xml:space="preserve"> Provincial Disaster Management Authority to prepa</w:t>
      </w:r>
      <w:r>
        <w:t xml:space="preserve">re for and respond to disasters, under the World Bank’s MDTF for KP, FATA and </w:t>
      </w:r>
      <w:proofErr w:type="spellStart"/>
      <w:r>
        <w:t>Balochistan</w:t>
      </w:r>
      <w:proofErr w:type="spellEnd"/>
      <w:r>
        <w:t>.</w:t>
      </w:r>
    </w:p>
    <w:p w:rsidR="00060B36" w:rsidRPr="00125C7E" w:rsidRDefault="00060B36" w:rsidP="00E25B75">
      <w:pPr>
        <w:pStyle w:val="BodyText"/>
        <w:rPr>
          <w:b/>
        </w:rPr>
      </w:pPr>
      <w:r>
        <w:rPr>
          <w:b/>
          <w:lang w:val="en-CA"/>
        </w:rPr>
        <w:t xml:space="preserve">Many humanitarian and development challenges call for a medium to long-term strategy that positions the humanitarian program to work within the broader development framework. </w:t>
      </w:r>
      <w:r w:rsidR="009D4C2F">
        <w:t>DFAT</w:t>
      </w:r>
      <w:r w:rsidRPr="0070671E">
        <w:t xml:space="preserve"> has begun work on a delivery strategy to guide humanitarian and disaster risk reduction activities in Pakistan. </w:t>
      </w:r>
      <w:r>
        <w:t xml:space="preserve">With completion planned by mid-2014, this strategy will further integrate disaster risk reduction activities across all Australian development activities. </w:t>
      </w:r>
    </w:p>
    <w:p w:rsidR="00060B36" w:rsidRPr="00E25B75" w:rsidRDefault="001A463F" w:rsidP="00E25B75">
      <w:pPr>
        <w:pStyle w:val="Heading2"/>
      </w:pPr>
      <w:r>
        <w:t xml:space="preserve">Objective </w:t>
      </w:r>
      <w:r w:rsidR="00060B36" w:rsidRPr="00873D4A">
        <w:t>3</w:t>
      </w:r>
      <w:r w:rsidR="00E25B75">
        <w:t xml:space="preserve">: </w:t>
      </w:r>
      <w:r w:rsidR="00060B36" w:rsidRPr="00E25B75">
        <w:t xml:space="preserve">To engage with national and provincial governments on development priorities </w:t>
      </w:r>
      <w:proofErr w:type="gramStart"/>
      <w:r w:rsidR="00060B36" w:rsidRPr="00E25B75">
        <w:t>that reduce</w:t>
      </w:r>
      <w:proofErr w:type="gramEnd"/>
      <w:r w:rsidR="00060B36" w:rsidRPr="00E25B75">
        <w:t xml:space="preserve"> poverty and support greater peace and stability.</w:t>
      </w:r>
    </w:p>
    <w:p w:rsidR="00060B36" w:rsidRPr="00A44D92" w:rsidRDefault="00060B36" w:rsidP="00A44D92">
      <w:pPr>
        <w:pStyle w:val="BodyText"/>
        <w:rPr>
          <w:i/>
        </w:rPr>
      </w:pPr>
      <w:r w:rsidRPr="00A44D92">
        <w:rPr>
          <w:i/>
        </w:rPr>
        <w:t xml:space="preserve">Australia has achieved modest progress in supporting strengthened electoral processes, provincial government education sector plans and a national health program. The amber rating reflects that, in spite of this progress, overall government engagement remained limited. Security concerns hampered </w:t>
      </w:r>
      <w:r w:rsidR="009D4C2F">
        <w:rPr>
          <w:i/>
        </w:rPr>
        <w:t>the</w:t>
      </w:r>
      <w:r w:rsidRPr="00A44D92">
        <w:rPr>
          <w:i/>
        </w:rPr>
        <w:t xml:space="preserve"> ability </w:t>
      </w:r>
      <w:r w:rsidR="009D4C2F">
        <w:rPr>
          <w:i/>
        </w:rPr>
        <w:t xml:space="preserve">of Australian embassy staff </w:t>
      </w:r>
      <w:r w:rsidRPr="00A44D92">
        <w:rPr>
          <w:i/>
        </w:rPr>
        <w:t xml:space="preserve">to travel and meet regularly with provincial government officials, and general elections made it difficult to engage with key government counterparts, particularly during the caretaker period. This delayed the renewing of the Australia – Pakistan Development Partnership. </w:t>
      </w:r>
    </w:p>
    <w:p w:rsidR="00060B36" w:rsidRDefault="00060B36" w:rsidP="00E25B75">
      <w:pPr>
        <w:pStyle w:val="BodyText"/>
      </w:pPr>
      <w:r>
        <w:t xml:space="preserve">Since independence, Pakistan has moved between periods of democracy and military rule, disrupting the development of the key institutions of a democratic state. With new signs of political stability and the increased role of provincial governments post-devolution, Australian aid needs to focus support on home-grown efforts to strengthen state legitimacy and help build </w:t>
      </w:r>
      <w:r>
        <w:lastRenderedPageBreak/>
        <w:t xml:space="preserve">the compact between state and citizens to provide the necessary foundation for </w:t>
      </w:r>
      <w:r w:rsidR="002C30D6">
        <w:t xml:space="preserve">a </w:t>
      </w:r>
      <w:r>
        <w:t>more peaceful and stable state.</w:t>
      </w:r>
    </w:p>
    <w:p w:rsidR="00060B36" w:rsidRPr="008F665C" w:rsidRDefault="00060B36" w:rsidP="00E25B75">
      <w:pPr>
        <w:pStyle w:val="BodyText"/>
      </w:pPr>
      <w:r>
        <w:rPr>
          <w:b/>
        </w:rPr>
        <w:t xml:space="preserve">Given that </w:t>
      </w:r>
      <w:r w:rsidRPr="009E2ED0">
        <w:rPr>
          <w:b/>
        </w:rPr>
        <w:t>Australian ODA to Pakistan represents a very small contribution of Pakistan’s total ODA</w:t>
      </w:r>
      <w:r>
        <w:rPr>
          <w:b/>
        </w:rPr>
        <w:t xml:space="preserve"> (1.8 per cent), </w:t>
      </w:r>
      <w:r w:rsidR="009D4C2F">
        <w:rPr>
          <w:b/>
        </w:rPr>
        <w:t>DFAT</w:t>
      </w:r>
      <w:r>
        <w:rPr>
          <w:b/>
        </w:rPr>
        <w:t xml:space="preserve"> has </w:t>
      </w:r>
      <w:r w:rsidRPr="009E2ED0">
        <w:rPr>
          <w:b/>
        </w:rPr>
        <w:t>limit</w:t>
      </w:r>
      <w:r>
        <w:rPr>
          <w:b/>
        </w:rPr>
        <w:t>ed</w:t>
      </w:r>
      <w:r w:rsidRPr="009E2ED0">
        <w:rPr>
          <w:b/>
        </w:rPr>
        <w:t xml:space="preserve"> </w:t>
      </w:r>
      <w:r>
        <w:rPr>
          <w:b/>
        </w:rPr>
        <w:t xml:space="preserve">its </w:t>
      </w:r>
      <w:r w:rsidRPr="009E2ED0">
        <w:rPr>
          <w:b/>
        </w:rPr>
        <w:t>engagement to a few strategic areas</w:t>
      </w:r>
      <w:r>
        <w:rPr>
          <w:b/>
        </w:rPr>
        <w:t xml:space="preserve">. </w:t>
      </w:r>
      <w:r w:rsidR="001915ED">
        <w:t>DFAT</w:t>
      </w:r>
      <w:r>
        <w:t xml:space="preserve">’s engagement in governance has focused on supporting government policy and planning in education and health through sector-based investments. </w:t>
      </w:r>
      <w:r w:rsidR="001915ED">
        <w:t>The Australian Government</w:t>
      </w:r>
      <w:r>
        <w:t>’s d</w:t>
      </w:r>
      <w:r w:rsidRPr="008F665C">
        <w:t xml:space="preserve">irect governance programming </w:t>
      </w:r>
      <w:r>
        <w:t>in the reporting</w:t>
      </w:r>
      <w:r w:rsidRPr="008F665C">
        <w:t xml:space="preserve"> year also focused on support to the May 2013 elections.</w:t>
      </w:r>
      <w:r>
        <w:t xml:space="preserve"> </w:t>
      </w:r>
      <w:r w:rsidRPr="0070671E">
        <w:t>Another important area of engagement with national and provincial governments was our support to</w:t>
      </w:r>
      <w:r w:rsidRPr="0070671E">
        <w:rPr>
          <w:bCs/>
        </w:rPr>
        <w:t xml:space="preserve"> provincial</w:t>
      </w:r>
      <w:r>
        <w:rPr>
          <w:bCs/>
        </w:rPr>
        <w:t>-</w:t>
      </w:r>
      <w:r w:rsidRPr="0070671E">
        <w:rPr>
          <w:bCs/>
        </w:rPr>
        <w:t xml:space="preserve">level </w:t>
      </w:r>
      <w:r>
        <w:rPr>
          <w:bCs/>
        </w:rPr>
        <w:t>e</w:t>
      </w:r>
      <w:r w:rsidRPr="0070671E">
        <w:rPr>
          <w:bCs/>
        </w:rPr>
        <w:t xml:space="preserve">ducation </w:t>
      </w:r>
      <w:r>
        <w:rPr>
          <w:bCs/>
        </w:rPr>
        <w:t>s</w:t>
      </w:r>
      <w:r w:rsidRPr="0070671E">
        <w:rPr>
          <w:bCs/>
        </w:rPr>
        <w:t xml:space="preserve">ector </w:t>
      </w:r>
      <w:r>
        <w:rPr>
          <w:bCs/>
        </w:rPr>
        <w:t>p</w:t>
      </w:r>
      <w:r w:rsidRPr="0070671E">
        <w:rPr>
          <w:bCs/>
        </w:rPr>
        <w:t xml:space="preserve">lans and a </w:t>
      </w:r>
      <w:r>
        <w:rPr>
          <w:bCs/>
        </w:rPr>
        <w:t>n</w:t>
      </w:r>
      <w:r w:rsidRPr="0070671E">
        <w:rPr>
          <w:bCs/>
        </w:rPr>
        <w:t xml:space="preserve">ational </w:t>
      </w:r>
      <w:r>
        <w:rPr>
          <w:bCs/>
        </w:rPr>
        <w:t>h</w:t>
      </w:r>
      <w:r w:rsidRPr="0070671E">
        <w:rPr>
          <w:bCs/>
        </w:rPr>
        <w:t>ealth program</w:t>
      </w:r>
      <w:r>
        <w:rPr>
          <w:bCs/>
        </w:rPr>
        <w:t xml:space="preserve">. </w:t>
      </w:r>
    </w:p>
    <w:p w:rsidR="00060B36" w:rsidRPr="00363B38" w:rsidRDefault="00060B36" w:rsidP="00E25B75">
      <w:pPr>
        <w:pStyle w:val="BodyText"/>
        <w:rPr>
          <w:b/>
        </w:rPr>
      </w:pPr>
      <w:r w:rsidRPr="0070671E">
        <w:rPr>
          <w:b/>
        </w:rPr>
        <w:t xml:space="preserve">Australia has made good progress on strengthening the electoral system and processes. </w:t>
      </w:r>
      <w:r w:rsidRPr="0070671E">
        <w:t>In partnership with UNDP</w:t>
      </w:r>
      <w:r>
        <w:rPr>
          <w:rStyle w:val="FootnoteReference"/>
          <w:sz w:val="16"/>
          <w:szCs w:val="12"/>
        </w:rPr>
        <w:footnoteReference w:id="44"/>
      </w:r>
      <w:r>
        <w:t>,</w:t>
      </w:r>
      <w:r w:rsidRPr="0070671E">
        <w:t xml:space="preserve"> </w:t>
      </w:r>
      <w:r w:rsidR="001915ED">
        <w:t>the Australian Government</w:t>
      </w:r>
      <w:r w:rsidRPr="0070671E">
        <w:t xml:space="preserve"> support</w:t>
      </w:r>
      <w:r>
        <w:t>ed</w:t>
      </w:r>
      <w:r w:rsidRPr="0070671E">
        <w:t xml:space="preserve"> the Electoral Commission of Pakistan (ECP) to prepare for the May 11 elections. This </w:t>
      </w:r>
      <w:r>
        <w:t>support helped train</w:t>
      </w:r>
      <w:r w:rsidRPr="0070671E">
        <w:t xml:space="preserve"> </w:t>
      </w:r>
      <w:r>
        <w:t>more than</w:t>
      </w:r>
      <w:r w:rsidRPr="0070671E">
        <w:t xml:space="preserve"> 330</w:t>
      </w:r>
      <w:r>
        <w:t xml:space="preserve"> </w:t>
      </w:r>
      <w:r w:rsidRPr="0070671E">
        <w:t xml:space="preserve">000 election officials, </w:t>
      </w:r>
      <w:r>
        <w:t xml:space="preserve">support </w:t>
      </w:r>
      <w:r w:rsidRPr="0070671E">
        <w:t>a voter education campaign focusing on women and youth, and deliver</w:t>
      </w:r>
      <w:r w:rsidR="000E0331">
        <w:t>ed</w:t>
      </w:r>
      <w:r w:rsidRPr="0070671E">
        <w:t xml:space="preserve"> 65</w:t>
      </w:r>
      <w:r w:rsidR="00D90785">
        <w:t> </w:t>
      </w:r>
      <w:r w:rsidRPr="0070671E">
        <w:t>000 ballot boxes.</w:t>
      </w:r>
      <w:r>
        <w:rPr>
          <w:rStyle w:val="FootnoteReference"/>
          <w:sz w:val="16"/>
          <w:szCs w:val="12"/>
        </w:rPr>
        <w:footnoteReference w:id="45"/>
      </w:r>
      <w:r w:rsidRPr="0070671E">
        <w:t xml:space="preserve"> </w:t>
      </w:r>
      <w:r w:rsidR="001915ED">
        <w:t>The Australian Government</w:t>
      </w:r>
      <w:r w:rsidRPr="0070671E">
        <w:t xml:space="preserve"> also supported the ECP to implement its strategic plan; strengthen electoral laws and procedures; and improve the engagement of citizens, particularly women, in electoral processes</w:t>
      </w:r>
      <w:r>
        <w:t xml:space="preserve">. </w:t>
      </w:r>
      <w:r w:rsidRPr="0070671E">
        <w:t xml:space="preserve">Early reporting on the election noted </w:t>
      </w:r>
      <w:r>
        <w:t>improvement</w:t>
      </w:r>
      <w:r w:rsidRPr="0070671E">
        <w:t xml:space="preserve"> in administrative arrangements and voter turnout, estimated at 60 per cent, but expressed concern about the high level of violence and low numbers of women candidates and polling officials. </w:t>
      </w:r>
    </w:p>
    <w:p w:rsidR="00060B36" w:rsidRPr="00363B38" w:rsidRDefault="00060B36" w:rsidP="00E25B75">
      <w:pPr>
        <w:pStyle w:val="BodyText"/>
      </w:pPr>
      <w:r>
        <w:rPr>
          <w:b/>
        </w:rPr>
        <w:t xml:space="preserve">Progress has also been made through </w:t>
      </w:r>
      <w:r w:rsidRPr="0070671E">
        <w:rPr>
          <w:b/>
        </w:rPr>
        <w:t>Australia</w:t>
      </w:r>
      <w:r>
        <w:rPr>
          <w:b/>
        </w:rPr>
        <w:t xml:space="preserve">n support to </w:t>
      </w:r>
      <w:r w:rsidRPr="0070671E">
        <w:rPr>
          <w:b/>
        </w:rPr>
        <w:t xml:space="preserve">provincial governments </w:t>
      </w:r>
      <w:r>
        <w:rPr>
          <w:b/>
        </w:rPr>
        <w:t xml:space="preserve">to help them </w:t>
      </w:r>
      <w:r w:rsidRPr="0070671E">
        <w:rPr>
          <w:b/>
          <w:bCs/>
        </w:rPr>
        <w:t>develop and implement provincial</w:t>
      </w:r>
      <w:r>
        <w:rPr>
          <w:b/>
          <w:bCs/>
        </w:rPr>
        <w:t>-</w:t>
      </w:r>
      <w:r w:rsidRPr="0070671E">
        <w:rPr>
          <w:b/>
          <w:bCs/>
        </w:rPr>
        <w:t xml:space="preserve">level education sector plans. </w:t>
      </w:r>
      <w:r w:rsidRPr="0070671E">
        <w:rPr>
          <w:bCs/>
        </w:rPr>
        <w:t>These plans provide a</w:t>
      </w:r>
      <w:r>
        <w:rPr>
          <w:bCs/>
        </w:rPr>
        <w:t>n overall</w:t>
      </w:r>
      <w:r w:rsidRPr="0070671E">
        <w:rPr>
          <w:bCs/>
        </w:rPr>
        <w:t xml:space="preserve"> framework for provincial governments to identify</w:t>
      </w:r>
      <w:r w:rsidRPr="0070671E">
        <w:t xml:space="preserve"> policy targets</w:t>
      </w:r>
      <w:r w:rsidRPr="0070671E">
        <w:rPr>
          <w:bCs/>
        </w:rPr>
        <w:t xml:space="preserve"> to improve services. They also provide donors with a </w:t>
      </w:r>
      <w:r>
        <w:rPr>
          <w:bCs/>
        </w:rPr>
        <w:t>way</w:t>
      </w:r>
      <w:r w:rsidRPr="0070671E">
        <w:rPr>
          <w:bCs/>
        </w:rPr>
        <w:t xml:space="preserve"> to align support to the education sector and to guide policy </w:t>
      </w:r>
      <w:r>
        <w:rPr>
          <w:bCs/>
        </w:rPr>
        <w:t>discussion</w:t>
      </w:r>
      <w:r w:rsidRPr="0070671E">
        <w:rPr>
          <w:bCs/>
        </w:rPr>
        <w:t xml:space="preserve"> with authorities. </w:t>
      </w:r>
      <w:r w:rsidR="001915ED">
        <w:t>DFAT</w:t>
      </w:r>
      <w:r w:rsidRPr="0070671E">
        <w:t xml:space="preserve">, through DFID, provides joint support for the implementation of the KP Education Sector Plan. Implementation was delayed over 2012 as the capacity to deliver reform in the education department was limited, and relationships with other key departments required strengthening. Capacity gaps were compounded by delays in deploying a technical assistance team. Some delays were addressed in late 2012 and the program is now showing stronger performance with the delivery of stipends to 400 000 girls and grants to </w:t>
      </w:r>
      <w:r>
        <w:t>more than</w:t>
      </w:r>
      <w:r w:rsidRPr="0070671E">
        <w:t xml:space="preserve"> 6000 Parent</w:t>
      </w:r>
      <w:r>
        <w:t xml:space="preserve"> – </w:t>
      </w:r>
      <w:r w:rsidRPr="0070671E">
        <w:t>Teacher Committees. The stipends are allowing 69 per cent of girls to attend school regularly.</w:t>
      </w:r>
      <w:r w:rsidRPr="005E46ED">
        <w:rPr>
          <w:vertAlign w:val="superscript"/>
        </w:rPr>
        <w:footnoteReference w:id="46"/>
      </w:r>
    </w:p>
    <w:p w:rsidR="00060B36" w:rsidRDefault="00060B36" w:rsidP="00E25B75">
      <w:pPr>
        <w:pStyle w:val="BodyText"/>
      </w:pPr>
      <w:r w:rsidRPr="007D0D82">
        <w:rPr>
          <w:b/>
        </w:rPr>
        <w:t xml:space="preserve">In partnership with the German Agency for International Cooperation, </w:t>
      </w:r>
      <w:r w:rsidR="001915ED">
        <w:rPr>
          <w:b/>
        </w:rPr>
        <w:t>DFAT</w:t>
      </w:r>
      <w:r w:rsidRPr="007D0D82">
        <w:rPr>
          <w:b/>
        </w:rPr>
        <w:t xml:space="preserve"> is supporting the </w:t>
      </w:r>
      <w:r w:rsidRPr="007D0D82">
        <w:rPr>
          <w:rStyle w:val="Emphasis"/>
          <w:color w:val="222222"/>
          <w:sz w:val="24"/>
        </w:rPr>
        <w:t>KP</w:t>
      </w:r>
      <w:r w:rsidRPr="007D0D82">
        <w:rPr>
          <w:rStyle w:val="st"/>
          <w:b/>
          <w:color w:val="222222"/>
          <w:sz w:val="24"/>
        </w:rPr>
        <w:t xml:space="preserve"> </w:t>
      </w:r>
      <w:r w:rsidRPr="007D0D82">
        <w:rPr>
          <w:b/>
        </w:rPr>
        <w:t xml:space="preserve">Education Capacity Development Strategy. </w:t>
      </w:r>
      <w:r w:rsidRPr="0070671E">
        <w:t xml:space="preserve">During 2011, </w:t>
      </w:r>
      <w:r>
        <w:t>Aus</w:t>
      </w:r>
      <w:r w:rsidR="001915ED">
        <w:t xml:space="preserve">tralian </w:t>
      </w:r>
      <w:r>
        <w:t xml:space="preserve">support enabled </w:t>
      </w:r>
      <w:r w:rsidRPr="0070671E">
        <w:t xml:space="preserve">in-service training and supervision for teachers </w:t>
      </w:r>
      <w:r>
        <w:t xml:space="preserve">to be provided </w:t>
      </w:r>
      <w:r w:rsidRPr="0070671E">
        <w:t>in selected schools. This resulted in improved learning outcomes in target schools with total achievement scores 9 per cent higher for Grade 3 students and 7 per</w:t>
      </w:r>
      <w:r>
        <w:t xml:space="preserve"> </w:t>
      </w:r>
      <w:r w:rsidRPr="0070671E">
        <w:t xml:space="preserve">cent higher for </w:t>
      </w:r>
      <w:r>
        <w:t>G</w:t>
      </w:r>
      <w:r w:rsidRPr="0070671E">
        <w:t xml:space="preserve">rade 5 students. </w:t>
      </w:r>
      <w:r>
        <w:t>T</w:t>
      </w:r>
      <w:r w:rsidRPr="0070671E">
        <w:t xml:space="preserve">hese </w:t>
      </w:r>
      <w:r>
        <w:t>positive</w:t>
      </w:r>
      <w:r w:rsidRPr="0070671E">
        <w:t xml:space="preserve"> outcomes</w:t>
      </w:r>
      <w:r>
        <w:t xml:space="preserve"> led</w:t>
      </w:r>
      <w:r w:rsidRPr="0070671E">
        <w:t xml:space="preserve"> the Go</w:t>
      </w:r>
      <w:r>
        <w:t xml:space="preserve">vernment of </w:t>
      </w:r>
      <w:r w:rsidRPr="0070671E">
        <w:t xml:space="preserve">KP </w:t>
      </w:r>
      <w:r>
        <w:t xml:space="preserve">to </w:t>
      </w:r>
      <w:r w:rsidRPr="0070671E">
        <w:t xml:space="preserve">agree to scaling up </w:t>
      </w:r>
      <w:r>
        <w:t xml:space="preserve">training and supervision </w:t>
      </w:r>
      <w:r w:rsidRPr="0070671E">
        <w:t>to all schools in three districts</w:t>
      </w:r>
      <w:r>
        <w:t xml:space="preserve">. </w:t>
      </w:r>
      <w:r w:rsidRPr="0070671E">
        <w:t>In March 2013, as a result of the success of the Aus</w:t>
      </w:r>
      <w:r w:rsidR="001915ED">
        <w:t>tralian</w:t>
      </w:r>
      <w:r w:rsidRPr="0070671E">
        <w:t xml:space="preserve">-funded </w:t>
      </w:r>
      <w:r>
        <w:t>ECCE</w:t>
      </w:r>
      <w:r w:rsidRPr="0070671E">
        <w:t xml:space="preserve"> Program in KP, the Go</w:t>
      </w:r>
      <w:r>
        <w:t xml:space="preserve">vernment of </w:t>
      </w:r>
      <w:r w:rsidRPr="0070671E">
        <w:t>KP further demonstrated its commitment to improved education services by formalising the four</w:t>
      </w:r>
      <w:r>
        <w:t>-</w:t>
      </w:r>
      <w:r w:rsidRPr="0070671E">
        <w:t>year</w:t>
      </w:r>
      <w:r>
        <w:t>-</w:t>
      </w:r>
      <w:r w:rsidRPr="0070671E">
        <w:t xml:space="preserve">old starting age for pre-primary classes and allocating government funds </w:t>
      </w:r>
      <w:r>
        <w:t>to build</w:t>
      </w:r>
      <w:r w:rsidRPr="0070671E">
        <w:t xml:space="preserve"> 500 early childhood classrooms</w:t>
      </w:r>
      <w:r>
        <w:t>.</w:t>
      </w:r>
      <w:r w:rsidRPr="005E46ED">
        <w:rPr>
          <w:vertAlign w:val="superscript"/>
        </w:rPr>
        <w:footnoteReference w:id="47"/>
      </w:r>
      <w:r w:rsidRPr="0070671E">
        <w:t xml:space="preserve"> </w:t>
      </w:r>
    </w:p>
    <w:p w:rsidR="00060B36" w:rsidRDefault="00060B36" w:rsidP="00E25B75">
      <w:pPr>
        <w:pStyle w:val="BodyText"/>
      </w:pPr>
      <w:r w:rsidRPr="007D741E">
        <w:rPr>
          <w:b/>
        </w:rPr>
        <w:t>Australia's assistance to education in Pakistan has helped the Government of KP improve the quality of, and access to, education for girls and boys</w:t>
      </w:r>
      <w:r>
        <w:rPr>
          <w:b/>
        </w:rPr>
        <w:t xml:space="preserve">. </w:t>
      </w:r>
      <w:r w:rsidRPr="00FE3979">
        <w:t>In this province</w:t>
      </w:r>
      <w:r>
        <w:t xml:space="preserve">, </w:t>
      </w:r>
      <w:r w:rsidRPr="00FE3979">
        <w:t xml:space="preserve">16 per </w:t>
      </w:r>
      <w:r w:rsidRPr="00FE3979">
        <w:lastRenderedPageBreak/>
        <w:t>cent of children aged 5 to 16 years of age, and 65 per cent of children aged 3 to 5 years of age</w:t>
      </w:r>
      <w:r>
        <w:t>,</w:t>
      </w:r>
      <w:r w:rsidRPr="00FE3979">
        <w:t xml:space="preserve"> are not attending school.</w:t>
      </w:r>
      <w:r>
        <w:t xml:space="preserve"> </w:t>
      </w:r>
      <w:r w:rsidRPr="007D741E">
        <w:t>The Government of KP has prioritised the implementation of an education strategy designed to redress these deficits and improve the equity and quality of education, allocating 16 per cent of its development spending for 2013</w:t>
      </w:r>
      <w:r>
        <w:t>–</w:t>
      </w:r>
      <w:r w:rsidRPr="007D741E">
        <w:t>14 to education (approximately $125 million). It is also acting to ensure that 70 per cent of the ODA budget to KP benefits girls through incentives including accommodation</w:t>
      </w:r>
      <w:r>
        <w:t xml:space="preserve">, </w:t>
      </w:r>
      <w:r w:rsidRPr="007D741E">
        <w:t>transport and allowances for female teachers and deputy education officers working in underdeveloped areas</w:t>
      </w:r>
      <w:r>
        <w:t>, as well as</w:t>
      </w:r>
      <w:r w:rsidRPr="007D741E">
        <w:t xml:space="preserve"> a scholarship program for girls living in the</w:t>
      </w:r>
      <w:r>
        <w:t xml:space="preserve"> </w:t>
      </w:r>
      <w:r w:rsidRPr="007D741E">
        <w:t>most undeveloped districts of the province.</w:t>
      </w:r>
    </w:p>
    <w:p w:rsidR="00060B36" w:rsidRPr="007D0D82" w:rsidRDefault="00060B36" w:rsidP="00E25B75">
      <w:pPr>
        <w:pStyle w:val="BodyText"/>
      </w:pPr>
      <w:r w:rsidRPr="0070671E">
        <w:rPr>
          <w:b/>
        </w:rPr>
        <w:t xml:space="preserve">Pakistan is making slow progress in </w:t>
      </w:r>
      <w:r w:rsidRPr="0070671E">
        <w:rPr>
          <w:b/>
          <w:lang w:val="en-GB"/>
        </w:rPr>
        <w:t xml:space="preserve">reducing maternal, </w:t>
      </w:r>
      <w:proofErr w:type="spellStart"/>
      <w:r w:rsidRPr="0070671E">
        <w:rPr>
          <w:b/>
          <w:lang w:val="en-GB"/>
        </w:rPr>
        <w:t>newborn</w:t>
      </w:r>
      <w:proofErr w:type="spellEnd"/>
      <w:r w:rsidRPr="0070671E">
        <w:rPr>
          <w:b/>
          <w:lang w:val="en-GB"/>
        </w:rPr>
        <w:t xml:space="preserve"> and child mortality</w:t>
      </w:r>
      <w:r w:rsidRPr="0070671E">
        <w:rPr>
          <w:b/>
        </w:rPr>
        <w:t>.</w:t>
      </w:r>
      <w:r w:rsidRPr="0070671E">
        <w:t xml:space="preserve"> However, </w:t>
      </w:r>
      <w:r>
        <w:t xml:space="preserve">as noted in Objective 1, </w:t>
      </w:r>
      <w:r w:rsidRPr="0070671E">
        <w:t xml:space="preserve">Australia’s partnership with DFID to support the Government of Pakistan to implement its National MNCH Program is on track to achieve most objectives. </w:t>
      </w:r>
      <w:r>
        <w:t>Our</w:t>
      </w:r>
      <w:r w:rsidRPr="0070671E">
        <w:t xml:space="preserve"> support</w:t>
      </w:r>
      <w:r>
        <w:t xml:space="preserve"> to</w:t>
      </w:r>
      <w:r w:rsidRPr="0070671E">
        <w:t xml:space="preserve"> the Research and Advocacy Fund and the Technical Resource Facility helped inform a revision of </w:t>
      </w:r>
      <w:r>
        <w:t xml:space="preserve">the </w:t>
      </w:r>
      <w:r w:rsidRPr="0070671E">
        <w:t xml:space="preserve">community midwives curriculum. This </w:t>
      </w:r>
      <w:r>
        <w:t>was</w:t>
      </w:r>
      <w:r w:rsidRPr="0070671E">
        <w:t xml:space="preserve"> approved by the Pakistan Nursing Council and measures </w:t>
      </w:r>
      <w:r w:rsidR="000E0331">
        <w:t xml:space="preserve">were </w:t>
      </w:r>
      <w:r w:rsidRPr="0070671E">
        <w:t>taken to introduce more refor</w:t>
      </w:r>
      <w:r>
        <w:t xml:space="preserve">ms in the examination system. </w:t>
      </w:r>
      <w:r w:rsidR="00CE6EB9">
        <w:t>DFAT</w:t>
      </w:r>
      <w:r w:rsidRPr="007D0D82">
        <w:t xml:space="preserve"> </w:t>
      </w:r>
      <w:r>
        <w:t xml:space="preserve">has recently invested in a </w:t>
      </w:r>
      <w:r w:rsidRPr="007D0D82">
        <w:t>World Bank-managed M</w:t>
      </w:r>
      <w:r>
        <w:t>DTF which will</w:t>
      </w:r>
      <w:r w:rsidRPr="007D0D82">
        <w:t xml:space="preserve"> support the implementation of government nutrition strategies and programs to expand the coverage and access to nutrition services.</w:t>
      </w:r>
      <w:r>
        <w:t xml:space="preserve"> </w:t>
      </w:r>
      <w:r w:rsidR="00CE6EB9">
        <w:t>DFAT</w:t>
      </w:r>
      <w:r>
        <w:t xml:space="preserve"> expects to report on results in 2013–14.</w:t>
      </w:r>
    </w:p>
    <w:p w:rsidR="00060B36" w:rsidRPr="00BD649B" w:rsidRDefault="00060B36" w:rsidP="00E25B75">
      <w:pPr>
        <w:pStyle w:val="BodyText"/>
        <w:rPr>
          <w:rFonts w:ascii="Times Roman" w:hAnsi="Times Roman"/>
          <w:b/>
        </w:rPr>
      </w:pPr>
      <w:r w:rsidRPr="003C2702">
        <w:rPr>
          <w:b/>
        </w:rPr>
        <w:t xml:space="preserve">Despite progress at program level, overall engagement </w:t>
      </w:r>
      <w:r w:rsidR="007D4777">
        <w:rPr>
          <w:b/>
        </w:rPr>
        <w:t xml:space="preserve">by Australia </w:t>
      </w:r>
      <w:r w:rsidRPr="007D4777">
        <w:rPr>
          <w:b/>
        </w:rPr>
        <w:t xml:space="preserve">with </w:t>
      </w:r>
      <w:r w:rsidRPr="003C2702">
        <w:rPr>
          <w:b/>
        </w:rPr>
        <w:t xml:space="preserve">provincial and national governments </w:t>
      </w:r>
      <w:r w:rsidR="000E0331">
        <w:rPr>
          <w:b/>
        </w:rPr>
        <w:t xml:space="preserve">was </w:t>
      </w:r>
      <w:r w:rsidRPr="003C2702">
        <w:rPr>
          <w:b/>
        </w:rPr>
        <w:t>limited during the reporting period.</w:t>
      </w:r>
      <w:r>
        <w:rPr>
          <w:rFonts w:ascii="Times Roman" w:hAnsi="Times Roman"/>
          <w:b/>
        </w:rPr>
        <w:t xml:space="preserve"> </w:t>
      </w:r>
      <w:r w:rsidRPr="00BD649B">
        <w:rPr>
          <w:rFonts w:ascii="Times Roman" w:hAnsi="Times Roman"/>
        </w:rPr>
        <w:t xml:space="preserve">At </w:t>
      </w:r>
      <w:r w:rsidR="00E73581">
        <w:rPr>
          <w:rFonts w:ascii="Times Roman" w:hAnsi="Times Roman"/>
        </w:rPr>
        <w:t xml:space="preserve">the </w:t>
      </w:r>
      <w:r w:rsidRPr="00BD649B">
        <w:rPr>
          <w:rFonts w:ascii="Times Roman" w:hAnsi="Times Roman"/>
        </w:rPr>
        <w:t>national level, government inertia meant that the main forum for aid coordination and development policy engagement,</w:t>
      </w:r>
      <w:r w:rsidR="007D4777">
        <w:rPr>
          <w:rFonts w:ascii="Times Roman" w:hAnsi="Times Roman"/>
        </w:rPr>
        <w:t xml:space="preserve"> the Pakistan Development Forum has not been</w:t>
      </w:r>
      <w:r w:rsidRPr="00BD649B">
        <w:rPr>
          <w:rFonts w:ascii="Times Roman" w:hAnsi="Times Roman"/>
        </w:rPr>
        <w:t xml:space="preserve"> convened </w:t>
      </w:r>
      <w:r w:rsidR="007D4777">
        <w:rPr>
          <w:rFonts w:ascii="Times Roman" w:hAnsi="Times Roman"/>
        </w:rPr>
        <w:t xml:space="preserve">since </w:t>
      </w:r>
      <w:r w:rsidRPr="00BD649B">
        <w:rPr>
          <w:rFonts w:ascii="Times Roman" w:hAnsi="Times Roman"/>
        </w:rPr>
        <w:t>November 2010</w:t>
      </w:r>
      <w:r>
        <w:rPr>
          <w:rFonts w:ascii="Times Roman" w:hAnsi="Times Roman"/>
        </w:rPr>
        <w:t xml:space="preserve">. </w:t>
      </w:r>
      <w:r w:rsidRPr="00BD649B">
        <w:rPr>
          <w:rFonts w:ascii="Times Roman" w:hAnsi="Times Roman"/>
        </w:rPr>
        <w:t>A subgrouping</w:t>
      </w:r>
      <w:r>
        <w:rPr>
          <w:rFonts w:ascii="Times Roman" w:hAnsi="Times Roman"/>
        </w:rPr>
        <w:t xml:space="preserve"> of the Government and the 10 </w:t>
      </w:r>
      <w:r w:rsidRPr="00BD649B">
        <w:rPr>
          <w:rFonts w:ascii="Times Roman" w:hAnsi="Times Roman"/>
        </w:rPr>
        <w:t>major donors in the P</w:t>
      </w:r>
      <w:r>
        <w:rPr>
          <w:rFonts w:ascii="Times Roman" w:hAnsi="Times Roman"/>
        </w:rPr>
        <w:t>akistan Development Forum</w:t>
      </w:r>
      <w:r w:rsidRPr="00BD649B">
        <w:rPr>
          <w:rFonts w:ascii="Times Roman" w:hAnsi="Times Roman"/>
        </w:rPr>
        <w:t>, the D10, also did not meet during the period.</w:t>
      </w:r>
    </w:p>
    <w:p w:rsidR="00060B36" w:rsidRDefault="00060B36" w:rsidP="00E25B75">
      <w:pPr>
        <w:pStyle w:val="BodyText"/>
      </w:pPr>
      <w:r w:rsidRPr="007D0D82">
        <w:rPr>
          <w:b/>
        </w:rPr>
        <w:t>With devolution, provincial governments play an increasingly pivotal role in the delivery of basic services in Pakistan</w:t>
      </w:r>
      <w:r>
        <w:rPr>
          <w:b/>
        </w:rPr>
        <w:t xml:space="preserve">. </w:t>
      </w:r>
      <w:r w:rsidRPr="00BD649B">
        <w:t xml:space="preserve">However high levels of insecurity limited </w:t>
      </w:r>
      <w:r>
        <w:t>Aus</w:t>
      </w:r>
      <w:r w:rsidR="00CE6EB9">
        <w:t>tralian embassy staff</w:t>
      </w:r>
      <w:r>
        <w:t>’s</w:t>
      </w:r>
      <w:r w:rsidR="007D4777">
        <w:t xml:space="preserve"> </w:t>
      </w:r>
      <w:r w:rsidRPr="00BD649B">
        <w:t xml:space="preserve">visits to </w:t>
      </w:r>
      <w:proofErr w:type="spellStart"/>
      <w:r w:rsidRPr="00BD649B">
        <w:t>Balochistan</w:t>
      </w:r>
      <w:proofErr w:type="spellEnd"/>
      <w:r w:rsidRPr="00BD649B">
        <w:t xml:space="preserve"> and KP to seven with none </w:t>
      </w:r>
      <w:r>
        <w:t>taking place</w:t>
      </w:r>
      <w:r w:rsidRPr="00BD649B">
        <w:t xml:space="preserve"> </w:t>
      </w:r>
      <w:r>
        <w:t>in the first half of</w:t>
      </w:r>
      <w:r w:rsidRPr="00BD649B">
        <w:t xml:space="preserve"> 2013</w:t>
      </w:r>
      <w:r>
        <w:t xml:space="preserve">. </w:t>
      </w:r>
      <w:r w:rsidRPr="00BD649B">
        <w:t>This reduced our capacity to directly monitor investments</w:t>
      </w:r>
      <w:r>
        <w:t>. A</w:t>
      </w:r>
      <w:r w:rsidRPr="00BD649B">
        <w:t xml:space="preserve">s some of </w:t>
      </w:r>
      <w:r w:rsidR="00CE6EB9">
        <w:t>DFAT</w:t>
      </w:r>
      <w:r>
        <w:t xml:space="preserve">’s </w:t>
      </w:r>
      <w:r w:rsidRPr="00BD649B">
        <w:t xml:space="preserve">bigger </w:t>
      </w:r>
      <w:r>
        <w:t xml:space="preserve">programs are delivered through </w:t>
      </w:r>
      <w:r w:rsidRPr="00BD649B">
        <w:t>delegated cooperation arrangements,</w:t>
      </w:r>
      <w:r>
        <w:t xml:space="preserve"> there is a </w:t>
      </w:r>
      <w:r w:rsidRPr="00BD649B">
        <w:t>risk</w:t>
      </w:r>
      <w:r>
        <w:t xml:space="preserve"> of</w:t>
      </w:r>
      <w:r w:rsidRPr="00BD649B">
        <w:t xml:space="preserve"> decreasing visibility of Australian support to development programs at provincial level. </w:t>
      </w:r>
    </w:p>
    <w:p w:rsidR="00060B36" w:rsidRDefault="00060B36" w:rsidP="00E25B75">
      <w:pPr>
        <w:pStyle w:val="BodyText"/>
      </w:pPr>
      <w:r w:rsidRPr="00BD649B">
        <w:rPr>
          <w:b/>
        </w:rPr>
        <w:t xml:space="preserve">Opportunities for high-level policy </w:t>
      </w:r>
      <w:r>
        <w:rPr>
          <w:b/>
        </w:rPr>
        <w:t>discussion</w:t>
      </w:r>
      <w:r w:rsidRPr="00BD649B">
        <w:rPr>
          <w:b/>
        </w:rPr>
        <w:t xml:space="preserve"> with </w:t>
      </w:r>
      <w:r>
        <w:rPr>
          <w:b/>
        </w:rPr>
        <w:t>n</w:t>
      </w:r>
      <w:r w:rsidRPr="00BD649B">
        <w:rPr>
          <w:b/>
        </w:rPr>
        <w:t xml:space="preserve">ational and </w:t>
      </w:r>
      <w:r>
        <w:rPr>
          <w:b/>
        </w:rPr>
        <w:t>p</w:t>
      </w:r>
      <w:r w:rsidRPr="00BD649B">
        <w:rPr>
          <w:b/>
        </w:rPr>
        <w:t xml:space="preserve">rovincial </w:t>
      </w:r>
      <w:r>
        <w:rPr>
          <w:b/>
        </w:rPr>
        <w:t>g</w:t>
      </w:r>
      <w:r w:rsidRPr="00BD649B">
        <w:rPr>
          <w:b/>
        </w:rPr>
        <w:t>overnments were limited during the lead up to the May 2013 elections</w:t>
      </w:r>
      <w:r>
        <w:rPr>
          <w:b/>
        </w:rPr>
        <w:t xml:space="preserve">. </w:t>
      </w:r>
      <w:r w:rsidRPr="0015034D">
        <w:t>A</w:t>
      </w:r>
      <w:r w:rsidRPr="00BD649B">
        <w:t xml:space="preserve">t official level, the caretaker </w:t>
      </w:r>
      <w:r>
        <w:t>period meant that</w:t>
      </w:r>
      <w:r w:rsidRPr="00BD649B">
        <w:t xml:space="preserve"> many key counterparts </w:t>
      </w:r>
      <w:r>
        <w:t>were redeployed, which</w:t>
      </w:r>
      <w:r w:rsidRPr="00BD649B">
        <w:t xml:space="preserve"> </w:t>
      </w:r>
      <w:r>
        <w:t>halted</w:t>
      </w:r>
      <w:r w:rsidRPr="00BD649B">
        <w:t xml:space="preserve"> preparations for </w:t>
      </w:r>
      <w:r>
        <w:t xml:space="preserve">the senior-level dialogue to be held under the </w:t>
      </w:r>
      <w:r w:rsidRPr="00BD649B">
        <w:t>Australia</w:t>
      </w:r>
      <w:r>
        <w:t xml:space="preserve"> – </w:t>
      </w:r>
      <w:r w:rsidRPr="00BD649B">
        <w:t>Pakistan Development Partnership</w:t>
      </w:r>
      <w:r>
        <w:t xml:space="preserve"> agreement, </w:t>
      </w:r>
      <w:r w:rsidRPr="00BD649B">
        <w:t>due to expire on 30 June</w:t>
      </w:r>
      <w:r>
        <w:t xml:space="preserve"> 2013. This dialogue is </w:t>
      </w:r>
      <w:r w:rsidRPr="00F1405B">
        <w:t xml:space="preserve">an important mechanism for </w:t>
      </w:r>
      <w:r w:rsidR="00CE6EB9">
        <w:t>the Australian Government</w:t>
      </w:r>
      <w:r w:rsidRPr="00F1405B">
        <w:t xml:space="preserve">’s bilateral policy engagement with the Government of Pakistan. </w:t>
      </w:r>
      <w:r w:rsidRPr="0070671E">
        <w:t xml:space="preserve">The first was held in Islamabad on </w:t>
      </w:r>
      <w:r>
        <w:t xml:space="preserve">28 March 2012. </w:t>
      </w:r>
    </w:p>
    <w:p w:rsidR="00060B36" w:rsidRPr="00F1405B" w:rsidRDefault="00060B36" w:rsidP="00E25B75">
      <w:pPr>
        <w:pStyle w:val="BodyText"/>
      </w:pPr>
      <w:r>
        <w:t xml:space="preserve">At the dialogue, it was </w:t>
      </w:r>
      <w:r w:rsidRPr="0070671E">
        <w:t>ag</w:t>
      </w:r>
      <w:r>
        <w:t xml:space="preserve">reed that </w:t>
      </w:r>
      <w:r w:rsidR="00CE6EB9">
        <w:t>the Australian Government</w:t>
      </w:r>
      <w:r w:rsidRPr="0070671E">
        <w:t xml:space="preserve"> develop a new strategy for Australia’s aid program in Pakistan</w:t>
      </w:r>
      <w:r>
        <w:t xml:space="preserve"> to</w:t>
      </w:r>
      <w:r w:rsidRPr="0070671E">
        <w:t xml:space="preserve"> focus on fewer sectors and larger programs but remain largely geographically focused on </w:t>
      </w:r>
      <w:proofErr w:type="spellStart"/>
      <w:r w:rsidRPr="0070671E">
        <w:t>Balochistan</w:t>
      </w:r>
      <w:proofErr w:type="spellEnd"/>
      <w:r>
        <w:t xml:space="preserve"> and KP</w:t>
      </w:r>
      <w:r w:rsidRPr="0070671E">
        <w:t xml:space="preserve">. </w:t>
      </w:r>
      <w:r>
        <w:t>T</w:t>
      </w:r>
      <w:r w:rsidRPr="00BD649B">
        <w:t xml:space="preserve">alks will resume on the </w:t>
      </w:r>
      <w:r>
        <w:t>p</w:t>
      </w:r>
      <w:r w:rsidRPr="00BD649B">
        <w:t xml:space="preserve">artnership and </w:t>
      </w:r>
      <w:r>
        <w:t xml:space="preserve">the </w:t>
      </w:r>
      <w:r w:rsidRPr="00BD649B">
        <w:t xml:space="preserve">new </w:t>
      </w:r>
      <w:r>
        <w:t>c</w:t>
      </w:r>
      <w:r w:rsidRPr="00BD649B">
        <w:t xml:space="preserve">ountry </w:t>
      </w:r>
      <w:r>
        <w:t>program s</w:t>
      </w:r>
      <w:r w:rsidRPr="00BD649B">
        <w:t xml:space="preserve">trategy once </w:t>
      </w:r>
      <w:r>
        <w:t>m</w:t>
      </w:r>
      <w:r w:rsidRPr="00BD649B">
        <w:t xml:space="preserve">inisters and senior officials </w:t>
      </w:r>
      <w:r>
        <w:t>are in t</w:t>
      </w:r>
      <w:r w:rsidRPr="00BD649B">
        <w:t>heir positions</w:t>
      </w:r>
      <w:r>
        <w:t xml:space="preserve"> under the new government. </w:t>
      </w:r>
    </w:p>
    <w:p w:rsidR="00060B36" w:rsidRPr="00E25B75" w:rsidRDefault="00060B36" w:rsidP="00E25B75">
      <w:pPr>
        <w:pStyle w:val="Heading1"/>
      </w:pPr>
      <w:r w:rsidRPr="00E25B75">
        <w:t>Quality at Implementation ratings</w:t>
      </w:r>
    </w:p>
    <w:p w:rsidR="00060B36" w:rsidRPr="00E25B75" w:rsidRDefault="00060B36" w:rsidP="00E25B75">
      <w:pPr>
        <w:pStyle w:val="BodyText"/>
      </w:pPr>
      <w:r w:rsidRPr="00E25B75">
        <w:t xml:space="preserve">Pakistan is a difficult environment in which to deliver effective aid. Flood recovery and responses to the consecutive floods of 2010, 2011 and 2012, as well as ongoing security concerns and challenges engaging with key government contacts, made it difficult to progress many activities. It also made it difficult for </w:t>
      </w:r>
      <w:r w:rsidR="00CE6EB9">
        <w:t xml:space="preserve">the aid </w:t>
      </w:r>
      <w:r w:rsidR="007F3E26">
        <w:t>program</w:t>
      </w:r>
      <w:r w:rsidRPr="00E25B75">
        <w:t xml:space="preserve"> to monitor implementation. For these reasons, </w:t>
      </w:r>
      <w:r w:rsidR="00CE6EB9">
        <w:t>DFAT</w:t>
      </w:r>
      <w:r w:rsidRPr="00E25B75">
        <w:t xml:space="preserve"> relies heavily on working through delegated cooperation arrangements with other bilateral organisations (DFID and CIDA) and multilateral organisations (the World Bank and FAO). Despite limitations, most partnerships are operating well and some—such as </w:t>
      </w:r>
      <w:r w:rsidRPr="00E25B75">
        <w:lastRenderedPageBreak/>
        <w:t xml:space="preserve">the World Bank MDTF for KP </w:t>
      </w:r>
      <w:proofErr w:type="spellStart"/>
      <w:r w:rsidRPr="00E25B75">
        <w:t>Balochistan</w:t>
      </w:r>
      <w:proofErr w:type="spellEnd"/>
      <w:r w:rsidRPr="00E25B75">
        <w:t xml:space="preserve"> and FATA—improved performance during the reporting period. </w:t>
      </w:r>
    </w:p>
    <w:p w:rsidR="00060B36" w:rsidRPr="00E25B75" w:rsidRDefault="007D4777" w:rsidP="00E25B75">
      <w:pPr>
        <w:pStyle w:val="BodyText"/>
      </w:pPr>
      <w:r w:rsidRPr="00E25B75">
        <w:t xml:space="preserve">As a result of </w:t>
      </w:r>
      <w:r w:rsidR="00060B36" w:rsidRPr="00E25B75">
        <w:t xml:space="preserve">these challenges, there has been very little change in Quality at Implementation ratings this year. Long-standing, well-established programs—such as those delivered by the Fred Hollows Foundation and Save the Children—continued to deliver good results and all but three programs continued to be rated 4 or 5 in each criterion. </w:t>
      </w:r>
    </w:p>
    <w:p w:rsidR="00060B36" w:rsidRPr="00E25B75" w:rsidRDefault="00060B36" w:rsidP="00E25B75">
      <w:pPr>
        <w:pStyle w:val="Heading1"/>
      </w:pPr>
      <w:r w:rsidRPr="00E25B75">
        <w:t xml:space="preserve">Partner performance </w:t>
      </w:r>
    </w:p>
    <w:p w:rsidR="00060B36" w:rsidRDefault="006246DD" w:rsidP="00E25B75">
      <w:pPr>
        <w:pStyle w:val="BodyText"/>
      </w:pPr>
      <w:r>
        <w:t xml:space="preserve">As a part of this </w:t>
      </w:r>
      <w:r w:rsidR="0094075F">
        <w:t>A</w:t>
      </w:r>
      <w:r w:rsidR="00060B36">
        <w:t xml:space="preserve">PPR, </w:t>
      </w:r>
      <w:r w:rsidR="00CE6EB9">
        <w:t>DFAT</w:t>
      </w:r>
      <w:r w:rsidR="00060B36">
        <w:t xml:space="preserve"> assessed its partnerships and identified some key developments and challenges. </w:t>
      </w:r>
      <w:r w:rsidR="00CE6EB9">
        <w:t>DFAT</w:t>
      </w:r>
      <w:r w:rsidR="00060B36">
        <w:t xml:space="preserve"> relies heavily on working through delegated cooperation arrangements with larger bilateral and multilateral development organisations. These arrangements allow </w:t>
      </w:r>
      <w:r w:rsidR="005D2073">
        <w:t>DFAT</w:t>
      </w:r>
      <w:r w:rsidR="00060B36">
        <w:t xml:space="preserve"> to leverage the reach, capacity and authority of these agencies with national stakeholders to maximise results.</w:t>
      </w:r>
    </w:p>
    <w:p w:rsidR="00060B36" w:rsidRDefault="00060B36" w:rsidP="00E25B75">
      <w:pPr>
        <w:pStyle w:val="BodyText"/>
      </w:pPr>
      <w:r w:rsidRPr="001B21DD">
        <w:t>In 2011</w:t>
      </w:r>
      <w:r>
        <w:t>–</w:t>
      </w:r>
      <w:r w:rsidRPr="001B21DD">
        <w:t xml:space="preserve">12, </w:t>
      </w:r>
      <w:r w:rsidR="005D2073">
        <w:t>the Australian Government</w:t>
      </w:r>
      <w:r w:rsidRPr="001B21DD">
        <w:t xml:space="preserve"> entered into a </w:t>
      </w:r>
      <w:r>
        <w:t xml:space="preserve">delegated cooperation agreement with DFID to support </w:t>
      </w:r>
      <w:r w:rsidRPr="001B21DD">
        <w:t>the KP Education Sector Program</w:t>
      </w:r>
      <w:r>
        <w:t>.</w:t>
      </w:r>
      <w:r w:rsidRPr="001B21DD">
        <w:t xml:space="preserve"> In 2012,</w:t>
      </w:r>
      <w:r>
        <w:t xml:space="preserve"> program</w:t>
      </w:r>
      <w:r w:rsidRPr="001B21DD">
        <w:t xml:space="preserve"> implementation was delayed due to limited capacity for reform in the education department, and </w:t>
      </w:r>
      <w:r>
        <w:t xml:space="preserve">required strengthening of </w:t>
      </w:r>
      <w:r w:rsidRPr="001B21DD">
        <w:t xml:space="preserve">relationships with other key departments. </w:t>
      </w:r>
      <w:r w:rsidR="007D4777">
        <w:t>G</w:t>
      </w:r>
      <w:r w:rsidRPr="001B21DD">
        <w:t xml:space="preserve">aps </w:t>
      </w:r>
      <w:r w:rsidR="007D4777">
        <w:t xml:space="preserve">in the capacity of provincial government departments were </w:t>
      </w:r>
      <w:r w:rsidRPr="001B21DD">
        <w:t>compounded by delays in deploying a technical assistance team</w:t>
      </w:r>
      <w:r w:rsidR="007D4777">
        <w:t xml:space="preserve">. </w:t>
      </w:r>
      <w:r w:rsidRPr="001B21DD">
        <w:t xml:space="preserve">In 2013, DFID is working to address these issues and </w:t>
      </w:r>
      <w:r w:rsidR="005D2073">
        <w:t>DFAT</w:t>
      </w:r>
      <w:r w:rsidRPr="001B21DD">
        <w:t xml:space="preserve"> is providing support</w:t>
      </w:r>
      <w:r>
        <w:t xml:space="preserve"> with a</w:t>
      </w:r>
      <w:r w:rsidR="005D2073">
        <w:t xml:space="preserve"> DFAT</w:t>
      </w:r>
      <w:r w:rsidRPr="001B21DD">
        <w:t xml:space="preserve"> secondment to DFID</w:t>
      </w:r>
      <w:r>
        <w:t xml:space="preserve">, </w:t>
      </w:r>
      <w:r w:rsidRPr="001B21DD">
        <w:t xml:space="preserve">to assist </w:t>
      </w:r>
      <w:r>
        <w:t xml:space="preserve">with </w:t>
      </w:r>
      <w:r w:rsidRPr="001B21DD">
        <w:t>program</w:t>
      </w:r>
      <w:r>
        <w:t xml:space="preserve"> implementation</w:t>
      </w:r>
      <w:r w:rsidRPr="001B21DD">
        <w:t xml:space="preserve">. </w:t>
      </w:r>
      <w:r w:rsidR="005D2073">
        <w:t>DFAT</w:t>
      </w:r>
      <w:r w:rsidRPr="001B21DD">
        <w:t xml:space="preserve"> will also initiate a formalised engagement strategy to be agreed by the </w:t>
      </w:r>
      <w:r>
        <w:t>h</w:t>
      </w:r>
      <w:r w:rsidRPr="001B21DD">
        <w:t xml:space="preserve">eads of </w:t>
      </w:r>
      <w:r w:rsidR="005D2073">
        <w:t>DFAT</w:t>
      </w:r>
      <w:r w:rsidRPr="001B21DD">
        <w:t xml:space="preserve"> and DFID at </w:t>
      </w:r>
      <w:r>
        <w:t>P</w:t>
      </w:r>
      <w:r w:rsidRPr="001B21DD">
        <w:t xml:space="preserve">ost. </w:t>
      </w:r>
    </w:p>
    <w:p w:rsidR="00060B36" w:rsidRDefault="00060B36" w:rsidP="00E25B75">
      <w:pPr>
        <w:pStyle w:val="BodyText"/>
      </w:pPr>
      <w:r>
        <w:t xml:space="preserve">The partnership with the World Bank MDTF for </w:t>
      </w:r>
      <w:proofErr w:type="spellStart"/>
      <w:r>
        <w:t>Balochistan</w:t>
      </w:r>
      <w:proofErr w:type="spellEnd"/>
      <w:r>
        <w:t xml:space="preserve">, FATA and KP improved performance during the reporting period. Recognising its leadership in areas such as nutrition, </w:t>
      </w:r>
      <w:r w:rsidR="005D2073">
        <w:t>the Australian Government</w:t>
      </w:r>
      <w:r>
        <w:t xml:space="preserve"> became the founding donor of a World Bank MDTF for improved nutrition which will </w:t>
      </w:r>
      <w:r w:rsidRPr="00A120CE">
        <w:t xml:space="preserve">support </w:t>
      </w:r>
      <w:r>
        <w:t xml:space="preserve">improved </w:t>
      </w:r>
      <w:r w:rsidRPr="00A120CE">
        <w:t xml:space="preserve">nutrition for children and mothers in </w:t>
      </w:r>
      <w:proofErr w:type="spellStart"/>
      <w:r>
        <w:t>Balochistan</w:t>
      </w:r>
      <w:proofErr w:type="spellEnd"/>
      <w:r>
        <w:t xml:space="preserve"> and KP. </w:t>
      </w:r>
    </w:p>
    <w:p w:rsidR="00060B36" w:rsidRDefault="005D2073" w:rsidP="00E25B75">
      <w:pPr>
        <w:pStyle w:val="BodyText"/>
      </w:pPr>
      <w:r>
        <w:t>DFAT</w:t>
      </w:r>
      <w:r w:rsidR="00060B36">
        <w:t xml:space="preserve"> support to </w:t>
      </w:r>
      <w:r w:rsidR="00060B36" w:rsidRPr="001B21DD">
        <w:t>avoidable blindness</w:t>
      </w:r>
      <w:r w:rsidR="00060B36">
        <w:t xml:space="preserve"> has been delivered through the Fred Hollows Foundation. The Foundation</w:t>
      </w:r>
      <w:r w:rsidR="00060B36" w:rsidRPr="001B21DD">
        <w:t xml:space="preserve"> is moving from </w:t>
      </w:r>
      <w:r w:rsidR="007657D0">
        <w:t xml:space="preserve">direct health </w:t>
      </w:r>
      <w:r w:rsidR="00060B36" w:rsidRPr="001B21DD">
        <w:t xml:space="preserve">service delivery </w:t>
      </w:r>
      <w:r w:rsidR="00060B36">
        <w:t>t</w:t>
      </w:r>
      <w:r w:rsidR="00060B36" w:rsidRPr="001B21DD">
        <w:t xml:space="preserve">o </w:t>
      </w:r>
      <w:r w:rsidR="00060B36">
        <w:t xml:space="preserve">working with health systems to improve eye-care programs in Pakistan. </w:t>
      </w:r>
      <w:r w:rsidR="00060B36" w:rsidRPr="001B21DD">
        <w:t xml:space="preserve">This </w:t>
      </w:r>
      <w:r w:rsidR="00060B36">
        <w:t xml:space="preserve">change </w:t>
      </w:r>
      <w:r w:rsidR="00060B36" w:rsidRPr="001B21DD">
        <w:t xml:space="preserve">could potentially raise challenges for </w:t>
      </w:r>
      <w:r>
        <w:t>DFAT</w:t>
      </w:r>
      <w:r w:rsidR="00060B36" w:rsidRPr="001B21DD">
        <w:t xml:space="preserve"> given </w:t>
      </w:r>
      <w:r w:rsidR="00060B36">
        <w:t>the Foundation’s</w:t>
      </w:r>
      <w:r w:rsidR="00060B36" w:rsidRPr="001B21DD">
        <w:t xml:space="preserve"> relatively limited experience in system strengthening at the provincial level in Pakistan</w:t>
      </w:r>
      <w:r w:rsidR="00060B36">
        <w:t xml:space="preserve">. </w:t>
      </w:r>
      <w:r>
        <w:t>DFAT</w:t>
      </w:r>
      <w:r w:rsidR="00060B36" w:rsidRPr="001B21DD">
        <w:t xml:space="preserve"> </w:t>
      </w:r>
      <w:r w:rsidR="00060B36">
        <w:t xml:space="preserve">is </w:t>
      </w:r>
      <w:r w:rsidR="00060B36" w:rsidRPr="001B21DD">
        <w:t>work</w:t>
      </w:r>
      <w:r w:rsidR="00060B36">
        <w:t>ing</w:t>
      </w:r>
      <w:r w:rsidR="00060B36" w:rsidRPr="001B21DD">
        <w:t xml:space="preserve"> closely with the </w:t>
      </w:r>
      <w:r w:rsidR="00060B36">
        <w:t xml:space="preserve">Foundation </w:t>
      </w:r>
      <w:r w:rsidR="00060B36" w:rsidRPr="001B21DD">
        <w:t xml:space="preserve">to ensure </w:t>
      </w:r>
      <w:r w:rsidR="00060B36">
        <w:t xml:space="preserve">the program </w:t>
      </w:r>
      <w:r w:rsidR="00060B36" w:rsidRPr="001B21DD">
        <w:t>deliver</w:t>
      </w:r>
      <w:r w:rsidR="00060B36">
        <w:t>s</w:t>
      </w:r>
      <w:r w:rsidR="00060B36" w:rsidRPr="001B21DD">
        <w:t xml:space="preserve"> </w:t>
      </w:r>
      <w:r w:rsidR="007657D0">
        <w:t xml:space="preserve">on </w:t>
      </w:r>
      <w:r w:rsidR="007657D0" w:rsidRPr="007657D0">
        <w:t>strengthen</w:t>
      </w:r>
      <w:r w:rsidR="007657D0">
        <w:t>ing</w:t>
      </w:r>
      <w:r w:rsidR="007657D0" w:rsidRPr="007657D0">
        <w:t xml:space="preserve"> eye health service delivery</w:t>
      </w:r>
      <w:r w:rsidR="00060B36" w:rsidRPr="001B21DD">
        <w:t>.</w:t>
      </w:r>
      <w:r w:rsidR="00060B36">
        <w:t xml:space="preserve"> </w:t>
      </w:r>
    </w:p>
    <w:p w:rsidR="00060B36" w:rsidRPr="001B21DD" w:rsidRDefault="00060B36" w:rsidP="00E25B75">
      <w:pPr>
        <w:pStyle w:val="BodyText"/>
      </w:pPr>
      <w:r w:rsidRPr="003123FB">
        <w:t xml:space="preserve">The </w:t>
      </w:r>
      <w:r>
        <w:t xml:space="preserve">World </w:t>
      </w:r>
      <w:r w:rsidRPr="003123FB">
        <w:t xml:space="preserve">Bank is an important development partner for </w:t>
      </w:r>
      <w:r w:rsidR="005D2073">
        <w:t>DFAT</w:t>
      </w:r>
      <w:r w:rsidR="001A463F">
        <w:t xml:space="preserve"> in the area of nutrition</w:t>
      </w:r>
      <w:r>
        <w:t>,</w:t>
      </w:r>
      <w:r w:rsidRPr="003123FB">
        <w:t xml:space="preserve"> with a solid track record and</w:t>
      </w:r>
      <w:r>
        <w:t xml:space="preserve"> </w:t>
      </w:r>
      <w:r w:rsidRPr="003123FB">
        <w:t>significant expertise in designing and implementing large-scale health programs</w:t>
      </w:r>
      <w:r>
        <w:t xml:space="preserve">. </w:t>
      </w:r>
      <w:r w:rsidRPr="003123FB">
        <w:t xml:space="preserve">It is also one of the few </w:t>
      </w:r>
      <w:r>
        <w:t>organisations</w:t>
      </w:r>
      <w:r w:rsidRPr="003123FB">
        <w:t xml:space="preserve"> operating in Pakistan </w:t>
      </w:r>
      <w:r>
        <w:t>with</w:t>
      </w:r>
      <w:r w:rsidRPr="003123FB">
        <w:t xml:space="preserve"> the capacity to work in all relevant sectors contribut</w:t>
      </w:r>
      <w:r>
        <w:t>ing</w:t>
      </w:r>
      <w:r w:rsidRPr="003123FB">
        <w:t xml:space="preserve"> to addressing malnutrition</w:t>
      </w:r>
      <w:r>
        <w:t>, at the scale necessary for significant impact</w:t>
      </w:r>
      <w:r w:rsidRPr="003123FB">
        <w:t xml:space="preserve">. </w:t>
      </w:r>
    </w:p>
    <w:p w:rsidR="00060B36" w:rsidRPr="001B21DD" w:rsidRDefault="00060B36" w:rsidP="00E25B75">
      <w:pPr>
        <w:pStyle w:val="BodyText"/>
      </w:pPr>
      <w:r w:rsidRPr="001B21DD">
        <w:t>A mid-term review of the A</w:t>
      </w:r>
      <w:r>
        <w:t xml:space="preserve">SLP </w:t>
      </w:r>
      <w:r w:rsidRPr="001B21DD">
        <w:t xml:space="preserve">Phase </w:t>
      </w:r>
      <w:r w:rsidR="001A463F">
        <w:t>2</w:t>
      </w:r>
      <w:r>
        <w:t xml:space="preserve">, implemented </w:t>
      </w:r>
      <w:r w:rsidRPr="001B21DD">
        <w:t>by</w:t>
      </w:r>
      <w:r>
        <w:t xml:space="preserve"> </w:t>
      </w:r>
      <w:r w:rsidRPr="001B21DD">
        <w:t>ACIAR</w:t>
      </w:r>
      <w:r>
        <w:t>,</w:t>
      </w:r>
      <w:r w:rsidRPr="001B21DD">
        <w:t xml:space="preserve"> was conducted in April 2013</w:t>
      </w:r>
      <w:r>
        <w:t xml:space="preserve">. </w:t>
      </w:r>
      <w:r w:rsidRPr="001B21DD">
        <w:t xml:space="preserve">The review was supportive of ASLP Phase 2 progress and recommended favourable consideration of Phase </w:t>
      </w:r>
      <w:r w:rsidR="001A463F">
        <w:t>3</w:t>
      </w:r>
      <w:r>
        <w:t xml:space="preserve">. It also </w:t>
      </w:r>
      <w:r w:rsidRPr="001B21DD">
        <w:t xml:space="preserve">identified that </w:t>
      </w:r>
      <w:r w:rsidR="005D2073">
        <w:t>DFAT</w:t>
      </w:r>
      <w:r w:rsidRPr="001B21DD">
        <w:t xml:space="preserve"> and ACIAR need to wo</w:t>
      </w:r>
      <w:r>
        <w:t>rk more closely</w:t>
      </w:r>
      <w:r w:rsidR="005D2073">
        <w:t>.</w:t>
      </w:r>
      <w:r w:rsidRPr="001B21DD">
        <w:t xml:space="preserve"> </w:t>
      </w:r>
    </w:p>
    <w:p w:rsidR="00060B36" w:rsidRPr="00E25B75" w:rsidRDefault="00060B36" w:rsidP="00E25B75">
      <w:pPr>
        <w:pStyle w:val="Heading1"/>
      </w:pPr>
      <w:r w:rsidRPr="00E25B75">
        <w:t>Management consequences</w:t>
      </w:r>
    </w:p>
    <w:p w:rsidR="00060B36" w:rsidRPr="006B18D6" w:rsidRDefault="00060B36" w:rsidP="00E25B75">
      <w:pPr>
        <w:pStyle w:val="Heading3"/>
      </w:pPr>
      <w:r w:rsidRPr="006B18D6">
        <w:t>Response to management consequences identified in 2011</w:t>
      </w:r>
    </w:p>
    <w:p w:rsidR="00060B36" w:rsidRPr="00232BD6" w:rsidRDefault="00060B36" w:rsidP="00E25B75">
      <w:pPr>
        <w:pStyle w:val="BodyText"/>
      </w:pPr>
      <w:r w:rsidRPr="00232BD6">
        <w:t xml:space="preserve">The program management actions identified in the 2011 APPR </w:t>
      </w:r>
      <w:r>
        <w:t>focused on</w:t>
      </w:r>
      <w:r w:rsidRPr="00232BD6">
        <w:t xml:space="preserve"> prepar</w:t>
      </w:r>
      <w:r>
        <w:t>ing</w:t>
      </w:r>
      <w:r w:rsidRPr="00232BD6">
        <w:t xml:space="preserve"> the </w:t>
      </w:r>
      <w:r>
        <w:t xml:space="preserve">new </w:t>
      </w:r>
      <w:r w:rsidRPr="00232BD6">
        <w:t>country</w:t>
      </w:r>
      <w:r>
        <w:t xml:space="preserve"> program</w:t>
      </w:r>
      <w:r w:rsidRPr="00232BD6">
        <w:t xml:space="preserve"> strategy, increas</w:t>
      </w:r>
      <w:r>
        <w:t>ing</w:t>
      </w:r>
      <w:r w:rsidRPr="00232BD6">
        <w:t xml:space="preserve"> engagement with the Government of Pakistan, strengthen</w:t>
      </w:r>
      <w:r>
        <w:t>ing</w:t>
      </w:r>
      <w:r w:rsidRPr="00232BD6">
        <w:t xml:space="preserve"> partner and donor coordination, and dedicati</w:t>
      </w:r>
      <w:r>
        <w:t>ng</w:t>
      </w:r>
      <w:r w:rsidRPr="00232BD6">
        <w:t xml:space="preserve"> greater program management and staff resources to support increased activities, including the development of sector </w:t>
      </w:r>
      <w:r w:rsidRPr="00232BD6">
        <w:lastRenderedPageBreak/>
        <w:t xml:space="preserve">strategies and planning for pipeline activities. </w:t>
      </w:r>
      <w:r>
        <w:t>Annex A outlines actions taken since the 2011 report in these areas.</w:t>
      </w:r>
    </w:p>
    <w:p w:rsidR="00060B36" w:rsidRPr="00232BD6" w:rsidRDefault="00060B36" w:rsidP="00E25B75">
      <w:pPr>
        <w:pStyle w:val="BodyText"/>
      </w:pPr>
      <w:r w:rsidRPr="00232BD6">
        <w:t>These actions have been implemented to the extent possible given the operating environment</w:t>
      </w:r>
      <w:r>
        <w:t xml:space="preserve"> in Pakistan</w:t>
      </w:r>
      <w:r w:rsidRPr="00232BD6">
        <w:t xml:space="preserve"> and the hiatus in government engagement in the</w:t>
      </w:r>
      <w:r>
        <w:t xml:space="preserve"> lead-up to national and provinci</w:t>
      </w:r>
      <w:r w:rsidRPr="00232BD6">
        <w:t>al</w:t>
      </w:r>
      <w:r>
        <w:t xml:space="preserve"> g</w:t>
      </w:r>
      <w:r w:rsidRPr="00232BD6">
        <w:t xml:space="preserve">overnment elections. </w:t>
      </w:r>
    </w:p>
    <w:p w:rsidR="00060B36" w:rsidRPr="00232BD6" w:rsidRDefault="00060B36" w:rsidP="00E25B75">
      <w:pPr>
        <w:pStyle w:val="BodyText"/>
      </w:pPr>
      <w:r w:rsidRPr="00232BD6">
        <w:t>In the reporting period:</w:t>
      </w:r>
    </w:p>
    <w:p w:rsidR="00060B36" w:rsidRPr="00232BD6" w:rsidRDefault="00060B36" w:rsidP="00E25B75">
      <w:pPr>
        <w:pStyle w:val="ListBullet"/>
      </w:pPr>
      <w:r w:rsidRPr="00232BD6">
        <w:t>The second Australia</w:t>
      </w:r>
      <w:r>
        <w:t xml:space="preserve"> – </w:t>
      </w:r>
      <w:r w:rsidRPr="00232BD6">
        <w:t xml:space="preserve">Pakistan Development Partnership talks were initiated but then postponed due to elections. </w:t>
      </w:r>
    </w:p>
    <w:p w:rsidR="00060B36" w:rsidRPr="00232BD6" w:rsidRDefault="00060B36" w:rsidP="00E25B75">
      <w:pPr>
        <w:pStyle w:val="ListBullet"/>
      </w:pPr>
      <w:r>
        <w:t>T</w:t>
      </w:r>
      <w:r w:rsidRPr="00232BD6">
        <w:t>he unanticipated turnover in senior positions in Canberra and Islamabad presented significant challenges for program management. However, an additional A</w:t>
      </w:r>
      <w:r>
        <w:t>ustralian</w:t>
      </w:r>
      <w:r w:rsidRPr="00232BD6">
        <w:t>-based officer started at Post to oversee the education, governance and scholarships portfolio.</w:t>
      </w:r>
    </w:p>
    <w:p w:rsidR="00060B36" w:rsidRPr="00232BD6" w:rsidRDefault="00060B36" w:rsidP="00E25B75">
      <w:pPr>
        <w:pStyle w:val="ListBullet"/>
      </w:pPr>
      <w:r w:rsidRPr="00232BD6">
        <w:t xml:space="preserve">Efforts to engage with border province governments were achieved to the degree possible by meeting with interlocutors in Islamabad and Quetta when the security situation allowed (the KP capital of Peshawar was designated ‘do not travel’ for the entire </w:t>
      </w:r>
      <w:r>
        <w:t>reporting period</w:t>
      </w:r>
      <w:r w:rsidRPr="00232BD6">
        <w:t>).</w:t>
      </w:r>
    </w:p>
    <w:p w:rsidR="00060B36" w:rsidRPr="00232BD6" w:rsidRDefault="00060B36" w:rsidP="00E25B75">
      <w:pPr>
        <w:pStyle w:val="ListBullet"/>
      </w:pPr>
      <w:r w:rsidRPr="00232BD6">
        <w:t xml:space="preserve">Donor coordination efforts continued despite little government leadership, through the ADB-led Donor Coordination Forum and more specific forums such as the KP, </w:t>
      </w:r>
      <w:proofErr w:type="spellStart"/>
      <w:r w:rsidRPr="00232BD6">
        <w:t>Balochistan</w:t>
      </w:r>
      <w:proofErr w:type="spellEnd"/>
      <w:r w:rsidRPr="00232BD6">
        <w:t xml:space="preserve"> and FATA M</w:t>
      </w:r>
      <w:r>
        <w:t>DTF</w:t>
      </w:r>
      <w:r w:rsidRPr="00232BD6">
        <w:t xml:space="preserve"> </w:t>
      </w:r>
      <w:r>
        <w:t>s</w:t>
      </w:r>
      <w:r w:rsidRPr="00232BD6">
        <w:t xml:space="preserve">teering and </w:t>
      </w:r>
      <w:r>
        <w:t>a</w:t>
      </w:r>
      <w:r w:rsidRPr="00232BD6">
        <w:t xml:space="preserve">dvisory </w:t>
      </w:r>
      <w:r>
        <w:t>c</w:t>
      </w:r>
      <w:r w:rsidRPr="00232BD6">
        <w:t xml:space="preserve">ommittees. </w:t>
      </w:r>
    </w:p>
    <w:p w:rsidR="00060B36" w:rsidRPr="00232BD6" w:rsidRDefault="00060B36" w:rsidP="00E25B75">
      <w:pPr>
        <w:pStyle w:val="ListBullet"/>
      </w:pPr>
      <w:r w:rsidRPr="00232BD6">
        <w:t xml:space="preserve">The need for more effective donor coordination efforts at provincial level was identified as a key priority for donors and </w:t>
      </w:r>
      <w:r w:rsidR="005D2073">
        <w:t>the Australian Government</w:t>
      </w:r>
      <w:r w:rsidRPr="00232BD6">
        <w:t xml:space="preserve"> took steps to broker for small and medium</w:t>
      </w:r>
      <w:r>
        <w:t>-</w:t>
      </w:r>
      <w:r w:rsidRPr="00232BD6">
        <w:t>sized donors to the education sector</w:t>
      </w:r>
      <w:r>
        <w:t>. In June,</w:t>
      </w:r>
      <w:r w:rsidRPr="00232BD6">
        <w:t xml:space="preserve"> Australia was invited to replace the U</w:t>
      </w:r>
      <w:r>
        <w:t xml:space="preserve">nited </w:t>
      </w:r>
      <w:r w:rsidRPr="00232BD6">
        <w:t>K</w:t>
      </w:r>
      <w:r>
        <w:t>ingdom</w:t>
      </w:r>
      <w:r w:rsidRPr="00232BD6">
        <w:t xml:space="preserve"> as co-chair of the M</w:t>
      </w:r>
      <w:r>
        <w:t>DTF</w:t>
      </w:r>
      <w:r w:rsidRPr="00232BD6">
        <w:t xml:space="preserve"> Advisory </w:t>
      </w:r>
      <w:r>
        <w:t>C</w:t>
      </w:r>
      <w:r w:rsidRPr="00232BD6">
        <w:t>ommittee along with the FATA administration.</w:t>
      </w:r>
    </w:p>
    <w:p w:rsidR="00060B36" w:rsidRPr="00232BD6" w:rsidRDefault="00060B36" w:rsidP="00E25B75">
      <w:pPr>
        <w:pStyle w:val="ListBullet"/>
      </w:pPr>
      <w:r w:rsidRPr="00232BD6">
        <w:t>An A</w:t>
      </w:r>
      <w:r>
        <w:t>ustralian</w:t>
      </w:r>
      <w:r w:rsidRPr="00232BD6">
        <w:t>-based secondment to DFID was approved in the education sector.</w:t>
      </w:r>
    </w:p>
    <w:p w:rsidR="00060B36" w:rsidRDefault="00060B36" w:rsidP="00E25B75">
      <w:pPr>
        <w:pStyle w:val="ListBullet"/>
      </w:pPr>
      <w:r w:rsidRPr="00232BD6">
        <w:t xml:space="preserve">A review of the </w:t>
      </w:r>
      <w:r>
        <w:t>overseas</w:t>
      </w:r>
      <w:r w:rsidRPr="00232BD6">
        <w:t xml:space="preserve">-based </w:t>
      </w:r>
      <w:r>
        <w:t>r</w:t>
      </w:r>
      <w:r w:rsidRPr="00232BD6">
        <w:t xml:space="preserve">emuneration </w:t>
      </w:r>
      <w:r>
        <w:t>f</w:t>
      </w:r>
      <w:r w:rsidRPr="00232BD6">
        <w:t xml:space="preserve">ramework was completed and </w:t>
      </w:r>
      <w:r>
        <w:t xml:space="preserve">a </w:t>
      </w:r>
      <w:r w:rsidRPr="00232BD6">
        <w:t>four-month corporate short</w:t>
      </w:r>
      <w:r>
        <w:t>-</w:t>
      </w:r>
      <w:r w:rsidRPr="00232BD6">
        <w:t>term mission approved to conduct a health check of systems and processes</w:t>
      </w:r>
      <w:r>
        <w:t xml:space="preserve"> at Post</w:t>
      </w:r>
      <w:r w:rsidRPr="00232BD6">
        <w:t xml:space="preserve">, recruit and train an </w:t>
      </w:r>
      <w:r>
        <w:t>overseas</w:t>
      </w:r>
      <w:r w:rsidRPr="00232BD6">
        <w:t>-based Corporate Manager and undertake some higher-level corporate tasks in the interim.</w:t>
      </w:r>
    </w:p>
    <w:p w:rsidR="00060B36" w:rsidRPr="000E775A" w:rsidRDefault="005D2073" w:rsidP="00E25B75">
      <w:pPr>
        <w:pStyle w:val="ListBullet"/>
      </w:pPr>
      <w:r>
        <w:t>DFAT</w:t>
      </w:r>
      <w:r w:rsidR="00060B36" w:rsidRPr="000E775A">
        <w:t xml:space="preserve"> completed a country situation analysis of Pakistan</w:t>
      </w:r>
      <w:r w:rsidR="00060B36">
        <w:t>.</w:t>
      </w:r>
      <w:r w:rsidR="00060B36" w:rsidRPr="000E775A">
        <w:t xml:space="preserve"> </w:t>
      </w:r>
    </w:p>
    <w:p w:rsidR="00060B36" w:rsidRPr="006B18D6" w:rsidRDefault="00060B36" w:rsidP="00E25B75">
      <w:pPr>
        <w:pStyle w:val="Heading3"/>
      </w:pPr>
      <w:r w:rsidRPr="006B18D6">
        <w:t>Progra</w:t>
      </w:r>
      <w:r>
        <w:t>m management issues and actions</w:t>
      </w:r>
    </w:p>
    <w:p w:rsidR="00060B36" w:rsidRPr="008C0C31" w:rsidRDefault="00060B36" w:rsidP="00E25B75">
      <w:pPr>
        <w:pStyle w:val="BodyText"/>
      </w:pPr>
      <w:r w:rsidRPr="008C0C31">
        <w:rPr>
          <w:b/>
        </w:rPr>
        <w:t>1</w:t>
      </w:r>
      <w:r>
        <w:rPr>
          <w:b/>
        </w:rPr>
        <w:t xml:space="preserve">. </w:t>
      </w:r>
      <w:r w:rsidR="00E8353A" w:rsidRPr="00E8353A">
        <w:rPr>
          <w:b/>
          <w:i/>
        </w:rPr>
        <w:t>Enhance security systems and processes to facilitate performance management and monitoring.</w:t>
      </w:r>
      <w:r w:rsidR="00E8353A">
        <w:rPr>
          <w:b/>
        </w:rPr>
        <w:t xml:space="preserve"> </w:t>
      </w:r>
      <w:r w:rsidRPr="008C0C31">
        <w:t>Travel to KP was stopped for the reporting period and travel to other areas ceased for significant periods. The High Commission was forced to close twice during the reporting period, including for four days in January</w:t>
      </w:r>
      <w:r>
        <w:t xml:space="preserve"> 2013</w:t>
      </w:r>
      <w:r w:rsidRPr="008C0C31">
        <w:t xml:space="preserve">, due to escalated protest activity in Islamabad. </w:t>
      </w:r>
    </w:p>
    <w:p w:rsidR="00060B36" w:rsidRPr="00232BD6" w:rsidRDefault="00060B36" w:rsidP="00E25B75">
      <w:pPr>
        <w:pStyle w:val="BodyText"/>
      </w:pPr>
      <w:r w:rsidRPr="002A7E93">
        <w:rPr>
          <w:b/>
          <w:i/>
        </w:rPr>
        <w:t>Consequences</w:t>
      </w:r>
      <w:r w:rsidRPr="002A7E93">
        <w:rPr>
          <w:b/>
        </w:rPr>
        <w:t>:</w:t>
      </w:r>
      <w:r w:rsidRPr="00232BD6">
        <w:t xml:space="preserve"> </w:t>
      </w:r>
      <w:r>
        <w:t xml:space="preserve">Staff at </w:t>
      </w:r>
      <w:r w:rsidRPr="00232BD6">
        <w:t xml:space="preserve">Post </w:t>
      </w:r>
      <w:r>
        <w:t xml:space="preserve">have been </w:t>
      </w:r>
      <w:r w:rsidRPr="00232BD6">
        <w:t xml:space="preserve">unable to directly monitor investments </w:t>
      </w:r>
      <w:r>
        <w:t>or</w:t>
      </w:r>
      <w:r w:rsidRPr="00232BD6">
        <w:t xml:space="preserve"> hold one-on-one meetings with </w:t>
      </w:r>
      <w:r>
        <w:t>p</w:t>
      </w:r>
      <w:r w:rsidRPr="00232BD6">
        <w:t xml:space="preserve">rovincial </w:t>
      </w:r>
      <w:r>
        <w:t>g</w:t>
      </w:r>
      <w:r w:rsidRPr="00232BD6">
        <w:t>overnment officials</w:t>
      </w:r>
      <w:r>
        <w:t xml:space="preserve">. </w:t>
      </w:r>
      <w:r w:rsidRPr="00232BD6">
        <w:t xml:space="preserve">This presents a risk to </w:t>
      </w:r>
      <w:r>
        <w:t xml:space="preserve">the </w:t>
      </w:r>
      <w:r w:rsidRPr="00232BD6">
        <w:t>early identification of program imp</w:t>
      </w:r>
      <w:r>
        <w:t>lementation problems and limits</w:t>
      </w:r>
      <w:r w:rsidRPr="00232BD6">
        <w:t xml:space="preserve"> </w:t>
      </w:r>
      <w:r>
        <w:t xml:space="preserve">the </w:t>
      </w:r>
      <w:r w:rsidRPr="00232BD6">
        <w:t>capacity to consult on future programming. It also limits the visibility of Australian aid investments in Pakistan.</w:t>
      </w:r>
    </w:p>
    <w:p w:rsidR="00060B36" w:rsidRPr="00232BD6" w:rsidRDefault="00060B36" w:rsidP="00E25B75">
      <w:pPr>
        <w:pStyle w:val="BodyText"/>
      </w:pPr>
      <w:r>
        <w:t>Actions p</w:t>
      </w:r>
      <w:r w:rsidRPr="00232BD6">
        <w:t>lanned:</w:t>
      </w:r>
    </w:p>
    <w:p w:rsidR="00060B36" w:rsidRPr="00232BD6" w:rsidRDefault="00060B36" w:rsidP="00E25B75">
      <w:pPr>
        <w:pStyle w:val="ListBullet"/>
      </w:pPr>
      <w:r w:rsidRPr="00232BD6">
        <w:t>Implementation of new travel guidance and other security recommendations</w:t>
      </w:r>
      <w:r>
        <w:t>, including advanced driver training,</w:t>
      </w:r>
      <w:r w:rsidRPr="00232BD6">
        <w:t xml:space="preserve"> once completed and approved by</w:t>
      </w:r>
      <w:r w:rsidR="00E73581">
        <w:t xml:space="preserve"> </w:t>
      </w:r>
      <w:r w:rsidR="005D2073">
        <w:t>DFAT</w:t>
      </w:r>
      <w:r w:rsidRPr="00232BD6">
        <w:t xml:space="preserve">. </w:t>
      </w:r>
    </w:p>
    <w:p w:rsidR="00060B36" w:rsidRPr="008C0C31" w:rsidRDefault="00060B36" w:rsidP="00E25B75">
      <w:pPr>
        <w:pStyle w:val="BodyText"/>
      </w:pPr>
      <w:r w:rsidRPr="008C0C31">
        <w:rPr>
          <w:b/>
        </w:rPr>
        <w:t>2</w:t>
      </w:r>
      <w:r>
        <w:rPr>
          <w:b/>
          <w:i/>
        </w:rPr>
        <w:t xml:space="preserve">. </w:t>
      </w:r>
      <w:r w:rsidR="00E8353A">
        <w:rPr>
          <w:b/>
          <w:i/>
        </w:rPr>
        <w:t>Strengthen policy discourse with implementing partners and national and provincial governments.</w:t>
      </w:r>
      <w:r w:rsidRPr="008C0C31">
        <w:rPr>
          <w:i/>
        </w:rPr>
        <w:t xml:space="preserve"> </w:t>
      </w:r>
      <w:r w:rsidRPr="008C0C31">
        <w:t>As well as security constraints, the lead-up to the elections and resultant spill of positions at senior-official level in key government agencies limited national government engagement. Moribund donor coordination mechanisms limited donor coordination efforts.</w:t>
      </w:r>
    </w:p>
    <w:p w:rsidR="00060B36" w:rsidRPr="00232BD6" w:rsidRDefault="00060B36" w:rsidP="00E25B75">
      <w:pPr>
        <w:pStyle w:val="BodyText"/>
      </w:pPr>
      <w:r w:rsidRPr="007D7727">
        <w:rPr>
          <w:b/>
          <w:i/>
        </w:rPr>
        <w:lastRenderedPageBreak/>
        <w:t>Consequences</w:t>
      </w:r>
      <w:r w:rsidRPr="00232BD6">
        <w:t>: Reduced partner engagement inhibited good quality program planning and coordination</w:t>
      </w:r>
      <w:r>
        <w:t xml:space="preserve">, and </w:t>
      </w:r>
      <w:r w:rsidRPr="00232BD6">
        <w:t>decrease</w:t>
      </w:r>
      <w:r>
        <w:t>d</w:t>
      </w:r>
      <w:r w:rsidRPr="00232BD6">
        <w:t xml:space="preserve"> capacity to promote Australian development contributions with government and community stakeholders. In addition, limited donor coordination risks poor targeting of our aid investments</w:t>
      </w:r>
      <w:r>
        <w:t xml:space="preserve">. </w:t>
      </w:r>
    </w:p>
    <w:p w:rsidR="00060B36" w:rsidRPr="00232BD6" w:rsidRDefault="00060B36" w:rsidP="00E25B75">
      <w:pPr>
        <w:pStyle w:val="BodyText"/>
      </w:pPr>
      <w:r w:rsidRPr="00232BD6">
        <w:t xml:space="preserve">Actions planned: </w:t>
      </w:r>
    </w:p>
    <w:p w:rsidR="00060B36" w:rsidRPr="00232BD6" w:rsidRDefault="00060B36" w:rsidP="00E25B75">
      <w:pPr>
        <w:pStyle w:val="ListBullet"/>
      </w:pPr>
      <w:r>
        <w:t>Coordinate with</w:t>
      </w:r>
      <w:r w:rsidRPr="00232BD6">
        <w:t xml:space="preserve"> other donors to encourage greater leadership </w:t>
      </w:r>
      <w:r>
        <w:t>from</w:t>
      </w:r>
      <w:r w:rsidRPr="00232BD6">
        <w:t xml:space="preserve"> new national and provincial governments.</w:t>
      </w:r>
    </w:p>
    <w:p w:rsidR="00060B36" w:rsidRPr="00450747" w:rsidRDefault="00060B36" w:rsidP="00E25B75">
      <w:pPr>
        <w:pStyle w:val="ListBullet"/>
      </w:pPr>
      <w:r w:rsidRPr="00232BD6">
        <w:t xml:space="preserve">Finalise and implement </w:t>
      </w:r>
      <w:r>
        <w:t>plans</w:t>
      </w:r>
      <w:r w:rsidRPr="00232BD6">
        <w:t xml:space="preserve"> </w:t>
      </w:r>
      <w:r>
        <w:t>to improve the quality and frequency of engagement with governments and implementing partners. Second an</w:t>
      </w:r>
      <w:r w:rsidRPr="00450747">
        <w:t xml:space="preserve"> education program officer </w:t>
      </w:r>
      <w:r>
        <w:t>to</w:t>
      </w:r>
      <w:r w:rsidRPr="00450747">
        <w:t xml:space="preserve"> </w:t>
      </w:r>
      <w:r>
        <w:t>DF</w:t>
      </w:r>
      <w:r w:rsidRPr="00450747">
        <w:t>ID.</w:t>
      </w:r>
    </w:p>
    <w:p w:rsidR="00060B36" w:rsidRPr="008C0C31" w:rsidRDefault="00060B36" w:rsidP="00E25B75">
      <w:pPr>
        <w:pStyle w:val="BodyText"/>
      </w:pPr>
      <w:r w:rsidRPr="00E25B75">
        <w:rPr>
          <w:b/>
          <w:i/>
        </w:rPr>
        <w:t xml:space="preserve">3. </w:t>
      </w:r>
      <w:r w:rsidR="00457FF5" w:rsidRPr="00E25B75">
        <w:rPr>
          <w:b/>
          <w:i/>
        </w:rPr>
        <w:t>Finalise country strategy architecture and sectoral focus.</w:t>
      </w:r>
      <w:r>
        <w:rPr>
          <w:b/>
        </w:rPr>
        <w:t xml:space="preserve"> </w:t>
      </w:r>
      <w:r w:rsidRPr="008C0C31">
        <w:t>The program does not have a current country strategy and the Pakistan Partnership for Development agreement expired on 30 June 2013</w:t>
      </w:r>
      <w:r>
        <w:t>.</w:t>
      </w:r>
      <w:r w:rsidRPr="008C0C31">
        <w:t xml:space="preserve">  </w:t>
      </w:r>
      <w:r w:rsidR="005B1EC6">
        <w:t>As a result, t</w:t>
      </w:r>
      <w:r w:rsidRPr="008C0C31">
        <w:t xml:space="preserve">he current Pakistan program pipeline is undeveloped and </w:t>
      </w:r>
      <w:r w:rsidR="005B1EC6">
        <w:t>requires</w:t>
      </w:r>
      <w:r w:rsidRPr="008C0C31">
        <w:t xml:space="preserve"> a strong</w:t>
      </w:r>
      <w:r w:rsidR="005B1EC6">
        <w:t>er</w:t>
      </w:r>
      <w:r w:rsidRPr="008C0C31">
        <w:t xml:space="preserve"> strategic framework.</w:t>
      </w:r>
    </w:p>
    <w:p w:rsidR="00060B36" w:rsidRPr="00232BD6" w:rsidRDefault="00060B36" w:rsidP="00E25B75">
      <w:pPr>
        <w:pStyle w:val="BodyText"/>
      </w:pPr>
      <w:r w:rsidRPr="007D7727">
        <w:rPr>
          <w:b/>
        </w:rPr>
        <w:t>Consequences</w:t>
      </w:r>
      <w:r w:rsidRPr="00232BD6">
        <w:t>:</w:t>
      </w:r>
      <w:r>
        <w:t xml:space="preserve"> The Pakistan </w:t>
      </w:r>
      <w:r w:rsidRPr="00232BD6">
        <w:t xml:space="preserve">Government </w:t>
      </w:r>
      <w:r w:rsidR="005B1EC6">
        <w:t>is yet to be</w:t>
      </w:r>
      <w:r w:rsidRPr="00232BD6">
        <w:t xml:space="preserve"> engaged in the lead</w:t>
      </w:r>
      <w:r>
        <w:t>-</w:t>
      </w:r>
      <w:r w:rsidRPr="00232BD6">
        <w:t xml:space="preserve">up to the development of the </w:t>
      </w:r>
      <w:r>
        <w:t>new c</w:t>
      </w:r>
      <w:r w:rsidRPr="00232BD6">
        <w:t>ountry</w:t>
      </w:r>
      <w:r>
        <w:t xml:space="preserve"> program s</w:t>
      </w:r>
      <w:r w:rsidRPr="00232BD6">
        <w:t>trategy</w:t>
      </w:r>
      <w:r>
        <w:t xml:space="preserve"> which</w:t>
      </w:r>
      <w:r w:rsidRPr="00232BD6">
        <w:t xml:space="preserve"> may </w:t>
      </w:r>
      <w:r w:rsidRPr="00DC4E60">
        <w:t>result in disagreem</w:t>
      </w:r>
      <w:r w:rsidRPr="00232BD6">
        <w:t xml:space="preserve">ent </w:t>
      </w:r>
      <w:r>
        <w:t>about</w:t>
      </w:r>
      <w:r w:rsidRPr="00232BD6">
        <w:t xml:space="preserve"> the focus of Australian </w:t>
      </w:r>
      <w:r>
        <w:t>a</w:t>
      </w:r>
      <w:r w:rsidRPr="00232BD6">
        <w:t>id to 2018</w:t>
      </w:r>
      <w:r>
        <w:t xml:space="preserve">. </w:t>
      </w:r>
      <w:r w:rsidRPr="00232BD6">
        <w:t xml:space="preserve">Failure to finalise the </w:t>
      </w:r>
      <w:r>
        <w:t>strategy,</w:t>
      </w:r>
      <w:r w:rsidRPr="00232BD6">
        <w:t xml:space="preserve"> </w:t>
      </w:r>
      <w:r>
        <w:t xml:space="preserve">and lower-level delivery strategies, may result in poor program alignment. This could, in turn, undermine </w:t>
      </w:r>
      <w:r w:rsidRPr="00232BD6">
        <w:t>the achievement of results contribut</w:t>
      </w:r>
      <w:r>
        <w:t>ing</w:t>
      </w:r>
      <w:r w:rsidRPr="00232BD6">
        <w:t xml:space="preserve"> to whole</w:t>
      </w:r>
      <w:r>
        <w:t>-</w:t>
      </w:r>
      <w:r w:rsidRPr="00232BD6">
        <w:t>of</w:t>
      </w:r>
      <w:r>
        <w:t>-</w:t>
      </w:r>
      <w:r w:rsidRPr="00232BD6">
        <w:t>program outcomes.</w:t>
      </w:r>
    </w:p>
    <w:p w:rsidR="00060B36" w:rsidRPr="00232BD6" w:rsidRDefault="00060B36" w:rsidP="00E25B75">
      <w:pPr>
        <w:pStyle w:val="BodyText"/>
      </w:pPr>
      <w:r w:rsidRPr="00232BD6">
        <w:t>Actions planned:</w:t>
      </w:r>
    </w:p>
    <w:p w:rsidR="00060B36" w:rsidRPr="00232BD6" w:rsidRDefault="00060B36" w:rsidP="00E25B75">
      <w:pPr>
        <w:pStyle w:val="ListBullet"/>
      </w:pPr>
      <w:r w:rsidRPr="00232BD6">
        <w:t xml:space="preserve">Finalise the </w:t>
      </w:r>
      <w:r>
        <w:t>country program s</w:t>
      </w:r>
      <w:r w:rsidRPr="00232BD6">
        <w:t>trategy</w:t>
      </w:r>
      <w:r>
        <w:t>;</w:t>
      </w:r>
      <w:r w:rsidRPr="00232BD6">
        <w:t xml:space="preserve"> s</w:t>
      </w:r>
      <w:r>
        <w:t>ecure</w:t>
      </w:r>
      <w:r w:rsidRPr="00232BD6">
        <w:t xml:space="preserve"> </w:t>
      </w:r>
      <w:r>
        <w:t xml:space="preserve">renewal of the partnership; and secure </w:t>
      </w:r>
      <w:r w:rsidRPr="00232BD6">
        <w:t xml:space="preserve">agreement </w:t>
      </w:r>
      <w:r>
        <w:t>for</w:t>
      </w:r>
      <w:r w:rsidRPr="00232BD6">
        <w:t xml:space="preserve"> </w:t>
      </w:r>
      <w:r>
        <w:t xml:space="preserve">the strategy </w:t>
      </w:r>
      <w:r w:rsidRPr="00232BD6">
        <w:t>from the Government of Pakistan</w:t>
      </w:r>
      <w:r>
        <w:t>.</w:t>
      </w:r>
    </w:p>
    <w:p w:rsidR="00060B36" w:rsidRDefault="00060B36" w:rsidP="00E25B75">
      <w:pPr>
        <w:pStyle w:val="ListBullet"/>
      </w:pPr>
      <w:r w:rsidRPr="00232BD6">
        <w:t xml:space="preserve">Finalise </w:t>
      </w:r>
      <w:r>
        <w:t>critical delivery strategies</w:t>
      </w:r>
      <w:r w:rsidRPr="00232BD6">
        <w:t xml:space="preserve"> </w:t>
      </w:r>
      <w:r>
        <w:t>(h</w:t>
      </w:r>
      <w:r w:rsidRPr="00232BD6">
        <w:t>umanitarian</w:t>
      </w:r>
      <w:r w:rsidR="005B1EC6">
        <w:t xml:space="preserve"> and </w:t>
      </w:r>
      <w:r>
        <w:t>disaster risk reduction</w:t>
      </w:r>
      <w:r w:rsidRPr="00232BD6">
        <w:t xml:space="preserve"> and </w:t>
      </w:r>
      <w:r>
        <w:t>e</w:t>
      </w:r>
      <w:r w:rsidRPr="00232BD6">
        <w:t xml:space="preserve">ducation </w:t>
      </w:r>
      <w:r>
        <w:t>s</w:t>
      </w:r>
      <w:r w:rsidRPr="00232BD6">
        <w:t>ector</w:t>
      </w:r>
      <w:r>
        <w:t xml:space="preserve">) </w:t>
      </w:r>
      <w:r w:rsidRPr="004E3709">
        <w:t>and review current investments to ensure strategic alignment</w:t>
      </w:r>
      <w:r w:rsidRPr="001010B5">
        <w:t>.</w:t>
      </w:r>
    </w:p>
    <w:p w:rsidR="00060B36" w:rsidRPr="00232BD6" w:rsidRDefault="00060B36" w:rsidP="00E25B75">
      <w:pPr>
        <w:pStyle w:val="BodyText"/>
      </w:pPr>
      <w:r w:rsidRPr="008C0C31">
        <w:rPr>
          <w:b/>
        </w:rPr>
        <w:t>4</w:t>
      </w:r>
      <w:r>
        <w:rPr>
          <w:b/>
          <w:i/>
        </w:rPr>
        <w:t xml:space="preserve">. </w:t>
      </w:r>
      <w:r w:rsidR="00457FF5">
        <w:rPr>
          <w:b/>
          <w:i/>
        </w:rPr>
        <w:t>Establish internal c</w:t>
      </w:r>
      <w:r w:rsidRPr="00232BD6">
        <w:rPr>
          <w:b/>
          <w:i/>
        </w:rPr>
        <w:t xml:space="preserve">orporate </w:t>
      </w:r>
      <w:r w:rsidR="00457FF5">
        <w:rPr>
          <w:b/>
          <w:i/>
        </w:rPr>
        <w:t xml:space="preserve">systems and </w:t>
      </w:r>
      <w:r w:rsidRPr="00232BD6">
        <w:rPr>
          <w:b/>
          <w:i/>
        </w:rPr>
        <w:t>management</w:t>
      </w:r>
      <w:r w:rsidR="00457FF5">
        <w:rPr>
          <w:b/>
          <w:i/>
        </w:rPr>
        <w:t xml:space="preserve"> capacity.</w:t>
      </w:r>
      <w:r w:rsidRPr="00232BD6">
        <w:t xml:space="preserve"> </w:t>
      </w:r>
      <w:r w:rsidR="005B1EC6">
        <w:t xml:space="preserve">The </w:t>
      </w:r>
      <w:r w:rsidR="005D2073">
        <w:t>DFAT</w:t>
      </w:r>
      <w:r w:rsidR="005B1EC6">
        <w:t xml:space="preserve"> </w:t>
      </w:r>
      <w:r w:rsidRPr="00232BD6">
        <w:t>Counsellor has a significant corporate workload and needs additional corporate support for day-to-day finance and office management</w:t>
      </w:r>
      <w:r>
        <w:t xml:space="preserve">. </w:t>
      </w:r>
    </w:p>
    <w:p w:rsidR="00060B36" w:rsidRPr="00232BD6" w:rsidRDefault="00060B36" w:rsidP="00E25B75">
      <w:pPr>
        <w:pStyle w:val="BodyText"/>
      </w:pPr>
      <w:r w:rsidRPr="007D7727">
        <w:rPr>
          <w:b/>
          <w:i/>
        </w:rPr>
        <w:t>Consequences</w:t>
      </w:r>
      <w:r w:rsidRPr="00232BD6">
        <w:rPr>
          <w:i/>
        </w:rPr>
        <w:t>:</w:t>
      </w:r>
      <w:r w:rsidRPr="00232BD6">
        <w:t xml:space="preserve"> </w:t>
      </w:r>
      <w:r w:rsidR="005B1EC6">
        <w:t xml:space="preserve">The </w:t>
      </w:r>
      <w:r w:rsidRPr="00232BD6">
        <w:t>Counsellor has limited time to focus on</w:t>
      </w:r>
      <w:r>
        <w:t xml:space="preserve"> developing and managing the</w:t>
      </w:r>
      <w:r w:rsidRPr="00232BD6">
        <w:t xml:space="preserve"> program and develop</w:t>
      </w:r>
      <w:r>
        <w:t>ing</w:t>
      </w:r>
      <w:r w:rsidRPr="00232BD6">
        <w:t xml:space="preserve"> strong relationships with Pakistan government officials and other development partners.</w:t>
      </w:r>
    </w:p>
    <w:p w:rsidR="00060B36" w:rsidRPr="00232BD6" w:rsidRDefault="00060B36" w:rsidP="00E25B75">
      <w:pPr>
        <w:pStyle w:val="BodyText"/>
      </w:pPr>
      <w:r w:rsidRPr="00232BD6">
        <w:t xml:space="preserve">Actions planned:  </w:t>
      </w:r>
    </w:p>
    <w:p w:rsidR="00E25B75" w:rsidRDefault="00060B36" w:rsidP="00E25B75">
      <w:pPr>
        <w:pStyle w:val="ListBullet"/>
      </w:pPr>
      <w:r w:rsidRPr="00232BD6">
        <w:t xml:space="preserve">Recruit </w:t>
      </w:r>
      <w:r>
        <w:t xml:space="preserve">a </w:t>
      </w:r>
      <w:r w:rsidRPr="00232BD6">
        <w:t>Corporate Manager</w:t>
      </w:r>
      <w:r w:rsidRPr="00B82C95">
        <w:t xml:space="preserve"> and action critical corporate reforms.</w:t>
      </w:r>
    </w:p>
    <w:p w:rsidR="00E25B75" w:rsidRPr="00B82C95" w:rsidRDefault="00E25B75" w:rsidP="00E25B75">
      <w:pPr>
        <w:pStyle w:val="ListBullet"/>
        <w:numPr>
          <w:ilvl w:val="0"/>
          <w:numId w:val="0"/>
        </w:numPr>
      </w:pPr>
    </w:p>
    <w:tbl>
      <w:tblPr>
        <w:tblStyle w:val="APPR"/>
        <w:tblW w:w="5000" w:type="pct"/>
        <w:tblLook w:val="0000" w:firstRow="0" w:lastRow="0" w:firstColumn="0" w:lastColumn="0" w:noHBand="0" w:noVBand="0"/>
      </w:tblPr>
      <w:tblGrid>
        <w:gridCol w:w="4434"/>
        <w:gridCol w:w="4172"/>
      </w:tblGrid>
      <w:tr w:rsidR="00060B36" w:rsidRPr="00180B19" w:rsidTr="00E25B75">
        <w:trPr>
          <w:cnfStyle w:val="000000010000" w:firstRow="0" w:lastRow="0" w:firstColumn="0" w:lastColumn="0" w:oddVBand="0" w:evenVBand="0" w:oddHBand="0" w:evenHBand="1" w:firstRowFirstColumn="0" w:firstRowLastColumn="0" w:lastRowFirstColumn="0" w:lastRowLastColumn="0"/>
        </w:trPr>
        <w:tc>
          <w:tcPr>
            <w:tcW w:w="4363" w:type="dxa"/>
          </w:tcPr>
          <w:p w:rsidR="00060B36" w:rsidRPr="004C4A3E" w:rsidRDefault="00060B36" w:rsidP="004C4A3E">
            <w:pPr>
              <w:pStyle w:val="TableTextColumnHeading"/>
            </w:pPr>
            <w:r w:rsidRPr="004C4A3E">
              <w:t>Most significant risks</w:t>
            </w:r>
          </w:p>
        </w:tc>
        <w:tc>
          <w:tcPr>
            <w:tcW w:w="4103" w:type="dxa"/>
          </w:tcPr>
          <w:p w:rsidR="00060B36" w:rsidRPr="004C4A3E" w:rsidRDefault="00060B36" w:rsidP="00532263">
            <w:pPr>
              <w:pStyle w:val="TableTextColumnHeading"/>
            </w:pPr>
            <w:r w:rsidRPr="004C4A3E">
              <w:t xml:space="preserve">Management </w:t>
            </w:r>
            <w:r>
              <w:t>r</w:t>
            </w:r>
            <w:r w:rsidRPr="004C4A3E">
              <w:t xml:space="preserve">esponse </w:t>
            </w:r>
          </w:p>
        </w:tc>
      </w:tr>
      <w:tr w:rsidR="00060B36" w:rsidRPr="00180B19" w:rsidTr="00E25B75">
        <w:trPr>
          <w:cnfStyle w:val="000000010000" w:firstRow="0" w:lastRow="0" w:firstColumn="0" w:lastColumn="0" w:oddVBand="0" w:evenVBand="0" w:oddHBand="0" w:evenHBand="1" w:firstRowFirstColumn="0" w:firstRowLastColumn="0" w:lastRowFirstColumn="0" w:lastRowLastColumn="0"/>
        </w:trPr>
        <w:tc>
          <w:tcPr>
            <w:tcW w:w="4363" w:type="dxa"/>
          </w:tcPr>
          <w:p w:rsidR="00060B36" w:rsidRPr="00E25B75" w:rsidRDefault="00060B36" w:rsidP="00E25B75">
            <w:pPr>
              <w:pStyle w:val="TableTextEntries"/>
            </w:pPr>
            <w:r w:rsidRPr="00E25B75">
              <w:t>Difficult operating environment limits program monitoring and engagement with government</w:t>
            </w:r>
          </w:p>
        </w:tc>
        <w:tc>
          <w:tcPr>
            <w:tcW w:w="4103" w:type="dxa"/>
          </w:tcPr>
          <w:p w:rsidR="00060B36" w:rsidRPr="00E25B75" w:rsidRDefault="00060B36" w:rsidP="00E25B75">
            <w:pPr>
              <w:pStyle w:val="TableTextEntries"/>
            </w:pPr>
            <w:r w:rsidRPr="00E25B75">
              <w:t xml:space="preserve">Implementation of comprehensive new travel guidance informed by assessment undertaken by </w:t>
            </w:r>
            <w:r w:rsidR="005D2073">
              <w:t>DFAT</w:t>
            </w:r>
            <w:r w:rsidRPr="00E25B75">
              <w:t>’s Security Management Section, and introduction of mandatory training for all staff.</w:t>
            </w:r>
          </w:p>
        </w:tc>
      </w:tr>
      <w:tr w:rsidR="00060B36" w:rsidRPr="00180B19" w:rsidTr="00E25B75">
        <w:trPr>
          <w:cnfStyle w:val="000000010000" w:firstRow="0" w:lastRow="0" w:firstColumn="0" w:lastColumn="0" w:oddVBand="0" w:evenVBand="0" w:oddHBand="0" w:evenHBand="1" w:firstRowFirstColumn="0" w:firstRowLastColumn="0" w:lastRowFirstColumn="0" w:lastRowLastColumn="0"/>
        </w:trPr>
        <w:tc>
          <w:tcPr>
            <w:tcW w:w="4363" w:type="dxa"/>
          </w:tcPr>
          <w:p w:rsidR="00060B36" w:rsidRPr="00E25B75" w:rsidRDefault="00060B36" w:rsidP="00E25B75">
            <w:pPr>
              <w:pStyle w:val="TableTextEntries"/>
            </w:pPr>
            <w:r w:rsidRPr="00E25B75">
              <w:t>Limited partner engagement inhibits good program planning and coordination</w:t>
            </w:r>
          </w:p>
        </w:tc>
        <w:tc>
          <w:tcPr>
            <w:tcW w:w="4103" w:type="dxa"/>
          </w:tcPr>
          <w:p w:rsidR="00060B36" w:rsidRPr="00E25B75" w:rsidRDefault="00060B36" w:rsidP="00E25B75">
            <w:pPr>
              <w:pStyle w:val="TableTextEntries"/>
            </w:pPr>
            <w:r w:rsidRPr="00E25B75">
              <w:t xml:space="preserve">Active participation in all government-donor </w:t>
            </w:r>
            <w:proofErr w:type="spellStart"/>
            <w:r w:rsidRPr="00E25B75">
              <w:t>fora</w:t>
            </w:r>
            <w:proofErr w:type="spellEnd"/>
            <w:r w:rsidRPr="00E25B75">
              <w:t>, including leadership of the donor group convened to increase the influence of smaller donors in the education sector, and co-convening a nutrition partners’ forum.</w:t>
            </w:r>
          </w:p>
        </w:tc>
      </w:tr>
      <w:tr w:rsidR="00060B36" w:rsidRPr="00180B19" w:rsidTr="00E25B75">
        <w:trPr>
          <w:cnfStyle w:val="000000010000" w:firstRow="0" w:lastRow="0" w:firstColumn="0" w:lastColumn="0" w:oddVBand="0" w:evenVBand="0" w:oddHBand="0" w:evenHBand="1" w:firstRowFirstColumn="0" w:firstRowLastColumn="0" w:lastRowFirstColumn="0" w:lastRowLastColumn="0"/>
        </w:trPr>
        <w:tc>
          <w:tcPr>
            <w:tcW w:w="4363" w:type="dxa"/>
          </w:tcPr>
          <w:p w:rsidR="00060B36" w:rsidRPr="00E25B75" w:rsidRDefault="00060B36" w:rsidP="00E25B75">
            <w:pPr>
              <w:pStyle w:val="TableTextEntries"/>
            </w:pPr>
            <w:r w:rsidRPr="00E25B75">
              <w:t>Limited opportunities to engage with government officials due to caretaker period and the May 2013 election</w:t>
            </w:r>
          </w:p>
        </w:tc>
        <w:tc>
          <w:tcPr>
            <w:tcW w:w="4103" w:type="dxa"/>
          </w:tcPr>
          <w:p w:rsidR="00060B36" w:rsidRPr="00E25B75" w:rsidRDefault="00060B36" w:rsidP="00E25B75">
            <w:pPr>
              <w:pStyle w:val="TableTextEntries"/>
            </w:pPr>
            <w:r w:rsidRPr="00E25B75">
              <w:t>Plans to initiate discussions at senior level as soon as possible and set a date for partnership discussions.</w:t>
            </w:r>
          </w:p>
          <w:p w:rsidR="00060B36" w:rsidRPr="00E25B75" w:rsidRDefault="00060B36" w:rsidP="00E25B75">
            <w:pPr>
              <w:pStyle w:val="TableTextEntries"/>
            </w:pPr>
          </w:p>
        </w:tc>
      </w:tr>
      <w:tr w:rsidR="00060B36" w:rsidRPr="00180B19" w:rsidTr="00E25B75">
        <w:trPr>
          <w:cnfStyle w:val="000000010000" w:firstRow="0" w:lastRow="0" w:firstColumn="0" w:lastColumn="0" w:oddVBand="0" w:evenVBand="0" w:oddHBand="0" w:evenHBand="1" w:firstRowFirstColumn="0" w:firstRowLastColumn="0" w:lastRowFirstColumn="0" w:lastRowLastColumn="0"/>
        </w:trPr>
        <w:tc>
          <w:tcPr>
            <w:tcW w:w="4363" w:type="dxa"/>
          </w:tcPr>
          <w:p w:rsidR="00060B36" w:rsidRPr="00E25B75" w:rsidRDefault="00060B36" w:rsidP="00E25B75">
            <w:pPr>
              <w:pStyle w:val="TableTextEntries"/>
            </w:pPr>
            <w:r w:rsidRPr="00E25B75">
              <w:lastRenderedPageBreak/>
              <w:t xml:space="preserve">Risk to program coherence due to lack of strategic program framework </w:t>
            </w:r>
          </w:p>
        </w:tc>
        <w:tc>
          <w:tcPr>
            <w:tcW w:w="4103" w:type="dxa"/>
          </w:tcPr>
          <w:p w:rsidR="00060B36" w:rsidRPr="00E25B75" w:rsidRDefault="00060B36" w:rsidP="00E25B75">
            <w:pPr>
              <w:pStyle w:val="TableTextEntries"/>
            </w:pPr>
            <w:r w:rsidRPr="00E25B75">
              <w:t xml:space="preserve">Planned development of a country program strategy and performance assessment framework. Work has started on key </w:t>
            </w:r>
            <w:r w:rsidR="00B82C95" w:rsidRPr="00E25B75">
              <w:t xml:space="preserve">sector </w:t>
            </w:r>
            <w:r w:rsidRPr="00E25B75">
              <w:t>delivery strategies.</w:t>
            </w:r>
          </w:p>
        </w:tc>
      </w:tr>
    </w:tbl>
    <w:p w:rsidR="00060B36" w:rsidRDefault="00060B36" w:rsidP="002A1935">
      <w:pPr>
        <w:pStyle w:val="BodyText"/>
        <w:sectPr w:rsidR="00060B36" w:rsidSect="00D756C5">
          <w:headerReference w:type="default" r:id="rId10"/>
          <w:footerReference w:type="default" r:id="rId11"/>
          <w:headerReference w:type="first" r:id="rId12"/>
          <w:footerReference w:type="first" r:id="rId13"/>
          <w:pgSz w:w="11906" w:h="16838" w:code="9"/>
          <w:pgMar w:top="2268" w:right="1701" w:bottom="907" w:left="1871" w:header="709" w:footer="454" w:gutter="0"/>
          <w:cols w:space="708"/>
          <w:titlePg/>
          <w:docGrid w:linePitch="360"/>
        </w:sectPr>
      </w:pPr>
    </w:p>
    <w:p w:rsidR="00060B36" w:rsidRPr="00FE4491" w:rsidRDefault="00060B36" w:rsidP="00FE4491">
      <w:pPr>
        <w:pStyle w:val="Heading1"/>
      </w:pPr>
      <w:r>
        <w:lastRenderedPageBreak/>
        <w:t>Annex A</w:t>
      </w:r>
      <w:r w:rsidRPr="00FE4491">
        <w:t xml:space="preserve"> </w:t>
      </w:r>
    </w:p>
    <w:p w:rsidR="00060B36" w:rsidRPr="00E25B75" w:rsidRDefault="00060B36" w:rsidP="00E25B75">
      <w:pPr>
        <w:pStyle w:val="Heading2"/>
      </w:pPr>
      <w:r w:rsidRPr="00E25B75">
        <w:t>Progress in addressing 2011 management consequences</w:t>
      </w:r>
    </w:p>
    <w:tbl>
      <w:tblPr>
        <w:tblpPr w:leftFromText="180" w:rightFromText="180" w:vertAnchor="text" w:tblpY="1"/>
        <w:tblW w:w="5000" w:type="pct"/>
        <w:tblCellSpacing w:w="14" w:type="dxa"/>
        <w:tblBorders>
          <w:top w:val="single" w:sz="12" w:space="0" w:color="000000"/>
          <w:bottom w:val="single" w:sz="12" w:space="0" w:color="000000"/>
        </w:tblBorders>
        <w:tblLayout w:type="fixed"/>
        <w:tblLook w:val="0000" w:firstRow="0" w:lastRow="0" w:firstColumn="0" w:lastColumn="0" w:noHBand="0" w:noVBand="0"/>
      </w:tblPr>
      <w:tblGrid>
        <w:gridCol w:w="6515"/>
        <w:gridCol w:w="851"/>
        <w:gridCol w:w="7079"/>
      </w:tblGrid>
      <w:tr w:rsidR="00060B36" w:rsidRPr="00180B19" w:rsidTr="00040943">
        <w:trPr>
          <w:tblHeader/>
          <w:tblCellSpacing w:w="14" w:type="dxa"/>
        </w:trPr>
        <w:tc>
          <w:tcPr>
            <w:tcW w:w="6473" w:type="dxa"/>
            <w:tcBorders>
              <w:top w:val="nil"/>
              <w:left w:val="nil"/>
              <w:bottom w:val="nil"/>
              <w:right w:val="nil"/>
            </w:tcBorders>
          </w:tcPr>
          <w:p w:rsidR="00060B36" w:rsidRPr="00F91686" w:rsidRDefault="00060B36" w:rsidP="00F91686">
            <w:pPr>
              <w:pStyle w:val="TableTextColumnHeading"/>
            </w:pPr>
            <w:r w:rsidRPr="00F91686">
              <w:t>Management consequences identified in 2011 APPR</w:t>
            </w:r>
            <w:r w:rsidRPr="00F91686">
              <w:tab/>
            </w:r>
          </w:p>
        </w:tc>
        <w:tc>
          <w:tcPr>
            <w:tcW w:w="823" w:type="dxa"/>
            <w:tcBorders>
              <w:top w:val="nil"/>
              <w:left w:val="nil"/>
              <w:bottom w:val="nil"/>
              <w:right w:val="nil"/>
            </w:tcBorders>
          </w:tcPr>
          <w:p w:rsidR="00060B36" w:rsidRPr="00F91686" w:rsidRDefault="00060B36" w:rsidP="00F91686">
            <w:pPr>
              <w:pStyle w:val="TableTextColumnHeading"/>
            </w:pPr>
            <w:r w:rsidRPr="00F91686">
              <w:t>Rating</w:t>
            </w:r>
          </w:p>
        </w:tc>
        <w:tc>
          <w:tcPr>
            <w:tcW w:w="7037" w:type="dxa"/>
            <w:tcBorders>
              <w:top w:val="nil"/>
              <w:left w:val="nil"/>
              <w:bottom w:val="nil"/>
              <w:right w:val="nil"/>
            </w:tcBorders>
          </w:tcPr>
          <w:p w:rsidR="00060B36" w:rsidRPr="00F91686" w:rsidRDefault="00060B36" w:rsidP="00F91686">
            <w:pPr>
              <w:pStyle w:val="TableTextColumnHeading"/>
            </w:pPr>
            <w:r w:rsidRPr="00F91686">
              <w:t>Progress made in 2012–13</w:t>
            </w:r>
          </w:p>
        </w:tc>
      </w:tr>
      <w:tr w:rsidR="00060B36" w:rsidRPr="00180B19" w:rsidTr="00040943">
        <w:trPr>
          <w:trHeight w:val="830"/>
          <w:tblHeader/>
          <w:tblCellSpacing w:w="14" w:type="dxa"/>
        </w:trPr>
        <w:tc>
          <w:tcPr>
            <w:tcW w:w="6473" w:type="dxa"/>
            <w:tcBorders>
              <w:top w:val="nil"/>
              <w:left w:val="nil"/>
              <w:bottom w:val="nil"/>
              <w:right w:val="nil"/>
            </w:tcBorders>
          </w:tcPr>
          <w:p w:rsidR="00060B36" w:rsidRPr="00040943" w:rsidRDefault="00060B36" w:rsidP="005D2073">
            <w:pPr>
              <w:pStyle w:val="TableTextEntries"/>
            </w:pPr>
            <w:r w:rsidRPr="00040943">
              <w:t xml:space="preserve">Preparation of the country program strategy and sector strategies, as well as a country performance framework and a risk management strategy. </w:t>
            </w:r>
          </w:p>
        </w:tc>
        <w:tc>
          <w:tcPr>
            <w:tcW w:w="823" w:type="dxa"/>
            <w:tcBorders>
              <w:top w:val="nil"/>
              <w:left w:val="nil"/>
              <w:bottom w:val="nil"/>
              <w:right w:val="nil"/>
            </w:tcBorders>
            <w:shd w:val="clear" w:color="auto" w:fill="F79646"/>
          </w:tcPr>
          <w:p w:rsidR="00060B36" w:rsidRPr="00F91686" w:rsidRDefault="00F91686" w:rsidP="00F91686">
            <w:pPr>
              <w:pStyle w:val="TableTextEntries"/>
            </w:pPr>
            <w:r w:rsidRPr="00F91686">
              <w:t>Amber</w:t>
            </w:r>
          </w:p>
        </w:tc>
        <w:tc>
          <w:tcPr>
            <w:tcW w:w="7037" w:type="dxa"/>
            <w:tcBorders>
              <w:top w:val="nil"/>
              <w:left w:val="nil"/>
              <w:bottom w:val="nil"/>
              <w:right w:val="nil"/>
            </w:tcBorders>
          </w:tcPr>
          <w:p w:rsidR="00060B36" w:rsidRPr="00040943" w:rsidRDefault="00060B36" w:rsidP="00F91686">
            <w:pPr>
              <w:pStyle w:val="TableTextEntries"/>
            </w:pPr>
            <w:r w:rsidRPr="00040943">
              <w:t>The Pakistan country situational analysis was finalised. Work started on a humanitarian/disaster risk reduction delivery strategy and an education sector delivery strategy. A performance assessment framework will be completed in 2013.</w:t>
            </w:r>
          </w:p>
        </w:tc>
      </w:tr>
      <w:tr w:rsidR="00060B36" w:rsidRPr="00180B19" w:rsidTr="00040943">
        <w:trPr>
          <w:trHeight w:val="828"/>
          <w:tblHeader/>
          <w:tblCellSpacing w:w="14" w:type="dxa"/>
        </w:trPr>
        <w:tc>
          <w:tcPr>
            <w:tcW w:w="6473" w:type="dxa"/>
            <w:tcBorders>
              <w:top w:val="nil"/>
              <w:left w:val="nil"/>
              <w:bottom w:val="nil"/>
              <w:right w:val="nil"/>
            </w:tcBorders>
          </w:tcPr>
          <w:p w:rsidR="00060B36" w:rsidRPr="003214F5" w:rsidRDefault="00060B36" w:rsidP="00F91686">
            <w:pPr>
              <w:pStyle w:val="TableTextEntries"/>
            </w:pPr>
            <w:r>
              <w:t>Hold the first partnership talks and start the process for updating the partnership document which lapses in mid-2013.</w:t>
            </w:r>
          </w:p>
        </w:tc>
        <w:tc>
          <w:tcPr>
            <w:tcW w:w="823" w:type="dxa"/>
            <w:tcBorders>
              <w:top w:val="nil"/>
              <w:left w:val="nil"/>
              <w:bottom w:val="nil"/>
              <w:right w:val="nil"/>
            </w:tcBorders>
            <w:shd w:val="clear" w:color="auto" w:fill="F79646"/>
          </w:tcPr>
          <w:p w:rsidR="00060B36" w:rsidRPr="00F91686" w:rsidRDefault="00F91686" w:rsidP="00F91686">
            <w:pPr>
              <w:pStyle w:val="TableTextEntries"/>
            </w:pPr>
            <w:r w:rsidRPr="00F91686">
              <w:t>Amber</w:t>
            </w:r>
          </w:p>
        </w:tc>
        <w:tc>
          <w:tcPr>
            <w:tcW w:w="7037" w:type="dxa"/>
            <w:tcBorders>
              <w:top w:val="nil"/>
              <w:left w:val="nil"/>
              <w:bottom w:val="nil"/>
              <w:right w:val="nil"/>
            </w:tcBorders>
          </w:tcPr>
          <w:p w:rsidR="00060B36" w:rsidRPr="003214F5" w:rsidRDefault="00060B36" w:rsidP="00F91686">
            <w:pPr>
              <w:pStyle w:val="TableTextEntries"/>
            </w:pPr>
            <w:r w:rsidRPr="00DA78D5">
              <w:t>The second Australia</w:t>
            </w:r>
            <w:r>
              <w:t xml:space="preserve"> – </w:t>
            </w:r>
            <w:r w:rsidRPr="00DA78D5">
              <w:t>Pakistan Development Partnership talks were initiated but then postponed due to elections</w:t>
            </w:r>
            <w:r>
              <w:t xml:space="preserve">. A new country program strategy will be negotiated during the talks. </w:t>
            </w:r>
          </w:p>
        </w:tc>
      </w:tr>
      <w:tr w:rsidR="00060B36" w:rsidRPr="00180B19" w:rsidTr="00040943">
        <w:trPr>
          <w:trHeight w:val="966"/>
          <w:tblHeader/>
          <w:tblCellSpacing w:w="14" w:type="dxa"/>
        </w:trPr>
        <w:tc>
          <w:tcPr>
            <w:tcW w:w="6473" w:type="dxa"/>
            <w:tcBorders>
              <w:top w:val="nil"/>
              <w:left w:val="nil"/>
              <w:bottom w:val="nil"/>
              <w:right w:val="nil"/>
            </w:tcBorders>
          </w:tcPr>
          <w:p w:rsidR="00060B36" w:rsidRPr="003214F5" w:rsidRDefault="00060B36" w:rsidP="00F91686">
            <w:pPr>
              <w:pStyle w:val="TableTextEntries"/>
            </w:pPr>
            <w:r>
              <w:t xml:space="preserve">Increase direct engagement with the governments of </w:t>
            </w:r>
            <w:r w:rsidR="005D2073">
              <w:t>DFAT</w:t>
            </w:r>
            <w:r>
              <w:t>’s target provinces (</w:t>
            </w:r>
            <w:proofErr w:type="spellStart"/>
            <w:r>
              <w:t>Balochistan</w:t>
            </w:r>
            <w:proofErr w:type="spellEnd"/>
            <w:r>
              <w:t xml:space="preserve"> and KPK), following devolution.</w:t>
            </w:r>
          </w:p>
        </w:tc>
        <w:tc>
          <w:tcPr>
            <w:tcW w:w="823" w:type="dxa"/>
            <w:tcBorders>
              <w:top w:val="nil"/>
              <w:left w:val="nil"/>
              <w:bottom w:val="nil"/>
              <w:right w:val="nil"/>
            </w:tcBorders>
            <w:shd w:val="clear" w:color="auto" w:fill="F79646"/>
          </w:tcPr>
          <w:p w:rsidR="00060B36" w:rsidRPr="00F91686" w:rsidRDefault="00F91686" w:rsidP="00F91686">
            <w:pPr>
              <w:pStyle w:val="TableTextEntries"/>
            </w:pPr>
            <w:r w:rsidRPr="00F91686">
              <w:t>Amber</w:t>
            </w:r>
          </w:p>
        </w:tc>
        <w:tc>
          <w:tcPr>
            <w:tcW w:w="7037" w:type="dxa"/>
            <w:tcBorders>
              <w:top w:val="nil"/>
              <w:left w:val="nil"/>
              <w:bottom w:val="nil"/>
              <w:right w:val="nil"/>
            </w:tcBorders>
          </w:tcPr>
          <w:p w:rsidR="00060B36" w:rsidRPr="00EB0C62" w:rsidRDefault="00060B36" w:rsidP="00F91686">
            <w:pPr>
              <w:pStyle w:val="TableTextEntries"/>
            </w:pPr>
            <w:r w:rsidRPr="00DA78D5">
              <w:t xml:space="preserve">Efforts to engage with border province governments were achieved to the degree possible by meeting with interlocutors in Islamabad and Quetta when the security situation allowed (the KP capital of Peshawar was designated ‘do not travel’ for the entire </w:t>
            </w:r>
            <w:r>
              <w:t xml:space="preserve">reporting </w:t>
            </w:r>
            <w:r w:rsidRPr="00DA78D5">
              <w:t>year).</w:t>
            </w:r>
          </w:p>
        </w:tc>
      </w:tr>
      <w:tr w:rsidR="00060B36" w:rsidRPr="00180B19" w:rsidTr="00040943">
        <w:trPr>
          <w:trHeight w:val="965"/>
          <w:tblHeader/>
          <w:tblCellSpacing w:w="14" w:type="dxa"/>
        </w:trPr>
        <w:tc>
          <w:tcPr>
            <w:tcW w:w="6473" w:type="dxa"/>
            <w:tcBorders>
              <w:top w:val="nil"/>
              <w:left w:val="nil"/>
              <w:bottom w:val="nil"/>
              <w:right w:val="nil"/>
            </w:tcBorders>
          </w:tcPr>
          <w:p w:rsidR="00060B36" w:rsidRPr="003214F5" w:rsidRDefault="00060B36" w:rsidP="00F91686">
            <w:pPr>
              <w:pStyle w:val="TableTextEntries"/>
            </w:pPr>
            <w:r>
              <w:t>Work with partners to analyse devolution and resource allocation between Pakistan’s federal and provincial governments to support service delivery.</w:t>
            </w:r>
          </w:p>
        </w:tc>
        <w:tc>
          <w:tcPr>
            <w:tcW w:w="823" w:type="dxa"/>
            <w:tcBorders>
              <w:top w:val="nil"/>
              <w:left w:val="nil"/>
              <w:bottom w:val="nil"/>
              <w:right w:val="nil"/>
            </w:tcBorders>
            <w:shd w:val="clear" w:color="auto" w:fill="92D050"/>
          </w:tcPr>
          <w:p w:rsidR="00060B36" w:rsidRPr="00F91686" w:rsidRDefault="00F91686" w:rsidP="00F91686">
            <w:pPr>
              <w:pStyle w:val="TableTextEntries"/>
            </w:pPr>
            <w:r w:rsidRPr="00F91686">
              <w:t>Green</w:t>
            </w:r>
          </w:p>
        </w:tc>
        <w:tc>
          <w:tcPr>
            <w:tcW w:w="7037" w:type="dxa"/>
            <w:tcBorders>
              <w:top w:val="nil"/>
              <w:left w:val="nil"/>
              <w:bottom w:val="nil"/>
              <w:right w:val="nil"/>
            </w:tcBorders>
          </w:tcPr>
          <w:p w:rsidR="00060B36" w:rsidRPr="00EB0C62" w:rsidRDefault="00060B36" w:rsidP="00F91686">
            <w:pPr>
              <w:pStyle w:val="TableTextEntries"/>
            </w:pPr>
            <w:r w:rsidRPr="00DA78D5">
              <w:t xml:space="preserve">Donor coordination efforts continued despite little government leadership, through the ADB-led Donor Coordination Forum and more specific forums such as the KP, </w:t>
            </w:r>
            <w:proofErr w:type="spellStart"/>
            <w:r w:rsidRPr="00DA78D5">
              <w:t>Balochistan</w:t>
            </w:r>
            <w:proofErr w:type="spellEnd"/>
            <w:r>
              <w:t xml:space="preserve"> </w:t>
            </w:r>
            <w:r w:rsidRPr="00DA78D5">
              <w:t>and FATA M</w:t>
            </w:r>
            <w:r>
              <w:t>DTF</w:t>
            </w:r>
            <w:r w:rsidRPr="00DA78D5">
              <w:t xml:space="preserve"> </w:t>
            </w:r>
            <w:r>
              <w:t>s</w:t>
            </w:r>
            <w:r w:rsidRPr="00DA78D5">
              <w:t xml:space="preserve">teering and </w:t>
            </w:r>
            <w:r>
              <w:t>a</w:t>
            </w:r>
            <w:r w:rsidRPr="00DA78D5">
              <w:t xml:space="preserve">dvisory </w:t>
            </w:r>
            <w:r>
              <w:t>c</w:t>
            </w:r>
            <w:r w:rsidRPr="00DA78D5">
              <w:t xml:space="preserve">ommittees. </w:t>
            </w:r>
          </w:p>
        </w:tc>
      </w:tr>
      <w:tr w:rsidR="00060B36" w:rsidRPr="00180B19" w:rsidTr="00040943">
        <w:trPr>
          <w:trHeight w:val="1176"/>
          <w:tblHeader/>
          <w:tblCellSpacing w:w="14" w:type="dxa"/>
        </w:trPr>
        <w:tc>
          <w:tcPr>
            <w:tcW w:w="6473" w:type="dxa"/>
            <w:tcBorders>
              <w:top w:val="nil"/>
              <w:left w:val="nil"/>
              <w:bottom w:val="nil"/>
              <w:right w:val="nil"/>
            </w:tcBorders>
          </w:tcPr>
          <w:p w:rsidR="00060B36" w:rsidRPr="00040943" w:rsidRDefault="00060B36" w:rsidP="00F91686">
            <w:pPr>
              <w:pStyle w:val="TableTextEntries"/>
            </w:pPr>
            <w:r w:rsidRPr="00040943">
              <w:t xml:space="preserve">Promote donor coordination and aid effectiveness through active participation in forums such as the Pakistan Development Forum and continue to advocate for it to be held annually. </w:t>
            </w:r>
          </w:p>
        </w:tc>
        <w:tc>
          <w:tcPr>
            <w:tcW w:w="823" w:type="dxa"/>
            <w:tcBorders>
              <w:top w:val="nil"/>
              <w:left w:val="nil"/>
              <w:bottom w:val="nil"/>
              <w:right w:val="nil"/>
            </w:tcBorders>
            <w:shd w:val="clear" w:color="auto" w:fill="92D050"/>
          </w:tcPr>
          <w:p w:rsidR="00060B36" w:rsidRPr="00F91686" w:rsidRDefault="00F91686" w:rsidP="00F91686">
            <w:pPr>
              <w:pStyle w:val="TableTextEntries"/>
            </w:pPr>
            <w:r w:rsidRPr="00F91686">
              <w:t>Green</w:t>
            </w:r>
          </w:p>
        </w:tc>
        <w:tc>
          <w:tcPr>
            <w:tcW w:w="7037" w:type="dxa"/>
            <w:tcBorders>
              <w:top w:val="nil"/>
              <w:left w:val="nil"/>
              <w:bottom w:val="nil"/>
              <w:right w:val="nil"/>
            </w:tcBorders>
          </w:tcPr>
          <w:p w:rsidR="00060B36" w:rsidRPr="003214F5" w:rsidRDefault="00060B36" w:rsidP="00F91686">
            <w:pPr>
              <w:pStyle w:val="TableTextEntries"/>
            </w:pPr>
            <w:r>
              <w:t>The n</w:t>
            </w:r>
            <w:r w:rsidRPr="00DA78D5">
              <w:t>eed for more effective donor coordination efforts at provincial level was identified as a key priority for donors</w:t>
            </w:r>
            <w:r>
              <w:t>.</w:t>
            </w:r>
            <w:r w:rsidRPr="00DA78D5">
              <w:t xml:space="preserve"> </w:t>
            </w:r>
            <w:r w:rsidR="005D2073">
              <w:t>DFAT</w:t>
            </w:r>
            <w:r w:rsidRPr="00DA78D5">
              <w:t xml:space="preserve"> took steps to broker for small and medium</w:t>
            </w:r>
            <w:r>
              <w:t>-</w:t>
            </w:r>
            <w:r w:rsidRPr="00DA78D5">
              <w:t>sized donors to the education sector</w:t>
            </w:r>
            <w:r>
              <w:t xml:space="preserve">. </w:t>
            </w:r>
            <w:r w:rsidRPr="00DA78D5">
              <w:t xml:space="preserve">Australia </w:t>
            </w:r>
            <w:r>
              <w:t>agreed</w:t>
            </w:r>
            <w:r w:rsidRPr="00DA78D5">
              <w:t xml:space="preserve"> in June to replace the U</w:t>
            </w:r>
            <w:r>
              <w:t>nited Kingdom</w:t>
            </w:r>
            <w:r w:rsidRPr="00DA78D5">
              <w:t xml:space="preserve"> as co-chair of the M</w:t>
            </w:r>
            <w:r>
              <w:t>DTF</w:t>
            </w:r>
            <w:r w:rsidRPr="00DA78D5">
              <w:t xml:space="preserve"> Advisory </w:t>
            </w:r>
            <w:r>
              <w:t>C</w:t>
            </w:r>
            <w:r w:rsidRPr="00DA78D5">
              <w:t>ommittee</w:t>
            </w:r>
            <w:r>
              <w:t>,</w:t>
            </w:r>
            <w:r w:rsidRPr="00DA78D5">
              <w:t xml:space="preserve"> along with the FATA administration.</w:t>
            </w:r>
          </w:p>
        </w:tc>
      </w:tr>
      <w:tr w:rsidR="00060B36" w:rsidRPr="00180B19" w:rsidTr="00040943">
        <w:trPr>
          <w:trHeight w:val="691"/>
          <w:tblHeader/>
          <w:tblCellSpacing w:w="14" w:type="dxa"/>
        </w:trPr>
        <w:tc>
          <w:tcPr>
            <w:tcW w:w="6473" w:type="dxa"/>
            <w:tcBorders>
              <w:top w:val="nil"/>
              <w:left w:val="nil"/>
              <w:bottom w:val="nil"/>
              <w:right w:val="nil"/>
            </w:tcBorders>
          </w:tcPr>
          <w:p w:rsidR="00060B36" w:rsidRPr="00040943" w:rsidRDefault="00060B36" w:rsidP="00F91686">
            <w:pPr>
              <w:pStyle w:val="TableTextEntries"/>
            </w:pPr>
            <w:r w:rsidRPr="00040943">
              <w:lastRenderedPageBreak/>
              <w:t>Recruit additional staff for Post, including an additional First Secretary, an agricultural and rural development adviser and corporate support positions.</w:t>
            </w:r>
          </w:p>
          <w:p w:rsidR="00060B36" w:rsidRPr="00040943" w:rsidRDefault="00060B36" w:rsidP="00F91686">
            <w:pPr>
              <w:pStyle w:val="TableTextEntries"/>
            </w:pPr>
          </w:p>
        </w:tc>
        <w:tc>
          <w:tcPr>
            <w:tcW w:w="823" w:type="dxa"/>
            <w:tcBorders>
              <w:top w:val="nil"/>
              <w:left w:val="nil"/>
              <w:bottom w:val="nil"/>
              <w:right w:val="nil"/>
            </w:tcBorders>
            <w:shd w:val="clear" w:color="auto" w:fill="92D050"/>
          </w:tcPr>
          <w:p w:rsidR="00060B36" w:rsidRPr="00F91686" w:rsidRDefault="00F91686" w:rsidP="00F91686">
            <w:pPr>
              <w:pStyle w:val="TableTextEntries"/>
            </w:pPr>
            <w:r w:rsidRPr="00F91686">
              <w:t>Green</w:t>
            </w:r>
            <w:r w:rsidR="00060B36" w:rsidRPr="00F91686">
              <w:fldChar w:fldCharType="begin"/>
            </w:r>
            <w:r w:rsidR="00060B36" w:rsidRPr="00F91686">
              <w:instrText xml:space="preserve"> AUTOTEXTLIST  \s "Rating bullet"\t "Right click to choose a rating" \* MERGEFORMAT </w:instrText>
            </w:r>
            <w:r w:rsidR="00060B36" w:rsidRPr="00F91686">
              <w:fldChar w:fldCharType="end"/>
            </w:r>
          </w:p>
          <w:p w:rsidR="00060B36" w:rsidRPr="00F91686" w:rsidRDefault="00060B36" w:rsidP="00F91686">
            <w:pPr>
              <w:pStyle w:val="TableTextEntries"/>
            </w:pPr>
          </w:p>
        </w:tc>
        <w:tc>
          <w:tcPr>
            <w:tcW w:w="7037" w:type="dxa"/>
            <w:tcBorders>
              <w:top w:val="nil"/>
              <w:left w:val="nil"/>
              <w:bottom w:val="nil"/>
              <w:right w:val="nil"/>
            </w:tcBorders>
          </w:tcPr>
          <w:p w:rsidR="00060B36" w:rsidRDefault="00060B36" w:rsidP="00F91686">
            <w:pPr>
              <w:pStyle w:val="TableTextEntries"/>
            </w:pPr>
            <w:r>
              <w:t>T</w:t>
            </w:r>
            <w:r w:rsidRPr="00DA78D5">
              <w:t>he unanticipated turnover in senior positions in Canberra and Islamabad presented significant challenges for program management. However, an additional A</w:t>
            </w:r>
            <w:r>
              <w:t>ustralian</w:t>
            </w:r>
            <w:r w:rsidRPr="00DA78D5">
              <w:t>-based officer started at Post to oversee the education, governance and scholarships portfolio.</w:t>
            </w:r>
            <w:r w:rsidR="00B82C95">
              <w:t xml:space="preserve"> A short term mission to scope corporate needs at Post has been approved.</w:t>
            </w:r>
          </w:p>
          <w:p w:rsidR="00F91686" w:rsidRDefault="00F91686" w:rsidP="00F91686">
            <w:pPr>
              <w:pStyle w:val="TableTextEntries"/>
            </w:pPr>
            <w:r w:rsidRPr="00DA78D5">
              <w:t>An A</w:t>
            </w:r>
            <w:r>
              <w:t>ustralian</w:t>
            </w:r>
            <w:r w:rsidRPr="00DA78D5">
              <w:t>-based secondment in the education sector to DFID was approved</w:t>
            </w:r>
            <w:r>
              <w:t>. A process is underway to fill the role.</w:t>
            </w:r>
          </w:p>
          <w:p w:rsidR="00F91686" w:rsidRPr="003214F5" w:rsidRDefault="00F91686" w:rsidP="00F91686">
            <w:pPr>
              <w:pStyle w:val="TableTextEntries"/>
            </w:pPr>
            <w:r w:rsidRPr="00DA78D5">
              <w:t xml:space="preserve">A review of the </w:t>
            </w:r>
            <w:r>
              <w:t>overseas</w:t>
            </w:r>
            <w:r w:rsidRPr="00DA78D5">
              <w:t xml:space="preserve">-based </w:t>
            </w:r>
            <w:r>
              <w:t>r</w:t>
            </w:r>
            <w:r w:rsidRPr="00DA78D5">
              <w:t xml:space="preserve">emuneration </w:t>
            </w:r>
            <w:r>
              <w:t>f</w:t>
            </w:r>
            <w:r w:rsidRPr="00DA78D5">
              <w:t xml:space="preserve">ramework was completed and </w:t>
            </w:r>
            <w:r>
              <w:t xml:space="preserve">a </w:t>
            </w:r>
            <w:r w:rsidRPr="00DA78D5">
              <w:t>four-month corporate short</w:t>
            </w:r>
            <w:r>
              <w:t>-</w:t>
            </w:r>
            <w:r w:rsidRPr="00DA78D5">
              <w:t>term mission approved to conduct a health check of systems and processes</w:t>
            </w:r>
            <w:r>
              <w:t xml:space="preserve"> at Post</w:t>
            </w:r>
            <w:r w:rsidRPr="00DA78D5">
              <w:t xml:space="preserve">, recruit and train an </w:t>
            </w:r>
            <w:r>
              <w:t>overseas</w:t>
            </w:r>
            <w:r w:rsidRPr="00DA78D5">
              <w:t>-based Corporate Manager and undertake some higher-level corporate tasks in the interim.</w:t>
            </w:r>
          </w:p>
        </w:tc>
      </w:tr>
    </w:tbl>
    <w:p w:rsidR="00060B36" w:rsidRPr="00FE4491" w:rsidRDefault="00060B36" w:rsidP="00FE4491">
      <w:pPr>
        <w:pStyle w:val="Note"/>
      </w:pPr>
      <w:r w:rsidRPr="00FE4491">
        <w:t xml:space="preserve">Note: </w:t>
      </w:r>
    </w:p>
    <w:p w:rsidR="00060B36" w:rsidRPr="00FE4491" w:rsidRDefault="00060B36" w:rsidP="00FE4491">
      <w:pPr>
        <w:pStyle w:val="Note"/>
      </w:pPr>
      <w:r w:rsidRPr="00FE4491">
        <w:rPr>
          <w:color w:val="92D050"/>
        </w:rPr>
        <w:sym w:font="Webdings" w:char="F067"/>
      </w:r>
      <w:r w:rsidRPr="00FE4491">
        <w:t> </w:t>
      </w:r>
      <w:r w:rsidRPr="00FE4491">
        <w:t xml:space="preserve"> </w:t>
      </w:r>
      <w:r>
        <w:t>Green.</w:t>
      </w:r>
      <w:r>
        <w:rPr>
          <w:rFonts w:ascii="Times New Roman" w:hAnsi="Times New Roman"/>
        </w:rPr>
        <w:t xml:space="preserve"> </w:t>
      </w:r>
      <w:r w:rsidRPr="00EC3C88">
        <w:t>Progress is as expected for this point in time and it is likely that the objective will be achieved. Standard program management practices are sufficient.</w:t>
      </w:r>
    </w:p>
    <w:p w:rsidR="00060B36" w:rsidRDefault="00060B36" w:rsidP="00FE4491">
      <w:pPr>
        <w:pStyle w:val="Note"/>
      </w:pPr>
      <w:r w:rsidRPr="00FE4491">
        <w:rPr>
          <w:color w:val="F79646"/>
        </w:rPr>
        <w:sym w:font="Webdings" w:char="F067"/>
      </w:r>
      <w:r w:rsidRPr="00FE4491">
        <w:t> </w:t>
      </w:r>
      <w:r w:rsidRPr="00FE4491">
        <w:t xml:space="preserve"> </w:t>
      </w:r>
      <w:r w:rsidRPr="00C93493">
        <w:t xml:space="preserve">Amber. </w:t>
      </w:r>
      <w:r w:rsidRPr="00EC3C88">
        <w:t>Progress is somewhat less than expected for this point in time and restorative action will be necessary if the objective is to be achieved. Close performance monitoring is recommended.</w:t>
      </w:r>
    </w:p>
    <w:p w:rsidR="00060B36" w:rsidRDefault="00060B36" w:rsidP="00FE4491">
      <w:pPr>
        <w:pStyle w:val="Note"/>
      </w:pPr>
      <w:r w:rsidRPr="00FE4491">
        <w:rPr>
          <w:color w:val="FF0000"/>
        </w:rPr>
        <w:sym w:font="Webdings" w:char="F067"/>
      </w:r>
      <w:r w:rsidRPr="00FE4491">
        <w:t> </w:t>
      </w:r>
      <w:r w:rsidRPr="00FE4491">
        <w:t xml:space="preserve"> </w:t>
      </w:r>
      <w:r>
        <w:t>Red.</w:t>
      </w:r>
      <w:r w:rsidRPr="009B77CB">
        <w:rPr>
          <w:rFonts w:ascii="Times New Roman" w:hAnsi="Times New Roman"/>
        </w:rPr>
        <w:t xml:space="preserve"> </w:t>
      </w:r>
      <w:r w:rsidRPr="00714039">
        <w:t xml:space="preserve">Progress is significantly less than expected for this point in time and the objective is not likely to be met given available resources and </w:t>
      </w:r>
      <w:r w:rsidRPr="00502435">
        <w:t>priorities. Recasting the objective may be required.</w:t>
      </w:r>
    </w:p>
    <w:p w:rsidR="00060B36" w:rsidRDefault="00060B36" w:rsidP="00FE4491">
      <w:pPr>
        <w:sectPr w:rsidR="00060B36" w:rsidSect="00D756C5">
          <w:headerReference w:type="even" r:id="rId14"/>
          <w:headerReference w:type="default" r:id="rId15"/>
          <w:footerReference w:type="default" r:id="rId16"/>
          <w:headerReference w:type="first" r:id="rId17"/>
          <w:footerReference w:type="first" r:id="rId18"/>
          <w:pgSz w:w="16838" w:h="11906" w:orient="landscape" w:code="9"/>
          <w:pgMar w:top="1814" w:right="1814" w:bottom="1814" w:left="851" w:header="709" w:footer="454" w:gutter="0"/>
          <w:cols w:space="708"/>
          <w:docGrid w:linePitch="360"/>
        </w:sectPr>
      </w:pPr>
    </w:p>
    <w:p w:rsidR="00060B36" w:rsidRPr="00FE4491" w:rsidRDefault="00060B36" w:rsidP="00C5105C">
      <w:pPr>
        <w:pStyle w:val="Heading1"/>
      </w:pPr>
      <w:r w:rsidRPr="00FE4491">
        <w:lastRenderedPageBreak/>
        <w:t xml:space="preserve">Annex B </w:t>
      </w:r>
    </w:p>
    <w:p w:rsidR="00060B36" w:rsidRDefault="00060B36" w:rsidP="00C5105C">
      <w:pPr>
        <w:pStyle w:val="Heading2"/>
      </w:pPr>
      <w:r w:rsidRPr="00FE4491">
        <w:t>Quality at Implementation ratings</w:t>
      </w:r>
    </w:p>
    <w:tbl>
      <w:tblPr>
        <w:tblW w:w="0" w:type="auto"/>
        <w:jc w:val="center"/>
        <w:tblCellSpacing w:w="14" w:type="dxa"/>
        <w:tblInd w:w="-148" w:type="dxa"/>
        <w:tblBorders>
          <w:top w:val="single" w:sz="12" w:space="0" w:color="000000"/>
          <w:bottom w:val="single" w:sz="12" w:space="0" w:color="000000"/>
        </w:tblBorders>
        <w:tblLayout w:type="fixed"/>
        <w:tblLook w:val="0000" w:firstRow="0" w:lastRow="0" w:firstColumn="0" w:lastColumn="0" w:noHBand="0" w:noVBand="0"/>
      </w:tblPr>
      <w:tblGrid>
        <w:gridCol w:w="2781"/>
        <w:gridCol w:w="1292"/>
        <w:gridCol w:w="666"/>
        <w:gridCol w:w="597"/>
        <w:gridCol w:w="548"/>
        <w:gridCol w:w="548"/>
        <w:gridCol w:w="656"/>
        <w:gridCol w:w="593"/>
        <w:gridCol w:w="512"/>
        <w:gridCol w:w="759"/>
      </w:tblGrid>
      <w:tr w:rsidR="00060B36" w:rsidRPr="009D53C4" w:rsidTr="00040943">
        <w:trPr>
          <w:trHeight w:val="1413"/>
          <w:tblHeader/>
          <w:tblCellSpacing w:w="14" w:type="dxa"/>
          <w:jc w:val="center"/>
        </w:trPr>
        <w:tc>
          <w:tcPr>
            <w:tcW w:w="2739" w:type="dxa"/>
            <w:tcBorders>
              <w:top w:val="nil"/>
              <w:left w:val="nil"/>
              <w:bottom w:val="nil"/>
              <w:right w:val="nil"/>
            </w:tcBorders>
          </w:tcPr>
          <w:p w:rsidR="00060B36" w:rsidRPr="00F91686" w:rsidRDefault="000A6DA9" w:rsidP="00F91686">
            <w:pPr>
              <w:pStyle w:val="TableTextColumnHeading"/>
            </w:pPr>
            <w:r w:rsidRPr="00F91686">
              <w:rPr>
                <w:noProof/>
                <w:lang w:eastAsia="en-AU"/>
              </w:rPr>
              <w:drawing>
                <wp:anchor distT="0" distB="0" distL="114300" distR="114300" simplePos="0" relativeHeight="251659264" behindDoc="0" locked="0" layoutInCell="1" allowOverlap="1" wp14:anchorId="457F5414" wp14:editId="40C952EA">
                  <wp:simplePos x="0" y="0"/>
                  <wp:positionH relativeFrom="column">
                    <wp:posOffset>0</wp:posOffset>
                  </wp:positionH>
                  <wp:positionV relativeFrom="paragraph">
                    <wp:posOffset>0</wp:posOffset>
                  </wp:positionV>
                  <wp:extent cx="1857375" cy="228600"/>
                  <wp:effectExtent l="0" t="0" r="9525" b="0"/>
                  <wp:wrapNone/>
                  <wp:docPr id="24" name="Picture 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pic:spPr>
                      </pic:pic>
                    </a:graphicData>
                  </a:graphic>
                  <wp14:sizeRelH relativeFrom="page">
                    <wp14:pctWidth>0</wp14:pctWidth>
                  </wp14:sizeRelH>
                  <wp14:sizeRelV relativeFrom="page">
                    <wp14:pctHeight>0</wp14:pctHeight>
                  </wp14:sizeRelV>
                </wp:anchor>
              </w:drawing>
            </w:r>
            <w:r w:rsidR="00060B36" w:rsidRPr="00F91686">
              <w:t>Initiative name</w:t>
            </w:r>
          </w:p>
        </w:tc>
        <w:tc>
          <w:tcPr>
            <w:tcW w:w="1264" w:type="dxa"/>
            <w:tcBorders>
              <w:top w:val="nil"/>
              <w:left w:val="nil"/>
              <w:bottom w:val="nil"/>
              <w:right w:val="nil"/>
            </w:tcBorders>
            <w:textDirection w:val="btLr"/>
          </w:tcPr>
          <w:p w:rsidR="00060B36" w:rsidRPr="00F91686" w:rsidRDefault="00060B36" w:rsidP="00F91686">
            <w:pPr>
              <w:pStyle w:val="TableTextColumnHeading"/>
            </w:pPr>
            <w:r w:rsidRPr="00F91686">
              <w:t>Approved budget and duration</w:t>
            </w:r>
          </w:p>
        </w:tc>
        <w:tc>
          <w:tcPr>
            <w:tcW w:w="638" w:type="dxa"/>
            <w:tcBorders>
              <w:top w:val="nil"/>
              <w:left w:val="nil"/>
              <w:bottom w:val="nil"/>
              <w:right w:val="nil"/>
            </w:tcBorders>
            <w:textDirection w:val="btLr"/>
          </w:tcPr>
          <w:p w:rsidR="00060B36" w:rsidRPr="00F91686" w:rsidRDefault="00060B36" w:rsidP="00F91686">
            <w:pPr>
              <w:pStyle w:val="TableTextColumnHeading"/>
            </w:pPr>
            <w:r w:rsidRPr="00F91686">
              <w:t>QAI year</w:t>
            </w:r>
          </w:p>
        </w:tc>
        <w:tc>
          <w:tcPr>
            <w:tcW w:w="569" w:type="dxa"/>
            <w:tcBorders>
              <w:top w:val="nil"/>
              <w:left w:val="nil"/>
              <w:bottom w:val="nil"/>
              <w:right w:val="nil"/>
            </w:tcBorders>
            <w:textDirection w:val="btLr"/>
          </w:tcPr>
          <w:p w:rsidR="00060B36" w:rsidRPr="00F91686" w:rsidRDefault="00060B36" w:rsidP="00F91686">
            <w:pPr>
              <w:pStyle w:val="TableTextColumnHeading"/>
            </w:pPr>
            <w:r w:rsidRPr="00F91686">
              <w:t>Relevance</w:t>
            </w:r>
          </w:p>
        </w:tc>
        <w:tc>
          <w:tcPr>
            <w:tcW w:w="520" w:type="dxa"/>
            <w:tcBorders>
              <w:top w:val="nil"/>
              <w:left w:val="nil"/>
              <w:bottom w:val="nil"/>
              <w:right w:val="nil"/>
            </w:tcBorders>
            <w:textDirection w:val="btLr"/>
          </w:tcPr>
          <w:p w:rsidR="00060B36" w:rsidRPr="00F91686" w:rsidRDefault="00060B36" w:rsidP="00F91686">
            <w:pPr>
              <w:pStyle w:val="TableTextColumnHeading"/>
            </w:pPr>
            <w:r w:rsidRPr="00F91686">
              <w:t>Effectiveness</w:t>
            </w:r>
          </w:p>
        </w:tc>
        <w:tc>
          <w:tcPr>
            <w:tcW w:w="520" w:type="dxa"/>
            <w:tcBorders>
              <w:top w:val="nil"/>
              <w:left w:val="nil"/>
              <w:bottom w:val="nil"/>
              <w:right w:val="nil"/>
            </w:tcBorders>
            <w:textDirection w:val="btLr"/>
          </w:tcPr>
          <w:p w:rsidR="00060B36" w:rsidRPr="00F91686" w:rsidRDefault="00060B36" w:rsidP="00F91686">
            <w:pPr>
              <w:pStyle w:val="TableTextColumnHeading"/>
            </w:pPr>
            <w:r w:rsidRPr="00F91686">
              <w:t>Efficiency</w:t>
            </w:r>
          </w:p>
        </w:tc>
        <w:tc>
          <w:tcPr>
            <w:tcW w:w="628" w:type="dxa"/>
            <w:tcBorders>
              <w:top w:val="nil"/>
              <w:left w:val="nil"/>
              <w:bottom w:val="nil"/>
              <w:right w:val="nil"/>
            </w:tcBorders>
            <w:textDirection w:val="btLr"/>
          </w:tcPr>
          <w:p w:rsidR="00060B36" w:rsidRPr="00F91686" w:rsidRDefault="00060B36" w:rsidP="00F91686">
            <w:pPr>
              <w:pStyle w:val="TableTextColumnHeading"/>
            </w:pPr>
            <w:r w:rsidRPr="00F91686">
              <w:t>Monitoring and evaluation</w:t>
            </w:r>
          </w:p>
        </w:tc>
        <w:tc>
          <w:tcPr>
            <w:tcW w:w="565" w:type="dxa"/>
            <w:tcBorders>
              <w:top w:val="nil"/>
              <w:left w:val="nil"/>
              <w:bottom w:val="nil"/>
              <w:right w:val="nil"/>
            </w:tcBorders>
            <w:textDirection w:val="btLr"/>
          </w:tcPr>
          <w:p w:rsidR="00060B36" w:rsidRPr="00F91686" w:rsidRDefault="00060B36" w:rsidP="00F91686">
            <w:pPr>
              <w:pStyle w:val="TableTextColumnHeading"/>
            </w:pPr>
            <w:r w:rsidRPr="00F91686">
              <w:t>Sustainability</w:t>
            </w:r>
          </w:p>
        </w:tc>
        <w:tc>
          <w:tcPr>
            <w:tcW w:w="484" w:type="dxa"/>
            <w:tcBorders>
              <w:top w:val="nil"/>
              <w:left w:val="nil"/>
              <w:bottom w:val="nil"/>
              <w:right w:val="nil"/>
            </w:tcBorders>
            <w:textDirection w:val="btLr"/>
          </w:tcPr>
          <w:p w:rsidR="00060B36" w:rsidRPr="00F91686" w:rsidRDefault="00060B36" w:rsidP="00F91686">
            <w:pPr>
              <w:pStyle w:val="TableTextColumnHeading"/>
            </w:pPr>
            <w:r w:rsidRPr="00F91686">
              <w:t>Gender equality</w:t>
            </w:r>
          </w:p>
        </w:tc>
        <w:tc>
          <w:tcPr>
            <w:tcW w:w="717" w:type="dxa"/>
            <w:tcBorders>
              <w:top w:val="nil"/>
              <w:left w:val="nil"/>
              <w:bottom w:val="nil"/>
              <w:right w:val="nil"/>
            </w:tcBorders>
            <w:textDirection w:val="btLr"/>
          </w:tcPr>
          <w:p w:rsidR="00060B36" w:rsidRPr="00F91686" w:rsidRDefault="00060B36" w:rsidP="00F91686">
            <w:pPr>
              <w:pStyle w:val="TableTextColumnHeading"/>
            </w:pPr>
            <w:r w:rsidRPr="00F91686">
              <w:t>Risk management</w:t>
            </w:r>
          </w:p>
        </w:tc>
      </w:tr>
      <w:tr w:rsidR="00060B36" w:rsidRPr="009D53C4" w:rsidTr="00F91686">
        <w:trPr>
          <w:trHeight w:val="284"/>
          <w:tblHeader/>
          <w:tblCellSpacing w:w="14" w:type="dxa"/>
          <w:jc w:val="center"/>
        </w:trPr>
        <w:tc>
          <w:tcPr>
            <w:tcW w:w="8896" w:type="dxa"/>
            <w:gridSpan w:val="10"/>
            <w:tcBorders>
              <w:top w:val="nil"/>
              <w:left w:val="nil"/>
              <w:bottom w:val="nil"/>
              <w:right w:val="nil"/>
            </w:tcBorders>
            <w:shd w:val="clear" w:color="auto" w:fill="auto"/>
          </w:tcPr>
          <w:p w:rsidR="00060B36" w:rsidRDefault="00060B36" w:rsidP="00F91686">
            <w:pPr>
              <w:pStyle w:val="TableHeading2"/>
            </w:pPr>
            <w:r w:rsidRPr="00040943">
              <w:t>Education</w:t>
            </w:r>
          </w:p>
        </w:tc>
      </w:tr>
      <w:tr w:rsidR="00060B36" w:rsidRPr="009D53C4" w:rsidTr="00040943">
        <w:trPr>
          <w:trHeight w:val="284"/>
          <w:tblHeader/>
          <w:tblCellSpacing w:w="14" w:type="dxa"/>
          <w:jc w:val="center"/>
        </w:trPr>
        <w:tc>
          <w:tcPr>
            <w:tcW w:w="2739" w:type="dxa"/>
            <w:vMerge w:val="restart"/>
            <w:tcBorders>
              <w:top w:val="nil"/>
              <w:left w:val="nil"/>
              <w:bottom w:val="nil"/>
              <w:right w:val="nil"/>
            </w:tcBorders>
          </w:tcPr>
          <w:p w:rsidR="00060B36" w:rsidRPr="00092F36" w:rsidRDefault="00060B36" w:rsidP="00F91686">
            <w:pPr>
              <w:pStyle w:val="TableTextEntries"/>
            </w:pPr>
            <w:r w:rsidRPr="00092F36">
              <w:t>INJ060</w:t>
            </w:r>
            <w:r>
              <w:t>—</w:t>
            </w:r>
            <w:proofErr w:type="spellStart"/>
            <w:r w:rsidRPr="00092F36">
              <w:t>Balochistan</w:t>
            </w:r>
            <w:proofErr w:type="spellEnd"/>
            <w:r w:rsidRPr="00092F36">
              <w:t xml:space="preserve"> </w:t>
            </w:r>
            <w:r w:rsidR="00B82C95">
              <w:t>Early Childhood D</w:t>
            </w:r>
            <w:r w:rsidRPr="00092F36">
              <w:t xml:space="preserve">evelopment </w:t>
            </w:r>
            <w:r w:rsidR="00AA1101">
              <w:t>P</w:t>
            </w:r>
            <w:r w:rsidRPr="00092F36">
              <w:t>roject</w:t>
            </w:r>
          </w:p>
        </w:tc>
        <w:tc>
          <w:tcPr>
            <w:tcW w:w="1264" w:type="dxa"/>
            <w:vMerge w:val="restart"/>
            <w:tcBorders>
              <w:top w:val="nil"/>
              <w:left w:val="nil"/>
              <w:bottom w:val="nil"/>
              <w:right w:val="nil"/>
            </w:tcBorders>
          </w:tcPr>
          <w:p w:rsidR="00060B36" w:rsidRDefault="00060B36" w:rsidP="00F91686">
            <w:pPr>
              <w:pStyle w:val="TableTextEntries"/>
            </w:pPr>
            <w:r>
              <w:t>$4.75m</w:t>
            </w:r>
          </w:p>
          <w:p w:rsidR="00060B36" w:rsidRPr="00FE4491" w:rsidRDefault="00060B36" w:rsidP="00F91686">
            <w:pPr>
              <w:pStyle w:val="TableTextEntries"/>
            </w:pPr>
            <w:r>
              <w:t>(2010–13)</w:t>
            </w:r>
          </w:p>
        </w:tc>
        <w:tc>
          <w:tcPr>
            <w:tcW w:w="638" w:type="dxa"/>
            <w:tcBorders>
              <w:top w:val="nil"/>
              <w:left w:val="nil"/>
              <w:bottom w:val="nil"/>
              <w:right w:val="nil"/>
            </w:tcBorders>
          </w:tcPr>
          <w:p w:rsidR="00060B36" w:rsidRPr="00FE4491" w:rsidRDefault="00060B36" w:rsidP="00F91686">
            <w:pPr>
              <w:pStyle w:val="TableTextEntries"/>
            </w:pPr>
            <w:r w:rsidRPr="00FE4491">
              <w:t>2012</w:t>
            </w:r>
          </w:p>
        </w:tc>
        <w:tc>
          <w:tcPr>
            <w:tcW w:w="569" w:type="dxa"/>
            <w:tcBorders>
              <w:top w:val="nil"/>
              <w:left w:val="nil"/>
              <w:bottom w:val="nil"/>
              <w:right w:val="nil"/>
            </w:tcBorders>
            <w:shd w:val="clear" w:color="auto" w:fill="92D050"/>
            <w:noWrap/>
          </w:tcPr>
          <w:p w:rsidR="00060B36" w:rsidRPr="00FE4491" w:rsidRDefault="00060B36" w:rsidP="00F91686">
            <w:pPr>
              <w:pStyle w:val="TableTextEntries"/>
              <w:jc w:val="center"/>
            </w:pPr>
            <w:r w:rsidRPr="00FE4491">
              <w:t>5</w:t>
            </w:r>
          </w:p>
        </w:tc>
        <w:tc>
          <w:tcPr>
            <w:tcW w:w="520" w:type="dxa"/>
            <w:tcBorders>
              <w:top w:val="nil"/>
              <w:left w:val="nil"/>
              <w:bottom w:val="nil"/>
              <w:right w:val="nil"/>
            </w:tcBorders>
            <w:shd w:val="clear" w:color="auto" w:fill="F79646"/>
            <w:noWrap/>
          </w:tcPr>
          <w:p w:rsidR="00060B36" w:rsidRPr="00FE4491" w:rsidRDefault="00060B36" w:rsidP="00F91686">
            <w:pPr>
              <w:pStyle w:val="TableTextEntries"/>
              <w:jc w:val="center"/>
            </w:pPr>
            <w:r>
              <w:t>3</w:t>
            </w:r>
          </w:p>
        </w:tc>
        <w:tc>
          <w:tcPr>
            <w:tcW w:w="520" w:type="dxa"/>
            <w:tcBorders>
              <w:top w:val="nil"/>
              <w:left w:val="nil"/>
              <w:bottom w:val="nil"/>
              <w:right w:val="nil"/>
            </w:tcBorders>
            <w:shd w:val="clear" w:color="auto" w:fill="F79646"/>
            <w:noWrap/>
          </w:tcPr>
          <w:p w:rsidR="00060B36" w:rsidRPr="00FE4491" w:rsidRDefault="00060B36" w:rsidP="00F91686">
            <w:pPr>
              <w:pStyle w:val="TableTextEntries"/>
              <w:jc w:val="center"/>
            </w:pPr>
            <w:r>
              <w:t>3</w:t>
            </w:r>
          </w:p>
        </w:tc>
        <w:tc>
          <w:tcPr>
            <w:tcW w:w="628" w:type="dxa"/>
            <w:tcBorders>
              <w:top w:val="nil"/>
              <w:left w:val="nil"/>
              <w:bottom w:val="nil"/>
              <w:right w:val="nil"/>
            </w:tcBorders>
            <w:shd w:val="clear" w:color="auto" w:fill="FFFF00"/>
            <w:noWrap/>
          </w:tcPr>
          <w:p w:rsidR="00060B36" w:rsidRPr="00FE4491" w:rsidRDefault="00060B36" w:rsidP="00F91686">
            <w:pPr>
              <w:pStyle w:val="TableTextEntries"/>
              <w:jc w:val="center"/>
            </w:pPr>
            <w:r>
              <w:t>4</w:t>
            </w:r>
          </w:p>
        </w:tc>
        <w:tc>
          <w:tcPr>
            <w:tcW w:w="565" w:type="dxa"/>
            <w:tcBorders>
              <w:top w:val="nil"/>
              <w:left w:val="nil"/>
              <w:bottom w:val="nil"/>
              <w:right w:val="nil"/>
            </w:tcBorders>
            <w:shd w:val="clear" w:color="auto" w:fill="FFFF00"/>
            <w:noWrap/>
          </w:tcPr>
          <w:p w:rsidR="00060B36" w:rsidRPr="00FE4491" w:rsidRDefault="00060B36" w:rsidP="00F91686">
            <w:pPr>
              <w:pStyle w:val="TableTextEntries"/>
              <w:jc w:val="center"/>
            </w:pPr>
            <w:r>
              <w:t>4</w:t>
            </w:r>
          </w:p>
        </w:tc>
        <w:tc>
          <w:tcPr>
            <w:tcW w:w="484" w:type="dxa"/>
            <w:tcBorders>
              <w:top w:val="nil"/>
              <w:left w:val="nil"/>
              <w:bottom w:val="nil"/>
              <w:right w:val="nil"/>
            </w:tcBorders>
            <w:shd w:val="clear" w:color="auto" w:fill="92D050"/>
            <w:noWrap/>
          </w:tcPr>
          <w:p w:rsidR="00060B36" w:rsidRPr="00FE4491" w:rsidRDefault="00060B36" w:rsidP="00F91686">
            <w:pPr>
              <w:pStyle w:val="TableTextEntries"/>
              <w:jc w:val="center"/>
            </w:pPr>
            <w:r>
              <w:t>5</w:t>
            </w:r>
          </w:p>
        </w:tc>
        <w:tc>
          <w:tcPr>
            <w:tcW w:w="717" w:type="dxa"/>
            <w:tcBorders>
              <w:top w:val="nil"/>
              <w:left w:val="nil"/>
              <w:bottom w:val="nil"/>
              <w:right w:val="nil"/>
            </w:tcBorders>
            <w:shd w:val="clear" w:color="auto" w:fill="F79646"/>
            <w:noWrap/>
          </w:tcPr>
          <w:p w:rsidR="00060B36" w:rsidRPr="00FE4491" w:rsidRDefault="00060B36" w:rsidP="00F91686">
            <w:pPr>
              <w:pStyle w:val="TableTextEntries"/>
              <w:jc w:val="center"/>
            </w:pPr>
            <w:r>
              <w:t>I</w:t>
            </w:r>
          </w:p>
        </w:tc>
      </w:tr>
      <w:tr w:rsidR="00060B36" w:rsidRPr="009D53C4" w:rsidTr="00040943">
        <w:trPr>
          <w:trHeight w:val="284"/>
          <w:tblHeader/>
          <w:tblCellSpacing w:w="14" w:type="dxa"/>
          <w:jc w:val="center"/>
        </w:trPr>
        <w:tc>
          <w:tcPr>
            <w:tcW w:w="2739" w:type="dxa"/>
            <w:vMerge/>
            <w:tcBorders>
              <w:top w:val="nil"/>
              <w:left w:val="nil"/>
              <w:bottom w:val="nil"/>
              <w:right w:val="nil"/>
            </w:tcBorders>
          </w:tcPr>
          <w:p w:rsidR="00060B36" w:rsidRPr="00092F36" w:rsidRDefault="00060B36" w:rsidP="00F91686">
            <w:pPr>
              <w:pStyle w:val="TableTextEntries"/>
            </w:pPr>
          </w:p>
        </w:tc>
        <w:tc>
          <w:tcPr>
            <w:tcW w:w="1264" w:type="dxa"/>
            <w:vMerge/>
            <w:tcBorders>
              <w:top w:val="nil"/>
              <w:left w:val="nil"/>
              <w:bottom w:val="nil"/>
              <w:right w:val="nil"/>
            </w:tcBorders>
          </w:tcPr>
          <w:p w:rsidR="00060B36" w:rsidRPr="00FE4491" w:rsidRDefault="00060B36" w:rsidP="00F91686">
            <w:pPr>
              <w:pStyle w:val="TableTextEntries"/>
            </w:pPr>
          </w:p>
        </w:tc>
        <w:tc>
          <w:tcPr>
            <w:tcW w:w="638" w:type="dxa"/>
            <w:tcBorders>
              <w:top w:val="nil"/>
              <w:left w:val="nil"/>
              <w:bottom w:val="nil"/>
              <w:right w:val="nil"/>
            </w:tcBorders>
          </w:tcPr>
          <w:p w:rsidR="00060B36" w:rsidRPr="00FE4491" w:rsidRDefault="00060B36" w:rsidP="00F91686">
            <w:pPr>
              <w:pStyle w:val="TableTextEntries"/>
            </w:pPr>
            <w:r w:rsidRPr="00FE4491">
              <w:t>2011</w:t>
            </w:r>
          </w:p>
        </w:tc>
        <w:tc>
          <w:tcPr>
            <w:tcW w:w="569" w:type="dxa"/>
            <w:tcBorders>
              <w:top w:val="nil"/>
              <w:left w:val="nil"/>
              <w:bottom w:val="single" w:sz="24" w:space="0" w:color="FFFFFF"/>
              <w:right w:val="nil"/>
            </w:tcBorders>
            <w:shd w:val="clear" w:color="auto" w:fill="FFFF00"/>
            <w:noWrap/>
          </w:tcPr>
          <w:p w:rsidR="00060B36" w:rsidRPr="00FE4491" w:rsidRDefault="00060B36" w:rsidP="00F91686">
            <w:pPr>
              <w:pStyle w:val="TableTextEntries"/>
              <w:jc w:val="center"/>
            </w:pPr>
            <w:r>
              <w:t>4</w:t>
            </w:r>
          </w:p>
        </w:tc>
        <w:tc>
          <w:tcPr>
            <w:tcW w:w="520" w:type="dxa"/>
            <w:tcBorders>
              <w:top w:val="nil"/>
              <w:left w:val="nil"/>
              <w:bottom w:val="single" w:sz="24" w:space="0" w:color="FFFFFF"/>
              <w:right w:val="nil"/>
            </w:tcBorders>
            <w:shd w:val="clear" w:color="auto" w:fill="FF0000"/>
            <w:noWrap/>
          </w:tcPr>
          <w:p w:rsidR="00060B36" w:rsidRPr="00FE4491" w:rsidRDefault="00060B36" w:rsidP="00F91686">
            <w:pPr>
              <w:pStyle w:val="TableTextEntries"/>
              <w:jc w:val="center"/>
            </w:pPr>
            <w:r>
              <w:t>2</w:t>
            </w:r>
          </w:p>
        </w:tc>
        <w:tc>
          <w:tcPr>
            <w:tcW w:w="520" w:type="dxa"/>
            <w:tcBorders>
              <w:top w:val="nil"/>
              <w:left w:val="nil"/>
              <w:bottom w:val="single" w:sz="24" w:space="0" w:color="FFFFFF"/>
              <w:right w:val="nil"/>
            </w:tcBorders>
            <w:shd w:val="clear" w:color="auto" w:fill="FF0000"/>
            <w:noWrap/>
          </w:tcPr>
          <w:p w:rsidR="00060B36" w:rsidRPr="00FE4491" w:rsidRDefault="00060B36" w:rsidP="00F91686">
            <w:pPr>
              <w:pStyle w:val="TableTextEntries"/>
              <w:jc w:val="center"/>
            </w:pPr>
            <w:r>
              <w:t>2</w:t>
            </w:r>
          </w:p>
        </w:tc>
        <w:tc>
          <w:tcPr>
            <w:tcW w:w="628" w:type="dxa"/>
            <w:tcBorders>
              <w:top w:val="nil"/>
              <w:left w:val="nil"/>
              <w:bottom w:val="single" w:sz="24" w:space="0" w:color="FFFFFF"/>
              <w:right w:val="nil"/>
            </w:tcBorders>
            <w:shd w:val="clear" w:color="auto" w:fill="FFFF00"/>
            <w:noWrap/>
          </w:tcPr>
          <w:p w:rsidR="00060B36" w:rsidRPr="00FE4491" w:rsidRDefault="00060B36" w:rsidP="00F91686">
            <w:pPr>
              <w:pStyle w:val="TableTextEntries"/>
              <w:jc w:val="center"/>
            </w:pPr>
            <w:r>
              <w:t>4</w:t>
            </w:r>
          </w:p>
        </w:tc>
        <w:tc>
          <w:tcPr>
            <w:tcW w:w="565" w:type="dxa"/>
            <w:tcBorders>
              <w:top w:val="nil"/>
              <w:left w:val="nil"/>
              <w:bottom w:val="single" w:sz="24" w:space="0" w:color="FFFFFF"/>
              <w:right w:val="nil"/>
            </w:tcBorders>
            <w:shd w:val="clear" w:color="auto" w:fill="FFFF00"/>
            <w:noWrap/>
          </w:tcPr>
          <w:p w:rsidR="00060B36" w:rsidRPr="00FE4491" w:rsidRDefault="00060B36" w:rsidP="00F91686">
            <w:pPr>
              <w:pStyle w:val="TableTextEntries"/>
              <w:jc w:val="center"/>
            </w:pPr>
            <w:r>
              <w:t>4</w:t>
            </w:r>
          </w:p>
        </w:tc>
        <w:tc>
          <w:tcPr>
            <w:tcW w:w="484" w:type="dxa"/>
            <w:tcBorders>
              <w:top w:val="nil"/>
              <w:left w:val="nil"/>
              <w:bottom w:val="single" w:sz="24" w:space="0" w:color="FFFFFF"/>
              <w:right w:val="nil"/>
            </w:tcBorders>
            <w:shd w:val="clear" w:color="auto" w:fill="FFFF00"/>
            <w:noWrap/>
          </w:tcPr>
          <w:p w:rsidR="00060B36" w:rsidRPr="00FE4491" w:rsidRDefault="00060B36" w:rsidP="00F91686">
            <w:pPr>
              <w:pStyle w:val="TableTextEntries"/>
              <w:jc w:val="center"/>
            </w:pPr>
            <w:r>
              <w:t>4</w:t>
            </w:r>
          </w:p>
        </w:tc>
        <w:tc>
          <w:tcPr>
            <w:tcW w:w="717" w:type="dxa"/>
            <w:tcBorders>
              <w:top w:val="nil"/>
              <w:left w:val="nil"/>
              <w:bottom w:val="single" w:sz="24" w:space="0" w:color="FFFFFF"/>
              <w:right w:val="nil"/>
            </w:tcBorders>
            <w:shd w:val="clear" w:color="auto" w:fill="F79646"/>
            <w:noWrap/>
          </w:tcPr>
          <w:p w:rsidR="00060B36" w:rsidRPr="00FE4491" w:rsidRDefault="00060B36" w:rsidP="00F91686">
            <w:pPr>
              <w:pStyle w:val="TableTextEntries"/>
              <w:jc w:val="center"/>
            </w:pPr>
            <w:r w:rsidRPr="00FE4491">
              <w:t>I</w:t>
            </w:r>
          </w:p>
        </w:tc>
      </w:tr>
      <w:tr w:rsidR="00060B36" w:rsidRPr="009D53C4" w:rsidTr="00040943">
        <w:trPr>
          <w:trHeight w:val="284"/>
          <w:tblHeader/>
          <w:tblCellSpacing w:w="14" w:type="dxa"/>
          <w:jc w:val="center"/>
        </w:trPr>
        <w:tc>
          <w:tcPr>
            <w:tcW w:w="2739" w:type="dxa"/>
            <w:vMerge w:val="restart"/>
            <w:tcBorders>
              <w:top w:val="nil"/>
              <w:left w:val="nil"/>
              <w:bottom w:val="nil"/>
              <w:right w:val="nil"/>
            </w:tcBorders>
          </w:tcPr>
          <w:p w:rsidR="00060B36" w:rsidRPr="00092F36" w:rsidRDefault="00060B36" w:rsidP="00F91686">
            <w:pPr>
              <w:pStyle w:val="TableTextEntries"/>
            </w:pPr>
            <w:r w:rsidRPr="00092F36">
              <w:t>INJ061</w:t>
            </w:r>
            <w:r>
              <w:t>—</w:t>
            </w:r>
            <w:proofErr w:type="spellStart"/>
            <w:r w:rsidRPr="00040943">
              <w:rPr>
                <w:rFonts w:cs="Tahoma"/>
                <w:bdr w:val="none" w:sz="0" w:space="0" w:color="auto" w:frame="1"/>
              </w:rPr>
              <w:t>Gilgit-Baltistan</w:t>
            </w:r>
            <w:proofErr w:type="spellEnd"/>
            <w:r w:rsidRPr="00040943">
              <w:rPr>
                <w:rFonts w:cs="Tahoma"/>
                <w:bdr w:val="none" w:sz="0" w:space="0" w:color="auto" w:frame="1"/>
              </w:rPr>
              <w:t xml:space="preserve"> </w:t>
            </w:r>
            <w:r w:rsidR="00B82C95">
              <w:t>Education D</w:t>
            </w:r>
            <w:r w:rsidRPr="00092F36">
              <w:t xml:space="preserve">evelopment and </w:t>
            </w:r>
            <w:r w:rsidR="00B82C95">
              <w:t>I</w:t>
            </w:r>
            <w:r w:rsidR="00AA1101">
              <w:t>mprovement P</w:t>
            </w:r>
            <w:r w:rsidRPr="00092F36">
              <w:t xml:space="preserve">rogram </w:t>
            </w:r>
          </w:p>
        </w:tc>
        <w:tc>
          <w:tcPr>
            <w:tcW w:w="1264" w:type="dxa"/>
            <w:vMerge w:val="restart"/>
            <w:tcBorders>
              <w:top w:val="nil"/>
              <w:left w:val="nil"/>
              <w:bottom w:val="nil"/>
              <w:right w:val="nil"/>
            </w:tcBorders>
          </w:tcPr>
          <w:p w:rsidR="00060B36" w:rsidRPr="00040943" w:rsidRDefault="00060B36" w:rsidP="00F91686">
            <w:pPr>
              <w:pStyle w:val="TableTextEntries"/>
              <w:rPr>
                <w:rFonts w:cs="Tahoma"/>
                <w:bdr w:val="none" w:sz="0" w:space="0" w:color="auto" w:frame="1"/>
              </w:rPr>
            </w:pPr>
            <w:r w:rsidRPr="00040943">
              <w:rPr>
                <w:rFonts w:cs="Tahoma"/>
                <w:bdr w:val="none" w:sz="0" w:space="0" w:color="auto" w:frame="1"/>
              </w:rPr>
              <w:t>$12.46m</w:t>
            </w:r>
          </w:p>
          <w:p w:rsidR="00060B36" w:rsidRPr="00F823A7" w:rsidRDefault="00060B36" w:rsidP="00F91686">
            <w:pPr>
              <w:pStyle w:val="TableTextEntries"/>
            </w:pPr>
            <w:r w:rsidRPr="00040943">
              <w:rPr>
                <w:rFonts w:cs="Tahoma"/>
                <w:bdr w:val="none" w:sz="0" w:space="0" w:color="auto" w:frame="1"/>
              </w:rPr>
              <w:t>(2010–13)</w:t>
            </w:r>
          </w:p>
        </w:tc>
        <w:tc>
          <w:tcPr>
            <w:tcW w:w="638" w:type="dxa"/>
            <w:tcBorders>
              <w:top w:val="nil"/>
              <w:left w:val="nil"/>
              <w:bottom w:val="nil"/>
              <w:right w:val="nil"/>
            </w:tcBorders>
          </w:tcPr>
          <w:p w:rsidR="00060B36" w:rsidRPr="00FE4491" w:rsidRDefault="00060B36" w:rsidP="00F91686">
            <w:pPr>
              <w:pStyle w:val="TableTextEntries"/>
            </w:pPr>
            <w:r w:rsidRPr="00FE4491">
              <w:t>2012</w:t>
            </w:r>
          </w:p>
        </w:tc>
        <w:tc>
          <w:tcPr>
            <w:tcW w:w="569" w:type="dxa"/>
            <w:tcBorders>
              <w:top w:val="nil"/>
              <w:left w:val="nil"/>
              <w:bottom w:val="nil"/>
              <w:right w:val="nil"/>
            </w:tcBorders>
            <w:shd w:val="clear" w:color="auto" w:fill="92D050"/>
            <w:noWrap/>
          </w:tcPr>
          <w:p w:rsidR="00060B36" w:rsidRPr="00FE4491" w:rsidRDefault="00060B36" w:rsidP="00F91686">
            <w:pPr>
              <w:pStyle w:val="TableTextEntries"/>
              <w:jc w:val="center"/>
            </w:pPr>
            <w:r>
              <w:t>5</w:t>
            </w:r>
          </w:p>
        </w:tc>
        <w:tc>
          <w:tcPr>
            <w:tcW w:w="520" w:type="dxa"/>
            <w:tcBorders>
              <w:top w:val="nil"/>
              <w:left w:val="nil"/>
              <w:bottom w:val="nil"/>
              <w:right w:val="nil"/>
            </w:tcBorders>
            <w:shd w:val="clear" w:color="auto" w:fill="FFFF00"/>
            <w:noWrap/>
          </w:tcPr>
          <w:p w:rsidR="00060B36" w:rsidRPr="00FE4491" w:rsidRDefault="00060B36" w:rsidP="00F91686">
            <w:pPr>
              <w:pStyle w:val="TableTextEntries"/>
              <w:jc w:val="center"/>
            </w:pPr>
            <w:r>
              <w:t>4</w:t>
            </w:r>
          </w:p>
        </w:tc>
        <w:tc>
          <w:tcPr>
            <w:tcW w:w="520" w:type="dxa"/>
            <w:tcBorders>
              <w:top w:val="nil"/>
              <w:left w:val="nil"/>
              <w:bottom w:val="nil"/>
              <w:right w:val="nil"/>
            </w:tcBorders>
            <w:shd w:val="clear" w:color="auto" w:fill="F79646"/>
            <w:noWrap/>
          </w:tcPr>
          <w:p w:rsidR="00060B36" w:rsidRPr="00FE4491" w:rsidRDefault="00060B36" w:rsidP="00F91686">
            <w:pPr>
              <w:pStyle w:val="TableTextEntries"/>
              <w:jc w:val="center"/>
            </w:pPr>
            <w:r>
              <w:t>3</w:t>
            </w:r>
          </w:p>
        </w:tc>
        <w:tc>
          <w:tcPr>
            <w:tcW w:w="628" w:type="dxa"/>
            <w:tcBorders>
              <w:top w:val="nil"/>
              <w:left w:val="nil"/>
              <w:bottom w:val="nil"/>
              <w:right w:val="nil"/>
            </w:tcBorders>
            <w:shd w:val="clear" w:color="auto" w:fill="FFFF00"/>
            <w:noWrap/>
          </w:tcPr>
          <w:p w:rsidR="00060B36" w:rsidRPr="00FE4491" w:rsidRDefault="00060B36" w:rsidP="00F91686">
            <w:pPr>
              <w:pStyle w:val="TableTextEntries"/>
              <w:jc w:val="center"/>
            </w:pPr>
            <w:r>
              <w:t>4</w:t>
            </w:r>
          </w:p>
        </w:tc>
        <w:tc>
          <w:tcPr>
            <w:tcW w:w="565" w:type="dxa"/>
            <w:tcBorders>
              <w:top w:val="nil"/>
              <w:left w:val="nil"/>
              <w:bottom w:val="nil"/>
              <w:right w:val="nil"/>
            </w:tcBorders>
            <w:shd w:val="clear" w:color="auto" w:fill="F79646"/>
            <w:noWrap/>
          </w:tcPr>
          <w:p w:rsidR="00060B36" w:rsidRPr="00FE4491" w:rsidRDefault="00060B36" w:rsidP="00F91686">
            <w:pPr>
              <w:pStyle w:val="TableTextEntries"/>
              <w:jc w:val="center"/>
            </w:pPr>
            <w:r>
              <w:t>3</w:t>
            </w:r>
          </w:p>
        </w:tc>
        <w:tc>
          <w:tcPr>
            <w:tcW w:w="484" w:type="dxa"/>
            <w:tcBorders>
              <w:top w:val="nil"/>
              <w:left w:val="nil"/>
              <w:bottom w:val="nil"/>
              <w:right w:val="nil"/>
            </w:tcBorders>
            <w:shd w:val="clear" w:color="auto" w:fill="92D050"/>
            <w:noWrap/>
          </w:tcPr>
          <w:p w:rsidR="00060B36" w:rsidRPr="00FE4491" w:rsidRDefault="00060B36" w:rsidP="00F91686">
            <w:pPr>
              <w:pStyle w:val="TableTextEntries"/>
              <w:jc w:val="center"/>
            </w:pPr>
            <w:r>
              <w:t>5</w:t>
            </w:r>
          </w:p>
        </w:tc>
        <w:tc>
          <w:tcPr>
            <w:tcW w:w="717" w:type="dxa"/>
            <w:tcBorders>
              <w:top w:val="nil"/>
              <w:left w:val="nil"/>
              <w:bottom w:val="nil"/>
              <w:right w:val="nil"/>
            </w:tcBorders>
            <w:shd w:val="clear" w:color="auto" w:fill="F79646"/>
            <w:noWrap/>
          </w:tcPr>
          <w:p w:rsidR="00060B36" w:rsidRPr="00FE4491" w:rsidRDefault="00060B36" w:rsidP="00F91686">
            <w:pPr>
              <w:pStyle w:val="TableTextEntries"/>
              <w:jc w:val="center"/>
            </w:pPr>
            <w:r>
              <w:t>I</w:t>
            </w:r>
          </w:p>
        </w:tc>
      </w:tr>
      <w:tr w:rsidR="00060B36" w:rsidRPr="009D53C4" w:rsidTr="00040943">
        <w:trPr>
          <w:trHeight w:val="284"/>
          <w:tblHeader/>
          <w:tblCellSpacing w:w="14" w:type="dxa"/>
          <w:jc w:val="center"/>
        </w:trPr>
        <w:tc>
          <w:tcPr>
            <w:tcW w:w="2739" w:type="dxa"/>
            <w:vMerge/>
            <w:tcBorders>
              <w:top w:val="nil"/>
              <w:left w:val="nil"/>
              <w:bottom w:val="nil"/>
              <w:right w:val="nil"/>
            </w:tcBorders>
          </w:tcPr>
          <w:p w:rsidR="00060B36" w:rsidRPr="00092F36" w:rsidRDefault="00060B36" w:rsidP="00F91686">
            <w:pPr>
              <w:pStyle w:val="TableTextEntries"/>
            </w:pPr>
          </w:p>
        </w:tc>
        <w:tc>
          <w:tcPr>
            <w:tcW w:w="1264" w:type="dxa"/>
            <w:vMerge/>
            <w:tcBorders>
              <w:top w:val="nil"/>
              <w:left w:val="nil"/>
              <w:bottom w:val="nil"/>
              <w:right w:val="nil"/>
            </w:tcBorders>
          </w:tcPr>
          <w:p w:rsidR="00060B36" w:rsidRPr="00FE4491" w:rsidRDefault="00060B36" w:rsidP="00F91686">
            <w:pPr>
              <w:pStyle w:val="TableTextEntries"/>
            </w:pPr>
          </w:p>
        </w:tc>
        <w:tc>
          <w:tcPr>
            <w:tcW w:w="638" w:type="dxa"/>
            <w:tcBorders>
              <w:top w:val="nil"/>
              <w:left w:val="nil"/>
              <w:bottom w:val="nil"/>
              <w:right w:val="nil"/>
            </w:tcBorders>
          </w:tcPr>
          <w:p w:rsidR="00060B36" w:rsidRPr="00FE4491" w:rsidRDefault="00060B36" w:rsidP="00F91686">
            <w:pPr>
              <w:pStyle w:val="TableTextEntries"/>
            </w:pPr>
            <w:r w:rsidRPr="00FE4491">
              <w:t>2011</w:t>
            </w:r>
          </w:p>
        </w:tc>
        <w:tc>
          <w:tcPr>
            <w:tcW w:w="569" w:type="dxa"/>
            <w:tcBorders>
              <w:top w:val="nil"/>
              <w:left w:val="nil"/>
              <w:bottom w:val="single" w:sz="24" w:space="0" w:color="FFFFFF"/>
              <w:right w:val="nil"/>
            </w:tcBorders>
            <w:shd w:val="clear" w:color="auto" w:fill="FFFF00"/>
            <w:noWrap/>
          </w:tcPr>
          <w:p w:rsidR="00060B36" w:rsidRPr="00FE4491" w:rsidRDefault="00060B36" w:rsidP="00F91686">
            <w:pPr>
              <w:pStyle w:val="TableTextEntries"/>
              <w:jc w:val="center"/>
            </w:pPr>
            <w:r>
              <w:t>4</w:t>
            </w:r>
          </w:p>
        </w:tc>
        <w:tc>
          <w:tcPr>
            <w:tcW w:w="520" w:type="dxa"/>
            <w:tcBorders>
              <w:top w:val="nil"/>
              <w:left w:val="nil"/>
              <w:bottom w:val="single" w:sz="24" w:space="0" w:color="FFFFFF"/>
              <w:right w:val="nil"/>
            </w:tcBorders>
            <w:shd w:val="clear" w:color="auto" w:fill="FFFF00"/>
            <w:noWrap/>
          </w:tcPr>
          <w:p w:rsidR="00060B36" w:rsidRPr="00FE4491" w:rsidRDefault="00060B36" w:rsidP="00F91686">
            <w:pPr>
              <w:pStyle w:val="TableTextEntries"/>
              <w:jc w:val="center"/>
            </w:pPr>
            <w:r>
              <w:t>4</w:t>
            </w:r>
          </w:p>
        </w:tc>
        <w:tc>
          <w:tcPr>
            <w:tcW w:w="520" w:type="dxa"/>
            <w:tcBorders>
              <w:top w:val="nil"/>
              <w:left w:val="nil"/>
              <w:bottom w:val="single" w:sz="24" w:space="0" w:color="FFFFFF"/>
              <w:right w:val="nil"/>
            </w:tcBorders>
            <w:shd w:val="clear" w:color="auto" w:fill="F79646"/>
            <w:noWrap/>
          </w:tcPr>
          <w:p w:rsidR="00060B36" w:rsidRPr="00FE4491" w:rsidRDefault="00060B36" w:rsidP="00F91686">
            <w:pPr>
              <w:pStyle w:val="TableTextEntries"/>
              <w:jc w:val="center"/>
            </w:pPr>
            <w:r>
              <w:t>3</w:t>
            </w:r>
          </w:p>
        </w:tc>
        <w:tc>
          <w:tcPr>
            <w:tcW w:w="628" w:type="dxa"/>
            <w:tcBorders>
              <w:top w:val="nil"/>
              <w:left w:val="nil"/>
              <w:bottom w:val="single" w:sz="24" w:space="0" w:color="FFFFFF"/>
              <w:right w:val="nil"/>
            </w:tcBorders>
            <w:shd w:val="clear" w:color="auto" w:fill="FFFF00"/>
            <w:noWrap/>
          </w:tcPr>
          <w:p w:rsidR="00060B36" w:rsidRPr="00FE4491" w:rsidRDefault="00060B36" w:rsidP="00F91686">
            <w:pPr>
              <w:pStyle w:val="TableTextEntries"/>
              <w:jc w:val="center"/>
            </w:pPr>
            <w:r>
              <w:t>4</w:t>
            </w:r>
          </w:p>
        </w:tc>
        <w:tc>
          <w:tcPr>
            <w:tcW w:w="565" w:type="dxa"/>
            <w:tcBorders>
              <w:top w:val="nil"/>
              <w:left w:val="nil"/>
              <w:bottom w:val="single" w:sz="24" w:space="0" w:color="FFFFFF"/>
              <w:right w:val="nil"/>
            </w:tcBorders>
            <w:shd w:val="clear" w:color="auto" w:fill="FFFF00"/>
            <w:noWrap/>
          </w:tcPr>
          <w:p w:rsidR="00060B36" w:rsidRPr="00FE4491" w:rsidRDefault="00060B36" w:rsidP="00F91686">
            <w:pPr>
              <w:pStyle w:val="TableTextEntries"/>
              <w:jc w:val="center"/>
            </w:pPr>
            <w:r>
              <w:t>4</w:t>
            </w:r>
          </w:p>
        </w:tc>
        <w:tc>
          <w:tcPr>
            <w:tcW w:w="484" w:type="dxa"/>
            <w:tcBorders>
              <w:top w:val="nil"/>
              <w:left w:val="nil"/>
              <w:bottom w:val="single" w:sz="24" w:space="0" w:color="FFFFFF"/>
              <w:right w:val="nil"/>
            </w:tcBorders>
            <w:shd w:val="clear" w:color="auto" w:fill="FFFF00"/>
            <w:noWrap/>
          </w:tcPr>
          <w:p w:rsidR="00060B36" w:rsidRPr="00FE4491" w:rsidRDefault="00060B36" w:rsidP="00F91686">
            <w:pPr>
              <w:pStyle w:val="TableTextEntries"/>
              <w:jc w:val="center"/>
            </w:pPr>
            <w:r>
              <w:t>4</w:t>
            </w:r>
          </w:p>
        </w:tc>
        <w:tc>
          <w:tcPr>
            <w:tcW w:w="717" w:type="dxa"/>
            <w:tcBorders>
              <w:top w:val="nil"/>
              <w:left w:val="nil"/>
              <w:bottom w:val="single" w:sz="24" w:space="0" w:color="FFFFFF"/>
              <w:right w:val="nil"/>
            </w:tcBorders>
            <w:shd w:val="clear" w:color="auto" w:fill="F79646"/>
            <w:noWrap/>
          </w:tcPr>
          <w:p w:rsidR="00060B36" w:rsidRPr="00FE4491" w:rsidRDefault="00060B36" w:rsidP="00F91686">
            <w:pPr>
              <w:pStyle w:val="TableTextEntries"/>
              <w:jc w:val="center"/>
            </w:pPr>
            <w:r>
              <w:t>I</w:t>
            </w:r>
          </w:p>
        </w:tc>
      </w:tr>
      <w:tr w:rsidR="00060B36" w:rsidRPr="009D53C4" w:rsidTr="00040943">
        <w:trPr>
          <w:trHeight w:val="284"/>
          <w:tblHeader/>
          <w:tblCellSpacing w:w="14" w:type="dxa"/>
          <w:jc w:val="center"/>
        </w:trPr>
        <w:tc>
          <w:tcPr>
            <w:tcW w:w="2739" w:type="dxa"/>
            <w:vMerge w:val="restart"/>
            <w:tcBorders>
              <w:top w:val="nil"/>
              <w:left w:val="nil"/>
              <w:bottom w:val="nil"/>
              <w:right w:val="nil"/>
            </w:tcBorders>
          </w:tcPr>
          <w:p w:rsidR="00060B36" w:rsidRPr="00092F36" w:rsidRDefault="00060B36" w:rsidP="00F91686">
            <w:pPr>
              <w:pStyle w:val="TableTextEntries"/>
            </w:pPr>
            <w:r w:rsidRPr="00092F36">
              <w:t>INJ785</w:t>
            </w:r>
            <w:r>
              <w:t>—</w:t>
            </w:r>
            <w:r w:rsidR="00B82C95">
              <w:t>Early childhood Care and E</w:t>
            </w:r>
            <w:r w:rsidRPr="00092F36">
              <w:t xml:space="preserve">ducation in KP </w:t>
            </w:r>
            <w:r w:rsidR="00AA1101">
              <w:t>P</w:t>
            </w:r>
            <w:r w:rsidR="00B82C95">
              <w:t>roject</w:t>
            </w:r>
          </w:p>
        </w:tc>
        <w:tc>
          <w:tcPr>
            <w:tcW w:w="1264" w:type="dxa"/>
            <w:vMerge w:val="restart"/>
            <w:tcBorders>
              <w:top w:val="nil"/>
              <w:left w:val="nil"/>
              <w:bottom w:val="nil"/>
              <w:right w:val="nil"/>
            </w:tcBorders>
          </w:tcPr>
          <w:p w:rsidR="00060B36" w:rsidRPr="00040943" w:rsidRDefault="00060B36" w:rsidP="00F91686">
            <w:pPr>
              <w:pStyle w:val="TableTextEntries"/>
              <w:rPr>
                <w:rFonts w:cs="Tahoma"/>
                <w:bdr w:val="none" w:sz="0" w:space="0" w:color="auto" w:frame="1"/>
              </w:rPr>
            </w:pPr>
            <w:r w:rsidRPr="00040943">
              <w:rPr>
                <w:rFonts w:cs="Tahoma"/>
                <w:bdr w:val="none" w:sz="0" w:space="0" w:color="auto" w:frame="1"/>
              </w:rPr>
              <w:t>$14m</w:t>
            </w:r>
          </w:p>
          <w:p w:rsidR="00060B36" w:rsidRPr="0099530A" w:rsidRDefault="00060B36" w:rsidP="00F91686">
            <w:pPr>
              <w:pStyle w:val="TableTextEntries"/>
            </w:pPr>
            <w:r w:rsidRPr="00040943">
              <w:rPr>
                <w:rFonts w:cs="Tahoma"/>
                <w:bdr w:val="none" w:sz="0" w:space="0" w:color="auto" w:frame="1"/>
              </w:rPr>
              <w:t>(2011–14)</w:t>
            </w:r>
          </w:p>
        </w:tc>
        <w:tc>
          <w:tcPr>
            <w:tcW w:w="638" w:type="dxa"/>
            <w:tcBorders>
              <w:top w:val="nil"/>
              <w:left w:val="nil"/>
              <w:bottom w:val="nil"/>
              <w:right w:val="nil"/>
            </w:tcBorders>
          </w:tcPr>
          <w:p w:rsidR="00060B36" w:rsidRPr="00FE4491" w:rsidRDefault="00060B36" w:rsidP="00F91686">
            <w:pPr>
              <w:pStyle w:val="TableTextEntries"/>
            </w:pPr>
            <w:r w:rsidRPr="00FE4491">
              <w:t>2012</w:t>
            </w:r>
          </w:p>
        </w:tc>
        <w:tc>
          <w:tcPr>
            <w:tcW w:w="569" w:type="dxa"/>
            <w:tcBorders>
              <w:top w:val="nil"/>
              <w:left w:val="nil"/>
              <w:bottom w:val="nil"/>
              <w:right w:val="nil"/>
            </w:tcBorders>
            <w:shd w:val="clear" w:color="auto" w:fill="92D050"/>
            <w:noWrap/>
          </w:tcPr>
          <w:p w:rsidR="00060B36" w:rsidRDefault="00060B36" w:rsidP="00F91686">
            <w:pPr>
              <w:pStyle w:val="TableTextEntries"/>
              <w:jc w:val="center"/>
            </w:pPr>
            <w:r>
              <w:t>6</w:t>
            </w:r>
          </w:p>
        </w:tc>
        <w:tc>
          <w:tcPr>
            <w:tcW w:w="520"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520"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628"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565"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484"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717" w:type="dxa"/>
            <w:tcBorders>
              <w:top w:val="nil"/>
              <w:left w:val="nil"/>
              <w:bottom w:val="nil"/>
              <w:right w:val="nil"/>
            </w:tcBorders>
            <w:shd w:val="clear" w:color="auto" w:fill="F79646"/>
            <w:noWrap/>
          </w:tcPr>
          <w:p w:rsidR="00060B36" w:rsidRDefault="00060B36" w:rsidP="00F91686">
            <w:pPr>
              <w:pStyle w:val="TableTextEntries"/>
              <w:jc w:val="center"/>
            </w:pPr>
            <w:r>
              <w:t>I</w:t>
            </w:r>
          </w:p>
        </w:tc>
      </w:tr>
      <w:tr w:rsidR="00060B36" w:rsidRPr="009D53C4" w:rsidTr="00040943">
        <w:trPr>
          <w:trHeight w:val="284"/>
          <w:tblHeader/>
          <w:tblCellSpacing w:w="14" w:type="dxa"/>
          <w:jc w:val="center"/>
        </w:trPr>
        <w:tc>
          <w:tcPr>
            <w:tcW w:w="2739" w:type="dxa"/>
            <w:vMerge/>
            <w:tcBorders>
              <w:top w:val="nil"/>
              <w:left w:val="nil"/>
              <w:bottom w:val="nil"/>
              <w:right w:val="nil"/>
            </w:tcBorders>
          </w:tcPr>
          <w:p w:rsidR="00060B36" w:rsidRPr="00092F36" w:rsidRDefault="00060B36" w:rsidP="00F91686">
            <w:pPr>
              <w:pStyle w:val="TableTextEntries"/>
            </w:pPr>
          </w:p>
        </w:tc>
        <w:tc>
          <w:tcPr>
            <w:tcW w:w="1264" w:type="dxa"/>
            <w:vMerge/>
            <w:tcBorders>
              <w:top w:val="nil"/>
              <w:left w:val="nil"/>
              <w:bottom w:val="nil"/>
              <w:right w:val="nil"/>
            </w:tcBorders>
          </w:tcPr>
          <w:p w:rsidR="00060B36" w:rsidRPr="00FE4491" w:rsidRDefault="00060B36" w:rsidP="00F91686">
            <w:pPr>
              <w:pStyle w:val="TableTextEntries"/>
            </w:pPr>
          </w:p>
        </w:tc>
        <w:tc>
          <w:tcPr>
            <w:tcW w:w="638" w:type="dxa"/>
            <w:tcBorders>
              <w:top w:val="nil"/>
              <w:left w:val="nil"/>
              <w:bottom w:val="nil"/>
              <w:right w:val="nil"/>
            </w:tcBorders>
          </w:tcPr>
          <w:p w:rsidR="00060B36" w:rsidRPr="00FE4491" w:rsidRDefault="00060B36" w:rsidP="00F91686">
            <w:pPr>
              <w:pStyle w:val="TableTextEntries"/>
            </w:pPr>
            <w:r w:rsidRPr="00FE4491">
              <w:t>2011</w:t>
            </w:r>
          </w:p>
        </w:tc>
        <w:tc>
          <w:tcPr>
            <w:tcW w:w="569" w:type="dxa"/>
            <w:tcBorders>
              <w:top w:val="nil"/>
              <w:left w:val="nil"/>
              <w:bottom w:val="single" w:sz="24" w:space="0" w:color="FFFFFF"/>
              <w:right w:val="nil"/>
            </w:tcBorders>
            <w:shd w:val="clear" w:color="auto" w:fill="92D050"/>
            <w:noWrap/>
          </w:tcPr>
          <w:p w:rsidR="00060B36" w:rsidRDefault="00060B36" w:rsidP="00F91686">
            <w:pPr>
              <w:pStyle w:val="TableTextEntries"/>
              <w:jc w:val="center"/>
            </w:pPr>
            <w:r>
              <w:t>5</w:t>
            </w:r>
          </w:p>
        </w:tc>
        <w:tc>
          <w:tcPr>
            <w:tcW w:w="520" w:type="dxa"/>
            <w:tcBorders>
              <w:top w:val="nil"/>
              <w:left w:val="nil"/>
              <w:bottom w:val="single" w:sz="24" w:space="0" w:color="FFFFFF"/>
              <w:right w:val="nil"/>
            </w:tcBorders>
            <w:shd w:val="clear" w:color="auto" w:fill="FFFF00"/>
            <w:noWrap/>
          </w:tcPr>
          <w:p w:rsidR="00060B36" w:rsidRDefault="00060B36" w:rsidP="00F91686">
            <w:pPr>
              <w:pStyle w:val="TableTextEntries"/>
              <w:jc w:val="center"/>
            </w:pPr>
            <w:r>
              <w:t>4</w:t>
            </w:r>
          </w:p>
        </w:tc>
        <w:tc>
          <w:tcPr>
            <w:tcW w:w="520" w:type="dxa"/>
            <w:tcBorders>
              <w:top w:val="nil"/>
              <w:left w:val="nil"/>
              <w:bottom w:val="single" w:sz="24" w:space="0" w:color="FFFFFF"/>
              <w:right w:val="nil"/>
            </w:tcBorders>
            <w:shd w:val="clear" w:color="auto" w:fill="92D050"/>
            <w:noWrap/>
          </w:tcPr>
          <w:p w:rsidR="00060B36" w:rsidRDefault="00060B36" w:rsidP="00F91686">
            <w:pPr>
              <w:pStyle w:val="TableTextEntries"/>
              <w:jc w:val="center"/>
            </w:pPr>
            <w:r>
              <w:t>5</w:t>
            </w:r>
          </w:p>
        </w:tc>
        <w:tc>
          <w:tcPr>
            <w:tcW w:w="628" w:type="dxa"/>
            <w:tcBorders>
              <w:top w:val="nil"/>
              <w:left w:val="nil"/>
              <w:bottom w:val="single" w:sz="24" w:space="0" w:color="FFFFFF"/>
              <w:right w:val="nil"/>
            </w:tcBorders>
            <w:shd w:val="clear" w:color="auto" w:fill="92D050"/>
            <w:noWrap/>
          </w:tcPr>
          <w:p w:rsidR="00060B36" w:rsidRDefault="00060B36" w:rsidP="00F91686">
            <w:pPr>
              <w:pStyle w:val="TableTextEntries"/>
              <w:jc w:val="center"/>
            </w:pPr>
            <w:r>
              <w:t>5</w:t>
            </w:r>
          </w:p>
        </w:tc>
        <w:tc>
          <w:tcPr>
            <w:tcW w:w="565" w:type="dxa"/>
            <w:tcBorders>
              <w:top w:val="nil"/>
              <w:left w:val="nil"/>
              <w:bottom w:val="single" w:sz="24" w:space="0" w:color="FFFFFF"/>
              <w:right w:val="nil"/>
            </w:tcBorders>
            <w:shd w:val="clear" w:color="auto" w:fill="FFFF00"/>
            <w:noWrap/>
          </w:tcPr>
          <w:p w:rsidR="00060B36" w:rsidRDefault="00060B36" w:rsidP="00F91686">
            <w:pPr>
              <w:pStyle w:val="TableTextEntries"/>
              <w:jc w:val="center"/>
            </w:pPr>
            <w:r>
              <w:t>4</w:t>
            </w:r>
          </w:p>
        </w:tc>
        <w:tc>
          <w:tcPr>
            <w:tcW w:w="484" w:type="dxa"/>
            <w:tcBorders>
              <w:top w:val="nil"/>
              <w:left w:val="nil"/>
              <w:bottom w:val="single" w:sz="24" w:space="0" w:color="FFFFFF"/>
              <w:right w:val="nil"/>
            </w:tcBorders>
            <w:shd w:val="clear" w:color="auto" w:fill="92D050"/>
            <w:noWrap/>
          </w:tcPr>
          <w:p w:rsidR="00060B36" w:rsidRDefault="00060B36" w:rsidP="00F91686">
            <w:pPr>
              <w:pStyle w:val="TableTextEntries"/>
              <w:jc w:val="center"/>
            </w:pPr>
            <w:r>
              <w:t>5</w:t>
            </w:r>
          </w:p>
        </w:tc>
        <w:tc>
          <w:tcPr>
            <w:tcW w:w="717" w:type="dxa"/>
            <w:tcBorders>
              <w:top w:val="nil"/>
              <w:left w:val="nil"/>
              <w:bottom w:val="single" w:sz="24" w:space="0" w:color="FFFFFF"/>
              <w:right w:val="nil"/>
            </w:tcBorders>
            <w:shd w:val="clear" w:color="auto" w:fill="F79646"/>
            <w:noWrap/>
          </w:tcPr>
          <w:p w:rsidR="00060B36" w:rsidRDefault="00060B36" w:rsidP="00F91686">
            <w:pPr>
              <w:pStyle w:val="TableTextEntries"/>
              <w:jc w:val="center"/>
            </w:pPr>
            <w:r>
              <w:t>I</w:t>
            </w:r>
          </w:p>
        </w:tc>
      </w:tr>
      <w:tr w:rsidR="00060B36" w:rsidRPr="009D53C4" w:rsidTr="00040943">
        <w:trPr>
          <w:trHeight w:val="284"/>
          <w:tblHeader/>
          <w:tblCellSpacing w:w="14" w:type="dxa"/>
          <w:jc w:val="center"/>
        </w:trPr>
        <w:tc>
          <w:tcPr>
            <w:tcW w:w="2739" w:type="dxa"/>
            <w:vMerge w:val="restart"/>
            <w:tcBorders>
              <w:top w:val="nil"/>
              <w:left w:val="nil"/>
              <w:bottom w:val="nil"/>
              <w:right w:val="nil"/>
            </w:tcBorders>
          </w:tcPr>
          <w:p w:rsidR="00060B36" w:rsidRPr="00092F36" w:rsidRDefault="00060B36" w:rsidP="00F91686">
            <w:pPr>
              <w:pStyle w:val="TableTextEntries"/>
            </w:pPr>
            <w:r w:rsidRPr="00092F36">
              <w:t>INJ786</w:t>
            </w:r>
            <w:r>
              <w:t>—</w:t>
            </w:r>
            <w:r w:rsidR="00AA1101">
              <w:t>Education Sector D</w:t>
            </w:r>
            <w:r w:rsidRPr="00092F36">
              <w:t xml:space="preserve">evelopment </w:t>
            </w:r>
            <w:r w:rsidR="00AA1101">
              <w:t>P</w:t>
            </w:r>
            <w:r w:rsidRPr="00092F36">
              <w:t xml:space="preserve">rogramme KP </w:t>
            </w:r>
          </w:p>
        </w:tc>
        <w:tc>
          <w:tcPr>
            <w:tcW w:w="1264" w:type="dxa"/>
            <w:vMerge w:val="restart"/>
            <w:tcBorders>
              <w:top w:val="nil"/>
              <w:left w:val="nil"/>
              <w:bottom w:val="nil"/>
              <w:right w:val="nil"/>
            </w:tcBorders>
          </w:tcPr>
          <w:p w:rsidR="00060B36" w:rsidRPr="00040943" w:rsidRDefault="00060B36" w:rsidP="00F91686">
            <w:pPr>
              <w:pStyle w:val="TableTextEntries"/>
              <w:rPr>
                <w:rFonts w:cs="Tahoma"/>
                <w:bdr w:val="none" w:sz="0" w:space="0" w:color="auto" w:frame="1"/>
              </w:rPr>
            </w:pPr>
            <w:r w:rsidRPr="00040943">
              <w:rPr>
                <w:rFonts w:cs="Tahoma"/>
                <w:bdr w:val="none" w:sz="0" w:space="0" w:color="auto" w:frame="1"/>
              </w:rPr>
              <w:t>$7.97m</w:t>
            </w:r>
          </w:p>
          <w:p w:rsidR="00060B36" w:rsidRPr="0099530A" w:rsidRDefault="00060B36" w:rsidP="00F91686">
            <w:pPr>
              <w:pStyle w:val="TableTextEntries"/>
            </w:pPr>
            <w:r w:rsidRPr="00040943">
              <w:rPr>
                <w:rFonts w:cs="Tahoma"/>
                <w:bdr w:val="none" w:sz="0" w:space="0" w:color="auto" w:frame="1"/>
              </w:rPr>
              <w:t>(2011–15)</w:t>
            </w:r>
          </w:p>
        </w:tc>
        <w:tc>
          <w:tcPr>
            <w:tcW w:w="638" w:type="dxa"/>
            <w:tcBorders>
              <w:top w:val="nil"/>
              <w:left w:val="nil"/>
              <w:bottom w:val="nil"/>
              <w:right w:val="nil"/>
            </w:tcBorders>
          </w:tcPr>
          <w:p w:rsidR="00060B36" w:rsidRPr="00FE4491" w:rsidRDefault="00060B36" w:rsidP="00F91686">
            <w:pPr>
              <w:pStyle w:val="TableTextEntries"/>
            </w:pPr>
            <w:r>
              <w:t>2012</w:t>
            </w:r>
          </w:p>
        </w:tc>
        <w:tc>
          <w:tcPr>
            <w:tcW w:w="569"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520"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520"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628"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565"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484"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717" w:type="dxa"/>
            <w:tcBorders>
              <w:top w:val="nil"/>
              <w:left w:val="nil"/>
              <w:bottom w:val="nil"/>
              <w:right w:val="nil"/>
            </w:tcBorders>
            <w:shd w:val="clear" w:color="auto" w:fill="F79646"/>
            <w:noWrap/>
          </w:tcPr>
          <w:p w:rsidR="00060B36" w:rsidRDefault="00060B36" w:rsidP="00F91686">
            <w:pPr>
              <w:pStyle w:val="TableTextEntries"/>
              <w:jc w:val="center"/>
            </w:pPr>
            <w:r>
              <w:t>I</w:t>
            </w:r>
          </w:p>
        </w:tc>
      </w:tr>
      <w:tr w:rsidR="00060B36" w:rsidRPr="009D53C4" w:rsidTr="00040943">
        <w:trPr>
          <w:trHeight w:val="284"/>
          <w:tblHeader/>
          <w:tblCellSpacing w:w="14" w:type="dxa"/>
          <w:jc w:val="center"/>
        </w:trPr>
        <w:tc>
          <w:tcPr>
            <w:tcW w:w="2739" w:type="dxa"/>
            <w:vMerge/>
            <w:tcBorders>
              <w:top w:val="nil"/>
              <w:left w:val="nil"/>
              <w:bottom w:val="nil"/>
              <w:right w:val="nil"/>
            </w:tcBorders>
          </w:tcPr>
          <w:p w:rsidR="00060B36" w:rsidRPr="00092F36" w:rsidRDefault="00060B36" w:rsidP="00F91686">
            <w:pPr>
              <w:pStyle w:val="TableTextEntries"/>
            </w:pPr>
          </w:p>
        </w:tc>
        <w:tc>
          <w:tcPr>
            <w:tcW w:w="1264" w:type="dxa"/>
            <w:vMerge/>
            <w:tcBorders>
              <w:top w:val="nil"/>
              <w:left w:val="nil"/>
              <w:bottom w:val="nil"/>
              <w:right w:val="nil"/>
            </w:tcBorders>
          </w:tcPr>
          <w:p w:rsidR="00060B36" w:rsidRPr="00FE4491" w:rsidRDefault="00060B36" w:rsidP="00F91686">
            <w:pPr>
              <w:pStyle w:val="TableTextEntries"/>
            </w:pPr>
          </w:p>
        </w:tc>
        <w:tc>
          <w:tcPr>
            <w:tcW w:w="638" w:type="dxa"/>
            <w:tcBorders>
              <w:top w:val="nil"/>
              <w:left w:val="nil"/>
              <w:bottom w:val="nil"/>
              <w:right w:val="nil"/>
            </w:tcBorders>
          </w:tcPr>
          <w:p w:rsidR="00060B36" w:rsidRPr="00FE4491" w:rsidRDefault="00060B36" w:rsidP="00F91686">
            <w:pPr>
              <w:pStyle w:val="TableTextEntries"/>
            </w:pPr>
            <w:r>
              <w:t>2011</w:t>
            </w:r>
          </w:p>
        </w:tc>
        <w:tc>
          <w:tcPr>
            <w:tcW w:w="569" w:type="dxa"/>
            <w:tcBorders>
              <w:top w:val="nil"/>
              <w:left w:val="nil"/>
              <w:bottom w:val="single" w:sz="24" w:space="0" w:color="FFFFFF"/>
              <w:right w:val="nil"/>
            </w:tcBorders>
            <w:shd w:val="clear" w:color="auto" w:fill="92D050"/>
            <w:noWrap/>
          </w:tcPr>
          <w:p w:rsidR="00060B36" w:rsidRDefault="00060B36" w:rsidP="00F91686">
            <w:pPr>
              <w:pStyle w:val="TableTextEntries"/>
              <w:jc w:val="center"/>
            </w:pPr>
            <w:r>
              <w:t>5</w:t>
            </w:r>
          </w:p>
        </w:tc>
        <w:tc>
          <w:tcPr>
            <w:tcW w:w="520" w:type="dxa"/>
            <w:tcBorders>
              <w:top w:val="nil"/>
              <w:left w:val="nil"/>
              <w:bottom w:val="single" w:sz="24" w:space="0" w:color="FFFFFF"/>
              <w:right w:val="nil"/>
            </w:tcBorders>
            <w:shd w:val="clear" w:color="auto" w:fill="92D050"/>
            <w:noWrap/>
          </w:tcPr>
          <w:p w:rsidR="00060B36" w:rsidRDefault="00060B36" w:rsidP="00F91686">
            <w:pPr>
              <w:pStyle w:val="TableTextEntries"/>
              <w:jc w:val="center"/>
            </w:pPr>
            <w:r>
              <w:t>5</w:t>
            </w:r>
          </w:p>
        </w:tc>
        <w:tc>
          <w:tcPr>
            <w:tcW w:w="520" w:type="dxa"/>
            <w:tcBorders>
              <w:top w:val="nil"/>
              <w:left w:val="nil"/>
              <w:bottom w:val="single" w:sz="24" w:space="0" w:color="FFFFFF"/>
              <w:right w:val="nil"/>
            </w:tcBorders>
            <w:shd w:val="clear" w:color="auto" w:fill="92D050"/>
            <w:noWrap/>
          </w:tcPr>
          <w:p w:rsidR="00060B36" w:rsidRDefault="00060B36" w:rsidP="00F91686">
            <w:pPr>
              <w:pStyle w:val="TableTextEntries"/>
              <w:jc w:val="center"/>
            </w:pPr>
            <w:r>
              <w:t>5</w:t>
            </w:r>
          </w:p>
        </w:tc>
        <w:tc>
          <w:tcPr>
            <w:tcW w:w="628" w:type="dxa"/>
            <w:tcBorders>
              <w:top w:val="nil"/>
              <w:left w:val="nil"/>
              <w:bottom w:val="single" w:sz="24" w:space="0" w:color="FFFFFF"/>
              <w:right w:val="nil"/>
            </w:tcBorders>
            <w:shd w:val="clear" w:color="auto" w:fill="92D050"/>
            <w:noWrap/>
          </w:tcPr>
          <w:p w:rsidR="00060B36" w:rsidRDefault="00060B36" w:rsidP="00F91686">
            <w:pPr>
              <w:pStyle w:val="TableTextEntries"/>
              <w:jc w:val="center"/>
            </w:pPr>
            <w:r>
              <w:t>5</w:t>
            </w:r>
          </w:p>
        </w:tc>
        <w:tc>
          <w:tcPr>
            <w:tcW w:w="565" w:type="dxa"/>
            <w:tcBorders>
              <w:top w:val="nil"/>
              <w:left w:val="nil"/>
              <w:bottom w:val="single" w:sz="24" w:space="0" w:color="FFFFFF"/>
              <w:right w:val="nil"/>
            </w:tcBorders>
            <w:shd w:val="clear" w:color="auto" w:fill="92D050"/>
            <w:noWrap/>
          </w:tcPr>
          <w:p w:rsidR="00060B36" w:rsidRDefault="00060B36" w:rsidP="00F91686">
            <w:pPr>
              <w:pStyle w:val="TableTextEntries"/>
              <w:jc w:val="center"/>
            </w:pPr>
            <w:r>
              <w:t>5</w:t>
            </w:r>
          </w:p>
        </w:tc>
        <w:tc>
          <w:tcPr>
            <w:tcW w:w="484" w:type="dxa"/>
            <w:tcBorders>
              <w:top w:val="nil"/>
              <w:left w:val="nil"/>
              <w:bottom w:val="single" w:sz="24" w:space="0" w:color="FFFFFF"/>
              <w:right w:val="nil"/>
            </w:tcBorders>
            <w:shd w:val="clear" w:color="auto" w:fill="92D050"/>
            <w:noWrap/>
          </w:tcPr>
          <w:p w:rsidR="00060B36" w:rsidRDefault="00060B36" w:rsidP="00F91686">
            <w:pPr>
              <w:pStyle w:val="TableTextEntries"/>
              <w:jc w:val="center"/>
            </w:pPr>
            <w:r>
              <w:t>5</w:t>
            </w:r>
          </w:p>
        </w:tc>
        <w:tc>
          <w:tcPr>
            <w:tcW w:w="717" w:type="dxa"/>
            <w:tcBorders>
              <w:top w:val="nil"/>
              <w:left w:val="nil"/>
              <w:bottom w:val="single" w:sz="24" w:space="0" w:color="FFFFFF"/>
              <w:right w:val="nil"/>
            </w:tcBorders>
            <w:shd w:val="clear" w:color="auto" w:fill="F79646"/>
            <w:noWrap/>
          </w:tcPr>
          <w:p w:rsidR="00060B36" w:rsidRDefault="00060B36" w:rsidP="00F91686">
            <w:pPr>
              <w:pStyle w:val="TableTextEntries"/>
              <w:jc w:val="center"/>
            </w:pPr>
            <w:r>
              <w:t>I</w:t>
            </w:r>
          </w:p>
        </w:tc>
      </w:tr>
      <w:tr w:rsidR="00060B36" w:rsidRPr="009D53C4" w:rsidTr="00040943">
        <w:trPr>
          <w:trHeight w:val="284"/>
          <w:tblHeader/>
          <w:tblCellSpacing w:w="14" w:type="dxa"/>
          <w:jc w:val="center"/>
        </w:trPr>
        <w:tc>
          <w:tcPr>
            <w:tcW w:w="2739" w:type="dxa"/>
            <w:tcBorders>
              <w:top w:val="nil"/>
              <w:left w:val="nil"/>
              <w:bottom w:val="nil"/>
              <w:right w:val="nil"/>
            </w:tcBorders>
          </w:tcPr>
          <w:p w:rsidR="00060B36" w:rsidRPr="00092F36" w:rsidRDefault="00060B36" w:rsidP="00F91686">
            <w:pPr>
              <w:pStyle w:val="TableTextEntries"/>
            </w:pPr>
            <w:r w:rsidRPr="00040943">
              <w:rPr>
                <w:rFonts w:cs="Arial"/>
                <w:color w:val="000000"/>
                <w:szCs w:val="16"/>
              </w:rPr>
              <w:t>INK420—KP Education Sector Program</w:t>
            </w:r>
            <w:r w:rsidRPr="00040943">
              <w:rPr>
                <w:rFonts w:cs="Arial"/>
                <w:b/>
                <w:color w:val="000000"/>
                <w:szCs w:val="16"/>
              </w:rPr>
              <w:t xml:space="preserve"> </w:t>
            </w:r>
          </w:p>
        </w:tc>
        <w:tc>
          <w:tcPr>
            <w:tcW w:w="1264" w:type="dxa"/>
            <w:tcBorders>
              <w:top w:val="nil"/>
              <w:left w:val="nil"/>
              <w:bottom w:val="nil"/>
              <w:right w:val="nil"/>
            </w:tcBorders>
          </w:tcPr>
          <w:p w:rsidR="00060B36" w:rsidRPr="00040943" w:rsidRDefault="00060B36" w:rsidP="00F91686">
            <w:pPr>
              <w:pStyle w:val="TableTextEntries"/>
              <w:rPr>
                <w:rFonts w:cs="Tahoma"/>
                <w:bdr w:val="none" w:sz="0" w:space="0" w:color="auto" w:frame="1"/>
              </w:rPr>
            </w:pPr>
            <w:r w:rsidRPr="00040943">
              <w:rPr>
                <w:rFonts w:cs="Tahoma"/>
                <w:bdr w:val="none" w:sz="0" w:space="0" w:color="auto" w:frame="1"/>
              </w:rPr>
              <w:t>$65.35m</w:t>
            </w:r>
          </w:p>
          <w:p w:rsidR="00060B36" w:rsidRPr="00FE4491" w:rsidRDefault="00060B36" w:rsidP="00F91686">
            <w:pPr>
              <w:pStyle w:val="TableTextEntries"/>
            </w:pPr>
            <w:r w:rsidRPr="00040943">
              <w:rPr>
                <w:rFonts w:cs="Tahoma"/>
                <w:bdr w:val="none" w:sz="0" w:space="0" w:color="auto" w:frame="1"/>
              </w:rPr>
              <w:t>(2012–16)</w:t>
            </w:r>
          </w:p>
        </w:tc>
        <w:tc>
          <w:tcPr>
            <w:tcW w:w="638" w:type="dxa"/>
            <w:tcBorders>
              <w:top w:val="nil"/>
              <w:left w:val="nil"/>
              <w:bottom w:val="nil"/>
              <w:right w:val="nil"/>
            </w:tcBorders>
          </w:tcPr>
          <w:p w:rsidR="00060B36" w:rsidRDefault="00060B36" w:rsidP="00F91686">
            <w:pPr>
              <w:pStyle w:val="TableTextEntries"/>
            </w:pPr>
            <w:r>
              <w:t>2012</w:t>
            </w:r>
          </w:p>
        </w:tc>
        <w:tc>
          <w:tcPr>
            <w:tcW w:w="569" w:type="dxa"/>
            <w:tcBorders>
              <w:top w:val="nil"/>
              <w:left w:val="nil"/>
              <w:bottom w:val="nil"/>
              <w:right w:val="nil"/>
            </w:tcBorders>
            <w:shd w:val="clear" w:color="auto" w:fill="92D050"/>
            <w:noWrap/>
          </w:tcPr>
          <w:p w:rsidR="00060B36" w:rsidRDefault="00060B36" w:rsidP="00F91686">
            <w:pPr>
              <w:pStyle w:val="TableTextEntries"/>
              <w:jc w:val="center"/>
            </w:pPr>
            <w:r>
              <w:t>6</w:t>
            </w:r>
          </w:p>
        </w:tc>
        <w:tc>
          <w:tcPr>
            <w:tcW w:w="520"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520" w:type="dxa"/>
            <w:tcBorders>
              <w:top w:val="nil"/>
              <w:left w:val="nil"/>
              <w:bottom w:val="nil"/>
              <w:right w:val="nil"/>
            </w:tcBorders>
            <w:shd w:val="clear" w:color="auto" w:fill="F79646"/>
            <w:noWrap/>
          </w:tcPr>
          <w:p w:rsidR="00060B36" w:rsidRDefault="00060B36" w:rsidP="00F91686">
            <w:pPr>
              <w:pStyle w:val="TableTextEntries"/>
              <w:jc w:val="center"/>
            </w:pPr>
            <w:r>
              <w:t>3</w:t>
            </w:r>
          </w:p>
        </w:tc>
        <w:tc>
          <w:tcPr>
            <w:tcW w:w="628"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565"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484"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717" w:type="dxa"/>
            <w:tcBorders>
              <w:top w:val="nil"/>
              <w:left w:val="nil"/>
              <w:bottom w:val="nil"/>
              <w:right w:val="nil"/>
            </w:tcBorders>
            <w:shd w:val="clear" w:color="auto" w:fill="FF0000"/>
            <w:noWrap/>
          </w:tcPr>
          <w:p w:rsidR="00060B36" w:rsidRDefault="00060B36" w:rsidP="00F91686">
            <w:pPr>
              <w:pStyle w:val="TableTextEntries"/>
              <w:jc w:val="center"/>
            </w:pPr>
            <w:r>
              <w:t>B</w:t>
            </w:r>
          </w:p>
        </w:tc>
      </w:tr>
      <w:tr w:rsidR="00060B36" w:rsidRPr="009D53C4" w:rsidTr="00040943">
        <w:trPr>
          <w:trHeight w:val="284"/>
          <w:tblHeader/>
          <w:tblCellSpacing w:w="14" w:type="dxa"/>
          <w:jc w:val="center"/>
        </w:trPr>
        <w:tc>
          <w:tcPr>
            <w:tcW w:w="2739" w:type="dxa"/>
            <w:tcBorders>
              <w:top w:val="nil"/>
              <w:left w:val="nil"/>
              <w:bottom w:val="nil"/>
              <w:right w:val="nil"/>
            </w:tcBorders>
          </w:tcPr>
          <w:p w:rsidR="00060B36" w:rsidRPr="00040943" w:rsidRDefault="00060B36" w:rsidP="00F91686">
            <w:pPr>
              <w:pStyle w:val="TableTextEntries"/>
              <w:rPr>
                <w:rFonts w:cs="Arial"/>
                <w:color w:val="000000"/>
                <w:szCs w:val="16"/>
              </w:rPr>
            </w:pPr>
            <w:r w:rsidRPr="00092F36">
              <w:t>INJ290</w:t>
            </w:r>
            <w:r>
              <w:t>—</w:t>
            </w:r>
            <w:r w:rsidRPr="00092F36">
              <w:t xml:space="preserve">Interim support to </w:t>
            </w:r>
            <w:r w:rsidR="00AA1101">
              <w:t>E</w:t>
            </w:r>
            <w:r w:rsidRPr="00092F36">
              <w:t xml:space="preserve">ducation in </w:t>
            </w:r>
            <w:r>
              <w:t>KP</w:t>
            </w:r>
          </w:p>
        </w:tc>
        <w:tc>
          <w:tcPr>
            <w:tcW w:w="1264" w:type="dxa"/>
            <w:tcBorders>
              <w:top w:val="nil"/>
              <w:left w:val="nil"/>
              <w:bottom w:val="nil"/>
              <w:right w:val="nil"/>
            </w:tcBorders>
          </w:tcPr>
          <w:p w:rsidR="00060B36" w:rsidRPr="00040943" w:rsidRDefault="00060B36" w:rsidP="00F91686">
            <w:pPr>
              <w:pStyle w:val="TableTextEntries"/>
              <w:rPr>
                <w:rFonts w:cs="Tahoma"/>
                <w:bdr w:val="none" w:sz="0" w:space="0" w:color="auto" w:frame="1"/>
              </w:rPr>
            </w:pPr>
            <w:r w:rsidRPr="00040943">
              <w:rPr>
                <w:rFonts w:cs="Tahoma"/>
                <w:bdr w:val="none" w:sz="0" w:space="0" w:color="auto" w:frame="1"/>
              </w:rPr>
              <w:t>$11.3m</w:t>
            </w:r>
          </w:p>
          <w:p w:rsidR="00060B36" w:rsidRPr="00FE4491" w:rsidRDefault="00060B36" w:rsidP="00F91686">
            <w:pPr>
              <w:pStyle w:val="TableTextEntries"/>
            </w:pPr>
            <w:r w:rsidRPr="00040943">
              <w:rPr>
                <w:rFonts w:cs="Tahoma"/>
                <w:bdr w:val="none" w:sz="0" w:space="0" w:color="auto" w:frame="1"/>
              </w:rPr>
              <w:t>(2010–11)</w:t>
            </w:r>
          </w:p>
        </w:tc>
        <w:tc>
          <w:tcPr>
            <w:tcW w:w="638" w:type="dxa"/>
            <w:tcBorders>
              <w:top w:val="nil"/>
              <w:left w:val="nil"/>
              <w:bottom w:val="nil"/>
              <w:right w:val="nil"/>
            </w:tcBorders>
          </w:tcPr>
          <w:p w:rsidR="00060B36" w:rsidRDefault="00060B36" w:rsidP="00F91686">
            <w:pPr>
              <w:pStyle w:val="TableTextEntries"/>
            </w:pPr>
            <w:r>
              <w:t>2011</w:t>
            </w:r>
          </w:p>
        </w:tc>
        <w:tc>
          <w:tcPr>
            <w:tcW w:w="569"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520"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520"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628"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565"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484"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717" w:type="dxa"/>
            <w:tcBorders>
              <w:top w:val="nil"/>
              <w:left w:val="nil"/>
              <w:bottom w:val="nil"/>
              <w:right w:val="nil"/>
            </w:tcBorders>
            <w:shd w:val="clear" w:color="auto" w:fill="F79646"/>
            <w:noWrap/>
          </w:tcPr>
          <w:p w:rsidR="00060B36" w:rsidRDefault="00060B36" w:rsidP="00F91686">
            <w:pPr>
              <w:pStyle w:val="TableTextEntries"/>
              <w:jc w:val="center"/>
            </w:pPr>
            <w:r>
              <w:t>I</w:t>
            </w:r>
          </w:p>
        </w:tc>
      </w:tr>
      <w:tr w:rsidR="00060B36" w:rsidRPr="009D53C4" w:rsidTr="00F91686">
        <w:trPr>
          <w:trHeight w:val="284"/>
          <w:tblHeader/>
          <w:tblCellSpacing w:w="14" w:type="dxa"/>
          <w:jc w:val="center"/>
        </w:trPr>
        <w:tc>
          <w:tcPr>
            <w:tcW w:w="8896" w:type="dxa"/>
            <w:gridSpan w:val="10"/>
            <w:tcBorders>
              <w:top w:val="nil"/>
              <w:left w:val="nil"/>
              <w:bottom w:val="nil"/>
              <w:right w:val="nil"/>
            </w:tcBorders>
            <w:shd w:val="clear" w:color="auto" w:fill="auto"/>
          </w:tcPr>
          <w:p w:rsidR="00060B36" w:rsidRDefault="00060B36" w:rsidP="00F91686">
            <w:pPr>
              <w:pStyle w:val="TableHeading2"/>
            </w:pPr>
            <w:r w:rsidRPr="00040943">
              <w:t>Health</w:t>
            </w:r>
          </w:p>
        </w:tc>
      </w:tr>
      <w:tr w:rsidR="00060B36" w:rsidRPr="009D53C4" w:rsidTr="00040943">
        <w:trPr>
          <w:trHeight w:val="284"/>
          <w:tblHeader/>
          <w:tblCellSpacing w:w="14" w:type="dxa"/>
          <w:jc w:val="center"/>
        </w:trPr>
        <w:tc>
          <w:tcPr>
            <w:tcW w:w="2739" w:type="dxa"/>
            <w:vMerge w:val="restart"/>
            <w:tcBorders>
              <w:top w:val="nil"/>
              <w:left w:val="nil"/>
              <w:bottom w:val="nil"/>
              <w:right w:val="nil"/>
            </w:tcBorders>
          </w:tcPr>
          <w:p w:rsidR="00060B36" w:rsidRPr="00040943" w:rsidRDefault="00060B36" w:rsidP="00F91686">
            <w:pPr>
              <w:pStyle w:val="TableTextEntries"/>
              <w:rPr>
                <w:b/>
              </w:rPr>
            </w:pPr>
            <w:r w:rsidRPr="00092F36">
              <w:t xml:space="preserve">INH723 (07B452)—Improving </w:t>
            </w:r>
            <w:r w:rsidR="00AA1101">
              <w:t>M</w:t>
            </w:r>
            <w:r w:rsidRPr="00092F36">
              <w:t xml:space="preserve">aternal and </w:t>
            </w:r>
            <w:r w:rsidR="00AA1101">
              <w:t>Child H</w:t>
            </w:r>
            <w:r w:rsidRPr="00092F36">
              <w:t>ealth</w:t>
            </w:r>
          </w:p>
        </w:tc>
        <w:tc>
          <w:tcPr>
            <w:tcW w:w="1264" w:type="dxa"/>
            <w:vMerge w:val="restart"/>
            <w:tcBorders>
              <w:top w:val="nil"/>
              <w:left w:val="nil"/>
              <w:bottom w:val="nil"/>
              <w:right w:val="nil"/>
            </w:tcBorders>
          </w:tcPr>
          <w:p w:rsidR="00060B36" w:rsidRPr="00040943" w:rsidRDefault="00060B36" w:rsidP="00F91686">
            <w:pPr>
              <w:pStyle w:val="TableTextEntries"/>
              <w:rPr>
                <w:rFonts w:cs="Tahoma"/>
                <w:bdr w:val="none" w:sz="0" w:space="0" w:color="auto" w:frame="1"/>
              </w:rPr>
            </w:pPr>
            <w:r w:rsidRPr="00040943">
              <w:rPr>
                <w:rFonts w:cs="Tahoma"/>
                <w:bdr w:val="none" w:sz="0" w:space="0" w:color="auto" w:frame="1"/>
              </w:rPr>
              <w:t>$30.5m</w:t>
            </w:r>
          </w:p>
          <w:p w:rsidR="00060B36" w:rsidRPr="00FE4491" w:rsidRDefault="00060B36" w:rsidP="00F91686">
            <w:pPr>
              <w:pStyle w:val="TableTextEntries"/>
            </w:pPr>
            <w:r w:rsidRPr="00040943">
              <w:rPr>
                <w:rFonts w:cs="Tahoma"/>
                <w:bdr w:val="none" w:sz="0" w:space="0" w:color="auto" w:frame="1"/>
              </w:rPr>
              <w:t>(2008–14)</w:t>
            </w:r>
          </w:p>
        </w:tc>
        <w:tc>
          <w:tcPr>
            <w:tcW w:w="638" w:type="dxa"/>
            <w:tcBorders>
              <w:top w:val="nil"/>
              <w:left w:val="nil"/>
              <w:bottom w:val="nil"/>
              <w:right w:val="nil"/>
            </w:tcBorders>
          </w:tcPr>
          <w:p w:rsidR="00060B36" w:rsidRDefault="00060B36" w:rsidP="00F91686">
            <w:pPr>
              <w:pStyle w:val="TableTextEntries"/>
            </w:pPr>
            <w:r>
              <w:t>2012</w:t>
            </w:r>
          </w:p>
        </w:tc>
        <w:tc>
          <w:tcPr>
            <w:tcW w:w="569"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520"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520"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628"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565"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484"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717" w:type="dxa"/>
            <w:tcBorders>
              <w:top w:val="nil"/>
              <w:left w:val="nil"/>
              <w:bottom w:val="nil"/>
              <w:right w:val="nil"/>
            </w:tcBorders>
            <w:shd w:val="clear" w:color="auto" w:fill="F79646"/>
            <w:noWrap/>
          </w:tcPr>
          <w:p w:rsidR="00060B36" w:rsidRDefault="00060B36" w:rsidP="00F91686">
            <w:pPr>
              <w:pStyle w:val="TableTextEntries"/>
              <w:jc w:val="center"/>
            </w:pPr>
            <w:r>
              <w:t>I</w:t>
            </w:r>
          </w:p>
        </w:tc>
      </w:tr>
      <w:tr w:rsidR="00060B36" w:rsidRPr="009D53C4" w:rsidTr="00040943">
        <w:trPr>
          <w:trHeight w:val="280"/>
          <w:tblHeader/>
          <w:tblCellSpacing w:w="14" w:type="dxa"/>
          <w:jc w:val="center"/>
        </w:trPr>
        <w:tc>
          <w:tcPr>
            <w:tcW w:w="2739" w:type="dxa"/>
            <w:vMerge/>
            <w:tcBorders>
              <w:top w:val="nil"/>
              <w:left w:val="nil"/>
              <w:bottom w:val="nil"/>
              <w:right w:val="nil"/>
            </w:tcBorders>
          </w:tcPr>
          <w:p w:rsidR="00060B36" w:rsidRPr="00040943" w:rsidRDefault="00060B36" w:rsidP="00F91686">
            <w:pPr>
              <w:pStyle w:val="TableTextEntries"/>
              <w:rPr>
                <w:b/>
              </w:rPr>
            </w:pPr>
          </w:p>
        </w:tc>
        <w:tc>
          <w:tcPr>
            <w:tcW w:w="1264" w:type="dxa"/>
            <w:vMerge/>
            <w:tcBorders>
              <w:top w:val="nil"/>
              <w:left w:val="nil"/>
              <w:bottom w:val="nil"/>
              <w:right w:val="nil"/>
            </w:tcBorders>
          </w:tcPr>
          <w:p w:rsidR="00060B36" w:rsidRPr="00FE4491" w:rsidRDefault="00060B36" w:rsidP="00F91686">
            <w:pPr>
              <w:pStyle w:val="TableTextEntries"/>
            </w:pPr>
          </w:p>
        </w:tc>
        <w:tc>
          <w:tcPr>
            <w:tcW w:w="638" w:type="dxa"/>
            <w:tcBorders>
              <w:top w:val="nil"/>
              <w:left w:val="nil"/>
              <w:bottom w:val="nil"/>
              <w:right w:val="nil"/>
            </w:tcBorders>
          </w:tcPr>
          <w:p w:rsidR="00060B36" w:rsidRDefault="00060B36" w:rsidP="00F91686">
            <w:pPr>
              <w:pStyle w:val="TableTextEntries"/>
            </w:pPr>
            <w:r>
              <w:t>2011</w:t>
            </w:r>
          </w:p>
        </w:tc>
        <w:tc>
          <w:tcPr>
            <w:tcW w:w="569"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520"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520"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628"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565"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484"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717" w:type="dxa"/>
            <w:tcBorders>
              <w:top w:val="nil"/>
              <w:left w:val="nil"/>
              <w:bottom w:val="nil"/>
              <w:right w:val="nil"/>
            </w:tcBorders>
            <w:shd w:val="clear" w:color="auto" w:fill="F79646"/>
            <w:noWrap/>
          </w:tcPr>
          <w:p w:rsidR="00060B36" w:rsidRDefault="00060B36" w:rsidP="00F91686">
            <w:pPr>
              <w:pStyle w:val="TableTextEntries"/>
              <w:jc w:val="center"/>
            </w:pPr>
            <w:r>
              <w:t>I</w:t>
            </w:r>
          </w:p>
        </w:tc>
      </w:tr>
      <w:tr w:rsidR="00060B36" w:rsidRPr="009D53C4" w:rsidTr="00040943">
        <w:trPr>
          <w:trHeight w:val="284"/>
          <w:tblHeader/>
          <w:tblCellSpacing w:w="14" w:type="dxa"/>
          <w:jc w:val="center"/>
        </w:trPr>
        <w:tc>
          <w:tcPr>
            <w:tcW w:w="2739" w:type="dxa"/>
            <w:tcBorders>
              <w:top w:val="nil"/>
              <w:left w:val="nil"/>
              <w:bottom w:val="nil"/>
              <w:right w:val="nil"/>
            </w:tcBorders>
          </w:tcPr>
          <w:p w:rsidR="00060B36" w:rsidRPr="00040943" w:rsidRDefault="00060B36" w:rsidP="00F91686">
            <w:pPr>
              <w:pStyle w:val="TableTextEntries"/>
              <w:rPr>
                <w:b/>
              </w:rPr>
            </w:pPr>
            <w:r w:rsidRPr="00092F36">
              <w:t>INH723 (11A304)</w:t>
            </w:r>
            <w:r>
              <w:t>—</w:t>
            </w:r>
            <w:r w:rsidRPr="00040943">
              <w:rPr>
                <w:rFonts w:cs="Arial"/>
                <w:szCs w:val="16"/>
              </w:rPr>
              <w:t xml:space="preserve">Joint One UN </w:t>
            </w:r>
            <w:r w:rsidR="00AA1101">
              <w:rPr>
                <w:rFonts w:cs="Arial"/>
                <w:szCs w:val="16"/>
              </w:rPr>
              <w:t>P</w:t>
            </w:r>
            <w:r w:rsidRPr="00040943">
              <w:rPr>
                <w:rFonts w:cs="Arial"/>
                <w:szCs w:val="16"/>
              </w:rPr>
              <w:t>rogram—JPC 3—Nutrition</w:t>
            </w:r>
          </w:p>
        </w:tc>
        <w:tc>
          <w:tcPr>
            <w:tcW w:w="1264" w:type="dxa"/>
            <w:tcBorders>
              <w:top w:val="nil"/>
              <w:left w:val="nil"/>
              <w:bottom w:val="nil"/>
              <w:right w:val="nil"/>
            </w:tcBorders>
          </w:tcPr>
          <w:p w:rsidR="00060B36" w:rsidRDefault="00060B36" w:rsidP="00F91686">
            <w:pPr>
              <w:pStyle w:val="TableTextEntries"/>
            </w:pPr>
            <w:r>
              <w:t>$6.98m</w:t>
            </w:r>
          </w:p>
          <w:p w:rsidR="00060B36" w:rsidRPr="00FE4491" w:rsidRDefault="00060B36" w:rsidP="00F91686">
            <w:pPr>
              <w:pStyle w:val="TableTextEntries"/>
            </w:pPr>
            <w:r>
              <w:t>(2011–12)</w:t>
            </w:r>
          </w:p>
        </w:tc>
        <w:tc>
          <w:tcPr>
            <w:tcW w:w="638" w:type="dxa"/>
            <w:tcBorders>
              <w:top w:val="nil"/>
              <w:left w:val="nil"/>
              <w:bottom w:val="nil"/>
              <w:right w:val="nil"/>
            </w:tcBorders>
          </w:tcPr>
          <w:p w:rsidR="00060B36" w:rsidRDefault="00060B36" w:rsidP="00F91686">
            <w:pPr>
              <w:pStyle w:val="TableTextEntries"/>
            </w:pPr>
            <w:r>
              <w:t>2012</w:t>
            </w:r>
          </w:p>
        </w:tc>
        <w:tc>
          <w:tcPr>
            <w:tcW w:w="569" w:type="dxa"/>
            <w:tcBorders>
              <w:top w:val="single" w:sz="24" w:space="0" w:color="FFFFFF"/>
              <w:left w:val="nil"/>
              <w:bottom w:val="single" w:sz="24" w:space="0" w:color="FFFFFF"/>
              <w:right w:val="nil"/>
            </w:tcBorders>
            <w:shd w:val="clear" w:color="auto" w:fill="92D050"/>
            <w:noWrap/>
          </w:tcPr>
          <w:p w:rsidR="00060B36" w:rsidRDefault="00060B36" w:rsidP="00F91686">
            <w:pPr>
              <w:pStyle w:val="TableTextEntries"/>
              <w:jc w:val="center"/>
            </w:pPr>
            <w:r>
              <w:t>5</w:t>
            </w:r>
          </w:p>
        </w:tc>
        <w:tc>
          <w:tcPr>
            <w:tcW w:w="520" w:type="dxa"/>
            <w:tcBorders>
              <w:top w:val="single" w:sz="24" w:space="0" w:color="FFFFFF"/>
              <w:left w:val="nil"/>
              <w:bottom w:val="single" w:sz="24" w:space="0" w:color="FFFFFF"/>
              <w:right w:val="nil"/>
            </w:tcBorders>
            <w:shd w:val="clear" w:color="auto" w:fill="92D050"/>
            <w:noWrap/>
          </w:tcPr>
          <w:p w:rsidR="00060B36" w:rsidRDefault="00060B36" w:rsidP="00F91686">
            <w:pPr>
              <w:pStyle w:val="TableTextEntries"/>
              <w:jc w:val="center"/>
            </w:pPr>
            <w:r>
              <w:t>5</w:t>
            </w:r>
          </w:p>
        </w:tc>
        <w:tc>
          <w:tcPr>
            <w:tcW w:w="520" w:type="dxa"/>
            <w:tcBorders>
              <w:top w:val="single" w:sz="24" w:space="0" w:color="FFFFFF"/>
              <w:left w:val="nil"/>
              <w:bottom w:val="single" w:sz="24" w:space="0" w:color="FFFFFF"/>
              <w:right w:val="nil"/>
            </w:tcBorders>
            <w:shd w:val="clear" w:color="auto" w:fill="92D050"/>
            <w:noWrap/>
          </w:tcPr>
          <w:p w:rsidR="00060B36" w:rsidRDefault="00060B36" w:rsidP="00F91686">
            <w:pPr>
              <w:pStyle w:val="TableTextEntries"/>
              <w:jc w:val="center"/>
            </w:pPr>
            <w:r>
              <w:t>5</w:t>
            </w:r>
          </w:p>
        </w:tc>
        <w:tc>
          <w:tcPr>
            <w:tcW w:w="628" w:type="dxa"/>
            <w:tcBorders>
              <w:top w:val="single" w:sz="24" w:space="0" w:color="FFFFFF"/>
              <w:left w:val="nil"/>
              <w:bottom w:val="single" w:sz="24" w:space="0" w:color="FFFFFF"/>
              <w:right w:val="nil"/>
            </w:tcBorders>
            <w:shd w:val="clear" w:color="auto" w:fill="FFFF00"/>
            <w:noWrap/>
          </w:tcPr>
          <w:p w:rsidR="00060B36" w:rsidRDefault="00060B36" w:rsidP="00F91686">
            <w:pPr>
              <w:pStyle w:val="TableTextEntries"/>
              <w:jc w:val="center"/>
            </w:pPr>
            <w:r>
              <w:t>4</w:t>
            </w:r>
          </w:p>
        </w:tc>
        <w:tc>
          <w:tcPr>
            <w:tcW w:w="565" w:type="dxa"/>
            <w:tcBorders>
              <w:top w:val="single" w:sz="24" w:space="0" w:color="FFFFFF"/>
              <w:left w:val="nil"/>
              <w:bottom w:val="single" w:sz="24" w:space="0" w:color="FFFFFF"/>
              <w:right w:val="nil"/>
            </w:tcBorders>
            <w:shd w:val="clear" w:color="auto" w:fill="92D050"/>
            <w:noWrap/>
          </w:tcPr>
          <w:p w:rsidR="00060B36" w:rsidRDefault="00060B36" w:rsidP="00F91686">
            <w:pPr>
              <w:pStyle w:val="TableTextEntries"/>
              <w:jc w:val="center"/>
            </w:pPr>
            <w:r>
              <w:t>5</w:t>
            </w:r>
          </w:p>
        </w:tc>
        <w:tc>
          <w:tcPr>
            <w:tcW w:w="484" w:type="dxa"/>
            <w:tcBorders>
              <w:top w:val="single" w:sz="24" w:space="0" w:color="FFFFFF"/>
              <w:left w:val="nil"/>
              <w:bottom w:val="single" w:sz="24" w:space="0" w:color="FFFFFF"/>
              <w:right w:val="nil"/>
            </w:tcBorders>
            <w:shd w:val="clear" w:color="auto" w:fill="92D050"/>
            <w:noWrap/>
          </w:tcPr>
          <w:p w:rsidR="00060B36" w:rsidRDefault="00060B36" w:rsidP="00F91686">
            <w:pPr>
              <w:pStyle w:val="TableTextEntries"/>
              <w:jc w:val="center"/>
            </w:pPr>
            <w:r>
              <w:t>5</w:t>
            </w:r>
          </w:p>
        </w:tc>
        <w:tc>
          <w:tcPr>
            <w:tcW w:w="717" w:type="dxa"/>
            <w:tcBorders>
              <w:top w:val="single" w:sz="24" w:space="0" w:color="FFFFFF"/>
              <w:left w:val="nil"/>
              <w:bottom w:val="single" w:sz="24" w:space="0" w:color="FFFFFF"/>
              <w:right w:val="nil"/>
            </w:tcBorders>
            <w:shd w:val="clear" w:color="auto" w:fill="F79646"/>
            <w:noWrap/>
          </w:tcPr>
          <w:p w:rsidR="00060B36" w:rsidRDefault="00060B36" w:rsidP="00F91686">
            <w:pPr>
              <w:pStyle w:val="TableTextEntries"/>
              <w:jc w:val="center"/>
            </w:pPr>
            <w:r>
              <w:t>I</w:t>
            </w:r>
          </w:p>
        </w:tc>
      </w:tr>
      <w:tr w:rsidR="00060B36" w:rsidRPr="009D53C4" w:rsidTr="00040943">
        <w:trPr>
          <w:trHeight w:val="284"/>
          <w:tblHeader/>
          <w:tblCellSpacing w:w="14" w:type="dxa"/>
          <w:jc w:val="center"/>
        </w:trPr>
        <w:tc>
          <w:tcPr>
            <w:tcW w:w="2739" w:type="dxa"/>
            <w:vMerge w:val="restart"/>
            <w:tcBorders>
              <w:top w:val="nil"/>
              <w:left w:val="nil"/>
              <w:bottom w:val="nil"/>
              <w:right w:val="nil"/>
            </w:tcBorders>
          </w:tcPr>
          <w:p w:rsidR="00060B36" w:rsidRPr="00040943" w:rsidRDefault="00060B36" w:rsidP="00F91686">
            <w:pPr>
              <w:pStyle w:val="TableTextEntries"/>
              <w:rPr>
                <w:b/>
              </w:rPr>
            </w:pPr>
            <w:r w:rsidRPr="00092F36">
              <w:t>INH502—Pakistan – Australia sub-</w:t>
            </w:r>
            <w:r w:rsidR="00AA1101">
              <w:t>S</w:t>
            </w:r>
            <w:r w:rsidRPr="00092F36">
              <w:t>p</w:t>
            </w:r>
            <w:r w:rsidR="00AA1101">
              <w:t>ecialty E</w:t>
            </w:r>
            <w:r w:rsidRPr="00092F36">
              <w:t xml:space="preserve">ye </w:t>
            </w:r>
            <w:r w:rsidR="00AA1101">
              <w:t>Care P</w:t>
            </w:r>
            <w:r w:rsidRPr="00092F36">
              <w:t xml:space="preserve">roject </w:t>
            </w:r>
            <w:r w:rsidR="00AA1101">
              <w:t>P</w:t>
            </w:r>
            <w:r w:rsidRPr="00092F36">
              <w:t xml:space="preserve">hase II </w:t>
            </w:r>
          </w:p>
        </w:tc>
        <w:tc>
          <w:tcPr>
            <w:tcW w:w="1264" w:type="dxa"/>
            <w:vMerge w:val="restart"/>
            <w:tcBorders>
              <w:top w:val="nil"/>
              <w:left w:val="nil"/>
              <w:bottom w:val="nil"/>
              <w:right w:val="nil"/>
            </w:tcBorders>
          </w:tcPr>
          <w:p w:rsidR="00060B36" w:rsidRPr="00040943" w:rsidRDefault="00060B36" w:rsidP="00F91686">
            <w:pPr>
              <w:pStyle w:val="TableTextEntries"/>
              <w:rPr>
                <w:rFonts w:cs="Tahoma"/>
                <w:bdr w:val="none" w:sz="0" w:space="0" w:color="auto" w:frame="1"/>
              </w:rPr>
            </w:pPr>
            <w:r w:rsidRPr="00040943">
              <w:rPr>
                <w:rFonts w:cs="Tahoma"/>
                <w:bdr w:val="none" w:sz="0" w:space="0" w:color="auto" w:frame="1"/>
              </w:rPr>
              <w:t>$5.23m</w:t>
            </w:r>
          </w:p>
          <w:p w:rsidR="00060B36" w:rsidRPr="00EC1279" w:rsidRDefault="00060B36" w:rsidP="00F91686">
            <w:pPr>
              <w:pStyle w:val="TableTextEntries"/>
            </w:pPr>
            <w:r w:rsidRPr="00040943">
              <w:rPr>
                <w:rFonts w:cs="Tahoma"/>
                <w:bdr w:val="none" w:sz="0" w:space="0" w:color="auto" w:frame="1"/>
              </w:rPr>
              <w:t>(2007–13)</w:t>
            </w:r>
          </w:p>
        </w:tc>
        <w:tc>
          <w:tcPr>
            <w:tcW w:w="638" w:type="dxa"/>
            <w:tcBorders>
              <w:top w:val="nil"/>
              <w:left w:val="nil"/>
              <w:bottom w:val="nil"/>
              <w:right w:val="nil"/>
            </w:tcBorders>
          </w:tcPr>
          <w:p w:rsidR="00060B36" w:rsidRPr="002B65E9" w:rsidRDefault="00060B36" w:rsidP="00F91686">
            <w:pPr>
              <w:pStyle w:val="TableTextEntries"/>
            </w:pPr>
            <w:r w:rsidRPr="002B65E9">
              <w:t>2012</w:t>
            </w:r>
          </w:p>
        </w:tc>
        <w:tc>
          <w:tcPr>
            <w:tcW w:w="569"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520"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520"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628"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565"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484"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717" w:type="dxa"/>
            <w:tcBorders>
              <w:top w:val="nil"/>
              <w:left w:val="nil"/>
              <w:bottom w:val="nil"/>
              <w:right w:val="nil"/>
            </w:tcBorders>
            <w:shd w:val="clear" w:color="auto" w:fill="F79646"/>
            <w:noWrap/>
          </w:tcPr>
          <w:p w:rsidR="00060B36" w:rsidRDefault="00060B36" w:rsidP="00F91686">
            <w:pPr>
              <w:pStyle w:val="TableTextEntries"/>
              <w:jc w:val="center"/>
            </w:pPr>
            <w:r>
              <w:t>I</w:t>
            </w:r>
          </w:p>
        </w:tc>
      </w:tr>
      <w:tr w:rsidR="00060B36" w:rsidRPr="009D53C4" w:rsidTr="00040943">
        <w:trPr>
          <w:trHeight w:val="284"/>
          <w:tblHeader/>
          <w:tblCellSpacing w:w="14" w:type="dxa"/>
          <w:jc w:val="center"/>
        </w:trPr>
        <w:tc>
          <w:tcPr>
            <w:tcW w:w="2739" w:type="dxa"/>
            <w:vMerge/>
            <w:tcBorders>
              <w:top w:val="nil"/>
              <w:left w:val="nil"/>
              <w:bottom w:val="nil"/>
              <w:right w:val="nil"/>
            </w:tcBorders>
          </w:tcPr>
          <w:p w:rsidR="00060B36" w:rsidRPr="00040943" w:rsidRDefault="00060B36" w:rsidP="00F91686">
            <w:pPr>
              <w:pStyle w:val="TableTextEntries"/>
              <w:rPr>
                <w:b/>
              </w:rPr>
            </w:pPr>
          </w:p>
        </w:tc>
        <w:tc>
          <w:tcPr>
            <w:tcW w:w="1264" w:type="dxa"/>
            <w:vMerge/>
            <w:tcBorders>
              <w:top w:val="nil"/>
              <w:left w:val="nil"/>
              <w:bottom w:val="nil"/>
              <w:right w:val="nil"/>
            </w:tcBorders>
          </w:tcPr>
          <w:p w:rsidR="00060B36" w:rsidRPr="00EC1279" w:rsidRDefault="00060B36" w:rsidP="00F91686">
            <w:pPr>
              <w:pStyle w:val="TableTextEntries"/>
            </w:pPr>
          </w:p>
        </w:tc>
        <w:tc>
          <w:tcPr>
            <w:tcW w:w="638" w:type="dxa"/>
            <w:tcBorders>
              <w:top w:val="nil"/>
              <w:left w:val="nil"/>
              <w:bottom w:val="nil"/>
              <w:right w:val="nil"/>
            </w:tcBorders>
          </w:tcPr>
          <w:p w:rsidR="00060B36" w:rsidRPr="002B65E9" w:rsidRDefault="00060B36" w:rsidP="00F91686">
            <w:pPr>
              <w:pStyle w:val="TableTextEntries"/>
            </w:pPr>
            <w:r w:rsidRPr="002B65E9">
              <w:t>2011</w:t>
            </w:r>
          </w:p>
        </w:tc>
        <w:tc>
          <w:tcPr>
            <w:tcW w:w="569"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520"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520"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628"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565"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484"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717" w:type="dxa"/>
            <w:tcBorders>
              <w:top w:val="nil"/>
              <w:left w:val="nil"/>
              <w:bottom w:val="nil"/>
              <w:right w:val="nil"/>
            </w:tcBorders>
            <w:shd w:val="clear" w:color="auto" w:fill="F79646"/>
            <w:noWrap/>
          </w:tcPr>
          <w:p w:rsidR="00060B36" w:rsidRDefault="00060B36" w:rsidP="00F91686">
            <w:pPr>
              <w:pStyle w:val="TableTextEntries"/>
              <w:jc w:val="center"/>
            </w:pPr>
            <w:r>
              <w:t>I</w:t>
            </w:r>
          </w:p>
        </w:tc>
      </w:tr>
      <w:tr w:rsidR="00060B36" w:rsidRPr="009D53C4" w:rsidTr="00040943">
        <w:trPr>
          <w:trHeight w:val="284"/>
          <w:tblHeader/>
          <w:tblCellSpacing w:w="14" w:type="dxa"/>
          <w:jc w:val="center"/>
        </w:trPr>
        <w:tc>
          <w:tcPr>
            <w:tcW w:w="2739" w:type="dxa"/>
            <w:tcBorders>
              <w:top w:val="nil"/>
              <w:left w:val="nil"/>
              <w:bottom w:val="nil"/>
              <w:right w:val="nil"/>
            </w:tcBorders>
          </w:tcPr>
          <w:p w:rsidR="00060B36" w:rsidRPr="00092F36" w:rsidRDefault="00060B36" w:rsidP="00F91686">
            <w:pPr>
              <w:pStyle w:val="TableTextEntries"/>
            </w:pPr>
            <w:r w:rsidRPr="00092F36">
              <w:t>INK363</w:t>
            </w:r>
            <w:r>
              <w:t>—</w:t>
            </w:r>
            <w:r w:rsidRPr="00040943">
              <w:rPr>
                <w:rFonts w:cs="Arial"/>
                <w:szCs w:val="16"/>
              </w:rPr>
              <w:t>Integrated Maternal, Newborn and Child Healthcare (IMNCH) Project</w:t>
            </w:r>
            <w:r w:rsidRPr="00040943">
              <w:rPr>
                <w:rFonts w:ascii="Courier New" w:hAnsi="Courier New" w:cs="Courier New"/>
                <w:b/>
                <w:color w:val="FF0000"/>
                <w:szCs w:val="16"/>
              </w:rPr>
              <w:t xml:space="preserve"> </w:t>
            </w:r>
          </w:p>
        </w:tc>
        <w:tc>
          <w:tcPr>
            <w:tcW w:w="1264" w:type="dxa"/>
            <w:tcBorders>
              <w:top w:val="nil"/>
              <w:left w:val="nil"/>
              <w:bottom w:val="nil"/>
              <w:right w:val="nil"/>
            </w:tcBorders>
          </w:tcPr>
          <w:p w:rsidR="00060B36" w:rsidRPr="00040943" w:rsidRDefault="00060B36" w:rsidP="00F91686">
            <w:pPr>
              <w:pStyle w:val="TableTextEntries"/>
              <w:rPr>
                <w:rFonts w:cs="Tahoma"/>
                <w:bdr w:val="none" w:sz="0" w:space="0" w:color="auto" w:frame="1"/>
              </w:rPr>
            </w:pPr>
            <w:r w:rsidRPr="00040943">
              <w:rPr>
                <w:rFonts w:cs="Tahoma"/>
                <w:bdr w:val="none" w:sz="0" w:space="0" w:color="auto" w:frame="1"/>
              </w:rPr>
              <w:t>$13.61m</w:t>
            </w:r>
          </w:p>
          <w:p w:rsidR="00060B36" w:rsidRPr="00EC1279" w:rsidRDefault="00060B36" w:rsidP="00F91686">
            <w:pPr>
              <w:pStyle w:val="TableTextEntries"/>
            </w:pPr>
            <w:r w:rsidRPr="00040943">
              <w:rPr>
                <w:rFonts w:cs="Tahoma"/>
                <w:bdr w:val="none" w:sz="0" w:space="0" w:color="auto" w:frame="1"/>
              </w:rPr>
              <w:t>(2012–16)</w:t>
            </w:r>
          </w:p>
        </w:tc>
        <w:tc>
          <w:tcPr>
            <w:tcW w:w="638" w:type="dxa"/>
            <w:tcBorders>
              <w:top w:val="nil"/>
              <w:left w:val="nil"/>
              <w:bottom w:val="nil"/>
              <w:right w:val="nil"/>
            </w:tcBorders>
          </w:tcPr>
          <w:p w:rsidR="00060B36" w:rsidRDefault="00060B36" w:rsidP="00F91686">
            <w:pPr>
              <w:pStyle w:val="TableTextEntries"/>
            </w:pPr>
            <w:r>
              <w:t>2012</w:t>
            </w:r>
          </w:p>
        </w:tc>
        <w:tc>
          <w:tcPr>
            <w:tcW w:w="569" w:type="dxa"/>
            <w:tcBorders>
              <w:top w:val="single" w:sz="24" w:space="0" w:color="FFFFFF"/>
              <w:left w:val="nil"/>
              <w:bottom w:val="single" w:sz="24" w:space="0" w:color="FFFFFF"/>
              <w:right w:val="nil"/>
            </w:tcBorders>
            <w:shd w:val="clear" w:color="auto" w:fill="92D050"/>
            <w:noWrap/>
          </w:tcPr>
          <w:p w:rsidR="00060B36" w:rsidRDefault="00060B36" w:rsidP="00F91686">
            <w:pPr>
              <w:pStyle w:val="TableTextEntries"/>
              <w:jc w:val="center"/>
            </w:pPr>
            <w:r>
              <w:t>5</w:t>
            </w:r>
          </w:p>
        </w:tc>
        <w:tc>
          <w:tcPr>
            <w:tcW w:w="520" w:type="dxa"/>
            <w:tcBorders>
              <w:top w:val="single" w:sz="24" w:space="0" w:color="FFFFFF"/>
              <w:left w:val="nil"/>
              <w:bottom w:val="single" w:sz="24" w:space="0" w:color="FFFFFF"/>
              <w:right w:val="nil"/>
            </w:tcBorders>
            <w:shd w:val="clear" w:color="auto" w:fill="92D050"/>
            <w:noWrap/>
          </w:tcPr>
          <w:p w:rsidR="00060B36" w:rsidRDefault="00060B36" w:rsidP="00F91686">
            <w:pPr>
              <w:pStyle w:val="TableTextEntries"/>
              <w:jc w:val="center"/>
            </w:pPr>
            <w:r>
              <w:t>5</w:t>
            </w:r>
          </w:p>
        </w:tc>
        <w:tc>
          <w:tcPr>
            <w:tcW w:w="520" w:type="dxa"/>
            <w:tcBorders>
              <w:top w:val="single" w:sz="24" w:space="0" w:color="FFFFFF"/>
              <w:left w:val="nil"/>
              <w:bottom w:val="single" w:sz="24" w:space="0" w:color="FFFFFF"/>
              <w:right w:val="nil"/>
            </w:tcBorders>
            <w:shd w:val="clear" w:color="auto" w:fill="92D050"/>
            <w:noWrap/>
          </w:tcPr>
          <w:p w:rsidR="00060B36" w:rsidRDefault="00060B36" w:rsidP="00F91686">
            <w:pPr>
              <w:pStyle w:val="TableTextEntries"/>
              <w:jc w:val="center"/>
            </w:pPr>
            <w:r>
              <w:t>5</w:t>
            </w:r>
          </w:p>
        </w:tc>
        <w:tc>
          <w:tcPr>
            <w:tcW w:w="628" w:type="dxa"/>
            <w:tcBorders>
              <w:top w:val="single" w:sz="24" w:space="0" w:color="FFFFFF"/>
              <w:left w:val="nil"/>
              <w:bottom w:val="single" w:sz="24" w:space="0" w:color="FFFFFF"/>
              <w:right w:val="nil"/>
            </w:tcBorders>
            <w:shd w:val="clear" w:color="auto" w:fill="FFFF00"/>
            <w:noWrap/>
          </w:tcPr>
          <w:p w:rsidR="00060B36" w:rsidRDefault="00060B36" w:rsidP="00F91686">
            <w:pPr>
              <w:pStyle w:val="TableTextEntries"/>
              <w:jc w:val="center"/>
            </w:pPr>
            <w:r>
              <w:t>4</w:t>
            </w:r>
          </w:p>
        </w:tc>
        <w:tc>
          <w:tcPr>
            <w:tcW w:w="565" w:type="dxa"/>
            <w:tcBorders>
              <w:top w:val="single" w:sz="24" w:space="0" w:color="FFFFFF"/>
              <w:left w:val="nil"/>
              <w:bottom w:val="single" w:sz="24" w:space="0" w:color="FFFFFF"/>
              <w:right w:val="nil"/>
            </w:tcBorders>
            <w:shd w:val="clear" w:color="auto" w:fill="FFFF00"/>
            <w:noWrap/>
          </w:tcPr>
          <w:p w:rsidR="00060B36" w:rsidRDefault="00060B36" w:rsidP="00F91686">
            <w:pPr>
              <w:pStyle w:val="TableTextEntries"/>
              <w:jc w:val="center"/>
            </w:pPr>
            <w:r>
              <w:t>4</w:t>
            </w:r>
          </w:p>
        </w:tc>
        <w:tc>
          <w:tcPr>
            <w:tcW w:w="484" w:type="dxa"/>
            <w:tcBorders>
              <w:top w:val="single" w:sz="24" w:space="0" w:color="FFFFFF"/>
              <w:left w:val="nil"/>
              <w:bottom w:val="single" w:sz="24" w:space="0" w:color="FFFFFF"/>
              <w:right w:val="nil"/>
            </w:tcBorders>
            <w:shd w:val="clear" w:color="auto" w:fill="92D050"/>
            <w:noWrap/>
          </w:tcPr>
          <w:p w:rsidR="00060B36" w:rsidRDefault="00060B36" w:rsidP="00F91686">
            <w:pPr>
              <w:pStyle w:val="TableTextEntries"/>
              <w:jc w:val="center"/>
            </w:pPr>
            <w:r>
              <w:t>5</w:t>
            </w:r>
          </w:p>
        </w:tc>
        <w:tc>
          <w:tcPr>
            <w:tcW w:w="717" w:type="dxa"/>
            <w:tcBorders>
              <w:top w:val="single" w:sz="24" w:space="0" w:color="FFFFFF"/>
              <w:left w:val="nil"/>
              <w:bottom w:val="single" w:sz="24" w:space="0" w:color="FFFFFF"/>
              <w:right w:val="nil"/>
            </w:tcBorders>
            <w:shd w:val="clear" w:color="auto" w:fill="F79646"/>
            <w:noWrap/>
          </w:tcPr>
          <w:p w:rsidR="00060B36" w:rsidRDefault="00060B36" w:rsidP="00F91686">
            <w:pPr>
              <w:pStyle w:val="TableTextEntries"/>
              <w:jc w:val="center"/>
            </w:pPr>
            <w:r>
              <w:t>I</w:t>
            </w:r>
          </w:p>
        </w:tc>
      </w:tr>
      <w:tr w:rsidR="00060B36" w:rsidRPr="009D53C4" w:rsidTr="00040943">
        <w:trPr>
          <w:trHeight w:val="284"/>
          <w:tblHeader/>
          <w:tblCellSpacing w:w="14" w:type="dxa"/>
          <w:jc w:val="center"/>
        </w:trPr>
        <w:tc>
          <w:tcPr>
            <w:tcW w:w="2739" w:type="dxa"/>
            <w:vMerge w:val="restart"/>
            <w:tcBorders>
              <w:top w:val="nil"/>
              <w:left w:val="nil"/>
              <w:bottom w:val="nil"/>
              <w:right w:val="nil"/>
            </w:tcBorders>
          </w:tcPr>
          <w:p w:rsidR="00060B36" w:rsidRPr="00092F36" w:rsidRDefault="00060B36" w:rsidP="00F91686">
            <w:pPr>
              <w:pStyle w:val="TableTextEntries"/>
            </w:pPr>
            <w:r w:rsidRPr="00040943">
              <w:rPr>
                <w:rFonts w:cs="Arial"/>
                <w:szCs w:val="16"/>
              </w:rPr>
              <w:t>INH326—Pakistan – Australia District Comprehensive Eye Care Project (PADECII)</w:t>
            </w:r>
          </w:p>
        </w:tc>
        <w:tc>
          <w:tcPr>
            <w:tcW w:w="1264" w:type="dxa"/>
            <w:vMerge w:val="restart"/>
            <w:tcBorders>
              <w:top w:val="nil"/>
              <w:left w:val="nil"/>
              <w:bottom w:val="nil"/>
              <w:right w:val="nil"/>
            </w:tcBorders>
          </w:tcPr>
          <w:p w:rsidR="00060B36" w:rsidRPr="00040943" w:rsidRDefault="00060B36" w:rsidP="00F91686">
            <w:pPr>
              <w:pStyle w:val="TableTextEntries"/>
              <w:rPr>
                <w:rFonts w:cs="Tahoma"/>
                <w:bdr w:val="none" w:sz="0" w:space="0" w:color="auto" w:frame="1"/>
              </w:rPr>
            </w:pPr>
            <w:r w:rsidRPr="00040943">
              <w:rPr>
                <w:rFonts w:cs="Tahoma"/>
                <w:bdr w:val="none" w:sz="0" w:space="0" w:color="auto" w:frame="1"/>
              </w:rPr>
              <w:t>$2.12m</w:t>
            </w:r>
          </w:p>
          <w:p w:rsidR="00060B36" w:rsidRPr="00092F36" w:rsidRDefault="00060B36" w:rsidP="00F91686">
            <w:pPr>
              <w:pStyle w:val="TableTextEntries"/>
            </w:pPr>
            <w:r w:rsidRPr="00040943">
              <w:rPr>
                <w:rFonts w:cs="Tahoma"/>
                <w:bdr w:val="none" w:sz="0" w:space="0" w:color="auto" w:frame="1"/>
              </w:rPr>
              <w:t>(2007–13)</w:t>
            </w:r>
          </w:p>
        </w:tc>
        <w:tc>
          <w:tcPr>
            <w:tcW w:w="638" w:type="dxa"/>
            <w:tcBorders>
              <w:top w:val="nil"/>
              <w:left w:val="nil"/>
              <w:bottom w:val="nil"/>
              <w:right w:val="nil"/>
            </w:tcBorders>
          </w:tcPr>
          <w:p w:rsidR="00060B36" w:rsidRDefault="00060B36" w:rsidP="00F91686">
            <w:pPr>
              <w:pStyle w:val="TableTextEntries"/>
            </w:pPr>
            <w:r>
              <w:t>2012</w:t>
            </w:r>
          </w:p>
        </w:tc>
        <w:tc>
          <w:tcPr>
            <w:tcW w:w="569"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520"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520"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628"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565"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484"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717" w:type="dxa"/>
            <w:tcBorders>
              <w:top w:val="nil"/>
              <w:left w:val="nil"/>
              <w:bottom w:val="nil"/>
              <w:right w:val="nil"/>
            </w:tcBorders>
            <w:shd w:val="clear" w:color="auto" w:fill="F79646"/>
            <w:noWrap/>
          </w:tcPr>
          <w:p w:rsidR="00060B36" w:rsidRDefault="00060B36" w:rsidP="00F91686">
            <w:pPr>
              <w:pStyle w:val="TableTextEntries"/>
              <w:jc w:val="center"/>
            </w:pPr>
            <w:r>
              <w:t>I</w:t>
            </w:r>
          </w:p>
        </w:tc>
      </w:tr>
      <w:tr w:rsidR="00060B36" w:rsidRPr="009D53C4" w:rsidTr="00040943">
        <w:trPr>
          <w:trHeight w:val="284"/>
          <w:tblHeader/>
          <w:tblCellSpacing w:w="14" w:type="dxa"/>
          <w:jc w:val="center"/>
        </w:trPr>
        <w:tc>
          <w:tcPr>
            <w:tcW w:w="2739" w:type="dxa"/>
            <w:vMerge/>
            <w:tcBorders>
              <w:top w:val="nil"/>
              <w:left w:val="nil"/>
              <w:bottom w:val="nil"/>
              <w:right w:val="nil"/>
            </w:tcBorders>
          </w:tcPr>
          <w:p w:rsidR="00060B36" w:rsidRPr="00040943" w:rsidRDefault="00060B36" w:rsidP="00F91686">
            <w:pPr>
              <w:pStyle w:val="TableTextEntries"/>
              <w:rPr>
                <w:rFonts w:cs="Arial"/>
                <w:szCs w:val="16"/>
              </w:rPr>
            </w:pPr>
          </w:p>
        </w:tc>
        <w:tc>
          <w:tcPr>
            <w:tcW w:w="1264" w:type="dxa"/>
            <w:vMerge/>
            <w:tcBorders>
              <w:top w:val="nil"/>
              <w:left w:val="nil"/>
              <w:bottom w:val="nil"/>
              <w:right w:val="nil"/>
            </w:tcBorders>
          </w:tcPr>
          <w:p w:rsidR="00060B36" w:rsidRPr="00FE4491" w:rsidRDefault="00060B36" w:rsidP="00F91686">
            <w:pPr>
              <w:pStyle w:val="TableTextEntries"/>
            </w:pPr>
          </w:p>
        </w:tc>
        <w:tc>
          <w:tcPr>
            <w:tcW w:w="638" w:type="dxa"/>
            <w:tcBorders>
              <w:top w:val="nil"/>
              <w:left w:val="nil"/>
              <w:bottom w:val="nil"/>
              <w:right w:val="nil"/>
            </w:tcBorders>
          </w:tcPr>
          <w:p w:rsidR="00060B36" w:rsidRDefault="00060B36" w:rsidP="00F91686">
            <w:pPr>
              <w:pStyle w:val="TableTextEntries"/>
            </w:pPr>
            <w:r>
              <w:t>2011</w:t>
            </w:r>
          </w:p>
        </w:tc>
        <w:tc>
          <w:tcPr>
            <w:tcW w:w="569"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520"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520"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628"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565"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484"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717" w:type="dxa"/>
            <w:tcBorders>
              <w:top w:val="nil"/>
              <w:left w:val="nil"/>
              <w:bottom w:val="nil"/>
              <w:right w:val="nil"/>
            </w:tcBorders>
            <w:shd w:val="clear" w:color="auto" w:fill="F79646"/>
            <w:noWrap/>
          </w:tcPr>
          <w:p w:rsidR="00060B36" w:rsidRDefault="00060B36" w:rsidP="00F91686">
            <w:pPr>
              <w:pStyle w:val="TableTextEntries"/>
              <w:jc w:val="center"/>
            </w:pPr>
            <w:r>
              <w:t>I</w:t>
            </w:r>
          </w:p>
        </w:tc>
      </w:tr>
      <w:tr w:rsidR="00060B36" w:rsidRPr="009D53C4" w:rsidTr="00F91686">
        <w:trPr>
          <w:trHeight w:val="284"/>
          <w:tblHeader/>
          <w:tblCellSpacing w:w="14" w:type="dxa"/>
          <w:jc w:val="center"/>
        </w:trPr>
        <w:tc>
          <w:tcPr>
            <w:tcW w:w="8896" w:type="dxa"/>
            <w:gridSpan w:val="10"/>
            <w:tcBorders>
              <w:top w:val="nil"/>
              <w:left w:val="nil"/>
              <w:bottom w:val="nil"/>
              <w:right w:val="nil"/>
            </w:tcBorders>
            <w:shd w:val="clear" w:color="auto" w:fill="auto"/>
          </w:tcPr>
          <w:p w:rsidR="00060B36" w:rsidRDefault="00060B36" w:rsidP="00F91686">
            <w:pPr>
              <w:pStyle w:val="TableHeading2"/>
            </w:pPr>
            <w:r w:rsidRPr="00040943">
              <w:t xml:space="preserve">Rural development and agriculture </w:t>
            </w:r>
          </w:p>
        </w:tc>
      </w:tr>
      <w:tr w:rsidR="00060B36" w:rsidRPr="009D53C4" w:rsidTr="00040943">
        <w:trPr>
          <w:trHeight w:val="284"/>
          <w:tblHeader/>
          <w:tblCellSpacing w:w="14" w:type="dxa"/>
          <w:jc w:val="center"/>
        </w:trPr>
        <w:tc>
          <w:tcPr>
            <w:tcW w:w="2739" w:type="dxa"/>
            <w:vMerge w:val="restart"/>
            <w:tcBorders>
              <w:top w:val="nil"/>
              <w:left w:val="nil"/>
              <w:bottom w:val="nil"/>
              <w:right w:val="nil"/>
            </w:tcBorders>
          </w:tcPr>
          <w:p w:rsidR="00060B36" w:rsidRPr="00040943" w:rsidRDefault="00060B36" w:rsidP="00F91686">
            <w:pPr>
              <w:pStyle w:val="TableTextEntries"/>
              <w:rPr>
                <w:b/>
              </w:rPr>
            </w:pPr>
            <w:r>
              <w:t xml:space="preserve">INJ207—SRSP </w:t>
            </w:r>
            <w:r w:rsidRPr="00092F36">
              <w:t xml:space="preserve">Livelihood </w:t>
            </w:r>
            <w:r w:rsidR="00AA1101">
              <w:t>S</w:t>
            </w:r>
            <w:r w:rsidRPr="00092F36">
              <w:t xml:space="preserve">trengthening </w:t>
            </w:r>
            <w:r w:rsidR="00AA1101">
              <w:t>P</w:t>
            </w:r>
            <w:r w:rsidRPr="00092F36">
              <w:t xml:space="preserve">rogram </w:t>
            </w:r>
          </w:p>
        </w:tc>
        <w:tc>
          <w:tcPr>
            <w:tcW w:w="1264" w:type="dxa"/>
            <w:vMerge w:val="restart"/>
            <w:tcBorders>
              <w:top w:val="nil"/>
              <w:left w:val="nil"/>
              <w:bottom w:val="nil"/>
              <w:right w:val="nil"/>
            </w:tcBorders>
          </w:tcPr>
          <w:p w:rsidR="00060B36" w:rsidRPr="00040943" w:rsidRDefault="00060B36" w:rsidP="00F91686">
            <w:pPr>
              <w:pStyle w:val="TableTextEntries"/>
              <w:rPr>
                <w:rFonts w:cs="Tahoma"/>
                <w:bdr w:val="none" w:sz="0" w:space="0" w:color="auto" w:frame="1"/>
              </w:rPr>
            </w:pPr>
            <w:r w:rsidRPr="00040943">
              <w:rPr>
                <w:rFonts w:cs="Tahoma"/>
                <w:bdr w:val="none" w:sz="0" w:space="0" w:color="auto" w:frame="1"/>
              </w:rPr>
              <w:t>$9.98m</w:t>
            </w:r>
          </w:p>
          <w:p w:rsidR="00060B36" w:rsidRPr="00FE4491" w:rsidRDefault="00060B36" w:rsidP="00F91686">
            <w:pPr>
              <w:pStyle w:val="TableTextEntries"/>
            </w:pPr>
            <w:r w:rsidRPr="00040943">
              <w:rPr>
                <w:rFonts w:cs="Tahoma"/>
                <w:bdr w:val="none" w:sz="0" w:space="0" w:color="auto" w:frame="1"/>
              </w:rPr>
              <w:t>(2010–13)</w:t>
            </w:r>
          </w:p>
        </w:tc>
        <w:tc>
          <w:tcPr>
            <w:tcW w:w="638" w:type="dxa"/>
            <w:tcBorders>
              <w:top w:val="nil"/>
              <w:left w:val="nil"/>
              <w:bottom w:val="nil"/>
              <w:right w:val="nil"/>
            </w:tcBorders>
          </w:tcPr>
          <w:p w:rsidR="00060B36" w:rsidRDefault="00060B36" w:rsidP="00F91686">
            <w:pPr>
              <w:pStyle w:val="TableTextEntries"/>
            </w:pPr>
            <w:r>
              <w:t>2012</w:t>
            </w:r>
          </w:p>
        </w:tc>
        <w:tc>
          <w:tcPr>
            <w:tcW w:w="569"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520"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520"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628"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565" w:type="dxa"/>
            <w:tcBorders>
              <w:top w:val="nil"/>
              <w:left w:val="nil"/>
              <w:bottom w:val="nil"/>
              <w:right w:val="nil"/>
            </w:tcBorders>
            <w:shd w:val="clear" w:color="auto" w:fill="F79646"/>
            <w:noWrap/>
          </w:tcPr>
          <w:p w:rsidR="00060B36" w:rsidRDefault="00060B36" w:rsidP="00F91686">
            <w:pPr>
              <w:pStyle w:val="TableTextEntries"/>
              <w:jc w:val="center"/>
            </w:pPr>
            <w:r>
              <w:t>3</w:t>
            </w:r>
          </w:p>
        </w:tc>
        <w:tc>
          <w:tcPr>
            <w:tcW w:w="484"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717" w:type="dxa"/>
            <w:tcBorders>
              <w:top w:val="nil"/>
              <w:left w:val="nil"/>
              <w:bottom w:val="nil"/>
              <w:right w:val="nil"/>
            </w:tcBorders>
            <w:shd w:val="clear" w:color="auto" w:fill="F79646"/>
            <w:noWrap/>
          </w:tcPr>
          <w:p w:rsidR="00060B36" w:rsidRDefault="00060B36" w:rsidP="00F91686">
            <w:pPr>
              <w:pStyle w:val="TableTextEntries"/>
              <w:jc w:val="center"/>
            </w:pPr>
            <w:r>
              <w:t>I</w:t>
            </w:r>
          </w:p>
        </w:tc>
      </w:tr>
      <w:tr w:rsidR="00060B36" w:rsidRPr="009D53C4" w:rsidTr="00040943">
        <w:trPr>
          <w:trHeight w:val="284"/>
          <w:tblHeader/>
          <w:tblCellSpacing w:w="14" w:type="dxa"/>
          <w:jc w:val="center"/>
        </w:trPr>
        <w:tc>
          <w:tcPr>
            <w:tcW w:w="2739" w:type="dxa"/>
            <w:vMerge/>
            <w:tcBorders>
              <w:top w:val="nil"/>
              <w:left w:val="nil"/>
              <w:bottom w:val="nil"/>
              <w:right w:val="nil"/>
            </w:tcBorders>
          </w:tcPr>
          <w:p w:rsidR="00060B36" w:rsidRPr="00092F36" w:rsidRDefault="00060B36" w:rsidP="00F91686">
            <w:pPr>
              <w:pStyle w:val="TableTextEntries"/>
            </w:pPr>
          </w:p>
        </w:tc>
        <w:tc>
          <w:tcPr>
            <w:tcW w:w="1264" w:type="dxa"/>
            <w:vMerge/>
            <w:tcBorders>
              <w:top w:val="nil"/>
              <w:left w:val="nil"/>
              <w:bottom w:val="nil"/>
              <w:right w:val="nil"/>
            </w:tcBorders>
          </w:tcPr>
          <w:p w:rsidR="00060B36" w:rsidRPr="00FE4491" w:rsidRDefault="00060B36" w:rsidP="00F91686">
            <w:pPr>
              <w:pStyle w:val="TableTextEntries"/>
            </w:pPr>
          </w:p>
        </w:tc>
        <w:tc>
          <w:tcPr>
            <w:tcW w:w="638" w:type="dxa"/>
            <w:tcBorders>
              <w:top w:val="nil"/>
              <w:left w:val="nil"/>
              <w:bottom w:val="nil"/>
              <w:right w:val="nil"/>
            </w:tcBorders>
          </w:tcPr>
          <w:p w:rsidR="00060B36" w:rsidRDefault="00060B36" w:rsidP="00F91686">
            <w:pPr>
              <w:pStyle w:val="TableTextEntries"/>
            </w:pPr>
            <w:r>
              <w:t>2011</w:t>
            </w:r>
          </w:p>
        </w:tc>
        <w:tc>
          <w:tcPr>
            <w:tcW w:w="569" w:type="dxa"/>
            <w:tcBorders>
              <w:top w:val="nil"/>
              <w:left w:val="nil"/>
              <w:bottom w:val="single" w:sz="24" w:space="0" w:color="FFFFFF"/>
              <w:right w:val="nil"/>
            </w:tcBorders>
            <w:shd w:val="clear" w:color="auto" w:fill="92D050"/>
            <w:noWrap/>
          </w:tcPr>
          <w:p w:rsidR="00060B36" w:rsidRDefault="00060B36" w:rsidP="00F91686">
            <w:pPr>
              <w:pStyle w:val="TableTextEntries"/>
              <w:jc w:val="center"/>
            </w:pPr>
            <w:r>
              <w:t>5</w:t>
            </w:r>
          </w:p>
        </w:tc>
        <w:tc>
          <w:tcPr>
            <w:tcW w:w="520" w:type="dxa"/>
            <w:tcBorders>
              <w:top w:val="nil"/>
              <w:left w:val="nil"/>
              <w:bottom w:val="single" w:sz="24" w:space="0" w:color="FFFFFF"/>
              <w:right w:val="nil"/>
            </w:tcBorders>
            <w:shd w:val="clear" w:color="auto" w:fill="FFFF00"/>
            <w:noWrap/>
          </w:tcPr>
          <w:p w:rsidR="00060B36" w:rsidRDefault="00060B36" w:rsidP="00F91686">
            <w:pPr>
              <w:pStyle w:val="TableTextEntries"/>
              <w:jc w:val="center"/>
            </w:pPr>
            <w:r>
              <w:t>4</w:t>
            </w:r>
          </w:p>
        </w:tc>
        <w:tc>
          <w:tcPr>
            <w:tcW w:w="520" w:type="dxa"/>
            <w:tcBorders>
              <w:top w:val="nil"/>
              <w:left w:val="nil"/>
              <w:bottom w:val="single" w:sz="24" w:space="0" w:color="FFFFFF"/>
              <w:right w:val="nil"/>
            </w:tcBorders>
            <w:shd w:val="clear" w:color="auto" w:fill="FFFF00"/>
            <w:noWrap/>
          </w:tcPr>
          <w:p w:rsidR="00060B36" w:rsidRDefault="00060B36" w:rsidP="00F91686">
            <w:pPr>
              <w:pStyle w:val="TableTextEntries"/>
              <w:jc w:val="center"/>
            </w:pPr>
            <w:r>
              <w:t>4</w:t>
            </w:r>
          </w:p>
        </w:tc>
        <w:tc>
          <w:tcPr>
            <w:tcW w:w="628" w:type="dxa"/>
            <w:tcBorders>
              <w:top w:val="nil"/>
              <w:left w:val="nil"/>
              <w:bottom w:val="single" w:sz="24" w:space="0" w:color="FFFFFF"/>
              <w:right w:val="nil"/>
            </w:tcBorders>
            <w:shd w:val="clear" w:color="auto" w:fill="F79646"/>
            <w:noWrap/>
          </w:tcPr>
          <w:p w:rsidR="00060B36" w:rsidRDefault="00060B36" w:rsidP="00F91686">
            <w:pPr>
              <w:pStyle w:val="TableTextEntries"/>
              <w:jc w:val="center"/>
            </w:pPr>
            <w:r>
              <w:t>3</w:t>
            </w:r>
          </w:p>
        </w:tc>
        <w:tc>
          <w:tcPr>
            <w:tcW w:w="565" w:type="dxa"/>
            <w:tcBorders>
              <w:top w:val="nil"/>
              <w:left w:val="nil"/>
              <w:bottom w:val="single" w:sz="24" w:space="0" w:color="FFFFFF"/>
              <w:right w:val="nil"/>
            </w:tcBorders>
            <w:shd w:val="clear" w:color="auto" w:fill="FFFF00"/>
            <w:noWrap/>
          </w:tcPr>
          <w:p w:rsidR="00060B36" w:rsidRDefault="00060B36" w:rsidP="00F91686">
            <w:pPr>
              <w:pStyle w:val="TableTextEntries"/>
              <w:jc w:val="center"/>
            </w:pPr>
            <w:r>
              <w:t>4</w:t>
            </w:r>
          </w:p>
        </w:tc>
        <w:tc>
          <w:tcPr>
            <w:tcW w:w="484" w:type="dxa"/>
            <w:tcBorders>
              <w:top w:val="nil"/>
              <w:left w:val="nil"/>
              <w:bottom w:val="single" w:sz="24" w:space="0" w:color="FFFFFF"/>
              <w:right w:val="nil"/>
            </w:tcBorders>
            <w:shd w:val="clear" w:color="auto" w:fill="FFFF00"/>
            <w:noWrap/>
          </w:tcPr>
          <w:p w:rsidR="00060B36" w:rsidRDefault="00060B36" w:rsidP="00F91686">
            <w:pPr>
              <w:pStyle w:val="TableTextEntries"/>
              <w:jc w:val="center"/>
            </w:pPr>
            <w:r>
              <w:t>4</w:t>
            </w:r>
          </w:p>
        </w:tc>
        <w:tc>
          <w:tcPr>
            <w:tcW w:w="717" w:type="dxa"/>
            <w:tcBorders>
              <w:top w:val="nil"/>
              <w:left w:val="nil"/>
              <w:bottom w:val="single" w:sz="24" w:space="0" w:color="FFFFFF"/>
              <w:right w:val="nil"/>
            </w:tcBorders>
            <w:shd w:val="clear" w:color="auto" w:fill="F79646"/>
            <w:noWrap/>
          </w:tcPr>
          <w:p w:rsidR="00060B36" w:rsidRDefault="00060B36" w:rsidP="00F91686">
            <w:pPr>
              <w:pStyle w:val="TableTextEntries"/>
              <w:jc w:val="center"/>
            </w:pPr>
            <w:r>
              <w:t>I</w:t>
            </w:r>
          </w:p>
        </w:tc>
      </w:tr>
      <w:tr w:rsidR="00060B36" w:rsidRPr="009D53C4" w:rsidTr="00040943">
        <w:trPr>
          <w:trHeight w:val="284"/>
          <w:tblHeader/>
          <w:tblCellSpacing w:w="14" w:type="dxa"/>
          <w:jc w:val="center"/>
        </w:trPr>
        <w:tc>
          <w:tcPr>
            <w:tcW w:w="2739" w:type="dxa"/>
            <w:vMerge w:val="restart"/>
            <w:tcBorders>
              <w:top w:val="nil"/>
              <w:left w:val="nil"/>
              <w:bottom w:val="nil"/>
              <w:right w:val="nil"/>
            </w:tcBorders>
          </w:tcPr>
          <w:p w:rsidR="00060B36" w:rsidRPr="00092F36" w:rsidRDefault="00060B36" w:rsidP="00F91686">
            <w:pPr>
              <w:pStyle w:val="TableTextEntries"/>
            </w:pPr>
            <w:r>
              <w:t>INJ015—Agriculture Sector Linkages P</w:t>
            </w:r>
            <w:r w:rsidRPr="00092F36">
              <w:t>rogram</w:t>
            </w:r>
          </w:p>
        </w:tc>
        <w:tc>
          <w:tcPr>
            <w:tcW w:w="1264" w:type="dxa"/>
            <w:vMerge w:val="restart"/>
            <w:tcBorders>
              <w:top w:val="nil"/>
              <w:left w:val="nil"/>
              <w:bottom w:val="nil"/>
              <w:right w:val="nil"/>
            </w:tcBorders>
          </w:tcPr>
          <w:p w:rsidR="00060B36" w:rsidRPr="00040943" w:rsidRDefault="00060B36" w:rsidP="00F91686">
            <w:pPr>
              <w:pStyle w:val="TableTextEntries"/>
              <w:rPr>
                <w:rFonts w:cs="Tahoma"/>
                <w:bdr w:val="none" w:sz="0" w:space="0" w:color="auto" w:frame="1"/>
              </w:rPr>
            </w:pPr>
            <w:r w:rsidRPr="00040943">
              <w:rPr>
                <w:rFonts w:cs="Tahoma"/>
                <w:bdr w:val="none" w:sz="0" w:space="0" w:color="auto" w:frame="1"/>
              </w:rPr>
              <w:t>$12.96m</w:t>
            </w:r>
          </w:p>
          <w:p w:rsidR="00060B36" w:rsidRPr="00672D23" w:rsidRDefault="00060B36" w:rsidP="00F91686">
            <w:pPr>
              <w:pStyle w:val="TableTextEntries"/>
            </w:pPr>
            <w:r w:rsidRPr="00040943">
              <w:rPr>
                <w:rFonts w:cs="Tahoma"/>
                <w:bdr w:val="none" w:sz="0" w:space="0" w:color="auto" w:frame="1"/>
              </w:rPr>
              <w:t>(2010–15)</w:t>
            </w:r>
          </w:p>
        </w:tc>
        <w:tc>
          <w:tcPr>
            <w:tcW w:w="638" w:type="dxa"/>
            <w:tcBorders>
              <w:top w:val="nil"/>
              <w:left w:val="nil"/>
              <w:bottom w:val="nil"/>
              <w:right w:val="nil"/>
            </w:tcBorders>
          </w:tcPr>
          <w:p w:rsidR="00060B36" w:rsidRDefault="00060B36" w:rsidP="00F91686">
            <w:pPr>
              <w:pStyle w:val="TableTextEntries"/>
            </w:pPr>
            <w:r>
              <w:t>2012</w:t>
            </w:r>
          </w:p>
        </w:tc>
        <w:tc>
          <w:tcPr>
            <w:tcW w:w="569"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520"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520"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628" w:type="dxa"/>
            <w:tcBorders>
              <w:top w:val="nil"/>
              <w:left w:val="nil"/>
              <w:bottom w:val="nil"/>
              <w:right w:val="nil"/>
            </w:tcBorders>
            <w:shd w:val="clear" w:color="auto" w:fill="F79646"/>
            <w:noWrap/>
          </w:tcPr>
          <w:p w:rsidR="00060B36" w:rsidRDefault="00060B36" w:rsidP="00F91686">
            <w:pPr>
              <w:pStyle w:val="TableTextEntries"/>
              <w:jc w:val="center"/>
            </w:pPr>
            <w:r>
              <w:t>3</w:t>
            </w:r>
          </w:p>
        </w:tc>
        <w:tc>
          <w:tcPr>
            <w:tcW w:w="565"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484"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717" w:type="dxa"/>
            <w:tcBorders>
              <w:top w:val="nil"/>
              <w:left w:val="nil"/>
              <w:bottom w:val="nil"/>
              <w:right w:val="nil"/>
            </w:tcBorders>
            <w:shd w:val="clear" w:color="auto" w:fill="F79646"/>
            <w:noWrap/>
          </w:tcPr>
          <w:p w:rsidR="00060B36" w:rsidRDefault="00060B36" w:rsidP="00F91686">
            <w:pPr>
              <w:pStyle w:val="TableTextEntries"/>
              <w:jc w:val="center"/>
            </w:pPr>
            <w:r>
              <w:t>I</w:t>
            </w:r>
          </w:p>
        </w:tc>
      </w:tr>
      <w:tr w:rsidR="00060B36" w:rsidRPr="009D53C4" w:rsidTr="00040943">
        <w:trPr>
          <w:trHeight w:val="284"/>
          <w:tblHeader/>
          <w:tblCellSpacing w:w="14" w:type="dxa"/>
          <w:jc w:val="center"/>
        </w:trPr>
        <w:tc>
          <w:tcPr>
            <w:tcW w:w="2739" w:type="dxa"/>
            <w:vMerge/>
            <w:tcBorders>
              <w:top w:val="nil"/>
              <w:left w:val="nil"/>
              <w:bottom w:val="nil"/>
              <w:right w:val="nil"/>
            </w:tcBorders>
          </w:tcPr>
          <w:p w:rsidR="00060B36" w:rsidRPr="00092F36" w:rsidRDefault="00060B36" w:rsidP="00F91686">
            <w:pPr>
              <w:pStyle w:val="TableTextEntries"/>
            </w:pPr>
          </w:p>
        </w:tc>
        <w:tc>
          <w:tcPr>
            <w:tcW w:w="1264" w:type="dxa"/>
            <w:vMerge/>
            <w:tcBorders>
              <w:top w:val="nil"/>
              <w:left w:val="nil"/>
              <w:bottom w:val="nil"/>
              <w:right w:val="nil"/>
            </w:tcBorders>
          </w:tcPr>
          <w:p w:rsidR="00060B36" w:rsidRPr="00FE4491" w:rsidRDefault="00060B36" w:rsidP="00F91686">
            <w:pPr>
              <w:pStyle w:val="TableTextEntries"/>
            </w:pPr>
          </w:p>
        </w:tc>
        <w:tc>
          <w:tcPr>
            <w:tcW w:w="638" w:type="dxa"/>
            <w:tcBorders>
              <w:top w:val="nil"/>
              <w:left w:val="nil"/>
              <w:bottom w:val="nil"/>
              <w:right w:val="nil"/>
            </w:tcBorders>
          </w:tcPr>
          <w:p w:rsidR="00060B36" w:rsidRDefault="00060B36" w:rsidP="00F91686">
            <w:pPr>
              <w:pStyle w:val="TableTextEntries"/>
            </w:pPr>
            <w:r>
              <w:t>2011</w:t>
            </w:r>
          </w:p>
        </w:tc>
        <w:tc>
          <w:tcPr>
            <w:tcW w:w="569" w:type="dxa"/>
            <w:tcBorders>
              <w:top w:val="nil"/>
              <w:left w:val="nil"/>
              <w:bottom w:val="single" w:sz="24" w:space="0" w:color="FFFFFF"/>
              <w:right w:val="nil"/>
            </w:tcBorders>
            <w:shd w:val="clear" w:color="auto" w:fill="92D050"/>
            <w:noWrap/>
          </w:tcPr>
          <w:p w:rsidR="00060B36" w:rsidRDefault="00060B36" w:rsidP="00F91686">
            <w:pPr>
              <w:pStyle w:val="TableTextEntries"/>
              <w:jc w:val="center"/>
            </w:pPr>
            <w:r>
              <w:t>5</w:t>
            </w:r>
          </w:p>
        </w:tc>
        <w:tc>
          <w:tcPr>
            <w:tcW w:w="520" w:type="dxa"/>
            <w:tcBorders>
              <w:top w:val="nil"/>
              <w:left w:val="nil"/>
              <w:bottom w:val="single" w:sz="24" w:space="0" w:color="FFFFFF"/>
              <w:right w:val="nil"/>
            </w:tcBorders>
            <w:shd w:val="clear" w:color="auto" w:fill="FFFF00"/>
            <w:noWrap/>
          </w:tcPr>
          <w:p w:rsidR="00060B36" w:rsidRDefault="00060B36" w:rsidP="00F91686">
            <w:pPr>
              <w:pStyle w:val="TableTextEntries"/>
              <w:jc w:val="center"/>
            </w:pPr>
            <w:r>
              <w:t>4</w:t>
            </w:r>
          </w:p>
        </w:tc>
        <w:tc>
          <w:tcPr>
            <w:tcW w:w="520" w:type="dxa"/>
            <w:tcBorders>
              <w:top w:val="nil"/>
              <w:left w:val="nil"/>
              <w:bottom w:val="single" w:sz="24" w:space="0" w:color="FFFFFF"/>
              <w:right w:val="nil"/>
            </w:tcBorders>
            <w:shd w:val="clear" w:color="auto" w:fill="FFFF00"/>
            <w:noWrap/>
          </w:tcPr>
          <w:p w:rsidR="00060B36" w:rsidRDefault="00060B36" w:rsidP="00F91686">
            <w:pPr>
              <w:pStyle w:val="TableTextEntries"/>
              <w:jc w:val="center"/>
            </w:pPr>
            <w:r>
              <w:t>4</w:t>
            </w:r>
          </w:p>
        </w:tc>
        <w:tc>
          <w:tcPr>
            <w:tcW w:w="628" w:type="dxa"/>
            <w:tcBorders>
              <w:top w:val="nil"/>
              <w:left w:val="nil"/>
              <w:bottom w:val="single" w:sz="24" w:space="0" w:color="FFFFFF"/>
              <w:right w:val="nil"/>
            </w:tcBorders>
            <w:shd w:val="clear" w:color="auto" w:fill="FFFF00"/>
            <w:noWrap/>
          </w:tcPr>
          <w:p w:rsidR="00060B36" w:rsidRDefault="00060B36" w:rsidP="00F91686">
            <w:pPr>
              <w:pStyle w:val="TableTextEntries"/>
              <w:jc w:val="center"/>
            </w:pPr>
            <w:r>
              <w:t>4</w:t>
            </w:r>
          </w:p>
        </w:tc>
        <w:tc>
          <w:tcPr>
            <w:tcW w:w="565" w:type="dxa"/>
            <w:tcBorders>
              <w:top w:val="nil"/>
              <w:left w:val="nil"/>
              <w:bottom w:val="single" w:sz="24" w:space="0" w:color="FFFFFF"/>
              <w:right w:val="nil"/>
            </w:tcBorders>
            <w:shd w:val="clear" w:color="auto" w:fill="FFFF00"/>
            <w:noWrap/>
          </w:tcPr>
          <w:p w:rsidR="00060B36" w:rsidRDefault="00060B36" w:rsidP="00F91686">
            <w:pPr>
              <w:pStyle w:val="TableTextEntries"/>
              <w:jc w:val="center"/>
            </w:pPr>
            <w:r>
              <w:t>4</w:t>
            </w:r>
          </w:p>
        </w:tc>
        <w:tc>
          <w:tcPr>
            <w:tcW w:w="484" w:type="dxa"/>
            <w:tcBorders>
              <w:top w:val="nil"/>
              <w:left w:val="nil"/>
              <w:bottom w:val="single" w:sz="24" w:space="0" w:color="FFFFFF"/>
              <w:right w:val="nil"/>
            </w:tcBorders>
            <w:shd w:val="clear" w:color="auto" w:fill="F79646"/>
            <w:noWrap/>
          </w:tcPr>
          <w:p w:rsidR="00060B36" w:rsidRDefault="00060B36" w:rsidP="00F91686">
            <w:pPr>
              <w:pStyle w:val="TableTextEntries"/>
              <w:jc w:val="center"/>
            </w:pPr>
            <w:r>
              <w:t>3</w:t>
            </w:r>
          </w:p>
        </w:tc>
        <w:tc>
          <w:tcPr>
            <w:tcW w:w="717" w:type="dxa"/>
            <w:tcBorders>
              <w:top w:val="nil"/>
              <w:left w:val="nil"/>
              <w:bottom w:val="single" w:sz="24" w:space="0" w:color="FFFFFF"/>
              <w:right w:val="nil"/>
            </w:tcBorders>
            <w:shd w:val="clear" w:color="auto" w:fill="F79646"/>
            <w:noWrap/>
          </w:tcPr>
          <w:p w:rsidR="00060B36" w:rsidRDefault="00060B36" w:rsidP="00F91686">
            <w:pPr>
              <w:pStyle w:val="TableTextEntries"/>
              <w:jc w:val="center"/>
            </w:pPr>
            <w:r>
              <w:t>I</w:t>
            </w:r>
          </w:p>
        </w:tc>
      </w:tr>
      <w:tr w:rsidR="00060B36" w:rsidRPr="009D53C4" w:rsidTr="00040943">
        <w:trPr>
          <w:trHeight w:val="284"/>
          <w:tblHeader/>
          <w:tblCellSpacing w:w="14" w:type="dxa"/>
          <w:jc w:val="center"/>
        </w:trPr>
        <w:tc>
          <w:tcPr>
            <w:tcW w:w="2739" w:type="dxa"/>
            <w:tcBorders>
              <w:top w:val="nil"/>
              <w:left w:val="nil"/>
              <w:bottom w:val="nil"/>
              <w:right w:val="nil"/>
            </w:tcBorders>
          </w:tcPr>
          <w:p w:rsidR="00060B36" w:rsidRPr="00092F36" w:rsidRDefault="00060B36" w:rsidP="00F91686">
            <w:pPr>
              <w:pStyle w:val="TableTextEntries"/>
            </w:pPr>
            <w:r>
              <w:t>INK575—</w:t>
            </w:r>
            <w:r w:rsidRPr="00040943">
              <w:rPr>
                <w:rFonts w:cs="Arial"/>
              </w:rPr>
              <w:t xml:space="preserve">FAO Australian Assistance to Agriculture Development in </w:t>
            </w:r>
            <w:proofErr w:type="spellStart"/>
            <w:r w:rsidRPr="00040943">
              <w:rPr>
                <w:rFonts w:cs="Arial"/>
              </w:rPr>
              <w:t>Balochistan</w:t>
            </w:r>
            <w:proofErr w:type="spellEnd"/>
            <w:r w:rsidRPr="00040943">
              <w:rPr>
                <w:rFonts w:ascii="Courier New" w:hAnsi="Courier New" w:cs="Courier New"/>
                <w:b/>
                <w:color w:val="FF0000"/>
                <w:szCs w:val="16"/>
              </w:rPr>
              <w:t xml:space="preserve"> </w:t>
            </w:r>
            <w:r w:rsidRPr="00040943">
              <w:rPr>
                <w:rFonts w:cs="Arial"/>
              </w:rPr>
              <w:t xml:space="preserve">Border Areas </w:t>
            </w:r>
          </w:p>
        </w:tc>
        <w:tc>
          <w:tcPr>
            <w:tcW w:w="1264" w:type="dxa"/>
            <w:tcBorders>
              <w:top w:val="nil"/>
              <w:left w:val="nil"/>
              <w:bottom w:val="nil"/>
              <w:right w:val="nil"/>
            </w:tcBorders>
          </w:tcPr>
          <w:p w:rsidR="00060B36" w:rsidRPr="00040943" w:rsidRDefault="00060B36" w:rsidP="00F91686">
            <w:pPr>
              <w:pStyle w:val="TableTextEntries"/>
              <w:rPr>
                <w:rFonts w:cs="Tahoma"/>
                <w:bdr w:val="none" w:sz="0" w:space="0" w:color="auto" w:frame="1"/>
              </w:rPr>
            </w:pPr>
            <w:r w:rsidRPr="00040943">
              <w:rPr>
                <w:rFonts w:cs="Tahoma"/>
                <w:bdr w:val="none" w:sz="0" w:space="0" w:color="auto" w:frame="1"/>
              </w:rPr>
              <w:t>$12.88m</w:t>
            </w:r>
          </w:p>
          <w:p w:rsidR="00060B36" w:rsidRPr="00672D23" w:rsidRDefault="00060B36" w:rsidP="00F91686">
            <w:pPr>
              <w:pStyle w:val="TableTextEntries"/>
            </w:pPr>
            <w:r w:rsidRPr="00040943">
              <w:rPr>
                <w:rFonts w:cs="Tahoma"/>
                <w:bdr w:val="none" w:sz="0" w:space="0" w:color="auto" w:frame="1"/>
              </w:rPr>
              <w:t>(2012–16)</w:t>
            </w:r>
          </w:p>
        </w:tc>
        <w:tc>
          <w:tcPr>
            <w:tcW w:w="638" w:type="dxa"/>
            <w:tcBorders>
              <w:top w:val="nil"/>
              <w:left w:val="nil"/>
              <w:bottom w:val="nil"/>
              <w:right w:val="nil"/>
            </w:tcBorders>
          </w:tcPr>
          <w:p w:rsidR="00060B36" w:rsidRDefault="00060B36" w:rsidP="00F91686">
            <w:pPr>
              <w:pStyle w:val="TableTextEntries"/>
            </w:pPr>
            <w:r>
              <w:t>2012</w:t>
            </w:r>
          </w:p>
        </w:tc>
        <w:tc>
          <w:tcPr>
            <w:tcW w:w="569" w:type="dxa"/>
            <w:tcBorders>
              <w:top w:val="nil"/>
              <w:left w:val="nil"/>
              <w:bottom w:val="nil"/>
              <w:right w:val="nil"/>
            </w:tcBorders>
            <w:shd w:val="clear" w:color="auto" w:fill="92D050"/>
            <w:noWrap/>
          </w:tcPr>
          <w:p w:rsidR="00060B36" w:rsidRDefault="00060B36" w:rsidP="00F91686">
            <w:pPr>
              <w:pStyle w:val="TableTextEntries"/>
              <w:jc w:val="center"/>
            </w:pPr>
            <w:r>
              <w:t>5</w:t>
            </w:r>
          </w:p>
        </w:tc>
        <w:tc>
          <w:tcPr>
            <w:tcW w:w="520"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520"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628"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565"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484" w:type="dxa"/>
            <w:tcBorders>
              <w:top w:val="nil"/>
              <w:left w:val="nil"/>
              <w:bottom w:val="nil"/>
              <w:right w:val="nil"/>
            </w:tcBorders>
            <w:shd w:val="clear" w:color="auto" w:fill="FFFF00"/>
            <w:noWrap/>
          </w:tcPr>
          <w:p w:rsidR="00060B36" w:rsidRDefault="00060B36" w:rsidP="00F91686">
            <w:pPr>
              <w:pStyle w:val="TableTextEntries"/>
              <w:jc w:val="center"/>
            </w:pPr>
            <w:r>
              <w:t>4</w:t>
            </w:r>
          </w:p>
        </w:tc>
        <w:tc>
          <w:tcPr>
            <w:tcW w:w="717" w:type="dxa"/>
            <w:tcBorders>
              <w:top w:val="nil"/>
              <w:left w:val="nil"/>
              <w:bottom w:val="nil"/>
              <w:right w:val="nil"/>
            </w:tcBorders>
            <w:shd w:val="clear" w:color="auto" w:fill="F79646"/>
            <w:noWrap/>
          </w:tcPr>
          <w:p w:rsidR="00060B36" w:rsidRDefault="00060B36" w:rsidP="00F91686">
            <w:pPr>
              <w:pStyle w:val="TableTextEntries"/>
              <w:jc w:val="center"/>
            </w:pPr>
            <w:r>
              <w:t>I</w:t>
            </w:r>
          </w:p>
        </w:tc>
      </w:tr>
      <w:tr w:rsidR="00060B36" w:rsidRPr="009D53C4" w:rsidTr="00F91686">
        <w:trPr>
          <w:trHeight w:val="284"/>
          <w:tblHeader/>
          <w:tblCellSpacing w:w="14" w:type="dxa"/>
          <w:jc w:val="center"/>
        </w:trPr>
        <w:tc>
          <w:tcPr>
            <w:tcW w:w="8896" w:type="dxa"/>
            <w:gridSpan w:val="10"/>
            <w:tcBorders>
              <w:top w:val="nil"/>
              <w:left w:val="nil"/>
              <w:bottom w:val="nil"/>
              <w:right w:val="nil"/>
            </w:tcBorders>
            <w:shd w:val="clear" w:color="auto" w:fill="auto"/>
          </w:tcPr>
          <w:p w:rsidR="00060B36" w:rsidRDefault="00060B36" w:rsidP="00F91686">
            <w:pPr>
              <w:pStyle w:val="TableHeading2"/>
            </w:pPr>
            <w:r w:rsidRPr="00040943">
              <w:lastRenderedPageBreak/>
              <w:t xml:space="preserve">Good governance </w:t>
            </w:r>
          </w:p>
        </w:tc>
      </w:tr>
      <w:tr w:rsidR="00060B36" w:rsidRPr="009D53C4" w:rsidTr="00040943">
        <w:trPr>
          <w:trHeight w:val="284"/>
          <w:tblHeader/>
          <w:tblCellSpacing w:w="14" w:type="dxa"/>
          <w:jc w:val="center"/>
        </w:trPr>
        <w:tc>
          <w:tcPr>
            <w:tcW w:w="2739" w:type="dxa"/>
            <w:vMerge w:val="restart"/>
            <w:tcBorders>
              <w:top w:val="nil"/>
              <w:left w:val="nil"/>
              <w:bottom w:val="nil"/>
              <w:right w:val="nil"/>
            </w:tcBorders>
          </w:tcPr>
          <w:p w:rsidR="00060B36" w:rsidRPr="00F91686" w:rsidRDefault="00060B36" w:rsidP="00F91686">
            <w:pPr>
              <w:pStyle w:val="TableTextEntries"/>
            </w:pPr>
            <w:r w:rsidRPr="00F91686">
              <w:t>INJ885—Communication for Effective Social Service D</w:t>
            </w:r>
            <w:r w:rsidR="00AA1101" w:rsidRPr="00F91686">
              <w:t xml:space="preserve">elivery II Project </w:t>
            </w:r>
          </w:p>
        </w:tc>
        <w:tc>
          <w:tcPr>
            <w:tcW w:w="1264" w:type="dxa"/>
            <w:vMerge w:val="restart"/>
            <w:tcBorders>
              <w:top w:val="nil"/>
              <w:left w:val="nil"/>
              <w:bottom w:val="nil"/>
              <w:right w:val="nil"/>
            </w:tcBorders>
          </w:tcPr>
          <w:p w:rsidR="00060B36" w:rsidRPr="00F91686" w:rsidRDefault="00060B36" w:rsidP="00F91686">
            <w:pPr>
              <w:pStyle w:val="TableTextEntries"/>
            </w:pPr>
            <w:r w:rsidRPr="00F91686">
              <w:t>$3.67m</w:t>
            </w:r>
          </w:p>
          <w:p w:rsidR="00060B36" w:rsidRPr="00F91686" w:rsidRDefault="00060B36" w:rsidP="00F91686">
            <w:pPr>
              <w:pStyle w:val="TableTextEntries"/>
            </w:pPr>
            <w:r w:rsidRPr="00F91686">
              <w:t>(2011–12)</w:t>
            </w:r>
          </w:p>
        </w:tc>
        <w:tc>
          <w:tcPr>
            <w:tcW w:w="638" w:type="dxa"/>
            <w:tcBorders>
              <w:top w:val="nil"/>
              <w:left w:val="nil"/>
              <w:bottom w:val="nil"/>
              <w:right w:val="nil"/>
            </w:tcBorders>
          </w:tcPr>
          <w:p w:rsidR="00060B36" w:rsidRPr="00F91686" w:rsidRDefault="00060B36" w:rsidP="00F91686">
            <w:pPr>
              <w:pStyle w:val="TableTextEntries"/>
            </w:pPr>
            <w:r w:rsidRPr="00F91686">
              <w:t>2012</w:t>
            </w:r>
          </w:p>
        </w:tc>
        <w:tc>
          <w:tcPr>
            <w:tcW w:w="569" w:type="dxa"/>
            <w:tcBorders>
              <w:top w:val="nil"/>
              <w:left w:val="nil"/>
              <w:bottom w:val="nil"/>
              <w:right w:val="nil"/>
            </w:tcBorders>
            <w:shd w:val="clear" w:color="auto" w:fill="92D050"/>
            <w:noWrap/>
          </w:tcPr>
          <w:p w:rsidR="00060B36" w:rsidRPr="00F91686" w:rsidRDefault="00060B36" w:rsidP="00F91686">
            <w:pPr>
              <w:pStyle w:val="TableTextEntries"/>
              <w:jc w:val="center"/>
            </w:pPr>
            <w:r w:rsidRPr="00F91686">
              <w:t>5</w:t>
            </w:r>
          </w:p>
        </w:tc>
        <w:tc>
          <w:tcPr>
            <w:tcW w:w="520" w:type="dxa"/>
            <w:tcBorders>
              <w:top w:val="nil"/>
              <w:left w:val="nil"/>
              <w:bottom w:val="nil"/>
              <w:right w:val="nil"/>
            </w:tcBorders>
            <w:shd w:val="clear" w:color="auto" w:fill="FFFF00"/>
            <w:noWrap/>
          </w:tcPr>
          <w:p w:rsidR="00060B36" w:rsidRPr="00F91686" w:rsidRDefault="00060B36" w:rsidP="00F91686">
            <w:pPr>
              <w:pStyle w:val="TableTextEntries"/>
              <w:jc w:val="center"/>
            </w:pPr>
            <w:r w:rsidRPr="00F91686">
              <w:t>4</w:t>
            </w:r>
          </w:p>
        </w:tc>
        <w:tc>
          <w:tcPr>
            <w:tcW w:w="520" w:type="dxa"/>
            <w:tcBorders>
              <w:top w:val="nil"/>
              <w:left w:val="nil"/>
              <w:bottom w:val="nil"/>
              <w:right w:val="nil"/>
            </w:tcBorders>
            <w:shd w:val="clear" w:color="auto" w:fill="92D050"/>
            <w:noWrap/>
          </w:tcPr>
          <w:p w:rsidR="00060B36" w:rsidRPr="00F91686" w:rsidRDefault="00060B36" w:rsidP="00F91686">
            <w:pPr>
              <w:pStyle w:val="TableTextEntries"/>
              <w:jc w:val="center"/>
            </w:pPr>
            <w:r w:rsidRPr="00F91686">
              <w:t>5</w:t>
            </w:r>
          </w:p>
        </w:tc>
        <w:tc>
          <w:tcPr>
            <w:tcW w:w="628" w:type="dxa"/>
            <w:tcBorders>
              <w:top w:val="nil"/>
              <w:left w:val="nil"/>
              <w:bottom w:val="nil"/>
              <w:right w:val="nil"/>
            </w:tcBorders>
            <w:shd w:val="clear" w:color="auto" w:fill="FFFF00"/>
            <w:noWrap/>
          </w:tcPr>
          <w:p w:rsidR="00060B36" w:rsidRPr="00F91686" w:rsidRDefault="00060B36" w:rsidP="00F91686">
            <w:pPr>
              <w:pStyle w:val="TableTextEntries"/>
              <w:jc w:val="center"/>
            </w:pPr>
            <w:r w:rsidRPr="00F91686">
              <w:t>4</w:t>
            </w:r>
          </w:p>
        </w:tc>
        <w:tc>
          <w:tcPr>
            <w:tcW w:w="565" w:type="dxa"/>
            <w:tcBorders>
              <w:top w:val="nil"/>
              <w:left w:val="nil"/>
              <w:bottom w:val="nil"/>
              <w:right w:val="nil"/>
            </w:tcBorders>
            <w:shd w:val="clear" w:color="auto" w:fill="FFFF00"/>
            <w:noWrap/>
          </w:tcPr>
          <w:p w:rsidR="00060B36" w:rsidRPr="00F91686" w:rsidRDefault="00060B36" w:rsidP="00F91686">
            <w:pPr>
              <w:pStyle w:val="TableTextEntries"/>
              <w:jc w:val="center"/>
            </w:pPr>
            <w:r w:rsidRPr="00F91686">
              <w:t>4</w:t>
            </w:r>
          </w:p>
        </w:tc>
        <w:tc>
          <w:tcPr>
            <w:tcW w:w="484" w:type="dxa"/>
            <w:tcBorders>
              <w:top w:val="nil"/>
              <w:left w:val="nil"/>
              <w:bottom w:val="nil"/>
              <w:right w:val="nil"/>
            </w:tcBorders>
            <w:shd w:val="clear" w:color="auto" w:fill="92D050"/>
            <w:noWrap/>
          </w:tcPr>
          <w:p w:rsidR="00060B36" w:rsidRPr="00F91686" w:rsidRDefault="00060B36" w:rsidP="00F91686">
            <w:pPr>
              <w:pStyle w:val="TableTextEntries"/>
              <w:jc w:val="center"/>
            </w:pPr>
            <w:r w:rsidRPr="00F91686">
              <w:t>5</w:t>
            </w:r>
          </w:p>
        </w:tc>
        <w:tc>
          <w:tcPr>
            <w:tcW w:w="717" w:type="dxa"/>
            <w:tcBorders>
              <w:top w:val="nil"/>
              <w:left w:val="nil"/>
              <w:bottom w:val="nil"/>
              <w:right w:val="nil"/>
            </w:tcBorders>
            <w:shd w:val="clear" w:color="auto" w:fill="F79646"/>
            <w:noWrap/>
          </w:tcPr>
          <w:p w:rsidR="00060B36" w:rsidRPr="00F91686" w:rsidRDefault="00060B36" w:rsidP="00F91686">
            <w:pPr>
              <w:pStyle w:val="TableTextEntries"/>
              <w:jc w:val="center"/>
            </w:pPr>
            <w:r w:rsidRPr="00F91686">
              <w:t>I</w:t>
            </w:r>
          </w:p>
        </w:tc>
      </w:tr>
      <w:tr w:rsidR="00060B36" w:rsidRPr="009D53C4" w:rsidTr="00040943">
        <w:trPr>
          <w:trHeight w:val="284"/>
          <w:tblHeader/>
          <w:tblCellSpacing w:w="14" w:type="dxa"/>
          <w:jc w:val="center"/>
        </w:trPr>
        <w:tc>
          <w:tcPr>
            <w:tcW w:w="2739" w:type="dxa"/>
            <w:vMerge/>
            <w:tcBorders>
              <w:top w:val="nil"/>
              <w:left w:val="nil"/>
              <w:bottom w:val="nil"/>
              <w:right w:val="nil"/>
            </w:tcBorders>
          </w:tcPr>
          <w:p w:rsidR="00060B36" w:rsidRPr="00F91686" w:rsidRDefault="00060B36" w:rsidP="00F91686">
            <w:pPr>
              <w:pStyle w:val="TableTextEntries"/>
            </w:pPr>
          </w:p>
        </w:tc>
        <w:tc>
          <w:tcPr>
            <w:tcW w:w="1264" w:type="dxa"/>
            <w:vMerge/>
            <w:tcBorders>
              <w:top w:val="nil"/>
              <w:left w:val="nil"/>
              <w:bottom w:val="nil"/>
              <w:right w:val="nil"/>
            </w:tcBorders>
          </w:tcPr>
          <w:p w:rsidR="00060B36" w:rsidRPr="00F91686" w:rsidRDefault="00060B36" w:rsidP="00F91686">
            <w:pPr>
              <w:pStyle w:val="TableTextEntries"/>
            </w:pPr>
          </w:p>
        </w:tc>
        <w:tc>
          <w:tcPr>
            <w:tcW w:w="638" w:type="dxa"/>
            <w:tcBorders>
              <w:top w:val="nil"/>
              <w:left w:val="nil"/>
              <w:bottom w:val="nil"/>
              <w:right w:val="nil"/>
            </w:tcBorders>
          </w:tcPr>
          <w:p w:rsidR="00060B36" w:rsidRPr="00F91686" w:rsidRDefault="00060B36" w:rsidP="00F91686">
            <w:pPr>
              <w:pStyle w:val="TableTextEntries"/>
            </w:pPr>
            <w:r w:rsidRPr="00F91686">
              <w:t>2011</w:t>
            </w:r>
          </w:p>
        </w:tc>
        <w:tc>
          <w:tcPr>
            <w:tcW w:w="569" w:type="dxa"/>
            <w:tcBorders>
              <w:top w:val="nil"/>
              <w:left w:val="nil"/>
              <w:bottom w:val="nil"/>
              <w:right w:val="nil"/>
            </w:tcBorders>
            <w:shd w:val="clear" w:color="auto" w:fill="92D050"/>
            <w:noWrap/>
          </w:tcPr>
          <w:p w:rsidR="00060B36" w:rsidRPr="00F91686" w:rsidRDefault="00060B36" w:rsidP="00F91686">
            <w:pPr>
              <w:pStyle w:val="TableTextEntries"/>
              <w:jc w:val="center"/>
            </w:pPr>
            <w:r w:rsidRPr="00F91686">
              <w:t>5</w:t>
            </w:r>
          </w:p>
        </w:tc>
        <w:tc>
          <w:tcPr>
            <w:tcW w:w="520" w:type="dxa"/>
            <w:tcBorders>
              <w:top w:val="nil"/>
              <w:left w:val="nil"/>
              <w:bottom w:val="nil"/>
              <w:right w:val="nil"/>
            </w:tcBorders>
            <w:shd w:val="clear" w:color="auto" w:fill="FFFF00"/>
            <w:noWrap/>
          </w:tcPr>
          <w:p w:rsidR="00060B36" w:rsidRPr="00F91686" w:rsidRDefault="00060B36" w:rsidP="00F91686">
            <w:pPr>
              <w:pStyle w:val="TableTextEntries"/>
              <w:jc w:val="center"/>
            </w:pPr>
            <w:r w:rsidRPr="00F91686">
              <w:t>4</w:t>
            </w:r>
          </w:p>
        </w:tc>
        <w:tc>
          <w:tcPr>
            <w:tcW w:w="520" w:type="dxa"/>
            <w:tcBorders>
              <w:top w:val="nil"/>
              <w:left w:val="nil"/>
              <w:bottom w:val="nil"/>
              <w:right w:val="nil"/>
            </w:tcBorders>
            <w:shd w:val="clear" w:color="auto" w:fill="FFFF00"/>
            <w:noWrap/>
          </w:tcPr>
          <w:p w:rsidR="00060B36" w:rsidRPr="00F91686" w:rsidRDefault="00060B36" w:rsidP="00F91686">
            <w:pPr>
              <w:pStyle w:val="TableTextEntries"/>
              <w:jc w:val="center"/>
            </w:pPr>
            <w:r w:rsidRPr="00F91686">
              <w:t>4</w:t>
            </w:r>
          </w:p>
        </w:tc>
        <w:tc>
          <w:tcPr>
            <w:tcW w:w="628" w:type="dxa"/>
            <w:tcBorders>
              <w:top w:val="nil"/>
              <w:left w:val="nil"/>
              <w:bottom w:val="nil"/>
              <w:right w:val="nil"/>
            </w:tcBorders>
            <w:shd w:val="clear" w:color="auto" w:fill="FFFF00"/>
            <w:noWrap/>
          </w:tcPr>
          <w:p w:rsidR="00060B36" w:rsidRPr="00F91686" w:rsidRDefault="00060B36" w:rsidP="00F91686">
            <w:pPr>
              <w:pStyle w:val="TableTextEntries"/>
              <w:jc w:val="center"/>
            </w:pPr>
            <w:r w:rsidRPr="00F91686">
              <w:t>4</w:t>
            </w:r>
          </w:p>
        </w:tc>
        <w:tc>
          <w:tcPr>
            <w:tcW w:w="565" w:type="dxa"/>
            <w:tcBorders>
              <w:top w:val="nil"/>
              <w:left w:val="nil"/>
              <w:bottom w:val="nil"/>
              <w:right w:val="nil"/>
            </w:tcBorders>
            <w:shd w:val="clear" w:color="auto" w:fill="FFFF00"/>
            <w:noWrap/>
          </w:tcPr>
          <w:p w:rsidR="00060B36" w:rsidRPr="00F91686" w:rsidRDefault="00060B36" w:rsidP="00F91686">
            <w:pPr>
              <w:pStyle w:val="TableTextEntries"/>
              <w:jc w:val="center"/>
            </w:pPr>
            <w:r w:rsidRPr="00F91686">
              <w:t>4</w:t>
            </w:r>
          </w:p>
        </w:tc>
        <w:tc>
          <w:tcPr>
            <w:tcW w:w="484" w:type="dxa"/>
            <w:tcBorders>
              <w:top w:val="nil"/>
              <w:left w:val="nil"/>
              <w:bottom w:val="nil"/>
              <w:right w:val="nil"/>
            </w:tcBorders>
            <w:shd w:val="clear" w:color="auto" w:fill="92D050"/>
            <w:noWrap/>
          </w:tcPr>
          <w:p w:rsidR="00060B36" w:rsidRPr="00F91686" w:rsidRDefault="00060B36" w:rsidP="00F91686">
            <w:pPr>
              <w:pStyle w:val="TableTextEntries"/>
              <w:jc w:val="center"/>
            </w:pPr>
            <w:r w:rsidRPr="00F91686">
              <w:t>5</w:t>
            </w:r>
          </w:p>
        </w:tc>
        <w:tc>
          <w:tcPr>
            <w:tcW w:w="717" w:type="dxa"/>
            <w:tcBorders>
              <w:top w:val="nil"/>
              <w:left w:val="nil"/>
              <w:bottom w:val="nil"/>
              <w:right w:val="nil"/>
            </w:tcBorders>
            <w:shd w:val="clear" w:color="auto" w:fill="FF0000"/>
            <w:noWrap/>
          </w:tcPr>
          <w:p w:rsidR="00060B36" w:rsidRPr="00F91686" w:rsidRDefault="00060B36" w:rsidP="00F91686">
            <w:pPr>
              <w:pStyle w:val="TableTextEntries"/>
              <w:jc w:val="center"/>
            </w:pPr>
            <w:r w:rsidRPr="00F91686">
              <w:t>B</w:t>
            </w:r>
          </w:p>
        </w:tc>
      </w:tr>
      <w:tr w:rsidR="00060B36" w:rsidRPr="009D53C4" w:rsidTr="00040943">
        <w:trPr>
          <w:trHeight w:val="910"/>
          <w:tblHeader/>
          <w:tblCellSpacing w:w="14" w:type="dxa"/>
          <w:jc w:val="center"/>
        </w:trPr>
        <w:tc>
          <w:tcPr>
            <w:tcW w:w="2739" w:type="dxa"/>
            <w:tcBorders>
              <w:top w:val="nil"/>
              <w:left w:val="nil"/>
              <w:bottom w:val="nil"/>
              <w:right w:val="nil"/>
            </w:tcBorders>
          </w:tcPr>
          <w:p w:rsidR="00060B36" w:rsidRPr="00F91686" w:rsidRDefault="00060B36" w:rsidP="00F91686">
            <w:pPr>
              <w:pStyle w:val="TableTextEntries"/>
            </w:pPr>
            <w:r w:rsidRPr="00F91686">
              <w:t xml:space="preserve">INH868—Border Area Development—Democratic </w:t>
            </w:r>
            <w:r w:rsidR="00AA1101" w:rsidRPr="00F91686">
              <w:t>G</w:t>
            </w:r>
            <w:r w:rsidRPr="00F91686">
              <w:t xml:space="preserve">overnance and </w:t>
            </w:r>
            <w:r w:rsidR="00AA1101" w:rsidRPr="00F91686">
              <w:t>Social H</w:t>
            </w:r>
            <w:r w:rsidRPr="00F91686">
              <w:t xml:space="preserve">armony </w:t>
            </w:r>
            <w:r w:rsidR="00AA1101" w:rsidRPr="00F91686">
              <w:t>P</w:t>
            </w:r>
            <w:r w:rsidRPr="00F91686">
              <w:t>rogram</w:t>
            </w:r>
          </w:p>
        </w:tc>
        <w:tc>
          <w:tcPr>
            <w:tcW w:w="1264" w:type="dxa"/>
            <w:tcBorders>
              <w:top w:val="nil"/>
              <w:left w:val="nil"/>
              <w:bottom w:val="nil"/>
              <w:right w:val="nil"/>
            </w:tcBorders>
          </w:tcPr>
          <w:p w:rsidR="00060B36" w:rsidRPr="00F91686" w:rsidRDefault="00060B36" w:rsidP="00F91686">
            <w:pPr>
              <w:pStyle w:val="TableTextEntries"/>
            </w:pPr>
            <w:r w:rsidRPr="00F91686">
              <w:t>$2.9m</w:t>
            </w:r>
          </w:p>
          <w:p w:rsidR="00060B36" w:rsidRPr="00F91686" w:rsidRDefault="00060B36" w:rsidP="00F91686">
            <w:pPr>
              <w:pStyle w:val="TableTextEntries"/>
            </w:pPr>
            <w:r w:rsidRPr="00F91686">
              <w:t>(2009–12)</w:t>
            </w:r>
          </w:p>
        </w:tc>
        <w:tc>
          <w:tcPr>
            <w:tcW w:w="638" w:type="dxa"/>
            <w:tcBorders>
              <w:top w:val="nil"/>
              <w:left w:val="nil"/>
              <w:bottom w:val="nil"/>
              <w:right w:val="nil"/>
            </w:tcBorders>
          </w:tcPr>
          <w:p w:rsidR="00060B36" w:rsidRPr="00F91686" w:rsidRDefault="00060B36" w:rsidP="00F91686">
            <w:pPr>
              <w:pStyle w:val="TableTextEntries"/>
            </w:pPr>
            <w:r w:rsidRPr="00F91686">
              <w:t>2011</w:t>
            </w:r>
          </w:p>
        </w:tc>
        <w:tc>
          <w:tcPr>
            <w:tcW w:w="569" w:type="dxa"/>
            <w:tcBorders>
              <w:top w:val="nil"/>
              <w:left w:val="nil"/>
              <w:bottom w:val="nil"/>
              <w:right w:val="nil"/>
            </w:tcBorders>
            <w:shd w:val="clear" w:color="auto" w:fill="FFFF00"/>
            <w:noWrap/>
          </w:tcPr>
          <w:p w:rsidR="00060B36" w:rsidRPr="00F91686" w:rsidRDefault="00060B36" w:rsidP="00F91686">
            <w:pPr>
              <w:pStyle w:val="TableTextEntries"/>
              <w:jc w:val="center"/>
            </w:pPr>
            <w:r w:rsidRPr="00F91686">
              <w:t>4</w:t>
            </w:r>
          </w:p>
        </w:tc>
        <w:tc>
          <w:tcPr>
            <w:tcW w:w="520" w:type="dxa"/>
            <w:tcBorders>
              <w:top w:val="nil"/>
              <w:left w:val="nil"/>
              <w:bottom w:val="nil"/>
              <w:right w:val="nil"/>
            </w:tcBorders>
            <w:shd w:val="clear" w:color="auto" w:fill="FFFF00"/>
            <w:noWrap/>
          </w:tcPr>
          <w:p w:rsidR="00060B36" w:rsidRPr="00F91686" w:rsidRDefault="00060B36" w:rsidP="00F91686">
            <w:pPr>
              <w:pStyle w:val="TableTextEntries"/>
              <w:jc w:val="center"/>
            </w:pPr>
            <w:r w:rsidRPr="00F91686">
              <w:t>4</w:t>
            </w:r>
          </w:p>
        </w:tc>
        <w:tc>
          <w:tcPr>
            <w:tcW w:w="520" w:type="dxa"/>
            <w:tcBorders>
              <w:top w:val="nil"/>
              <w:left w:val="nil"/>
              <w:bottom w:val="nil"/>
              <w:right w:val="nil"/>
            </w:tcBorders>
            <w:shd w:val="clear" w:color="auto" w:fill="FFFF00"/>
            <w:noWrap/>
          </w:tcPr>
          <w:p w:rsidR="00060B36" w:rsidRPr="00F91686" w:rsidRDefault="00060B36" w:rsidP="00F91686">
            <w:pPr>
              <w:pStyle w:val="TableTextEntries"/>
              <w:jc w:val="center"/>
            </w:pPr>
            <w:r w:rsidRPr="00F91686">
              <w:t>4</w:t>
            </w:r>
          </w:p>
        </w:tc>
        <w:tc>
          <w:tcPr>
            <w:tcW w:w="628" w:type="dxa"/>
            <w:tcBorders>
              <w:top w:val="nil"/>
              <w:left w:val="nil"/>
              <w:bottom w:val="nil"/>
              <w:right w:val="nil"/>
            </w:tcBorders>
            <w:shd w:val="clear" w:color="auto" w:fill="F79646"/>
            <w:noWrap/>
          </w:tcPr>
          <w:p w:rsidR="00060B36" w:rsidRPr="00F91686" w:rsidRDefault="00060B36" w:rsidP="00F91686">
            <w:pPr>
              <w:pStyle w:val="TableTextEntries"/>
              <w:jc w:val="center"/>
            </w:pPr>
            <w:r w:rsidRPr="00F91686">
              <w:t>3</w:t>
            </w:r>
          </w:p>
        </w:tc>
        <w:tc>
          <w:tcPr>
            <w:tcW w:w="565" w:type="dxa"/>
            <w:tcBorders>
              <w:top w:val="nil"/>
              <w:left w:val="nil"/>
              <w:bottom w:val="nil"/>
              <w:right w:val="nil"/>
            </w:tcBorders>
            <w:shd w:val="clear" w:color="auto" w:fill="F79646"/>
            <w:noWrap/>
          </w:tcPr>
          <w:p w:rsidR="00060B36" w:rsidRPr="00F91686" w:rsidRDefault="00060B36" w:rsidP="00F91686">
            <w:pPr>
              <w:pStyle w:val="TableTextEntries"/>
              <w:jc w:val="center"/>
            </w:pPr>
            <w:r w:rsidRPr="00F91686">
              <w:t>3</w:t>
            </w:r>
          </w:p>
        </w:tc>
        <w:tc>
          <w:tcPr>
            <w:tcW w:w="484" w:type="dxa"/>
            <w:tcBorders>
              <w:top w:val="nil"/>
              <w:left w:val="nil"/>
              <w:bottom w:val="nil"/>
              <w:right w:val="nil"/>
            </w:tcBorders>
            <w:shd w:val="clear" w:color="auto" w:fill="F79646"/>
            <w:noWrap/>
          </w:tcPr>
          <w:p w:rsidR="00060B36" w:rsidRPr="00F91686" w:rsidRDefault="00060B36" w:rsidP="00F91686">
            <w:pPr>
              <w:pStyle w:val="TableTextEntries"/>
              <w:jc w:val="center"/>
            </w:pPr>
            <w:r w:rsidRPr="00F91686">
              <w:t>3</w:t>
            </w:r>
          </w:p>
        </w:tc>
        <w:tc>
          <w:tcPr>
            <w:tcW w:w="717" w:type="dxa"/>
            <w:tcBorders>
              <w:top w:val="nil"/>
              <w:left w:val="nil"/>
              <w:bottom w:val="nil"/>
              <w:right w:val="nil"/>
            </w:tcBorders>
            <w:shd w:val="clear" w:color="auto" w:fill="F79646"/>
            <w:noWrap/>
          </w:tcPr>
          <w:p w:rsidR="00060B36" w:rsidRPr="00F91686" w:rsidRDefault="00060B36" w:rsidP="00F91686">
            <w:pPr>
              <w:pStyle w:val="TableTextEntries"/>
              <w:jc w:val="center"/>
            </w:pPr>
            <w:r w:rsidRPr="00F91686">
              <w:t>I</w:t>
            </w:r>
          </w:p>
        </w:tc>
      </w:tr>
      <w:tr w:rsidR="00060B36" w:rsidRPr="009D53C4" w:rsidTr="00040943">
        <w:trPr>
          <w:trHeight w:val="284"/>
          <w:tblHeader/>
          <w:tblCellSpacing w:w="14" w:type="dxa"/>
          <w:jc w:val="center"/>
        </w:trPr>
        <w:tc>
          <w:tcPr>
            <w:tcW w:w="2739" w:type="dxa"/>
            <w:tcBorders>
              <w:top w:val="nil"/>
              <w:left w:val="nil"/>
              <w:bottom w:val="nil"/>
              <w:right w:val="nil"/>
            </w:tcBorders>
          </w:tcPr>
          <w:p w:rsidR="00060B36" w:rsidRPr="00F91686" w:rsidRDefault="00060B36" w:rsidP="00F91686">
            <w:pPr>
              <w:pStyle w:val="TableTextEntries"/>
              <w:rPr>
                <w:highlight w:val="yellow"/>
              </w:rPr>
            </w:pPr>
            <w:r w:rsidRPr="00F91686">
              <w:t>INK087—Governance Sector Projects/Pakistan UNDP Elections Basket Fund</w:t>
            </w:r>
          </w:p>
        </w:tc>
        <w:tc>
          <w:tcPr>
            <w:tcW w:w="1264" w:type="dxa"/>
            <w:tcBorders>
              <w:top w:val="nil"/>
              <w:left w:val="nil"/>
              <w:bottom w:val="nil"/>
              <w:right w:val="nil"/>
            </w:tcBorders>
          </w:tcPr>
          <w:p w:rsidR="00060B36" w:rsidRPr="00F91686" w:rsidRDefault="00060B36" w:rsidP="00F91686">
            <w:pPr>
              <w:pStyle w:val="TableTextEntries"/>
            </w:pPr>
            <w:r w:rsidRPr="00F91686">
              <w:t>$7m</w:t>
            </w:r>
          </w:p>
          <w:p w:rsidR="00060B36" w:rsidRPr="00F91686" w:rsidRDefault="00060B36" w:rsidP="00F91686">
            <w:pPr>
              <w:pStyle w:val="TableTextEntries"/>
            </w:pPr>
            <w:r w:rsidRPr="00F91686">
              <w:t>(2012–14)</w:t>
            </w:r>
          </w:p>
        </w:tc>
        <w:tc>
          <w:tcPr>
            <w:tcW w:w="638" w:type="dxa"/>
            <w:tcBorders>
              <w:top w:val="nil"/>
              <w:left w:val="nil"/>
              <w:bottom w:val="nil"/>
              <w:right w:val="nil"/>
            </w:tcBorders>
          </w:tcPr>
          <w:p w:rsidR="00060B36" w:rsidRPr="00F91686" w:rsidRDefault="00060B36" w:rsidP="00F91686">
            <w:pPr>
              <w:pStyle w:val="TableTextEntries"/>
            </w:pPr>
            <w:r w:rsidRPr="00F91686">
              <w:t>2012</w:t>
            </w:r>
          </w:p>
        </w:tc>
        <w:tc>
          <w:tcPr>
            <w:tcW w:w="569" w:type="dxa"/>
            <w:tcBorders>
              <w:top w:val="nil"/>
              <w:left w:val="nil"/>
              <w:bottom w:val="nil"/>
              <w:right w:val="nil"/>
            </w:tcBorders>
            <w:shd w:val="clear" w:color="auto" w:fill="92D050"/>
            <w:noWrap/>
          </w:tcPr>
          <w:p w:rsidR="00060B36" w:rsidRPr="00F91686" w:rsidRDefault="00060B36" w:rsidP="00F91686">
            <w:pPr>
              <w:pStyle w:val="TableTextEntries"/>
              <w:jc w:val="center"/>
            </w:pPr>
            <w:r w:rsidRPr="00F91686">
              <w:t>5</w:t>
            </w:r>
          </w:p>
        </w:tc>
        <w:tc>
          <w:tcPr>
            <w:tcW w:w="520" w:type="dxa"/>
            <w:tcBorders>
              <w:top w:val="nil"/>
              <w:left w:val="nil"/>
              <w:bottom w:val="nil"/>
              <w:right w:val="nil"/>
            </w:tcBorders>
            <w:shd w:val="clear" w:color="auto" w:fill="92D050"/>
            <w:noWrap/>
          </w:tcPr>
          <w:p w:rsidR="00060B36" w:rsidRPr="00F91686" w:rsidRDefault="00060B36" w:rsidP="00F91686">
            <w:pPr>
              <w:pStyle w:val="TableTextEntries"/>
              <w:jc w:val="center"/>
            </w:pPr>
            <w:r w:rsidRPr="00F91686">
              <w:t>5</w:t>
            </w:r>
          </w:p>
        </w:tc>
        <w:tc>
          <w:tcPr>
            <w:tcW w:w="520" w:type="dxa"/>
            <w:tcBorders>
              <w:top w:val="nil"/>
              <w:left w:val="nil"/>
              <w:bottom w:val="nil"/>
              <w:right w:val="nil"/>
            </w:tcBorders>
            <w:shd w:val="clear" w:color="auto" w:fill="FFFF00"/>
            <w:noWrap/>
          </w:tcPr>
          <w:p w:rsidR="00060B36" w:rsidRPr="00F91686" w:rsidRDefault="00060B36" w:rsidP="00F91686">
            <w:pPr>
              <w:pStyle w:val="TableTextEntries"/>
              <w:jc w:val="center"/>
            </w:pPr>
            <w:r w:rsidRPr="00F91686">
              <w:t>4</w:t>
            </w:r>
          </w:p>
        </w:tc>
        <w:tc>
          <w:tcPr>
            <w:tcW w:w="628" w:type="dxa"/>
            <w:tcBorders>
              <w:top w:val="nil"/>
              <w:left w:val="nil"/>
              <w:bottom w:val="nil"/>
              <w:right w:val="nil"/>
            </w:tcBorders>
            <w:shd w:val="clear" w:color="auto" w:fill="92D050"/>
            <w:noWrap/>
          </w:tcPr>
          <w:p w:rsidR="00060B36" w:rsidRPr="00F91686" w:rsidRDefault="00060B36" w:rsidP="00F91686">
            <w:pPr>
              <w:pStyle w:val="TableTextEntries"/>
              <w:jc w:val="center"/>
            </w:pPr>
            <w:r w:rsidRPr="00F91686">
              <w:t>5</w:t>
            </w:r>
          </w:p>
        </w:tc>
        <w:tc>
          <w:tcPr>
            <w:tcW w:w="565" w:type="dxa"/>
            <w:tcBorders>
              <w:top w:val="nil"/>
              <w:left w:val="nil"/>
              <w:bottom w:val="nil"/>
              <w:right w:val="nil"/>
            </w:tcBorders>
            <w:shd w:val="clear" w:color="auto" w:fill="F79646"/>
            <w:noWrap/>
          </w:tcPr>
          <w:p w:rsidR="00060B36" w:rsidRPr="00F91686" w:rsidRDefault="00060B36" w:rsidP="00F91686">
            <w:pPr>
              <w:pStyle w:val="TableTextEntries"/>
              <w:jc w:val="center"/>
            </w:pPr>
            <w:r w:rsidRPr="00F91686">
              <w:t>3</w:t>
            </w:r>
          </w:p>
        </w:tc>
        <w:tc>
          <w:tcPr>
            <w:tcW w:w="484" w:type="dxa"/>
            <w:tcBorders>
              <w:top w:val="nil"/>
              <w:left w:val="nil"/>
              <w:bottom w:val="nil"/>
              <w:right w:val="nil"/>
            </w:tcBorders>
            <w:shd w:val="clear" w:color="auto" w:fill="FFFF00"/>
            <w:noWrap/>
          </w:tcPr>
          <w:p w:rsidR="00060B36" w:rsidRPr="00F91686" w:rsidRDefault="00060B36" w:rsidP="00F91686">
            <w:pPr>
              <w:pStyle w:val="TableTextEntries"/>
              <w:jc w:val="center"/>
            </w:pPr>
            <w:r w:rsidRPr="00F91686">
              <w:t>4</w:t>
            </w:r>
          </w:p>
        </w:tc>
        <w:tc>
          <w:tcPr>
            <w:tcW w:w="717" w:type="dxa"/>
            <w:tcBorders>
              <w:top w:val="nil"/>
              <w:left w:val="nil"/>
              <w:bottom w:val="nil"/>
              <w:right w:val="nil"/>
            </w:tcBorders>
            <w:shd w:val="clear" w:color="auto" w:fill="F79646"/>
            <w:noWrap/>
          </w:tcPr>
          <w:p w:rsidR="00060B36" w:rsidRPr="00F91686" w:rsidRDefault="00060B36" w:rsidP="00F91686">
            <w:pPr>
              <w:pStyle w:val="TableTextEntries"/>
              <w:jc w:val="center"/>
            </w:pPr>
            <w:r w:rsidRPr="00F91686">
              <w:t>I</w:t>
            </w:r>
          </w:p>
        </w:tc>
      </w:tr>
      <w:tr w:rsidR="00060B36" w:rsidRPr="009D53C4" w:rsidTr="00F91686">
        <w:trPr>
          <w:trHeight w:val="284"/>
          <w:tblHeader/>
          <w:tblCellSpacing w:w="14" w:type="dxa"/>
          <w:jc w:val="center"/>
        </w:trPr>
        <w:tc>
          <w:tcPr>
            <w:tcW w:w="8896" w:type="dxa"/>
            <w:gridSpan w:val="10"/>
            <w:tcBorders>
              <w:top w:val="nil"/>
              <w:left w:val="nil"/>
              <w:bottom w:val="nil"/>
              <w:right w:val="nil"/>
            </w:tcBorders>
            <w:shd w:val="clear" w:color="auto" w:fill="auto"/>
          </w:tcPr>
          <w:p w:rsidR="00060B36" w:rsidRDefault="00060B36" w:rsidP="00F91686">
            <w:pPr>
              <w:pStyle w:val="TableHeading2"/>
            </w:pPr>
            <w:r w:rsidRPr="00040943">
              <w:t>Humanitarian</w:t>
            </w:r>
          </w:p>
        </w:tc>
      </w:tr>
      <w:tr w:rsidR="00060B36" w:rsidRPr="009D53C4" w:rsidTr="00040943">
        <w:trPr>
          <w:trHeight w:val="284"/>
          <w:tblHeader/>
          <w:tblCellSpacing w:w="14" w:type="dxa"/>
          <w:jc w:val="center"/>
        </w:trPr>
        <w:tc>
          <w:tcPr>
            <w:tcW w:w="2739" w:type="dxa"/>
            <w:vMerge w:val="restart"/>
            <w:tcBorders>
              <w:top w:val="nil"/>
              <w:left w:val="nil"/>
              <w:bottom w:val="nil"/>
              <w:right w:val="nil"/>
            </w:tcBorders>
          </w:tcPr>
          <w:p w:rsidR="00060B36" w:rsidRPr="00F91686" w:rsidRDefault="00AA1101" w:rsidP="00F91686">
            <w:pPr>
              <w:pStyle w:val="TableTextEntries"/>
            </w:pPr>
            <w:r w:rsidRPr="00F91686">
              <w:t>ING453—Pakistan Earthquake Reconstruction P</w:t>
            </w:r>
            <w:r w:rsidR="00060B36" w:rsidRPr="00F91686">
              <w:t xml:space="preserve">rogram* </w:t>
            </w:r>
          </w:p>
        </w:tc>
        <w:tc>
          <w:tcPr>
            <w:tcW w:w="1264" w:type="dxa"/>
            <w:vMerge w:val="restart"/>
            <w:tcBorders>
              <w:top w:val="nil"/>
              <w:left w:val="nil"/>
              <w:bottom w:val="nil"/>
              <w:right w:val="nil"/>
            </w:tcBorders>
          </w:tcPr>
          <w:p w:rsidR="00060B36" w:rsidRPr="00F91686" w:rsidRDefault="00060B36" w:rsidP="00F91686">
            <w:pPr>
              <w:pStyle w:val="TableTextEntries"/>
            </w:pPr>
            <w:r w:rsidRPr="00F91686">
              <w:t>$39.99m</w:t>
            </w:r>
          </w:p>
          <w:p w:rsidR="00060B36" w:rsidRPr="00F91686" w:rsidRDefault="00060B36" w:rsidP="00F91686">
            <w:pPr>
              <w:pStyle w:val="TableTextEntries"/>
            </w:pPr>
            <w:r w:rsidRPr="00F91686">
              <w:t>(2005–12)</w:t>
            </w:r>
          </w:p>
        </w:tc>
        <w:tc>
          <w:tcPr>
            <w:tcW w:w="638" w:type="dxa"/>
            <w:tcBorders>
              <w:top w:val="nil"/>
              <w:left w:val="nil"/>
              <w:bottom w:val="nil"/>
              <w:right w:val="nil"/>
            </w:tcBorders>
          </w:tcPr>
          <w:p w:rsidR="00060B36" w:rsidRPr="00F91686" w:rsidRDefault="00060B36" w:rsidP="00F91686">
            <w:pPr>
              <w:pStyle w:val="TableTextEntries"/>
            </w:pPr>
            <w:r w:rsidRPr="00F91686">
              <w:t>2012</w:t>
            </w:r>
          </w:p>
        </w:tc>
        <w:tc>
          <w:tcPr>
            <w:tcW w:w="4171" w:type="dxa"/>
            <w:gridSpan w:val="7"/>
            <w:tcBorders>
              <w:top w:val="nil"/>
              <w:left w:val="nil"/>
              <w:bottom w:val="nil"/>
              <w:right w:val="nil"/>
            </w:tcBorders>
            <w:noWrap/>
          </w:tcPr>
          <w:p w:rsidR="00060B36" w:rsidRPr="00F91686" w:rsidRDefault="00060B36" w:rsidP="00F91686">
            <w:pPr>
              <w:pStyle w:val="TableTextEntries"/>
            </w:pPr>
          </w:p>
        </w:tc>
      </w:tr>
      <w:tr w:rsidR="00060B36" w:rsidRPr="009D53C4" w:rsidTr="00040943">
        <w:trPr>
          <w:trHeight w:val="284"/>
          <w:tblHeader/>
          <w:tblCellSpacing w:w="14" w:type="dxa"/>
          <w:jc w:val="center"/>
        </w:trPr>
        <w:tc>
          <w:tcPr>
            <w:tcW w:w="2739" w:type="dxa"/>
            <w:vMerge/>
            <w:tcBorders>
              <w:top w:val="nil"/>
              <w:left w:val="nil"/>
              <w:bottom w:val="nil"/>
              <w:right w:val="nil"/>
            </w:tcBorders>
          </w:tcPr>
          <w:p w:rsidR="00060B36" w:rsidRPr="00F91686" w:rsidRDefault="00060B36" w:rsidP="00F91686">
            <w:pPr>
              <w:pStyle w:val="TableTextEntries"/>
            </w:pPr>
          </w:p>
        </w:tc>
        <w:tc>
          <w:tcPr>
            <w:tcW w:w="1264" w:type="dxa"/>
            <w:vMerge/>
            <w:tcBorders>
              <w:top w:val="nil"/>
              <w:left w:val="nil"/>
              <w:bottom w:val="nil"/>
              <w:right w:val="nil"/>
            </w:tcBorders>
          </w:tcPr>
          <w:p w:rsidR="00060B36" w:rsidRPr="00F91686" w:rsidRDefault="00060B36" w:rsidP="00F91686">
            <w:pPr>
              <w:pStyle w:val="TableTextEntries"/>
            </w:pPr>
          </w:p>
        </w:tc>
        <w:tc>
          <w:tcPr>
            <w:tcW w:w="638" w:type="dxa"/>
            <w:tcBorders>
              <w:top w:val="nil"/>
              <w:left w:val="nil"/>
              <w:bottom w:val="nil"/>
              <w:right w:val="nil"/>
            </w:tcBorders>
          </w:tcPr>
          <w:p w:rsidR="00060B36" w:rsidRPr="00F91686" w:rsidRDefault="00060B36" w:rsidP="00F91686">
            <w:pPr>
              <w:pStyle w:val="TableTextEntries"/>
            </w:pPr>
            <w:r w:rsidRPr="00F91686">
              <w:t>2011</w:t>
            </w:r>
          </w:p>
        </w:tc>
        <w:tc>
          <w:tcPr>
            <w:tcW w:w="569" w:type="dxa"/>
            <w:tcBorders>
              <w:top w:val="nil"/>
              <w:left w:val="nil"/>
              <w:bottom w:val="single" w:sz="24" w:space="0" w:color="FFFFFF"/>
              <w:right w:val="nil"/>
            </w:tcBorders>
            <w:shd w:val="clear" w:color="auto" w:fill="92D050"/>
            <w:noWrap/>
          </w:tcPr>
          <w:p w:rsidR="00060B36" w:rsidRPr="00F91686" w:rsidRDefault="00060B36" w:rsidP="00F91686">
            <w:pPr>
              <w:pStyle w:val="TableTextEntries"/>
              <w:jc w:val="center"/>
            </w:pPr>
            <w:r w:rsidRPr="00F91686">
              <w:t>5</w:t>
            </w:r>
          </w:p>
        </w:tc>
        <w:tc>
          <w:tcPr>
            <w:tcW w:w="520" w:type="dxa"/>
            <w:tcBorders>
              <w:top w:val="nil"/>
              <w:left w:val="nil"/>
              <w:bottom w:val="single" w:sz="24" w:space="0" w:color="FFFFFF"/>
              <w:right w:val="nil"/>
            </w:tcBorders>
            <w:shd w:val="clear" w:color="auto" w:fill="FFFF00"/>
            <w:noWrap/>
          </w:tcPr>
          <w:p w:rsidR="00060B36" w:rsidRPr="00F91686" w:rsidRDefault="00060B36" w:rsidP="00F91686">
            <w:pPr>
              <w:pStyle w:val="TableTextEntries"/>
              <w:jc w:val="center"/>
            </w:pPr>
            <w:r w:rsidRPr="00F91686">
              <w:t>4</w:t>
            </w:r>
          </w:p>
        </w:tc>
        <w:tc>
          <w:tcPr>
            <w:tcW w:w="520" w:type="dxa"/>
            <w:tcBorders>
              <w:top w:val="nil"/>
              <w:left w:val="nil"/>
              <w:bottom w:val="single" w:sz="24" w:space="0" w:color="FFFFFF"/>
              <w:right w:val="nil"/>
            </w:tcBorders>
            <w:shd w:val="clear" w:color="auto" w:fill="92D050"/>
            <w:noWrap/>
          </w:tcPr>
          <w:p w:rsidR="00060B36" w:rsidRPr="00F91686" w:rsidRDefault="00060B36" w:rsidP="00F91686">
            <w:pPr>
              <w:pStyle w:val="TableTextEntries"/>
              <w:jc w:val="center"/>
            </w:pPr>
            <w:r w:rsidRPr="00F91686">
              <w:t>5</w:t>
            </w:r>
          </w:p>
        </w:tc>
        <w:tc>
          <w:tcPr>
            <w:tcW w:w="628" w:type="dxa"/>
            <w:tcBorders>
              <w:top w:val="nil"/>
              <w:left w:val="nil"/>
              <w:bottom w:val="single" w:sz="24" w:space="0" w:color="FFFFFF"/>
              <w:right w:val="nil"/>
            </w:tcBorders>
            <w:shd w:val="clear" w:color="auto" w:fill="92D050"/>
            <w:noWrap/>
          </w:tcPr>
          <w:p w:rsidR="00060B36" w:rsidRPr="00F91686" w:rsidRDefault="00060B36" w:rsidP="00F91686">
            <w:pPr>
              <w:pStyle w:val="TableTextEntries"/>
              <w:jc w:val="center"/>
            </w:pPr>
            <w:r w:rsidRPr="00F91686">
              <w:t>5</w:t>
            </w:r>
          </w:p>
        </w:tc>
        <w:tc>
          <w:tcPr>
            <w:tcW w:w="565" w:type="dxa"/>
            <w:tcBorders>
              <w:top w:val="nil"/>
              <w:left w:val="nil"/>
              <w:bottom w:val="single" w:sz="24" w:space="0" w:color="FFFFFF"/>
              <w:right w:val="nil"/>
            </w:tcBorders>
            <w:shd w:val="clear" w:color="auto" w:fill="92D050"/>
            <w:noWrap/>
          </w:tcPr>
          <w:p w:rsidR="00060B36" w:rsidRPr="00F91686" w:rsidRDefault="00060B36" w:rsidP="00F91686">
            <w:pPr>
              <w:pStyle w:val="TableTextEntries"/>
              <w:jc w:val="center"/>
            </w:pPr>
            <w:r w:rsidRPr="00F91686">
              <w:t>5</w:t>
            </w:r>
          </w:p>
        </w:tc>
        <w:tc>
          <w:tcPr>
            <w:tcW w:w="484" w:type="dxa"/>
            <w:tcBorders>
              <w:top w:val="nil"/>
              <w:left w:val="nil"/>
              <w:bottom w:val="single" w:sz="24" w:space="0" w:color="FFFFFF"/>
              <w:right w:val="nil"/>
            </w:tcBorders>
            <w:shd w:val="clear" w:color="auto" w:fill="FFFF00"/>
            <w:noWrap/>
          </w:tcPr>
          <w:p w:rsidR="00060B36" w:rsidRPr="00F91686" w:rsidRDefault="00060B36" w:rsidP="00F91686">
            <w:pPr>
              <w:pStyle w:val="TableTextEntries"/>
              <w:jc w:val="center"/>
            </w:pPr>
            <w:r w:rsidRPr="00F91686">
              <w:t>4</w:t>
            </w:r>
          </w:p>
        </w:tc>
        <w:tc>
          <w:tcPr>
            <w:tcW w:w="717" w:type="dxa"/>
            <w:tcBorders>
              <w:top w:val="nil"/>
              <w:left w:val="nil"/>
              <w:bottom w:val="single" w:sz="24" w:space="0" w:color="FFFFFF"/>
              <w:right w:val="nil"/>
            </w:tcBorders>
            <w:shd w:val="clear" w:color="auto" w:fill="92D050"/>
            <w:noWrap/>
          </w:tcPr>
          <w:p w:rsidR="00060B36" w:rsidRPr="00F91686" w:rsidRDefault="00060B36" w:rsidP="00F91686">
            <w:pPr>
              <w:pStyle w:val="TableTextEntries"/>
              <w:jc w:val="center"/>
            </w:pPr>
            <w:r w:rsidRPr="00F91686">
              <w:t>M</w:t>
            </w:r>
          </w:p>
        </w:tc>
      </w:tr>
      <w:tr w:rsidR="00060B36" w:rsidRPr="009D53C4" w:rsidTr="00040943">
        <w:trPr>
          <w:trHeight w:val="284"/>
          <w:tblHeader/>
          <w:tblCellSpacing w:w="14" w:type="dxa"/>
          <w:jc w:val="center"/>
        </w:trPr>
        <w:tc>
          <w:tcPr>
            <w:tcW w:w="2739" w:type="dxa"/>
            <w:tcBorders>
              <w:top w:val="nil"/>
              <w:left w:val="nil"/>
              <w:bottom w:val="nil"/>
              <w:right w:val="nil"/>
            </w:tcBorders>
          </w:tcPr>
          <w:p w:rsidR="00060B36" w:rsidRPr="00F91686" w:rsidRDefault="00060B36" w:rsidP="00F91686">
            <w:pPr>
              <w:pStyle w:val="TableTextEntries"/>
            </w:pPr>
            <w:r w:rsidRPr="00F91686">
              <w:t xml:space="preserve">INK576—World Bank MDTF for KP, FATA and </w:t>
            </w:r>
            <w:proofErr w:type="spellStart"/>
            <w:r w:rsidRPr="00F91686">
              <w:t>Balochistan</w:t>
            </w:r>
            <w:proofErr w:type="spellEnd"/>
            <w:r w:rsidRPr="00F91686">
              <w:t xml:space="preserve"> (started in 2012)</w:t>
            </w:r>
          </w:p>
        </w:tc>
        <w:tc>
          <w:tcPr>
            <w:tcW w:w="1264" w:type="dxa"/>
            <w:tcBorders>
              <w:top w:val="nil"/>
              <w:left w:val="nil"/>
              <w:bottom w:val="nil"/>
              <w:right w:val="nil"/>
            </w:tcBorders>
          </w:tcPr>
          <w:p w:rsidR="00060B36" w:rsidRPr="00F91686" w:rsidRDefault="00060B36" w:rsidP="00F91686">
            <w:pPr>
              <w:pStyle w:val="TableTextEntries"/>
            </w:pPr>
            <w:r w:rsidRPr="00F91686">
              <w:t>$23.2m</w:t>
            </w:r>
          </w:p>
          <w:p w:rsidR="00060B36" w:rsidRPr="00F91686" w:rsidRDefault="00060B36" w:rsidP="00F91686">
            <w:pPr>
              <w:pStyle w:val="TableTextEntries"/>
            </w:pPr>
            <w:r w:rsidRPr="00F91686">
              <w:t>(2009–13)</w:t>
            </w:r>
          </w:p>
        </w:tc>
        <w:tc>
          <w:tcPr>
            <w:tcW w:w="638" w:type="dxa"/>
            <w:tcBorders>
              <w:top w:val="nil"/>
              <w:left w:val="nil"/>
              <w:bottom w:val="nil"/>
              <w:right w:val="nil"/>
            </w:tcBorders>
          </w:tcPr>
          <w:p w:rsidR="00060B36" w:rsidRPr="00F91686" w:rsidRDefault="00060B36" w:rsidP="00F91686">
            <w:pPr>
              <w:pStyle w:val="TableTextEntries"/>
            </w:pPr>
            <w:r w:rsidRPr="00F91686">
              <w:t>2012</w:t>
            </w:r>
          </w:p>
        </w:tc>
        <w:tc>
          <w:tcPr>
            <w:tcW w:w="569" w:type="dxa"/>
            <w:tcBorders>
              <w:top w:val="nil"/>
              <w:left w:val="nil"/>
              <w:bottom w:val="nil"/>
              <w:right w:val="nil"/>
            </w:tcBorders>
            <w:shd w:val="clear" w:color="auto" w:fill="92D050"/>
            <w:noWrap/>
          </w:tcPr>
          <w:p w:rsidR="00060B36" w:rsidRPr="00F91686" w:rsidRDefault="00060B36" w:rsidP="00F91686">
            <w:pPr>
              <w:pStyle w:val="TableTextEntries"/>
              <w:jc w:val="center"/>
            </w:pPr>
            <w:r w:rsidRPr="00F91686">
              <w:t>5</w:t>
            </w:r>
          </w:p>
        </w:tc>
        <w:tc>
          <w:tcPr>
            <w:tcW w:w="520" w:type="dxa"/>
            <w:tcBorders>
              <w:top w:val="nil"/>
              <w:left w:val="nil"/>
              <w:bottom w:val="nil"/>
              <w:right w:val="nil"/>
            </w:tcBorders>
            <w:shd w:val="clear" w:color="auto" w:fill="FFFF00"/>
            <w:noWrap/>
          </w:tcPr>
          <w:p w:rsidR="00060B36" w:rsidRPr="00F91686" w:rsidRDefault="00060B36" w:rsidP="00F91686">
            <w:pPr>
              <w:pStyle w:val="TableTextEntries"/>
              <w:jc w:val="center"/>
            </w:pPr>
            <w:r w:rsidRPr="00F91686">
              <w:t>4</w:t>
            </w:r>
          </w:p>
        </w:tc>
        <w:tc>
          <w:tcPr>
            <w:tcW w:w="520" w:type="dxa"/>
            <w:tcBorders>
              <w:top w:val="nil"/>
              <w:left w:val="nil"/>
              <w:bottom w:val="nil"/>
              <w:right w:val="nil"/>
            </w:tcBorders>
            <w:shd w:val="clear" w:color="auto" w:fill="FFFF00"/>
            <w:noWrap/>
          </w:tcPr>
          <w:p w:rsidR="00060B36" w:rsidRPr="00F91686" w:rsidRDefault="00060B36" w:rsidP="00F91686">
            <w:pPr>
              <w:pStyle w:val="TableTextEntries"/>
              <w:jc w:val="center"/>
            </w:pPr>
            <w:r w:rsidRPr="00F91686">
              <w:t>4</w:t>
            </w:r>
          </w:p>
        </w:tc>
        <w:tc>
          <w:tcPr>
            <w:tcW w:w="628" w:type="dxa"/>
            <w:tcBorders>
              <w:top w:val="nil"/>
              <w:left w:val="nil"/>
              <w:bottom w:val="nil"/>
              <w:right w:val="nil"/>
            </w:tcBorders>
            <w:shd w:val="clear" w:color="auto" w:fill="FFFF00"/>
            <w:noWrap/>
          </w:tcPr>
          <w:p w:rsidR="00060B36" w:rsidRPr="00F91686" w:rsidRDefault="00060B36" w:rsidP="00F91686">
            <w:pPr>
              <w:pStyle w:val="TableTextEntries"/>
              <w:jc w:val="center"/>
            </w:pPr>
            <w:r w:rsidRPr="00F91686">
              <w:t>4</w:t>
            </w:r>
          </w:p>
        </w:tc>
        <w:tc>
          <w:tcPr>
            <w:tcW w:w="565" w:type="dxa"/>
            <w:tcBorders>
              <w:top w:val="nil"/>
              <w:left w:val="nil"/>
              <w:bottom w:val="nil"/>
              <w:right w:val="nil"/>
            </w:tcBorders>
            <w:shd w:val="clear" w:color="auto" w:fill="FFFF00"/>
            <w:noWrap/>
          </w:tcPr>
          <w:p w:rsidR="00060B36" w:rsidRPr="00F91686" w:rsidRDefault="00060B36" w:rsidP="00F91686">
            <w:pPr>
              <w:pStyle w:val="TableTextEntries"/>
              <w:jc w:val="center"/>
            </w:pPr>
            <w:r w:rsidRPr="00F91686">
              <w:t>4</w:t>
            </w:r>
          </w:p>
        </w:tc>
        <w:tc>
          <w:tcPr>
            <w:tcW w:w="484" w:type="dxa"/>
            <w:tcBorders>
              <w:top w:val="nil"/>
              <w:left w:val="nil"/>
              <w:bottom w:val="nil"/>
              <w:right w:val="nil"/>
            </w:tcBorders>
            <w:shd w:val="clear" w:color="auto" w:fill="92D050"/>
            <w:noWrap/>
          </w:tcPr>
          <w:p w:rsidR="00060B36" w:rsidRPr="00F91686" w:rsidRDefault="00060B36" w:rsidP="00F91686">
            <w:pPr>
              <w:pStyle w:val="TableTextEntries"/>
              <w:jc w:val="center"/>
            </w:pPr>
            <w:r w:rsidRPr="00F91686">
              <w:t>5</w:t>
            </w:r>
          </w:p>
        </w:tc>
        <w:tc>
          <w:tcPr>
            <w:tcW w:w="717" w:type="dxa"/>
            <w:tcBorders>
              <w:top w:val="nil"/>
              <w:left w:val="nil"/>
              <w:bottom w:val="nil"/>
              <w:right w:val="nil"/>
            </w:tcBorders>
            <w:shd w:val="clear" w:color="auto" w:fill="F79646"/>
            <w:noWrap/>
          </w:tcPr>
          <w:p w:rsidR="00060B36" w:rsidRPr="00F91686" w:rsidRDefault="00060B36" w:rsidP="00F91686">
            <w:pPr>
              <w:pStyle w:val="TableTextEntries"/>
              <w:jc w:val="center"/>
            </w:pPr>
            <w:r w:rsidRPr="00F91686">
              <w:t>I</w:t>
            </w:r>
          </w:p>
        </w:tc>
      </w:tr>
      <w:tr w:rsidR="00060B36" w:rsidRPr="009D53C4" w:rsidTr="00F91686">
        <w:trPr>
          <w:trHeight w:val="284"/>
          <w:tblHeader/>
          <w:tblCellSpacing w:w="14" w:type="dxa"/>
          <w:jc w:val="center"/>
        </w:trPr>
        <w:tc>
          <w:tcPr>
            <w:tcW w:w="8896" w:type="dxa"/>
            <w:gridSpan w:val="10"/>
            <w:tcBorders>
              <w:top w:val="nil"/>
              <w:left w:val="nil"/>
              <w:bottom w:val="nil"/>
              <w:right w:val="nil"/>
            </w:tcBorders>
            <w:shd w:val="clear" w:color="auto" w:fill="auto"/>
          </w:tcPr>
          <w:p w:rsidR="00060B36" w:rsidRDefault="00060B36" w:rsidP="00F91686">
            <w:pPr>
              <w:pStyle w:val="TableHeading2"/>
            </w:pPr>
            <w:r w:rsidRPr="00040943">
              <w:t>Scholarships</w:t>
            </w:r>
          </w:p>
        </w:tc>
      </w:tr>
      <w:tr w:rsidR="00060B36" w:rsidRPr="009D53C4" w:rsidTr="00040943">
        <w:trPr>
          <w:trHeight w:val="284"/>
          <w:tblHeader/>
          <w:tblCellSpacing w:w="14" w:type="dxa"/>
          <w:jc w:val="center"/>
        </w:trPr>
        <w:tc>
          <w:tcPr>
            <w:tcW w:w="2739" w:type="dxa"/>
            <w:vMerge w:val="restart"/>
            <w:tcBorders>
              <w:top w:val="nil"/>
              <w:left w:val="nil"/>
              <w:bottom w:val="nil"/>
              <w:right w:val="nil"/>
            </w:tcBorders>
          </w:tcPr>
          <w:p w:rsidR="00060B36" w:rsidRPr="00F91686" w:rsidRDefault="00060B36" w:rsidP="00F91686">
            <w:pPr>
              <w:pStyle w:val="TableTextEntries"/>
            </w:pPr>
            <w:r w:rsidRPr="00F91686">
              <w:t>INI611/INJ492—Australian development scholarships</w:t>
            </w:r>
          </w:p>
        </w:tc>
        <w:tc>
          <w:tcPr>
            <w:tcW w:w="1264" w:type="dxa"/>
            <w:vMerge w:val="restart"/>
            <w:tcBorders>
              <w:top w:val="nil"/>
              <w:left w:val="nil"/>
              <w:bottom w:val="nil"/>
              <w:right w:val="nil"/>
            </w:tcBorders>
          </w:tcPr>
          <w:p w:rsidR="00060B36" w:rsidRPr="00F91686" w:rsidRDefault="00060B36" w:rsidP="00F91686">
            <w:pPr>
              <w:pStyle w:val="TableTextEntries"/>
            </w:pPr>
            <w:r w:rsidRPr="00F91686">
              <w:t>INI611—$23.29m (2009–15)</w:t>
            </w:r>
          </w:p>
          <w:p w:rsidR="00060B36" w:rsidRPr="00F91686" w:rsidRDefault="00060B36" w:rsidP="00F91686">
            <w:pPr>
              <w:pStyle w:val="TableTextEntries"/>
            </w:pPr>
            <w:r w:rsidRPr="00F91686">
              <w:t>INJ492—$7.78m (2010–15)</w:t>
            </w:r>
          </w:p>
        </w:tc>
        <w:tc>
          <w:tcPr>
            <w:tcW w:w="638" w:type="dxa"/>
            <w:tcBorders>
              <w:top w:val="nil"/>
              <w:left w:val="nil"/>
              <w:bottom w:val="nil"/>
              <w:right w:val="nil"/>
            </w:tcBorders>
          </w:tcPr>
          <w:p w:rsidR="00060B36" w:rsidRPr="00F91686" w:rsidRDefault="00060B36" w:rsidP="00F91686">
            <w:pPr>
              <w:pStyle w:val="TableTextEntries"/>
            </w:pPr>
            <w:r w:rsidRPr="00F91686">
              <w:t>2012</w:t>
            </w:r>
          </w:p>
        </w:tc>
        <w:tc>
          <w:tcPr>
            <w:tcW w:w="569" w:type="dxa"/>
            <w:tcBorders>
              <w:top w:val="nil"/>
              <w:left w:val="nil"/>
              <w:bottom w:val="nil"/>
              <w:right w:val="nil"/>
            </w:tcBorders>
            <w:shd w:val="clear" w:color="auto" w:fill="92D050"/>
            <w:noWrap/>
          </w:tcPr>
          <w:p w:rsidR="00060B36" w:rsidRPr="00F91686" w:rsidRDefault="00060B36" w:rsidP="00F91686">
            <w:pPr>
              <w:pStyle w:val="TableTextEntries"/>
              <w:jc w:val="center"/>
            </w:pPr>
            <w:r w:rsidRPr="00F91686">
              <w:t>5</w:t>
            </w:r>
          </w:p>
        </w:tc>
        <w:tc>
          <w:tcPr>
            <w:tcW w:w="520" w:type="dxa"/>
            <w:tcBorders>
              <w:top w:val="nil"/>
              <w:left w:val="nil"/>
              <w:bottom w:val="nil"/>
              <w:right w:val="nil"/>
            </w:tcBorders>
            <w:shd w:val="clear" w:color="auto" w:fill="92D050"/>
            <w:noWrap/>
          </w:tcPr>
          <w:p w:rsidR="00060B36" w:rsidRPr="00F91686" w:rsidRDefault="00060B36" w:rsidP="00F91686">
            <w:pPr>
              <w:pStyle w:val="TableTextEntries"/>
              <w:jc w:val="center"/>
            </w:pPr>
            <w:r w:rsidRPr="00F91686">
              <w:t>5</w:t>
            </w:r>
          </w:p>
        </w:tc>
        <w:tc>
          <w:tcPr>
            <w:tcW w:w="520" w:type="dxa"/>
            <w:tcBorders>
              <w:top w:val="nil"/>
              <w:left w:val="nil"/>
              <w:bottom w:val="nil"/>
              <w:right w:val="nil"/>
            </w:tcBorders>
            <w:shd w:val="clear" w:color="auto" w:fill="92D050"/>
            <w:noWrap/>
          </w:tcPr>
          <w:p w:rsidR="00060B36" w:rsidRPr="00F91686" w:rsidRDefault="00060B36" w:rsidP="00F91686">
            <w:pPr>
              <w:pStyle w:val="TableTextEntries"/>
              <w:jc w:val="center"/>
            </w:pPr>
            <w:r w:rsidRPr="00F91686">
              <w:t>5</w:t>
            </w:r>
          </w:p>
        </w:tc>
        <w:tc>
          <w:tcPr>
            <w:tcW w:w="628" w:type="dxa"/>
            <w:tcBorders>
              <w:top w:val="nil"/>
              <w:left w:val="nil"/>
              <w:bottom w:val="nil"/>
              <w:right w:val="nil"/>
            </w:tcBorders>
            <w:shd w:val="clear" w:color="auto" w:fill="FFFF00"/>
            <w:noWrap/>
          </w:tcPr>
          <w:p w:rsidR="00060B36" w:rsidRPr="00F91686" w:rsidRDefault="00060B36" w:rsidP="00F91686">
            <w:pPr>
              <w:pStyle w:val="TableTextEntries"/>
              <w:jc w:val="center"/>
            </w:pPr>
            <w:r w:rsidRPr="00F91686">
              <w:t>4</w:t>
            </w:r>
          </w:p>
        </w:tc>
        <w:tc>
          <w:tcPr>
            <w:tcW w:w="565" w:type="dxa"/>
            <w:tcBorders>
              <w:top w:val="nil"/>
              <w:left w:val="nil"/>
              <w:bottom w:val="nil"/>
              <w:right w:val="nil"/>
            </w:tcBorders>
            <w:shd w:val="clear" w:color="auto" w:fill="92D050"/>
            <w:noWrap/>
          </w:tcPr>
          <w:p w:rsidR="00060B36" w:rsidRPr="00F91686" w:rsidRDefault="00060B36" w:rsidP="00F91686">
            <w:pPr>
              <w:pStyle w:val="TableTextEntries"/>
              <w:jc w:val="center"/>
            </w:pPr>
            <w:r w:rsidRPr="00F91686">
              <w:t>5</w:t>
            </w:r>
          </w:p>
        </w:tc>
        <w:tc>
          <w:tcPr>
            <w:tcW w:w="484" w:type="dxa"/>
            <w:tcBorders>
              <w:top w:val="nil"/>
              <w:left w:val="nil"/>
              <w:bottom w:val="nil"/>
              <w:right w:val="nil"/>
            </w:tcBorders>
            <w:shd w:val="clear" w:color="auto" w:fill="FFFF00"/>
            <w:noWrap/>
          </w:tcPr>
          <w:p w:rsidR="00060B36" w:rsidRPr="00F91686" w:rsidRDefault="00060B36" w:rsidP="00F91686">
            <w:pPr>
              <w:pStyle w:val="TableTextEntries"/>
              <w:jc w:val="center"/>
            </w:pPr>
            <w:r w:rsidRPr="00F91686">
              <w:t>4</w:t>
            </w:r>
          </w:p>
        </w:tc>
        <w:tc>
          <w:tcPr>
            <w:tcW w:w="717" w:type="dxa"/>
            <w:tcBorders>
              <w:top w:val="nil"/>
              <w:left w:val="nil"/>
              <w:bottom w:val="nil"/>
              <w:right w:val="nil"/>
            </w:tcBorders>
            <w:shd w:val="clear" w:color="auto" w:fill="F79646"/>
            <w:noWrap/>
          </w:tcPr>
          <w:p w:rsidR="00060B36" w:rsidRPr="00F91686" w:rsidRDefault="00060B36" w:rsidP="00F91686">
            <w:pPr>
              <w:pStyle w:val="TableTextEntries"/>
              <w:jc w:val="center"/>
            </w:pPr>
            <w:r w:rsidRPr="00F91686">
              <w:t>I</w:t>
            </w:r>
          </w:p>
        </w:tc>
      </w:tr>
      <w:tr w:rsidR="00060B36" w:rsidRPr="009D53C4" w:rsidTr="00040943">
        <w:trPr>
          <w:trHeight w:val="284"/>
          <w:tblHeader/>
          <w:tblCellSpacing w:w="14" w:type="dxa"/>
          <w:jc w:val="center"/>
        </w:trPr>
        <w:tc>
          <w:tcPr>
            <w:tcW w:w="2739" w:type="dxa"/>
            <w:vMerge/>
            <w:tcBorders>
              <w:top w:val="nil"/>
              <w:left w:val="nil"/>
              <w:bottom w:val="nil"/>
              <w:right w:val="nil"/>
            </w:tcBorders>
          </w:tcPr>
          <w:p w:rsidR="00060B36" w:rsidRPr="00F91686" w:rsidRDefault="00060B36" w:rsidP="00F91686">
            <w:pPr>
              <w:pStyle w:val="TableTextEntries"/>
            </w:pPr>
          </w:p>
        </w:tc>
        <w:tc>
          <w:tcPr>
            <w:tcW w:w="1264" w:type="dxa"/>
            <w:vMerge/>
            <w:tcBorders>
              <w:top w:val="nil"/>
              <w:left w:val="nil"/>
              <w:bottom w:val="nil"/>
              <w:right w:val="nil"/>
            </w:tcBorders>
          </w:tcPr>
          <w:p w:rsidR="00060B36" w:rsidRPr="00F91686" w:rsidRDefault="00060B36" w:rsidP="00F91686">
            <w:pPr>
              <w:pStyle w:val="TableTextEntries"/>
            </w:pPr>
          </w:p>
        </w:tc>
        <w:tc>
          <w:tcPr>
            <w:tcW w:w="638" w:type="dxa"/>
            <w:tcBorders>
              <w:top w:val="nil"/>
              <w:left w:val="nil"/>
              <w:bottom w:val="nil"/>
              <w:right w:val="nil"/>
            </w:tcBorders>
          </w:tcPr>
          <w:p w:rsidR="00060B36" w:rsidRPr="00F91686" w:rsidRDefault="00060B36" w:rsidP="00F91686">
            <w:pPr>
              <w:pStyle w:val="TableTextEntries"/>
            </w:pPr>
            <w:r w:rsidRPr="00F91686">
              <w:t>2011</w:t>
            </w:r>
          </w:p>
        </w:tc>
        <w:tc>
          <w:tcPr>
            <w:tcW w:w="569" w:type="dxa"/>
            <w:tcBorders>
              <w:top w:val="nil"/>
              <w:left w:val="nil"/>
              <w:bottom w:val="nil"/>
              <w:right w:val="nil"/>
            </w:tcBorders>
            <w:shd w:val="clear" w:color="auto" w:fill="92D050"/>
            <w:noWrap/>
          </w:tcPr>
          <w:p w:rsidR="00060B36" w:rsidRPr="00F91686" w:rsidRDefault="00060B36" w:rsidP="00F91686">
            <w:pPr>
              <w:pStyle w:val="TableTextEntries"/>
              <w:jc w:val="center"/>
            </w:pPr>
            <w:r w:rsidRPr="00F91686">
              <w:t>5</w:t>
            </w:r>
          </w:p>
        </w:tc>
        <w:tc>
          <w:tcPr>
            <w:tcW w:w="520" w:type="dxa"/>
            <w:tcBorders>
              <w:top w:val="nil"/>
              <w:left w:val="nil"/>
              <w:bottom w:val="nil"/>
              <w:right w:val="nil"/>
            </w:tcBorders>
            <w:shd w:val="clear" w:color="auto" w:fill="FFFF00"/>
            <w:noWrap/>
          </w:tcPr>
          <w:p w:rsidR="00060B36" w:rsidRPr="00F91686" w:rsidRDefault="00060B36" w:rsidP="00F91686">
            <w:pPr>
              <w:pStyle w:val="TableTextEntries"/>
              <w:jc w:val="center"/>
            </w:pPr>
            <w:r w:rsidRPr="00F91686">
              <w:t>4</w:t>
            </w:r>
          </w:p>
        </w:tc>
        <w:tc>
          <w:tcPr>
            <w:tcW w:w="520" w:type="dxa"/>
            <w:tcBorders>
              <w:top w:val="nil"/>
              <w:left w:val="nil"/>
              <w:bottom w:val="nil"/>
              <w:right w:val="nil"/>
            </w:tcBorders>
            <w:shd w:val="clear" w:color="auto" w:fill="FFFF00"/>
            <w:noWrap/>
          </w:tcPr>
          <w:p w:rsidR="00060B36" w:rsidRPr="00F91686" w:rsidRDefault="00060B36" w:rsidP="00F91686">
            <w:pPr>
              <w:pStyle w:val="TableTextEntries"/>
              <w:jc w:val="center"/>
            </w:pPr>
            <w:r w:rsidRPr="00F91686">
              <w:t>4</w:t>
            </w:r>
          </w:p>
        </w:tc>
        <w:tc>
          <w:tcPr>
            <w:tcW w:w="628" w:type="dxa"/>
            <w:tcBorders>
              <w:top w:val="nil"/>
              <w:left w:val="nil"/>
              <w:bottom w:val="nil"/>
              <w:right w:val="nil"/>
            </w:tcBorders>
            <w:shd w:val="clear" w:color="auto" w:fill="92D050"/>
            <w:noWrap/>
          </w:tcPr>
          <w:p w:rsidR="00060B36" w:rsidRPr="00F91686" w:rsidRDefault="00060B36" w:rsidP="00F91686">
            <w:pPr>
              <w:pStyle w:val="TableTextEntries"/>
              <w:jc w:val="center"/>
            </w:pPr>
            <w:r w:rsidRPr="00F91686">
              <w:t>5</w:t>
            </w:r>
          </w:p>
        </w:tc>
        <w:tc>
          <w:tcPr>
            <w:tcW w:w="565" w:type="dxa"/>
            <w:tcBorders>
              <w:top w:val="nil"/>
              <w:left w:val="nil"/>
              <w:bottom w:val="nil"/>
              <w:right w:val="nil"/>
            </w:tcBorders>
            <w:shd w:val="clear" w:color="auto" w:fill="FFFF00"/>
            <w:noWrap/>
          </w:tcPr>
          <w:p w:rsidR="00060B36" w:rsidRPr="00F91686" w:rsidRDefault="00060B36" w:rsidP="00F91686">
            <w:pPr>
              <w:pStyle w:val="TableTextEntries"/>
              <w:jc w:val="center"/>
            </w:pPr>
            <w:r w:rsidRPr="00F91686">
              <w:t>4</w:t>
            </w:r>
          </w:p>
        </w:tc>
        <w:tc>
          <w:tcPr>
            <w:tcW w:w="484" w:type="dxa"/>
            <w:tcBorders>
              <w:top w:val="nil"/>
              <w:left w:val="nil"/>
              <w:bottom w:val="nil"/>
              <w:right w:val="nil"/>
            </w:tcBorders>
            <w:shd w:val="clear" w:color="auto" w:fill="F79646"/>
            <w:noWrap/>
          </w:tcPr>
          <w:p w:rsidR="00060B36" w:rsidRPr="00F91686" w:rsidRDefault="00060B36" w:rsidP="00F91686">
            <w:pPr>
              <w:pStyle w:val="TableTextEntries"/>
              <w:jc w:val="center"/>
            </w:pPr>
            <w:r w:rsidRPr="00F91686">
              <w:t>3</w:t>
            </w:r>
          </w:p>
        </w:tc>
        <w:tc>
          <w:tcPr>
            <w:tcW w:w="717" w:type="dxa"/>
            <w:tcBorders>
              <w:top w:val="nil"/>
              <w:left w:val="nil"/>
              <w:bottom w:val="nil"/>
              <w:right w:val="nil"/>
            </w:tcBorders>
            <w:shd w:val="clear" w:color="auto" w:fill="F79646"/>
            <w:noWrap/>
          </w:tcPr>
          <w:p w:rsidR="00060B36" w:rsidRPr="00F91686" w:rsidRDefault="00060B36" w:rsidP="00F91686">
            <w:pPr>
              <w:pStyle w:val="TableTextEntries"/>
              <w:jc w:val="center"/>
            </w:pPr>
            <w:r w:rsidRPr="00F91686">
              <w:t>I</w:t>
            </w:r>
          </w:p>
        </w:tc>
      </w:tr>
    </w:tbl>
    <w:p w:rsidR="00060B36" w:rsidRPr="00CA1B4C" w:rsidRDefault="00F91686" w:rsidP="00C5105C">
      <w:pPr>
        <w:pStyle w:val="Note"/>
      </w:pPr>
      <w:r>
        <w:rPr>
          <w:rFonts w:cs="Courier New"/>
        </w:rPr>
        <w:t>* I</w:t>
      </w:r>
      <w:r w:rsidR="00060B36">
        <w:rPr>
          <w:rFonts w:cs="Courier New"/>
        </w:rPr>
        <w:t>NG453 comprises three activities. Two are now completed and the UNICEF component will undergo a Quality at Implementation in 2013.</w:t>
      </w:r>
    </w:p>
    <w:p w:rsidR="00060B36" w:rsidRDefault="00060B36" w:rsidP="00C5105C">
      <w:pPr>
        <w:pStyle w:val="Note"/>
      </w:pPr>
    </w:p>
    <w:p w:rsidR="00060B36" w:rsidRPr="00CA1B4C" w:rsidRDefault="00060B36" w:rsidP="00C5105C">
      <w:pPr>
        <w:pStyle w:val="Note"/>
      </w:pPr>
      <w:r w:rsidRPr="00CA1B4C">
        <w:t>Definitions of rating scale:</w:t>
      </w:r>
      <w:r w:rsidRPr="00CA1B4C">
        <w:tab/>
      </w:r>
    </w:p>
    <w:p w:rsidR="00060B36" w:rsidRDefault="00060B36" w:rsidP="00C5105C">
      <w:pPr>
        <w:pStyle w:val="Note"/>
      </w:pPr>
      <w:r>
        <w:t>Satisfactory (4, 5 and 6)</w:t>
      </w:r>
    </w:p>
    <w:p w:rsidR="00060B36" w:rsidRDefault="00060B36" w:rsidP="00C5105C">
      <w:pPr>
        <w:pStyle w:val="Note"/>
      </w:pPr>
      <w:r w:rsidRPr="00FE4491">
        <w:rPr>
          <w:color w:val="92D050"/>
        </w:rPr>
        <w:sym w:font="Webdings" w:char="F067"/>
      </w:r>
      <w:r>
        <w:t xml:space="preserve"> = 6 = Very high quality</w:t>
      </w:r>
    </w:p>
    <w:p w:rsidR="00060B36" w:rsidRDefault="00060B36" w:rsidP="00C5105C">
      <w:pPr>
        <w:pStyle w:val="Note"/>
      </w:pPr>
      <w:r w:rsidRPr="00FE4491">
        <w:rPr>
          <w:color w:val="92D050"/>
        </w:rPr>
        <w:sym w:font="Webdings" w:char="F067"/>
      </w:r>
      <w:r>
        <w:t xml:space="preserve"> = 5 = Good quality</w:t>
      </w:r>
    </w:p>
    <w:p w:rsidR="00060B36" w:rsidRDefault="00060B36" w:rsidP="00C5105C">
      <w:pPr>
        <w:pStyle w:val="Note"/>
      </w:pPr>
      <w:r w:rsidRPr="000774FD">
        <w:rPr>
          <w:color w:val="FFFF00"/>
        </w:rPr>
        <w:sym w:font="Webdings" w:char="F067"/>
      </w:r>
      <w:r>
        <w:t xml:space="preserve"> = 4 = Adequate quality, needs some work</w:t>
      </w:r>
    </w:p>
    <w:p w:rsidR="00060B36" w:rsidRDefault="00060B36" w:rsidP="00C5105C">
      <w:pPr>
        <w:pStyle w:val="Note"/>
      </w:pPr>
      <w:r>
        <w:t>Less than satisfactory (1, 2 and 3)</w:t>
      </w:r>
    </w:p>
    <w:p w:rsidR="00060B36" w:rsidRDefault="00060B36" w:rsidP="00C5105C">
      <w:pPr>
        <w:pStyle w:val="Note"/>
      </w:pPr>
      <w:r w:rsidRPr="00FD710F">
        <w:rPr>
          <w:color w:val="F79646"/>
        </w:rPr>
        <w:sym w:font="Webdings" w:char="F067"/>
      </w:r>
      <w:r>
        <w:t xml:space="preserve"> = 3 = Less than adequate quality; needs significant work</w:t>
      </w:r>
    </w:p>
    <w:p w:rsidR="00060B36" w:rsidRDefault="00060B36" w:rsidP="00C5105C">
      <w:pPr>
        <w:pStyle w:val="Note"/>
      </w:pPr>
      <w:r w:rsidRPr="000774FD">
        <w:rPr>
          <w:color w:val="FF0000"/>
        </w:rPr>
        <w:sym w:font="Webdings" w:char="F067"/>
      </w:r>
      <w:r>
        <w:t xml:space="preserve"> = 2 = Poor quality; needs major work to improve</w:t>
      </w:r>
    </w:p>
    <w:p w:rsidR="00060B36" w:rsidRDefault="00060B36" w:rsidP="00C5105C">
      <w:pPr>
        <w:pStyle w:val="Note"/>
      </w:pPr>
      <w:r w:rsidRPr="000774FD">
        <w:rPr>
          <w:color w:val="FF0000"/>
        </w:rPr>
        <w:sym w:font="Webdings" w:char="F067"/>
      </w:r>
      <w:r>
        <w:t xml:space="preserve"> = 1 = Very poor quality; needs major overhaul</w:t>
      </w:r>
    </w:p>
    <w:p w:rsidR="00060B36" w:rsidRDefault="00060B36" w:rsidP="00C5105C">
      <w:pPr>
        <w:pStyle w:val="Note"/>
      </w:pPr>
    </w:p>
    <w:p w:rsidR="00060B36" w:rsidRDefault="00060B36" w:rsidP="00C5105C">
      <w:pPr>
        <w:pStyle w:val="Note"/>
      </w:pPr>
      <w:r>
        <w:t>Risk Management scale:</w:t>
      </w:r>
    </w:p>
    <w:p w:rsidR="00060B36" w:rsidRDefault="00060B36" w:rsidP="00C5105C">
      <w:pPr>
        <w:pStyle w:val="Note"/>
      </w:pPr>
      <w:r w:rsidRPr="00FE4491">
        <w:rPr>
          <w:color w:val="92D050"/>
        </w:rPr>
        <w:sym w:font="Webdings" w:char="F067"/>
      </w:r>
      <w:r>
        <w:t xml:space="preserve">   Mature (M). Indicates the initiative manager conducts risk discussions on at least a monthly basis with all stakeholders and updates the risk registry quarterly. </w:t>
      </w:r>
    </w:p>
    <w:p w:rsidR="00060B36" w:rsidRDefault="00060B36" w:rsidP="00C5105C">
      <w:pPr>
        <w:pStyle w:val="Note"/>
      </w:pPr>
      <w:r w:rsidRPr="00FD710F">
        <w:rPr>
          <w:color w:val="F79646"/>
        </w:rPr>
        <w:sym w:font="Webdings" w:char="F067"/>
      </w:r>
      <w:r>
        <w:t xml:space="preserve">  Intermediate (I). Indicates the initiative manager conducts ad-hoc risk discussion and updates the risk register occasionally. </w:t>
      </w:r>
    </w:p>
    <w:p w:rsidR="00060B36" w:rsidRDefault="00060B36" w:rsidP="00C5105C">
      <w:pPr>
        <w:pStyle w:val="Note"/>
      </w:pPr>
      <w:r w:rsidRPr="000774FD">
        <w:rPr>
          <w:color w:val="FF0000"/>
        </w:rPr>
        <w:sym w:font="Webdings" w:char="F067"/>
      </w:r>
      <w:r>
        <w:t xml:space="preserve">  Basic (B). Indicates there are limited or few risk discussions and the risk register has not been updated in the past 12 months.</w:t>
      </w:r>
    </w:p>
    <w:p w:rsidR="00060B36" w:rsidRDefault="00060B36" w:rsidP="00C5105C"/>
    <w:p w:rsidR="00060B36" w:rsidRDefault="00060B36" w:rsidP="00C5105C"/>
    <w:p w:rsidR="00060B36" w:rsidRDefault="00060B36" w:rsidP="00C5105C"/>
    <w:p w:rsidR="00060B36" w:rsidRPr="00C5105C" w:rsidRDefault="00060B36" w:rsidP="00C5105C">
      <w:pPr>
        <w:pStyle w:val="BodyText"/>
      </w:pPr>
    </w:p>
    <w:p w:rsidR="00060B36" w:rsidRDefault="00060B36" w:rsidP="00071B95">
      <w:pPr>
        <w:sectPr w:rsidR="00060B36" w:rsidSect="001158FC">
          <w:headerReference w:type="even" r:id="rId19"/>
          <w:headerReference w:type="default" r:id="rId20"/>
          <w:footerReference w:type="default" r:id="rId21"/>
          <w:headerReference w:type="first" r:id="rId22"/>
          <w:footerReference w:type="first" r:id="rId23"/>
          <w:pgSz w:w="11906" w:h="16838" w:code="9"/>
          <w:pgMar w:top="1814" w:right="1814" w:bottom="851" w:left="1814" w:header="709" w:footer="454" w:gutter="0"/>
          <w:cols w:space="708"/>
          <w:docGrid w:linePitch="360"/>
        </w:sectPr>
      </w:pPr>
    </w:p>
    <w:p w:rsidR="00060B36" w:rsidRPr="00071B95" w:rsidRDefault="00060B36" w:rsidP="00C5105C">
      <w:pPr>
        <w:pStyle w:val="Heading1"/>
      </w:pPr>
      <w:r w:rsidRPr="00071B95">
        <w:lastRenderedPageBreak/>
        <w:t>Annex C</w:t>
      </w:r>
    </w:p>
    <w:p w:rsidR="00060B36" w:rsidRPr="00071B95" w:rsidRDefault="00060B36" w:rsidP="00C5105C">
      <w:pPr>
        <w:pStyle w:val="Heading2"/>
      </w:pPr>
      <w:r w:rsidRPr="00071B95">
        <w:t xml:space="preserve">Evaluation and </w:t>
      </w:r>
      <w:r>
        <w:t>r</w:t>
      </w:r>
      <w:r w:rsidRPr="00071B95">
        <w:t xml:space="preserve">eview </w:t>
      </w:r>
      <w:r>
        <w:t>p</w:t>
      </w:r>
      <w:r w:rsidRPr="00071B95">
        <w:t xml:space="preserve">ipeline </w:t>
      </w:r>
      <w:r>
        <w:t>p</w:t>
      </w:r>
      <w:r w:rsidRPr="00071B95">
        <w:t>lanning</w:t>
      </w:r>
    </w:p>
    <w:p w:rsidR="00060B36" w:rsidRPr="001D701C" w:rsidRDefault="00060B36" w:rsidP="00F91686">
      <w:pPr>
        <w:pStyle w:val="Caption"/>
      </w:pPr>
      <w:r w:rsidRPr="001D701C">
        <w:t xml:space="preserve">List of </w:t>
      </w:r>
      <w:r>
        <w:t>e</w:t>
      </w:r>
      <w:r w:rsidRPr="001D701C">
        <w:t xml:space="preserve">valuations completed in the reporting period </w:t>
      </w:r>
    </w:p>
    <w:tbl>
      <w:tblPr>
        <w:tblStyle w:val="APPR"/>
        <w:tblW w:w="5000" w:type="pct"/>
        <w:tblLayout w:type="fixed"/>
        <w:tblLook w:val="00A0" w:firstRow="1" w:lastRow="0" w:firstColumn="1" w:lastColumn="0" w:noHBand="0" w:noVBand="0"/>
      </w:tblPr>
      <w:tblGrid>
        <w:gridCol w:w="3859"/>
        <w:gridCol w:w="1718"/>
        <w:gridCol w:w="1718"/>
        <w:gridCol w:w="1718"/>
        <w:gridCol w:w="1718"/>
        <w:gridCol w:w="1718"/>
        <w:gridCol w:w="1431"/>
      </w:tblGrid>
      <w:tr w:rsidR="00060B36" w:rsidRPr="001D701C" w:rsidTr="00F91686">
        <w:trPr>
          <w:cnfStyle w:val="100000000000" w:firstRow="1" w:lastRow="0" w:firstColumn="0" w:lastColumn="0" w:oddVBand="0" w:evenVBand="0" w:oddHBand="0" w:evenHBand="0" w:firstRowFirstColumn="0" w:firstRowLastColumn="0" w:lastRowFirstColumn="0" w:lastRowLastColumn="0"/>
        </w:trPr>
        <w:tc>
          <w:tcPr>
            <w:tcW w:w="3780" w:type="dxa"/>
          </w:tcPr>
          <w:p w:rsidR="00060B36" w:rsidRPr="00040943" w:rsidRDefault="00060B36" w:rsidP="00F91686">
            <w:pPr>
              <w:pStyle w:val="TableTextColumnHeading"/>
              <w:rPr>
                <w:b/>
              </w:rPr>
            </w:pPr>
            <w:r w:rsidRPr="00040943">
              <w:rPr>
                <w:b/>
              </w:rPr>
              <w:t>Name of initiative</w:t>
            </w:r>
          </w:p>
        </w:tc>
        <w:tc>
          <w:tcPr>
            <w:tcW w:w="1673" w:type="dxa"/>
          </w:tcPr>
          <w:p w:rsidR="00060B36" w:rsidRPr="00040943" w:rsidRDefault="00060B36" w:rsidP="00F91686">
            <w:pPr>
              <w:pStyle w:val="TableTextColumnHeading"/>
              <w:rPr>
                <w:b/>
              </w:rPr>
            </w:pPr>
            <w:proofErr w:type="spellStart"/>
            <w:r w:rsidRPr="00040943">
              <w:rPr>
                <w:b/>
              </w:rPr>
              <w:t>Aidworks</w:t>
            </w:r>
            <w:proofErr w:type="spellEnd"/>
            <w:r w:rsidRPr="00040943">
              <w:rPr>
                <w:b/>
              </w:rPr>
              <w:t xml:space="preserve"> number</w:t>
            </w:r>
          </w:p>
        </w:tc>
        <w:tc>
          <w:tcPr>
            <w:tcW w:w="1673" w:type="dxa"/>
          </w:tcPr>
          <w:p w:rsidR="00060B36" w:rsidRPr="00040943" w:rsidRDefault="00060B36" w:rsidP="00F91686">
            <w:pPr>
              <w:pStyle w:val="TableTextColumnHeading"/>
              <w:rPr>
                <w:b/>
              </w:rPr>
            </w:pPr>
            <w:r w:rsidRPr="00040943">
              <w:rPr>
                <w:b/>
              </w:rPr>
              <w:t>Type of evaluation</w:t>
            </w:r>
          </w:p>
        </w:tc>
        <w:tc>
          <w:tcPr>
            <w:tcW w:w="1673" w:type="dxa"/>
          </w:tcPr>
          <w:p w:rsidR="00060B36" w:rsidRPr="00040943" w:rsidRDefault="00060B36" w:rsidP="00F91686">
            <w:pPr>
              <w:pStyle w:val="TableTextColumnHeading"/>
              <w:rPr>
                <w:b/>
              </w:rPr>
            </w:pPr>
            <w:r w:rsidRPr="00040943">
              <w:rPr>
                <w:b/>
              </w:rPr>
              <w:t>Date evaluation report received</w:t>
            </w:r>
          </w:p>
        </w:tc>
        <w:tc>
          <w:tcPr>
            <w:tcW w:w="1673" w:type="dxa"/>
          </w:tcPr>
          <w:p w:rsidR="00060B36" w:rsidRPr="00040943" w:rsidRDefault="00060B36" w:rsidP="00F91686">
            <w:pPr>
              <w:pStyle w:val="TableTextColumnHeading"/>
              <w:rPr>
                <w:b/>
              </w:rPr>
            </w:pPr>
            <w:r w:rsidRPr="00040943">
              <w:rPr>
                <w:b/>
              </w:rPr>
              <w:t xml:space="preserve">Date evaluation report uploaded into </w:t>
            </w:r>
            <w:proofErr w:type="spellStart"/>
            <w:r w:rsidRPr="00040943">
              <w:rPr>
                <w:b/>
              </w:rPr>
              <w:t>Aidworks</w:t>
            </w:r>
            <w:proofErr w:type="spellEnd"/>
          </w:p>
        </w:tc>
        <w:tc>
          <w:tcPr>
            <w:tcW w:w="1673" w:type="dxa"/>
          </w:tcPr>
          <w:p w:rsidR="00060B36" w:rsidRPr="00040943" w:rsidRDefault="00060B36" w:rsidP="00F91686">
            <w:pPr>
              <w:pStyle w:val="TableTextColumnHeading"/>
              <w:rPr>
                <w:b/>
              </w:rPr>
            </w:pPr>
            <w:r w:rsidRPr="00040943">
              <w:rPr>
                <w:b/>
              </w:rPr>
              <w:t xml:space="preserve">Date management response uploaded into </w:t>
            </w:r>
            <w:proofErr w:type="spellStart"/>
            <w:r w:rsidRPr="00040943">
              <w:rPr>
                <w:b/>
              </w:rPr>
              <w:t>Aidworks</w:t>
            </w:r>
            <w:proofErr w:type="spellEnd"/>
          </w:p>
        </w:tc>
        <w:tc>
          <w:tcPr>
            <w:tcW w:w="1375" w:type="dxa"/>
          </w:tcPr>
          <w:p w:rsidR="00060B36" w:rsidRPr="00040943" w:rsidRDefault="00060B36" w:rsidP="00F91686">
            <w:pPr>
              <w:pStyle w:val="TableTextColumnHeading"/>
              <w:rPr>
                <w:b/>
              </w:rPr>
            </w:pPr>
            <w:r w:rsidRPr="00040943">
              <w:rPr>
                <w:b/>
              </w:rPr>
              <w:t>Published on website</w:t>
            </w:r>
          </w:p>
        </w:tc>
      </w:tr>
      <w:tr w:rsidR="00060B36" w:rsidRPr="001D701C" w:rsidTr="00F91686">
        <w:trPr>
          <w:cnfStyle w:val="100000000000" w:firstRow="1" w:lastRow="0" w:firstColumn="0" w:lastColumn="0" w:oddVBand="0" w:evenVBand="0" w:oddHBand="0" w:evenHBand="0" w:firstRowFirstColumn="0" w:firstRowLastColumn="0" w:lastRowFirstColumn="0" w:lastRowLastColumn="0"/>
        </w:trPr>
        <w:tc>
          <w:tcPr>
            <w:tcW w:w="3780" w:type="dxa"/>
          </w:tcPr>
          <w:p w:rsidR="00060B36" w:rsidRPr="00F91686" w:rsidRDefault="00060B36" w:rsidP="00F91686">
            <w:pPr>
              <w:pStyle w:val="TableTextEntries"/>
              <w:rPr>
                <w:b w:val="0"/>
              </w:rPr>
            </w:pPr>
            <w:proofErr w:type="spellStart"/>
            <w:r w:rsidRPr="00F91686">
              <w:rPr>
                <w:b w:val="0"/>
              </w:rPr>
              <w:t>Balochistan</w:t>
            </w:r>
            <w:proofErr w:type="spellEnd"/>
            <w:r w:rsidRPr="00F91686">
              <w:rPr>
                <w:b w:val="0"/>
              </w:rPr>
              <w:t>—Early Childhood Development Project</w:t>
            </w:r>
          </w:p>
        </w:tc>
        <w:tc>
          <w:tcPr>
            <w:tcW w:w="1673" w:type="dxa"/>
          </w:tcPr>
          <w:p w:rsidR="00060B36" w:rsidRPr="00F91686" w:rsidRDefault="00060B36" w:rsidP="00F91686">
            <w:pPr>
              <w:pStyle w:val="TableTextEntries"/>
              <w:rPr>
                <w:b w:val="0"/>
              </w:rPr>
            </w:pPr>
            <w:r w:rsidRPr="00F91686">
              <w:rPr>
                <w:b w:val="0"/>
              </w:rPr>
              <w:t>INJ060</w:t>
            </w:r>
          </w:p>
        </w:tc>
        <w:tc>
          <w:tcPr>
            <w:tcW w:w="1673" w:type="dxa"/>
          </w:tcPr>
          <w:p w:rsidR="00060B36" w:rsidRPr="00F91686" w:rsidRDefault="00060B36" w:rsidP="00F91686">
            <w:pPr>
              <w:pStyle w:val="TableTextEntries"/>
              <w:rPr>
                <w:b w:val="0"/>
              </w:rPr>
            </w:pPr>
            <w:r w:rsidRPr="00F91686">
              <w:rPr>
                <w:b w:val="0"/>
              </w:rPr>
              <w:t>Mid-term review</w:t>
            </w:r>
          </w:p>
        </w:tc>
        <w:tc>
          <w:tcPr>
            <w:tcW w:w="1673" w:type="dxa"/>
          </w:tcPr>
          <w:p w:rsidR="00060B36" w:rsidRPr="00F91686" w:rsidRDefault="00060B36" w:rsidP="00F91686">
            <w:pPr>
              <w:pStyle w:val="TableTextEntries"/>
              <w:rPr>
                <w:b w:val="0"/>
              </w:rPr>
            </w:pPr>
            <w:r w:rsidRPr="00F91686">
              <w:rPr>
                <w:b w:val="0"/>
              </w:rPr>
              <w:t>February 2013</w:t>
            </w:r>
          </w:p>
        </w:tc>
        <w:tc>
          <w:tcPr>
            <w:tcW w:w="1673" w:type="dxa"/>
          </w:tcPr>
          <w:p w:rsidR="00060B36" w:rsidRPr="00F91686" w:rsidRDefault="00060B36" w:rsidP="00F91686">
            <w:pPr>
              <w:pStyle w:val="TableTextEntries"/>
              <w:rPr>
                <w:b w:val="0"/>
              </w:rPr>
            </w:pPr>
            <w:r w:rsidRPr="00F91686">
              <w:rPr>
                <w:b w:val="0"/>
              </w:rPr>
              <w:t>29 May 2013</w:t>
            </w:r>
          </w:p>
        </w:tc>
        <w:tc>
          <w:tcPr>
            <w:tcW w:w="1673" w:type="dxa"/>
          </w:tcPr>
          <w:p w:rsidR="00060B36" w:rsidRPr="00F91686" w:rsidRDefault="00060B36" w:rsidP="00F91686">
            <w:pPr>
              <w:pStyle w:val="TableTextEntries"/>
              <w:rPr>
                <w:b w:val="0"/>
              </w:rPr>
            </w:pPr>
            <w:r w:rsidRPr="00F91686">
              <w:rPr>
                <w:b w:val="0"/>
              </w:rPr>
              <w:t>30 May 2013</w:t>
            </w:r>
          </w:p>
        </w:tc>
        <w:tc>
          <w:tcPr>
            <w:tcW w:w="1375" w:type="dxa"/>
          </w:tcPr>
          <w:p w:rsidR="00060B36" w:rsidRPr="00F91686" w:rsidRDefault="00060B36" w:rsidP="00F91686">
            <w:pPr>
              <w:pStyle w:val="TableTextEntries"/>
              <w:rPr>
                <w:b w:val="0"/>
              </w:rPr>
            </w:pPr>
            <w:r w:rsidRPr="00F91686">
              <w:rPr>
                <w:b w:val="0"/>
              </w:rPr>
              <w:t xml:space="preserve">No </w:t>
            </w:r>
          </w:p>
        </w:tc>
      </w:tr>
      <w:tr w:rsidR="00060B36" w:rsidRPr="001D701C" w:rsidTr="00F91686">
        <w:trPr>
          <w:cnfStyle w:val="100000000000" w:firstRow="1" w:lastRow="0" w:firstColumn="0" w:lastColumn="0" w:oddVBand="0" w:evenVBand="0" w:oddHBand="0" w:evenHBand="0" w:firstRowFirstColumn="0" w:firstRowLastColumn="0" w:lastRowFirstColumn="0" w:lastRowLastColumn="0"/>
        </w:trPr>
        <w:tc>
          <w:tcPr>
            <w:tcW w:w="3780" w:type="dxa"/>
          </w:tcPr>
          <w:p w:rsidR="00060B36" w:rsidRPr="00F91686" w:rsidRDefault="00060B36" w:rsidP="00F91686">
            <w:pPr>
              <w:pStyle w:val="TableTextEntries"/>
              <w:rPr>
                <w:b w:val="0"/>
              </w:rPr>
            </w:pPr>
            <w:proofErr w:type="spellStart"/>
            <w:r w:rsidRPr="00F91686">
              <w:rPr>
                <w:b w:val="0"/>
              </w:rPr>
              <w:t>Gilgit-Baltistan</w:t>
            </w:r>
            <w:proofErr w:type="spellEnd"/>
            <w:r w:rsidRPr="00F91686">
              <w:rPr>
                <w:b w:val="0"/>
              </w:rPr>
              <w:t xml:space="preserve"> education development and improvement program</w:t>
            </w:r>
          </w:p>
        </w:tc>
        <w:tc>
          <w:tcPr>
            <w:tcW w:w="1673" w:type="dxa"/>
          </w:tcPr>
          <w:p w:rsidR="00060B36" w:rsidRPr="00F91686" w:rsidRDefault="00060B36" w:rsidP="00F91686">
            <w:pPr>
              <w:pStyle w:val="TableTextEntries"/>
              <w:rPr>
                <w:b w:val="0"/>
              </w:rPr>
            </w:pPr>
            <w:r w:rsidRPr="00F91686">
              <w:rPr>
                <w:b w:val="0"/>
              </w:rPr>
              <w:t>INJ061</w:t>
            </w:r>
          </w:p>
        </w:tc>
        <w:tc>
          <w:tcPr>
            <w:tcW w:w="1673" w:type="dxa"/>
          </w:tcPr>
          <w:p w:rsidR="00060B36" w:rsidRPr="00F91686" w:rsidRDefault="00060B36" w:rsidP="00F91686">
            <w:pPr>
              <w:pStyle w:val="TableTextEntries"/>
              <w:rPr>
                <w:b w:val="0"/>
              </w:rPr>
            </w:pPr>
            <w:r w:rsidRPr="00F91686">
              <w:rPr>
                <w:b w:val="0"/>
              </w:rPr>
              <w:t>Mid-term review</w:t>
            </w:r>
          </w:p>
        </w:tc>
        <w:tc>
          <w:tcPr>
            <w:tcW w:w="1673" w:type="dxa"/>
          </w:tcPr>
          <w:p w:rsidR="00060B36" w:rsidRPr="00F91686" w:rsidRDefault="00060B36" w:rsidP="00F91686">
            <w:pPr>
              <w:pStyle w:val="TableTextEntries"/>
              <w:rPr>
                <w:b w:val="0"/>
              </w:rPr>
            </w:pPr>
            <w:r w:rsidRPr="00F91686">
              <w:rPr>
                <w:b w:val="0"/>
              </w:rPr>
              <w:t>February 2013</w:t>
            </w:r>
          </w:p>
        </w:tc>
        <w:tc>
          <w:tcPr>
            <w:tcW w:w="1673" w:type="dxa"/>
          </w:tcPr>
          <w:p w:rsidR="00060B36" w:rsidRPr="00F91686" w:rsidRDefault="00060B36" w:rsidP="00F91686">
            <w:pPr>
              <w:pStyle w:val="TableTextEntries"/>
              <w:rPr>
                <w:b w:val="0"/>
              </w:rPr>
            </w:pPr>
            <w:r w:rsidRPr="00F91686">
              <w:rPr>
                <w:b w:val="0"/>
              </w:rPr>
              <w:t>29 May 2013</w:t>
            </w:r>
          </w:p>
        </w:tc>
        <w:tc>
          <w:tcPr>
            <w:tcW w:w="1673" w:type="dxa"/>
          </w:tcPr>
          <w:p w:rsidR="00060B36" w:rsidRPr="00F91686" w:rsidRDefault="00060B36" w:rsidP="00F91686">
            <w:pPr>
              <w:pStyle w:val="TableTextEntries"/>
              <w:rPr>
                <w:b w:val="0"/>
              </w:rPr>
            </w:pPr>
            <w:r w:rsidRPr="00F91686">
              <w:rPr>
                <w:b w:val="0"/>
              </w:rPr>
              <w:t>30 May 2013</w:t>
            </w:r>
          </w:p>
        </w:tc>
        <w:tc>
          <w:tcPr>
            <w:tcW w:w="1375" w:type="dxa"/>
          </w:tcPr>
          <w:p w:rsidR="00060B36" w:rsidRPr="00F91686" w:rsidRDefault="00060B36" w:rsidP="00F91686">
            <w:pPr>
              <w:pStyle w:val="TableTextEntries"/>
              <w:rPr>
                <w:b w:val="0"/>
              </w:rPr>
            </w:pPr>
            <w:r w:rsidRPr="00F91686">
              <w:rPr>
                <w:b w:val="0"/>
              </w:rPr>
              <w:t>No</w:t>
            </w:r>
          </w:p>
        </w:tc>
      </w:tr>
      <w:tr w:rsidR="00060B36" w:rsidRPr="001D701C" w:rsidTr="00F91686">
        <w:trPr>
          <w:cnfStyle w:val="100000000000" w:firstRow="1" w:lastRow="0" w:firstColumn="0" w:lastColumn="0" w:oddVBand="0" w:evenVBand="0" w:oddHBand="0" w:evenHBand="0" w:firstRowFirstColumn="0" w:firstRowLastColumn="0" w:lastRowFirstColumn="0" w:lastRowLastColumn="0"/>
        </w:trPr>
        <w:tc>
          <w:tcPr>
            <w:tcW w:w="3780" w:type="dxa"/>
          </w:tcPr>
          <w:p w:rsidR="00060B36" w:rsidRPr="00F91686" w:rsidRDefault="00060B36" w:rsidP="00F91686">
            <w:pPr>
              <w:pStyle w:val="TableTextEntries"/>
              <w:rPr>
                <w:b w:val="0"/>
              </w:rPr>
            </w:pPr>
            <w:r w:rsidRPr="00F91686">
              <w:rPr>
                <w:b w:val="0"/>
              </w:rPr>
              <w:t>Early childhood care and education in KP</w:t>
            </w:r>
          </w:p>
        </w:tc>
        <w:tc>
          <w:tcPr>
            <w:tcW w:w="1673" w:type="dxa"/>
          </w:tcPr>
          <w:p w:rsidR="00060B36" w:rsidRPr="00F91686" w:rsidRDefault="00060B36" w:rsidP="00F91686">
            <w:pPr>
              <w:pStyle w:val="TableTextEntries"/>
              <w:rPr>
                <w:b w:val="0"/>
              </w:rPr>
            </w:pPr>
            <w:r w:rsidRPr="00F91686">
              <w:rPr>
                <w:b w:val="0"/>
              </w:rPr>
              <w:t>INJ785</w:t>
            </w:r>
          </w:p>
        </w:tc>
        <w:tc>
          <w:tcPr>
            <w:tcW w:w="1673" w:type="dxa"/>
          </w:tcPr>
          <w:p w:rsidR="00060B36" w:rsidRPr="00F91686" w:rsidRDefault="00060B36" w:rsidP="00F91686">
            <w:pPr>
              <w:pStyle w:val="TableTextEntries"/>
              <w:rPr>
                <w:b w:val="0"/>
              </w:rPr>
            </w:pPr>
            <w:r w:rsidRPr="00F91686">
              <w:rPr>
                <w:b w:val="0"/>
              </w:rPr>
              <w:t>Mid-term review</w:t>
            </w:r>
          </w:p>
        </w:tc>
        <w:tc>
          <w:tcPr>
            <w:tcW w:w="1673" w:type="dxa"/>
          </w:tcPr>
          <w:p w:rsidR="00060B36" w:rsidRPr="00F91686" w:rsidRDefault="00060B36" w:rsidP="00F91686">
            <w:pPr>
              <w:pStyle w:val="TableTextEntries"/>
              <w:rPr>
                <w:b w:val="0"/>
              </w:rPr>
            </w:pPr>
            <w:r w:rsidRPr="00F91686">
              <w:rPr>
                <w:b w:val="0"/>
              </w:rPr>
              <w:t>January 2013</w:t>
            </w:r>
          </w:p>
        </w:tc>
        <w:tc>
          <w:tcPr>
            <w:tcW w:w="1673" w:type="dxa"/>
          </w:tcPr>
          <w:p w:rsidR="00060B36" w:rsidRPr="00F91686" w:rsidRDefault="00060B36" w:rsidP="00F91686">
            <w:pPr>
              <w:pStyle w:val="TableTextEntries"/>
              <w:rPr>
                <w:b w:val="0"/>
              </w:rPr>
            </w:pPr>
            <w:r w:rsidRPr="00F91686">
              <w:rPr>
                <w:b w:val="0"/>
              </w:rPr>
              <w:t>29 May 2013</w:t>
            </w:r>
          </w:p>
        </w:tc>
        <w:tc>
          <w:tcPr>
            <w:tcW w:w="1673" w:type="dxa"/>
          </w:tcPr>
          <w:p w:rsidR="00060B36" w:rsidRPr="00F91686" w:rsidRDefault="00060B36" w:rsidP="00F91686">
            <w:pPr>
              <w:pStyle w:val="TableTextEntries"/>
              <w:rPr>
                <w:b w:val="0"/>
              </w:rPr>
            </w:pPr>
            <w:r w:rsidRPr="00F91686">
              <w:rPr>
                <w:b w:val="0"/>
              </w:rPr>
              <w:t>30 May 2013</w:t>
            </w:r>
          </w:p>
        </w:tc>
        <w:tc>
          <w:tcPr>
            <w:tcW w:w="1375" w:type="dxa"/>
          </w:tcPr>
          <w:p w:rsidR="00060B36" w:rsidRPr="00F91686" w:rsidRDefault="00060B36" w:rsidP="00F91686">
            <w:pPr>
              <w:pStyle w:val="TableTextEntries"/>
              <w:rPr>
                <w:b w:val="0"/>
              </w:rPr>
            </w:pPr>
            <w:r w:rsidRPr="00F91686">
              <w:rPr>
                <w:b w:val="0"/>
              </w:rPr>
              <w:t>No</w:t>
            </w:r>
          </w:p>
        </w:tc>
      </w:tr>
      <w:tr w:rsidR="00060B36" w:rsidRPr="001D701C" w:rsidTr="00F91686">
        <w:trPr>
          <w:cnfStyle w:val="100000000000" w:firstRow="1" w:lastRow="0" w:firstColumn="0" w:lastColumn="0" w:oddVBand="0" w:evenVBand="0" w:oddHBand="0" w:evenHBand="0" w:firstRowFirstColumn="0" w:firstRowLastColumn="0" w:lastRowFirstColumn="0" w:lastRowLastColumn="0"/>
        </w:trPr>
        <w:tc>
          <w:tcPr>
            <w:tcW w:w="3780" w:type="dxa"/>
          </w:tcPr>
          <w:p w:rsidR="00060B36" w:rsidRPr="00F91686" w:rsidRDefault="00060B36" w:rsidP="00F91686">
            <w:pPr>
              <w:pStyle w:val="TableTextEntries"/>
              <w:rPr>
                <w:b w:val="0"/>
              </w:rPr>
            </w:pPr>
            <w:r w:rsidRPr="00F91686">
              <w:rPr>
                <w:b w:val="0"/>
              </w:rPr>
              <w:t>Australian development scholarships</w:t>
            </w:r>
          </w:p>
        </w:tc>
        <w:tc>
          <w:tcPr>
            <w:tcW w:w="1673" w:type="dxa"/>
          </w:tcPr>
          <w:p w:rsidR="00060B36" w:rsidRPr="00F91686" w:rsidRDefault="00060B36" w:rsidP="00F91686">
            <w:pPr>
              <w:pStyle w:val="TableTextEntries"/>
              <w:rPr>
                <w:b w:val="0"/>
              </w:rPr>
            </w:pPr>
            <w:r w:rsidRPr="00F91686">
              <w:rPr>
                <w:b w:val="0"/>
              </w:rPr>
              <w:t>INI611</w:t>
            </w:r>
          </w:p>
        </w:tc>
        <w:tc>
          <w:tcPr>
            <w:tcW w:w="1673" w:type="dxa"/>
          </w:tcPr>
          <w:p w:rsidR="00060B36" w:rsidRPr="00F91686" w:rsidRDefault="00060B36" w:rsidP="00F91686">
            <w:pPr>
              <w:pStyle w:val="TableTextEntries"/>
              <w:rPr>
                <w:b w:val="0"/>
              </w:rPr>
            </w:pPr>
            <w:r w:rsidRPr="00F91686">
              <w:rPr>
                <w:b w:val="0"/>
              </w:rPr>
              <w:t>Independent progress report</w:t>
            </w:r>
          </w:p>
        </w:tc>
        <w:tc>
          <w:tcPr>
            <w:tcW w:w="1673" w:type="dxa"/>
          </w:tcPr>
          <w:p w:rsidR="00060B36" w:rsidRPr="00F91686" w:rsidRDefault="00060B36" w:rsidP="00F91686">
            <w:pPr>
              <w:pStyle w:val="TableTextEntries"/>
              <w:rPr>
                <w:b w:val="0"/>
              </w:rPr>
            </w:pPr>
            <w:r w:rsidRPr="00F91686">
              <w:rPr>
                <w:b w:val="0"/>
              </w:rPr>
              <w:t>March 2013</w:t>
            </w:r>
          </w:p>
        </w:tc>
        <w:tc>
          <w:tcPr>
            <w:tcW w:w="1673" w:type="dxa"/>
          </w:tcPr>
          <w:p w:rsidR="00060B36" w:rsidRPr="00F91686" w:rsidRDefault="00060B36" w:rsidP="00F91686">
            <w:pPr>
              <w:pStyle w:val="TableTextEntries"/>
              <w:rPr>
                <w:b w:val="0"/>
              </w:rPr>
            </w:pPr>
            <w:r w:rsidRPr="00F91686">
              <w:rPr>
                <w:b w:val="0"/>
              </w:rPr>
              <w:t>30 May 2013</w:t>
            </w:r>
          </w:p>
        </w:tc>
        <w:tc>
          <w:tcPr>
            <w:tcW w:w="1673" w:type="dxa"/>
          </w:tcPr>
          <w:p w:rsidR="00060B36" w:rsidRPr="00F91686" w:rsidRDefault="00060B36" w:rsidP="00F91686">
            <w:pPr>
              <w:pStyle w:val="TableTextEntries"/>
              <w:rPr>
                <w:b w:val="0"/>
              </w:rPr>
            </w:pPr>
            <w:r w:rsidRPr="00F91686">
              <w:rPr>
                <w:b w:val="0"/>
              </w:rPr>
              <w:t>30 May 2013</w:t>
            </w:r>
          </w:p>
        </w:tc>
        <w:tc>
          <w:tcPr>
            <w:tcW w:w="1375" w:type="dxa"/>
          </w:tcPr>
          <w:p w:rsidR="00060B36" w:rsidRPr="00F91686" w:rsidRDefault="00060B36" w:rsidP="00F91686">
            <w:pPr>
              <w:pStyle w:val="TableTextEntries"/>
              <w:rPr>
                <w:b w:val="0"/>
              </w:rPr>
            </w:pPr>
            <w:r w:rsidRPr="00F91686">
              <w:rPr>
                <w:b w:val="0"/>
              </w:rPr>
              <w:t>No</w:t>
            </w:r>
          </w:p>
        </w:tc>
      </w:tr>
      <w:tr w:rsidR="00060B36" w:rsidRPr="001D701C" w:rsidTr="00F91686">
        <w:trPr>
          <w:cnfStyle w:val="100000000000" w:firstRow="1" w:lastRow="0" w:firstColumn="0" w:lastColumn="0" w:oddVBand="0" w:evenVBand="0" w:oddHBand="0" w:evenHBand="0" w:firstRowFirstColumn="0" w:firstRowLastColumn="0" w:lastRowFirstColumn="0" w:lastRowLastColumn="0"/>
        </w:trPr>
        <w:tc>
          <w:tcPr>
            <w:tcW w:w="3780" w:type="dxa"/>
          </w:tcPr>
          <w:p w:rsidR="00060B36" w:rsidRPr="00F91686" w:rsidRDefault="00060B36" w:rsidP="00F91686">
            <w:pPr>
              <w:pStyle w:val="TableTextEntries"/>
              <w:rPr>
                <w:b w:val="0"/>
              </w:rPr>
            </w:pPr>
            <w:r w:rsidRPr="00F91686">
              <w:rPr>
                <w:b w:val="0"/>
              </w:rPr>
              <w:t>Phase 2—Agriculture Sector Linkages Program</w:t>
            </w:r>
          </w:p>
        </w:tc>
        <w:tc>
          <w:tcPr>
            <w:tcW w:w="1673" w:type="dxa"/>
          </w:tcPr>
          <w:p w:rsidR="00060B36" w:rsidRPr="00F91686" w:rsidRDefault="00060B36" w:rsidP="00F91686">
            <w:pPr>
              <w:pStyle w:val="TableTextEntries"/>
              <w:rPr>
                <w:b w:val="0"/>
              </w:rPr>
            </w:pPr>
            <w:r w:rsidRPr="00F91686">
              <w:rPr>
                <w:b w:val="0"/>
              </w:rPr>
              <w:t>INJ015</w:t>
            </w:r>
          </w:p>
        </w:tc>
        <w:tc>
          <w:tcPr>
            <w:tcW w:w="1673" w:type="dxa"/>
          </w:tcPr>
          <w:p w:rsidR="00060B36" w:rsidRPr="00F91686" w:rsidRDefault="00060B36" w:rsidP="00F91686">
            <w:pPr>
              <w:pStyle w:val="TableTextEntries"/>
              <w:rPr>
                <w:b w:val="0"/>
              </w:rPr>
            </w:pPr>
            <w:r w:rsidRPr="00F91686">
              <w:rPr>
                <w:b w:val="0"/>
              </w:rPr>
              <w:t>Mid-term review</w:t>
            </w:r>
          </w:p>
        </w:tc>
        <w:tc>
          <w:tcPr>
            <w:tcW w:w="1673" w:type="dxa"/>
          </w:tcPr>
          <w:p w:rsidR="00060B36" w:rsidRPr="00F91686" w:rsidRDefault="00060B36" w:rsidP="00F91686">
            <w:pPr>
              <w:pStyle w:val="TableTextEntries"/>
              <w:rPr>
                <w:b w:val="0"/>
              </w:rPr>
            </w:pPr>
            <w:r w:rsidRPr="00F91686">
              <w:rPr>
                <w:b w:val="0"/>
              </w:rPr>
              <w:t>June 2013</w:t>
            </w:r>
          </w:p>
        </w:tc>
        <w:tc>
          <w:tcPr>
            <w:tcW w:w="1673" w:type="dxa"/>
          </w:tcPr>
          <w:p w:rsidR="00060B36" w:rsidRPr="00F91686" w:rsidRDefault="00060B36" w:rsidP="00F91686">
            <w:pPr>
              <w:pStyle w:val="TableTextEntries"/>
              <w:rPr>
                <w:b w:val="0"/>
              </w:rPr>
            </w:pPr>
            <w:r w:rsidRPr="00F91686">
              <w:rPr>
                <w:b w:val="0"/>
              </w:rPr>
              <w:t>1 July 2013</w:t>
            </w:r>
          </w:p>
        </w:tc>
        <w:tc>
          <w:tcPr>
            <w:tcW w:w="1673" w:type="dxa"/>
          </w:tcPr>
          <w:p w:rsidR="00060B36" w:rsidRPr="00F91686" w:rsidRDefault="00060B36" w:rsidP="00F91686">
            <w:pPr>
              <w:pStyle w:val="TableTextEntries"/>
              <w:rPr>
                <w:b w:val="0"/>
              </w:rPr>
            </w:pPr>
            <w:r w:rsidRPr="00F91686">
              <w:rPr>
                <w:b w:val="0"/>
              </w:rPr>
              <w:t>To be advised</w:t>
            </w:r>
          </w:p>
        </w:tc>
        <w:tc>
          <w:tcPr>
            <w:tcW w:w="1375" w:type="dxa"/>
          </w:tcPr>
          <w:p w:rsidR="00060B36" w:rsidRPr="00F91686" w:rsidRDefault="00060B36" w:rsidP="00F91686">
            <w:pPr>
              <w:pStyle w:val="TableTextEntries"/>
              <w:rPr>
                <w:b w:val="0"/>
              </w:rPr>
            </w:pPr>
            <w:r w:rsidRPr="00F91686">
              <w:rPr>
                <w:b w:val="0"/>
              </w:rPr>
              <w:t>No</w:t>
            </w:r>
          </w:p>
        </w:tc>
      </w:tr>
    </w:tbl>
    <w:p w:rsidR="00060B36" w:rsidRPr="001D701C" w:rsidRDefault="00060B36" w:rsidP="00C5105C">
      <w:pPr>
        <w:rPr>
          <w:b/>
        </w:rPr>
      </w:pPr>
    </w:p>
    <w:p w:rsidR="00060B36" w:rsidRPr="001D701C" w:rsidRDefault="00060B36" w:rsidP="00F91686">
      <w:pPr>
        <w:pStyle w:val="Caption"/>
      </w:pPr>
      <w:r w:rsidRPr="001D701C">
        <w:t xml:space="preserve">List of evaluations planned in the next 12 months </w:t>
      </w:r>
    </w:p>
    <w:tbl>
      <w:tblPr>
        <w:tblStyle w:val="APPR"/>
        <w:tblW w:w="5000" w:type="pct"/>
        <w:tblLook w:val="0000" w:firstRow="0" w:lastRow="0" w:firstColumn="0" w:lastColumn="0" w:noHBand="0" w:noVBand="0"/>
      </w:tblPr>
      <w:tblGrid>
        <w:gridCol w:w="3860"/>
        <w:gridCol w:w="2004"/>
        <w:gridCol w:w="2577"/>
        <w:gridCol w:w="3149"/>
        <w:gridCol w:w="2290"/>
      </w:tblGrid>
      <w:tr w:rsidR="00060B36" w:rsidRPr="001D701C" w:rsidTr="00F91686">
        <w:trPr>
          <w:cnfStyle w:val="000000010000" w:firstRow="0" w:lastRow="0" w:firstColumn="0" w:lastColumn="0" w:oddVBand="0" w:evenVBand="0" w:oddHBand="0" w:evenHBand="1" w:firstRowFirstColumn="0" w:firstRowLastColumn="0" w:lastRowFirstColumn="0" w:lastRowLastColumn="0"/>
        </w:trPr>
        <w:tc>
          <w:tcPr>
            <w:tcW w:w="3780" w:type="dxa"/>
          </w:tcPr>
          <w:p w:rsidR="00060B36" w:rsidRPr="00040943" w:rsidRDefault="00060B36" w:rsidP="00F91686">
            <w:pPr>
              <w:pStyle w:val="TableTextColumnHeading"/>
            </w:pPr>
            <w:r w:rsidRPr="00040943">
              <w:t>Name of initiative</w:t>
            </w:r>
          </w:p>
        </w:tc>
        <w:tc>
          <w:tcPr>
            <w:tcW w:w="1956" w:type="dxa"/>
          </w:tcPr>
          <w:p w:rsidR="00060B36" w:rsidRPr="00040943" w:rsidRDefault="00060B36" w:rsidP="00F91686">
            <w:pPr>
              <w:pStyle w:val="TableTextColumnHeading"/>
            </w:pPr>
            <w:proofErr w:type="spellStart"/>
            <w:r w:rsidRPr="00040943">
              <w:t>Aidworks</w:t>
            </w:r>
            <w:proofErr w:type="spellEnd"/>
            <w:r w:rsidRPr="00040943">
              <w:t xml:space="preserve"> number</w:t>
            </w:r>
          </w:p>
        </w:tc>
        <w:tc>
          <w:tcPr>
            <w:tcW w:w="2524" w:type="dxa"/>
          </w:tcPr>
          <w:p w:rsidR="00060B36" w:rsidRPr="00040943" w:rsidRDefault="00060B36" w:rsidP="00F91686">
            <w:pPr>
              <w:pStyle w:val="TableTextColumnHeading"/>
            </w:pPr>
            <w:r w:rsidRPr="00040943">
              <w:t>Type of evaluation</w:t>
            </w:r>
          </w:p>
        </w:tc>
        <w:tc>
          <w:tcPr>
            <w:tcW w:w="3090" w:type="dxa"/>
          </w:tcPr>
          <w:p w:rsidR="00060B36" w:rsidRPr="00040943" w:rsidRDefault="00060B36" w:rsidP="00F91686">
            <w:pPr>
              <w:pStyle w:val="TableTextColumnHeading"/>
            </w:pPr>
            <w:r w:rsidRPr="00040943">
              <w:t>Purpose of evaluation</w:t>
            </w:r>
          </w:p>
        </w:tc>
        <w:tc>
          <w:tcPr>
            <w:tcW w:w="2226" w:type="dxa"/>
          </w:tcPr>
          <w:p w:rsidR="00060B36" w:rsidRPr="00040943" w:rsidRDefault="00060B36" w:rsidP="00F91686">
            <w:pPr>
              <w:pStyle w:val="TableTextColumnHeading"/>
            </w:pPr>
            <w:r w:rsidRPr="00040943">
              <w:t>Expected completion date</w:t>
            </w:r>
          </w:p>
        </w:tc>
      </w:tr>
      <w:tr w:rsidR="00060B36" w:rsidRPr="001D701C" w:rsidTr="00F91686">
        <w:trPr>
          <w:cnfStyle w:val="000000010000" w:firstRow="0" w:lastRow="0" w:firstColumn="0" w:lastColumn="0" w:oddVBand="0" w:evenVBand="0" w:oddHBand="0" w:evenHBand="1" w:firstRowFirstColumn="0" w:firstRowLastColumn="0" w:lastRowFirstColumn="0" w:lastRowLastColumn="0"/>
        </w:trPr>
        <w:tc>
          <w:tcPr>
            <w:tcW w:w="3780" w:type="dxa"/>
          </w:tcPr>
          <w:p w:rsidR="00060B36" w:rsidRPr="00F91686" w:rsidRDefault="00060B36" w:rsidP="00F91686">
            <w:pPr>
              <w:pStyle w:val="TableTextEntries"/>
            </w:pPr>
            <w:r w:rsidRPr="00F91686">
              <w:t>Education Sector Development Program KP</w:t>
            </w:r>
          </w:p>
        </w:tc>
        <w:tc>
          <w:tcPr>
            <w:tcW w:w="1956" w:type="dxa"/>
          </w:tcPr>
          <w:p w:rsidR="00060B36" w:rsidRPr="00F91686" w:rsidRDefault="00060B36" w:rsidP="00F91686">
            <w:pPr>
              <w:pStyle w:val="TableTextEntries"/>
            </w:pPr>
            <w:r w:rsidRPr="00F91686">
              <w:t>INJ786</w:t>
            </w:r>
          </w:p>
        </w:tc>
        <w:tc>
          <w:tcPr>
            <w:tcW w:w="2524" w:type="dxa"/>
          </w:tcPr>
          <w:p w:rsidR="00060B36" w:rsidRPr="00F91686" w:rsidRDefault="00060B36" w:rsidP="00F91686">
            <w:pPr>
              <w:pStyle w:val="TableTextEntries"/>
            </w:pPr>
            <w:r w:rsidRPr="00F91686">
              <w:t>Joint evaluation</w:t>
            </w:r>
          </w:p>
        </w:tc>
        <w:tc>
          <w:tcPr>
            <w:tcW w:w="3090" w:type="dxa"/>
          </w:tcPr>
          <w:p w:rsidR="00060B36" w:rsidRPr="00F91686" w:rsidRDefault="00060B36" w:rsidP="00F91686">
            <w:pPr>
              <w:pStyle w:val="TableTextEntries"/>
            </w:pPr>
            <w:r w:rsidRPr="00F91686">
              <w:t>Inform future programming</w:t>
            </w:r>
          </w:p>
        </w:tc>
        <w:tc>
          <w:tcPr>
            <w:tcW w:w="2226" w:type="dxa"/>
          </w:tcPr>
          <w:p w:rsidR="00060B36" w:rsidRPr="00F91686" w:rsidRDefault="00060B36" w:rsidP="00F91686">
            <w:pPr>
              <w:pStyle w:val="TableTextEntries"/>
            </w:pPr>
            <w:r w:rsidRPr="00F91686">
              <w:t>July 2013</w:t>
            </w:r>
          </w:p>
        </w:tc>
      </w:tr>
      <w:tr w:rsidR="00060B36" w:rsidRPr="001D701C" w:rsidTr="00F91686">
        <w:trPr>
          <w:cnfStyle w:val="000000010000" w:firstRow="0" w:lastRow="0" w:firstColumn="0" w:lastColumn="0" w:oddVBand="0" w:evenVBand="0" w:oddHBand="0" w:evenHBand="1" w:firstRowFirstColumn="0" w:firstRowLastColumn="0" w:lastRowFirstColumn="0" w:lastRowLastColumn="0"/>
        </w:trPr>
        <w:tc>
          <w:tcPr>
            <w:tcW w:w="3780" w:type="dxa"/>
          </w:tcPr>
          <w:p w:rsidR="00060B36" w:rsidRPr="00F91686" w:rsidRDefault="00060B36" w:rsidP="00F91686">
            <w:pPr>
              <w:pStyle w:val="TableTextEntries"/>
            </w:pPr>
            <w:r w:rsidRPr="00F91686">
              <w:t>SRSP Livelihood Strengthening Program in KP</w:t>
            </w:r>
          </w:p>
        </w:tc>
        <w:tc>
          <w:tcPr>
            <w:tcW w:w="1956" w:type="dxa"/>
          </w:tcPr>
          <w:p w:rsidR="00060B36" w:rsidRPr="00F91686" w:rsidRDefault="00060B36" w:rsidP="00F91686">
            <w:pPr>
              <w:pStyle w:val="TableTextEntries"/>
            </w:pPr>
            <w:r w:rsidRPr="00F91686">
              <w:t xml:space="preserve">INJ027 </w:t>
            </w:r>
          </w:p>
        </w:tc>
        <w:tc>
          <w:tcPr>
            <w:tcW w:w="2524" w:type="dxa"/>
          </w:tcPr>
          <w:p w:rsidR="00060B36" w:rsidRPr="00F91686" w:rsidRDefault="00060B36" w:rsidP="00F91686">
            <w:pPr>
              <w:pStyle w:val="TableTextEntries"/>
            </w:pPr>
            <w:r w:rsidRPr="00F91686">
              <w:t xml:space="preserve">Completion report </w:t>
            </w:r>
          </w:p>
        </w:tc>
        <w:tc>
          <w:tcPr>
            <w:tcW w:w="3090" w:type="dxa"/>
          </w:tcPr>
          <w:p w:rsidR="00060B36" w:rsidRPr="00F91686" w:rsidRDefault="00060B36" w:rsidP="00F91686">
            <w:pPr>
              <w:pStyle w:val="TableTextEntries"/>
            </w:pPr>
            <w:r w:rsidRPr="00F91686">
              <w:t>Verify program outcomes and inform potential future programming</w:t>
            </w:r>
          </w:p>
        </w:tc>
        <w:tc>
          <w:tcPr>
            <w:tcW w:w="2226" w:type="dxa"/>
          </w:tcPr>
          <w:p w:rsidR="00060B36" w:rsidRPr="00F91686" w:rsidRDefault="00060B36" w:rsidP="00F91686">
            <w:pPr>
              <w:pStyle w:val="TableTextEntries"/>
            </w:pPr>
            <w:r w:rsidRPr="00F91686">
              <w:t>October 2013</w:t>
            </w:r>
          </w:p>
        </w:tc>
      </w:tr>
      <w:tr w:rsidR="00060B36" w:rsidRPr="001D701C" w:rsidTr="00F91686">
        <w:trPr>
          <w:cnfStyle w:val="000000010000" w:firstRow="0" w:lastRow="0" w:firstColumn="0" w:lastColumn="0" w:oddVBand="0" w:evenVBand="0" w:oddHBand="0" w:evenHBand="1" w:firstRowFirstColumn="0" w:firstRowLastColumn="0" w:lastRowFirstColumn="0" w:lastRowLastColumn="0"/>
          <w:trHeight w:val="119"/>
        </w:trPr>
        <w:tc>
          <w:tcPr>
            <w:tcW w:w="3780" w:type="dxa"/>
          </w:tcPr>
          <w:p w:rsidR="00060B36" w:rsidRPr="00F91686" w:rsidRDefault="00060B36" w:rsidP="00F91686">
            <w:pPr>
              <w:pStyle w:val="TableTextEntries"/>
            </w:pPr>
            <w:r w:rsidRPr="00F91686">
              <w:t xml:space="preserve">Joint One UN Program—JPC 3—Nutrition </w:t>
            </w:r>
          </w:p>
        </w:tc>
        <w:tc>
          <w:tcPr>
            <w:tcW w:w="1956" w:type="dxa"/>
          </w:tcPr>
          <w:p w:rsidR="00060B36" w:rsidRPr="00F91686" w:rsidRDefault="00060B36" w:rsidP="00F91686">
            <w:pPr>
              <w:pStyle w:val="TableTextEntries"/>
            </w:pPr>
            <w:r w:rsidRPr="00F91686">
              <w:t>INH723(11A304)</w:t>
            </w:r>
          </w:p>
        </w:tc>
        <w:tc>
          <w:tcPr>
            <w:tcW w:w="2524" w:type="dxa"/>
          </w:tcPr>
          <w:p w:rsidR="00060B36" w:rsidRPr="00F91686" w:rsidRDefault="00060B36" w:rsidP="00F91686">
            <w:pPr>
              <w:pStyle w:val="TableTextEntries"/>
            </w:pPr>
            <w:r w:rsidRPr="00F91686">
              <w:t xml:space="preserve">Completion report </w:t>
            </w:r>
          </w:p>
        </w:tc>
        <w:tc>
          <w:tcPr>
            <w:tcW w:w="3090" w:type="dxa"/>
          </w:tcPr>
          <w:p w:rsidR="00060B36" w:rsidRPr="00F91686" w:rsidRDefault="00060B36" w:rsidP="00F91686">
            <w:pPr>
              <w:pStyle w:val="TableTextEntries"/>
            </w:pPr>
            <w:r w:rsidRPr="00F91686">
              <w:t xml:space="preserve">Verify program outcomes </w:t>
            </w:r>
          </w:p>
        </w:tc>
        <w:tc>
          <w:tcPr>
            <w:tcW w:w="2226" w:type="dxa"/>
          </w:tcPr>
          <w:p w:rsidR="00060B36" w:rsidRPr="00F91686" w:rsidRDefault="00060B36" w:rsidP="00F91686">
            <w:pPr>
              <w:pStyle w:val="TableTextEntries"/>
            </w:pPr>
            <w:r w:rsidRPr="00F91686">
              <w:t>February 2014</w:t>
            </w:r>
          </w:p>
        </w:tc>
      </w:tr>
      <w:tr w:rsidR="00060B36" w:rsidRPr="001D701C" w:rsidTr="00F91686">
        <w:trPr>
          <w:cnfStyle w:val="000000010000" w:firstRow="0" w:lastRow="0" w:firstColumn="0" w:lastColumn="0" w:oddVBand="0" w:evenVBand="0" w:oddHBand="0" w:evenHBand="1" w:firstRowFirstColumn="0" w:firstRowLastColumn="0" w:lastRowFirstColumn="0" w:lastRowLastColumn="0"/>
          <w:trHeight w:val="449"/>
        </w:trPr>
        <w:tc>
          <w:tcPr>
            <w:tcW w:w="3780" w:type="dxa"/>
          </w:tcPr>
          <w:p w:rsidR="00060B36" w:rsidRPr="00F91686" w:rsidRDefault="00060B36" w:rsidP="00F91686">
            <w:pPr>
              <w:pStyle w:val="TableTextEntries"/>
            </w:pPr>
            <w:r w:rsidRPr="00F91686">
              <w:t>Pakistan – Australia District Comprehensive Eye Care Project (PADECII)</w:t>
            </w:r>
          </w:p>
        </w:tc>
        <w:tc>
          <w:tcPr>
            <w:tcW w:w="1956" w:type="dxa"/>
          </w:tcPr>
          <w:p w:rsidR="00060B36" w:rsidRPr="00F91686" w:rsidRDefault="00060B36" w:rsidP="00F91686">
            <w:pPr>
              <w:pStyle w:val="TableTextEntries"/>
            </w:pPr>
            <w:r w:rsidRPr="00F91686">
              <w:t>INH326</w:t>
            </w:r>
          </w:p>
        </w:tc>
        <w:tc>
          <w:tcPr>
            <w:tcW w:w="2524" w:type="dxa"/>
          </w:tcPr>
          <w:p w:rsidR="00060B36" w:rsidRPr="00F91686" w:rsidRDefault="00060B36" w:rsidP="00F91686">
            <w:pPr>
              <w:pStyle w:val="TableTextEntries"/>
            </w:pPr>
            <w:r w:rsidRPr="00F91686">
              <w:t>Completion report</w:t>
            </w:r>
          </w:p>
        </w:tc>
        <w:tc>
          <w:tcPr>
            <w:tcW w:w="3090" w:type="dxa"/>
          </w:tcPr>
          <w:p w:rsidR="00060B36" w:rsidRPr="00F91686" w:rsidRDefault="00060B36" w:rsidP="00F91686">
            <w:pPr>
              <w:pStyle w:val="TableTextEntries"/>
            </w:pPr>
            <w:r w:rsidRPr="00F91686">
              <w:t>Verify program outcomes and inform future programming</w:t>
            </w:r>
          </w:p>
        </w:tc>
        <w:tc>
          <w:tcPr>
            <w:tcW w:w="2226" w:type="dxa"/>
          </w:tcPr>
          <w:p w:rsidR="00060B36" w:rsidRPr="00F91686" w:rsidRDefault="00060B36" w:rsidP="00F91686">
            <w:pPr>
              <w:pStyle w:val="TableTextEntries"/>
            </w:pPr>
            <w:r w:rsidRPr="00F91686">
              <w:t>July 2014</w:t>
            </w:r>
          </w:p>
        </w:tc>
      </w:tr>
    </w:tbl>
    <w:p w:rsidR="00060B36" w:rsidRPr="00071B95" w:rsidRDefault="00060B36" w:rsidP="00F67041">
      <w:pPr>
        <w:pStyle w:val="Heading1"/>
        <w:spacing w:before="0"/>
        <w:rPr>
          <w:b/>
        </w:rPr>
      </w:pPr>
    </w:p>
    <w:sectPr w:rsidR="00060B36" w:rsidRPr="00071B95" w:rsidSect="00D756C5">
      <w:headerReference w:type="even" r:id="rId24"/>
      <w:headerReference w:type="default" r:id="rId25"/>
      <w:headerReference w:type="first" r:id="rId26"/>
      <w:footerReference w:type="first" r:id="rId27"/>
      <w:pgSz w:w="16840" w:h="11907" w:orient="landscape" w:code="9"/>
      <w:pgMar w:top="1134" w:right="2381" w:bottom="993" w:left="851" w:header="851"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6DD" w:rsidRDefault="006246DD" w:rsidP="0050529F">
      <w:r>
        <w:separator/>
      </w:r>
    </w:p>
    <w:p w:rsidR="006246DD" w:rsidRDefault="006246DD"/>
    <w:p w:rsidR="006246DD" w:rsidRDefault="006246DD"/>
  </w:endnote>
  <w:endnote w:type="continuationSeparator" w:id="0">
    <w:p w:rsidR="006246DD" w:rsidRDefault="006246DD" w:rsidP="0050529F">
      <w:r>
        <w:continuationSeparator/>
      </w:r>
    </w:p>
    <w:p w:rsidR="006246DD" w:rsidRDefault="006246DD"/>
    <w:p w:rsidR="006246DD" w:rsidRDefault="00624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imes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DD" w:rsidRPr="007C039A" w:rsidRDefault="006246DD" w:rsidP="007C039A">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097701">
      <w:rPr>
        <w:rFonts w:ascii="Franklin Gothic Medium" w:eastAsia="Times New Roman" w:hAnsi="Franklin Gothic Medium"/>
        <w:noProof/>
        <w:sz w:val="14"/>
        <w:szCs w:val="14"/>
      </w:rPr>
      <w:t>Aid Program Performance Report 2012−13 Pakistan</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097701">
      <w:rPr>
        <w:rFonts w:ascii="Franklin Gothic Medium" w:eastAsia="Times New Roman" w:hAnsi="Franklin Gothic Medium"/>
        <w:noProof/>
        <w:sz w:val="14"/>
        <w:szCs w:val="14"/>
      </w:rPr>
      <w:t>10</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0736" behindDoc="1" locked="0" layoutInCell="1" allowOverlap="1" wp14:anchorId="471CFACA" wp14:editId="3DCDEA07">
              <wp:simplePos x="0" y="0"/>
              <wp:positionH relativeFrom="column">
                <wp:posOffset>0</wp:posOffset>
              </wp:positionH>
              <wp:positionV relativeFrom="paragraph">
                <wp:posOffset>8498840</wp:posOffset>
              </wp:positionV>
              <wp:extent cx="7379970" cy="2181860"/>
              <wp:effectExtent l="0" t="2540" r="1905" b="0"/>
              <wp:wrapNone/>
              <wp:docPr id="8"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JxQAUUmR6ijI9RRcBaKTI9RRkeoouAtFJke&#10;ooyKLgL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c340&#10;/wCQVF/11H8jXSVzfjT/AJBUX/XUfyNcuN/3efodWC/3iHqcLRRRXyR9YFb+itoot/8ASwv2rJwZ&#10;c7PbpWBW/ov9i/Zv9L2/asn/AFudntXThP4nT5nLjP4XX5GjPJrHkt/ZwszAB/y64J/WuQYkuxb7&#10;2efrXYTrrJhb+zmshBjpa4HH41x7Z3Hd1zzW2O3W/wA9vkY4DZ7fLf5iVs+FnK6/AB/EGB/I1jVr&#10;+GP+Rhtv+Bf+gmufC/x4eqOnFfwJ+jPR6KKK+wPk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5vxp/yCov+uo/ka6Sub8af8gqL/rqP5GuXG/7vP0O&#10;rBf7xD1OFooor5I+sCtjTfD9xqFt9p81I4Mkbjknj2rHre0bTNRltvtUF59ngyeck9PYV0YWCnUs&#10;43OfFTcKd1Kw9F0XTWObq6nlHURgoM1gOQzsRnBPGa6241fT4oWhvWOoS4xuMATFcixBYkDAzwK1&#10;xnKrRi16L+mZYNyd5STv3f6aIStfwx/yMNt/wL/0E1kVr+GP+Rhtv+Bf+gmscL/Hh6o2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q3ZXN9C4FnJMD/&#10;AHY8n9KqVv6NrjWdt9kFmZASfni4fmt8Ok56ysYYhtQ0jc0bVtZuY8XtjbvHjlp1Cn/P4VyMgxIw&#10;wBgngV10+jHUoWn+13sHGdl2cj+dcgwwxGc4PWujGqSUU/vfU5sC4tyat6LoJWv4Y/5GG2/4F/6C&#10;ayK1/DH/ACMNt/wL/wBBNc+F/jw9UdO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b+ka4dOsTC9ozREnM0Zw3PvisCtyzk1S90N7C2tBJADy+OeucV0&#10;4WUozbi9bdrnNi4xlBKS0v3sTTDStTy39qXEUh/hnBYfnXPMMMQDnB61L9lnMrxeS/mICWXHIx1z&#10;UNRWqOerjZlUaahdRldBWv4Y/wCRhtv+Bf8AoJrIrX8Mf8jDbf8AAv8A0E08L/Hh6oMV/An6M9Ho&#10;oor7A+Q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m/Gn/IKi/66j+RrpK5vxp/yCov+uo/ka5cb/u8/Q6sF/vEPU4Wiiivkj6wK6ezh1K68P2o05nj&#10;MUj78Hbvycgg98VzFbmn6bfXWnrIb8W1sGIQPIQCe+K6sI3zNJN3XTT8TkxiXKm2lZ9dfwNsafeL&#10;rVvfSKqxmAC5YsACcc/0ri5tvnybPu7jj6ZroG0OZlIOtW7AjkGQ81zrLtdlyDg4yK0xjdkuW3Xe&#10;5ng0ru0r7Lawla/hj/kYbb/gX/oJrIrX8Mf8jDbf8C/9BNYYX+PD1R0Yr+BP0Z6PRRRX2B8g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N+NP+QVF/&#10;11H8jXSVzfjT/kFRf9dR/I1y43/d5+h1YL/eIepwtFFFfJH1gV0draw6j4ft4p7yG3aGRvL3N1BP&#10;ORXOVozWkMOiWtwQTPO7Y54CjiujDy5eZ2uranNiY83Kr2d9C4fD9sAf+JxaH/P1rDZdrFc5wcZF&#10;dKuhaaiwWk9xIL+dNy4Hyg+lc3JGYpXjbqrFT+FXiafIl7tvncnC1edtc1/lYbWv4Y/5GG2/4F/6&#10;CayK1/DH/Iw23/Av/QTWeF/jw9UaYr+BP0Z6PRRRX2B8g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XN+NP+QVF/wBdR/I10lc340/5BUX/AF1H8jXL&#10;jf8Ad5+h1YL/AHiHqcLRRRXyR9YFb2kXgezFvcaZJeRQsWQxqSVJ6isGunsptQXw/bf2Up3LI/n7&#10;VySc8fhXXg787fl2vc5MZ8CXn3tYzpdXll137ebfLR/dj5+UAVlyOZJGdurEsfxrsUsro69Dcm2K&#10;xzQD7RxgAkc1x8yqs8ir90MQPpmnioTirye7ZOFqQk7RWyX/AAwytfwx/wAjDbf8C/8AQTWRWv4Y&#10;/wCRhtv+Bf8AoJrLC/x4eqNs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oNMttcuNNj+xThLcMdo3hTnPNc/Wzpmlme0N1c3v2W1DbQSeWPtXThb&#10;udlf5O34nNirKF3b5q/4F+TS/EkkTI91uQjkeb1rF/sq5/s1775PKR9hGec1qPo8NxE507VvPlUZ&#10;8onBI9qwDJIEMZdtuclc8ZrXEKMbcyf33McM5ST5WvusMrX8Mf8AIw23/Av/AEE1kVr+GP8AkYbb&#10;/gX/AKCawwv8eHqjoxX8Cfoz0eiiivsD5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ub8af8gqL/rqP5Gukrm/Gn/IKi/66j+Rrlxv+7z9DqwX+8Q9&#10;ThaKKK+SPrAro7S3tr/w9Dbz30Nu8cjMgZux9RXOVpLbacdEM5uT9tDcRfj/AIV0YZ2ctE1broc+&#10;JV1HVp36K5sabptjYXi3B1e2YoDtAbHOO/NZ19pVrDBLcLqlvK/XYnU/rWNRVSxEHDl5PxZMcPNT&#10;5+f8EFa/hj/kYbb/AIF/6CayK1/DH/Iw23/Av/QTUYX+ND1ReK/gT9Gej0UUV9gfI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340/5BUX/XUfyNdJXN+NP+QVF/11H8jXLjf93n6HVgv94h6nC0UUV8kf&#10;WBXQ2tx/Y+hwXkFvHJPcOwaR1zsAPArnq09M1i5sFMCxpPC5z5TjIz7V0YaahJ3dvPsc+Jg5wVlf&#10;y7mpYaxPrN0tle28MsUgILKmCnHWublUJM6A5CsQDXXo+rXlu4t7CCwiYfNIeDiuPddrspOSDjNb&#10;Yu/LHmbfm1YwwduaXKkl2TuNrX8Mf8jDbf8AAv8A0E1kVr+GP+Rhtv8AgX/oJrDC/wAeHqjo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rodD1mysrU&#10;wSxGKYk/6QqhjXPVrRXaSaG9lHp5km3ZMyrnHOf/AK1dGGm4Tck9bepzYqCnBRa0v3sX7zTrrU1M&#10;ttqi3q9dhbaR+Fc2QVJB6jinIzxvlCysPTgimE55qa1SNR3tZ+pVGnKmuVu66aBWv4Y/5GG2/wCB&#10;f+gmsitfwx/yMNt/wL/0E08L/Hh6oMV/An6M9Hooor7A+Q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m/Gn/IKi/66j+RrpK5vxp/yCov+uo/ka5cb&#10;/u8/Q6sF/vEPU4Wiiivkj6wK6ayur230C2bS4wz+Ywnwm45zx+lczW/pX9vTWIj0/wCWBGPzfKMn&#10;6nrXXhJNTaV9um5yYyKcE3bR9djRjtJW8QQz/ZCsVzBmcbeFJHNclMoSeRV+6rED6Zrp5LXxTJEy&#10;PKSpHOHWuWZSrFW6g4NXjHovda1b1M8GtW+ZPRLQStfwx/yMNt/wL/0E1kVr+GP+Rhtv+Bf+gmsM&#10;L/Hh6o6MV/An6M9Hooor7A+Q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rm/Gn/ACCov+uo/ka6Sub8af8AIKi/66j+Rrlxv+7z9DqwX+8Q9ThaKKK+&#10;SPrArprWzvNS8N2yWrmMwyNkFtokBPX8K5mniaQIEEjhQcgBjit6FVU2+ZaNGFelKolyuzTubh8P&#10;6yBnzV/7/wBYLAqzBuoODTvNk/56P/31TKVWcJW5U16u46UJxvztP0VgrY8LjPiC29t3/oJrHrqP&#10;Btkz3ct4wOyNdqn1JrTBQc68Uu5GNmoUJN9jtqKKK+tPk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n/wAgqL/rqP5GukpkkUcqgSIrgdmGaxr0&#10;/a03C+5rQqeyqKdtjySjFer/AGK1/wCfeL/vgUfYrX/n3i/74FeR/Y8v5/wPX/thfyfieUYoxXq/&#10;2K1/594v++BR9itf+feL/vgUf2PL+f8AAP7YX8n4nlGKVVZjhVJJ7AV6t9itf+feL/vgU5LeGI/J&#10;Ei/RQKFk76z/AAB5wv5PxOB0zwze3zq0qGCHuzDk/QV3lpaQ2VslvAm2NRxU9FelhsHTw693fueb&#10;icXUxD97bsFFFFdZy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99712" behindDoc="1" locked="0" layoutInCell="1" allowOverlap="1" wp14:anchorId="1F97F5CC" wp14:editId="23BD5220">
              <wp:simplePos x="0" y="0"/>
              <wp:positionH relativeFrom="column">
                <wp:posOffset>0</wp:posOffset>
              </wp:positionH>
              <wp:positionV relativeFrom="paragraph">
                <wp:posOffset>8498840</wp:posOffset>
              </wp:positionV>
              <wp:extent cx="7379970" cy="2181860"/>
              <wp:effectExtent l="0" t="2540" r="1905" b="0"/>
              <wp:wrapNone/>
              <wp:docPr id="9"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vtSh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ab7Uo&#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DD" w:rsidRPr="007C039A" w:rsidRDefault="006246DD" w:rsidP="007C039A">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097701">
      <w:rPr>
        <w:rFonts w:ascii="Franklin Gothic Medium" w:eastAsia="Times New Roman" w:hAnsi="Franklin Gothic Medium"/>
        <w:noProof/>
        <w:sz w:val="14"/>
        <w:szCs w:val="14"/>
      </w:rPr>
      <w:t>Aid Program Performance Report 2012−13 Pakistan</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097701">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97664" behindDoc="1" locked="0" layoutInCell="1" allowOverlap="1" wp14:anchorId="10D369D0" wp14:editId="198F0BC2">
              <wp:simplePos x="0" y="0"/>
              <wp:positionH relativeFrom="column">
                <wp:posOffset>0</wp:posOffset>
              </wp:positionH>
              <wp:positionV relativeFrom="paragraph">
                <wp:posOffset>8498840</wp:posOffset>
              </wp:positionV>
              <wp:extent cx="7379970" cy="2181860"/>
              <wp:effectExtent l="0" t="2540" r="1905" b="0"/>
              <wp:wrapNone/>
              <wp:docPr id="22"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Dxl9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ZIKRIj3E6GegRtRBclRh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SEPG&#10;X2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96640" behindDoc="1" locked="0" layoutInCell="1" allowOverlap="1" wp14:anchorId="1FC2D7FD" wp14:editId="10E4B578">
              <wp:simplePos x="0" y="0"/>
              <wp:positionH relativeFrom="column">
                <wp:posOffset>0</wp:posOffset>
              </wp:positionH>
              <wp:positionV relativeFrom="paragraph">
                <wp:posOffset>8498840</wp:posOffset>
              </wp:positionV>
              <wp:extent cx="7379970" cy="2181860"/>
              <wp:effectExtent l="0" t="2540" r="1905" b="0"/>
              <wp:wrapNone/>
              <wp:docPr id="7"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KaQxjAwAAHA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GSmkM&#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DD" w:rsidRPr="007C039A" w:rsidRDefault="006246DD" w:rsidP="007C039A">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097701">
      <w:rPr>
        <w:rFonts w:ascii="Franklin Gothic Medium" w:eastAsia="Times New Roman" w:hAnsi="Franklin Gothic Medium"/>
        <w:noProof/>
        <w:sz w:val="14"/>
        <w:szCs w:val="14"/>
      </w:rPr>
      <w:t>Aid Program Performance Report 2012−13 Pakistan</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097701">
      <w:rPr>
        <w:rFonts w:ascii="Franklin Gothic Medium" w:eastAsia="Times New Roman" w:hAnsi="Franklin Gothic Medium"/>
        <w:noProof/>
        <w:sz w:val="14"/>
        <w:szCs w:val="14"/>
      </w:rPr>
      <w:t>18</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13024" behindDoc="1" locked="0" layoutInCell="1" allowOverlap="1" wp14:anchorId="29AD47DF" wp14:editId="77AAF59F">
              <wp:simplePos x="0" y="0"/>
              <wp:positionH relativeFrom="column">
                <wp:posOffset>0</wp:posOffset>
              </wp:positionH>
              <wp:positionV relativeFrom="paragraph">
                <wp:posOffset>8498840</wp:posOffset>
              </wp:positionV>
              <wp:extent cx="7379970" cy="2181860"/>
              <wp:effectExtent l="0" t="2540" r="1905" b="0"/>
              <wp:wrapNone/>
              <wp:docPr id="28"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yUll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WjJS&#10;WW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12000" behindDoc="1" locked="0" layoutInCell="1" allowOverlap="1" wp14:anchorId="749DDD21" wp14:editId="67392B4E">
              <wp:simplePos x="0" y="0"/>
              <wp:positionH relativeFrom="column">
                <wp:posOffset>0</wp:posOffset>
              </wp:positionH>
              <wp:positionV relativeFrom="paragraph">
                <wp:posOffset>8498840</wp:posOffset>
              </wp:positionV>
              <wp:extent cx="7379970" cy="2181860"/>
              <wp:effectExtent l="0" t="2540" r="1905" b="0"/>
              <wp:wrapNone/>
              <wp:docPr id="29"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GQzZ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pMJ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6kZD&#10;Nm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DD" w:rsidRPr="007C039A" w:rsidRDefault="006246DD" w:rsidP="007C039A">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Pr>
        <w:rFonts w:ascii="Franklin Gothic Medium" w:eastAsia="Times New Roman" w:hAnsi="Franklin Gothic Medium"/>
        <w:noProof/>
        <w:sz w:val="14"/>
        <w:szCs w:val="14"/>
      </w:rPr>
      <w:t>Annual Aid Program Performance Report 2012−13 Pakistan</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Pr>
        <w:rFonts w:ascii="Franklin Gothic Medium" w:eastAsia="Times New Roman" w:hAnsi="Franklin Gothic Medium"/>
        <w:noProof/>
        <w:sz w:val="14"/>
        <w:szCs w:val="14"/>
      </w:rPr>
      <w:t>22</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9952" behindDoc="1" locked="0" layoutInCell="1" allowOverlap="1" wp14:anchorId="6EB96265" wp14:editId="5900AA76">
              <wp:simplePos x="0" y="0"/>
              <wp:positionH relativeFrom="column">
                <wp:posOffset>0</wp:posOffset>
              </wp:positionH>
              <wp:positionV relativeFrom="paragraph">
                <wp:posOffset>8498840</wp:posOffset>
              </wp:positionV>
              <wp:extent cx="7379970" cy="2181860"/>
              <wp:effectExtent l="0" t="2540" r="1905" b="0"/>
              <wp:wrapNone/>
              <wp:docPr id="4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GHdR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PBh3U&#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8928" behindDoc="1" locked="0" layoutInCell="1" allowOverlap="1" wp14:anchorId="09984EC2" wp14:editId="33120C71">
              <wp:simplePos x="0" y="0"/>
              <wp:positionH relativeFrom="column">
                <wp:posOffset>0</wp:posOffset>
              </wp:positionH>
              <wp:positionV relativeFrom="paragraph">
                <wp:posOffset>8498840</wp:posOffset>
              </wp:positionV>
              <wp:extent cx="7379970" cy="2181860"/>
              <wp:effectExtent l="0" t="2540" r="1905" b="0"/>
              <wp:wrapNone/>
              <wp:docPr id="4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vd8B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hS93&#10;w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DD" w:rsidRPr="007C039A" w:rsidRDefault="006246DD" w:rsidP="007C039A">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Pr>
        <w:rFonts w:ascii="Franklin Gothic Medium" w:eastAsia="Times New Roman" w:hAnsi="Franklin Gothic Medium"/>
        <w:noProof/>
        <w:sz w:val="14"/>
        <w:szCs w:val="14"/>
      </w:rPr>
      <w:t>Aid Program Performance Report 2012−13 Pakistan</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Pr>
        <w:rFonts w:ascii="Franklin Gothic Medium" w:eastAsia="Times New Roman" w:hAnsi="Franklin Gothic Medium"/>
        <w:noProof/>
        <w:sz w:val="14"/>
        <w:szCs w:val="14"/>
      </w:rPr>
      <w:t>20</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3808" behindDoc="1" locked="0" layoutInCell="1" allowOverlap="1" wp14:anchorId="41CC0416" wp14:editId="4AC58D65">
              <wp:simplePos x="0" y="0"/>
              <wp:positionH relativeFrom="column">
                <wp:posOffset>0</wp:posOffset>
              </wp:positionH>
              <wp:positionV relativeFrom="paragraph">
                <wp:posOffset>8498840</wp:posOffset>
              </wp:positionV>
              <wp:extent cx="7379970" cy="2181860"/>
              <wp:effectExtent l="0" t="2540" r="1905" b="0"/>
              <wp:wrapNone/>
              <wp:docPr id="11"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EIi1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BbhCIt&#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2784" behindDoc="1" locked="0" layoutInCell="1" allowOverlap="1" wp14:anchorId="17CE2786" wp14:editId="5ACEEC43">
              <wp:simplePos x="0" y="0"/>
              <wp:positionH relativeFrom="column">
                <wp:posOffset>0</wp:posOffset>
              </wp:positionH>
              <wp:positionV relativeFrom="paragraph">
                <wp:posOffset>8498840</wp:posOffset>
              </wp:positionV>
              <wp:extent cx="7379970" cy="2181860"/>
              <wp:effectExtent l="0" t="2540" r="1905" b="0"/>
              <wp:wrapNone/>
              <wp:docPr id="1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lOcd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q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GU5&#10;x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DD" w:rsidRPr="007C039A" w:rsidRDefault="006246DD" w:rsidP="007C039A">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Pr>
        <w:rFonts w:ascii="Franklin Gothic Medium" w:eastAsia="Times New Roman" w:hAnsi="Franklin Gothic Medium"/>
        <w:noProof/>
        <w:sz w:val="14"/>
        <w:szCs w:val="14"/>
      </w:rPr>
      <w:t>Annual Aid Program Performance Report 2012−13 Pakistan</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Pr>
        <w:rFonts w:ascii="Franklin Gothic Medium" w:eastAsia="Times New Roman" w:hAnsi="Franklin Gothic Medium"/>
        <w:noProof/>
        <w:sz w:val="14"/>
        <w:szCs w:val="14"/>
      </w:rPr>
      <w:t>22</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6880" behindDoc="1" locked="0" layoutInCell="1" allowOverlap="1" wp14:anchorId="7D5FF156" wp14:editId="64BA68BA">
              <wp:simplePos x="0" y="0"/>
              <wp:positionH relativeFrom="column">
                <wp:posOffset>0</wp:posOffset>
              </wp:positionH>
              <wp:positionV relativeFrom="paragraph">
                <wp:posOffset>8498840</wp:posOffset>
              </wp:positionV>
              <wp:extent cx="7379970" cy="2181860"/>
              <wp:effectExtent l="0" t="2540" r="1905" b="0"/>
              <wp:wrapNone/>
              <wp:docPr id="13"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ik/d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LYpP3&#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5856" behindDoc="1" locked="0" layoutInCell="1" allowOverlap="1" wp14:anchorId="5E508468" wp14:editId="51F465A4">
              <wp:simplePos x="0" y="0"/>
              <wp:positionH relativeFrom="column">
                <wp:posOffset>0</wp:posOffset>
              </wp:positionH>
              <wp:positionV relativeFrom="paragraph">
                <wp:posOffset>8498840</wp:posOffset>
              </wp:positionV>
              <wp:extent cx="7379970" cy="2181860"/>
              <wp:effectExtent l="0" t="2540" r="1905" b="0"/>
              <wp:wrapNone/>
              <wp:docPr id="27"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jnxJkAwAAHQ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9mOf&#10;Em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DD" w:rsidRPr="007C039A" w:rsidRDefault="006246DD" w:rsidP="007C039A">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Pr>
        <w:rFonts w:ascii="Franklin Gothic Medium" w:eastAsia="Times New Roman" w:hAnsi="Franklin Gothic Medium"/>
        <w:noProof/>
        <w:sz w:val="14"/>
        <w:szCs w:val="14"/>
      </w:rPr>
      <w:t>Aid Program Performance Report 2012−13 Pakistan</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Pr>
        <w:rFonts w:ascii="Franklin Gothic Medium" w:eastAsia="Times New Roman" w:hAnsi="Franklin Gothic Medium"/>
        <w:noProof/>
        <w:sz w:val="14"/>
        <w:szCs w:val="14"/>
      </w:rPr>
      <w:t>22</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94592" behindDoc="1" locked="0" layoutInCell="1" allowOverlap="1" wp14:anchorId="2C5152C3" wp14:editId="46E0DB2E">
              <wp:simplePos x="0" y="0"/>
              <wp:positionH relativeFrom="column">
                <wp:posOffset>0</wp:posOffset>
              </wp:positionH>
              <wp:positionV relativeFrom="paragraph">
                <wp:posOffset>8498840</wp:posOffset>
              </wp:positionV>
              <wp:extent cx="7379970" cy="2181860"/>
              <wp:effectExtent l="0" t="2540" r="1905" b="0"/>
              <wp:wrapNone/>
              <wp:docPr id="2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ld4V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YpXeF&#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93568" behindDoc="1" locked="0" layoutInCell="1" allowOverlap="1" wp14:anchorId="3B455378" wp14:editId="6DA001AD">
              <wp:simplePos x="0" y="0"/>
              <wp:positionH relativeFrom="column">
                <wp:posOffset>0</wp:posOffset>
              </wp:positionH>
              <wp:positionV relativeFrom="paragraph">
                <wp:posOffset>8498840</wp:posOffset>
              </wp:positionV>
              <wp:extent cx="7379970" cy="2181860"/>
              <wp:effectExtent l="0" t="2540" r="1905" b="0"/>
              <wp:wrapNone/>
              <wp:docPr id="2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A9UN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JMd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4cD1&#10;Q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6DD" w:rsidRDefault="006246DD" w:rsidP="0050529F">
      <w:r>
        <w:separator/>
      </w:r>
    </w:p>
    <w:p w:rsidR="006246DD" w:rsidRDefault="006246DD"/>
    <w:p w:rsidR="006246DD" w:rsidRDefault="006246DD"/>
  </w:footnote>
  <w:footnote w:type="continuationSeparator" w:id="0">
    <w:p w:rsidR="006246DD" w:rsidRDefault="006246DD" w:rsidP="0050529F">
      <w:r>
        <w:continuationSeparator/>
      </w:r>
    </w:p>
    <w:p w:rsidR="006246DD" w:rsidRDefault="006246DD"/>
    <w:p w:rsidR="006246DD" w:rsidRDefault="006246DD"/>
  </w:footnote>
  <w:footnote w:id="1">
    <w:p w:rsidR="006246DD" w:rsidRPr="00B42BE5" w:rsidRDefault="006246DD" w:rsidP="00B42BE5">
      <w:pPr>
        <w:pStyle w:val="FootnoteText"/>
        <w:rPr>
          <w:szCs w:val="16"/>
        </w:rPr>
      </w:pPr>
      <w:r w:rsidRPr="00B42BE5">
        <w:rPr>
          <w:rStyle w:val="FootnoteReference"/>
          <w:sz w:val="16"/>
          <w:szCs w:val="16"/>
        </w:rPr>
        <w:footnoteRef/>
      </w:r>
      <w:r w:rsidRPr="00B42BE5">
        <w:rPr>
          <w:szCs w:val="16"/>
        </w:rPr>
        <w:t xml:space="preserve"> </w:t>
      </w:r>
      <w:r w:rsidRPr="00F67041">
        <w:t xml:space="preserve">Basic services refers to the level of services included in the Millennium Development Goals and targets  </w:t>
      </w:r>
      <w:r w:rsidRPr="00CC1B82">
        <w:rPr>
          <w:color w:val="1F497D" w:themeColor="text2"/>
        </w:rPr>
        <w:t>http://mdgs.un.org/unsd/mdg/host.aspx?Content=indicators/officiallist.htm</w:t>
      </w:r>
      <w:r w:rsidRPr="00CC1B82" w:rsidDel="00FD125E">
        <w:rPr>
          <w:color w:val="1F497D" w:themeColor="text2"/>
          <w:szCs w:val="16"/>
        </w:rPr>
        <w:t xml:space="preserve"> </w:t>
      </w:r>
    </w:p>
    <w:p w:rsidR="006246DD" w:rsidRDefault="006246DD" w:rsidP="00B42BE5">
      <w:pPr>
        <w:pStyle w:val="FootnoteText"/>
      </w:pPr>
    </w:p>
  </w:footnote>
  <w:footnote w:id="2">
    <w:p w:rsidR="006246DD" w:rsidRDefault="006246DD">
      <w:pPr>
        <w:pStyle w:val="FootnoteText"/>
      </w:pPr>
      <w:r>
        <w:rPr>
          <w:rStyle w:val="FootnoteReference"/>
        </w:rPr>
        <w:footnoteRef/>
      </w:r>
      <w:r>
        <w:t xml:space="preserve"> Prior to 2012-13 Aid Program Performance Reports were called Annual Program Performance Reports.</w:t>
      </w:r>
    </w:p>
  </w:footnote>
  <w:footnote w:id="3">
    <w:p w:rsidR="006246DD" w:rsidRDefault="006246DD" w:rsidP="00B42BE5">
      <w:pPr>
        <w:pStyle w:val="FootnoteText"/>
      </w:pPr>
      <w:r w:rsidRPr="00B42BE5">
        <w:rPr>
          <w:rStyle w:val="FootnoteReference"/>
          <w:sz w:val="16"/>
          <w:szCs w:val="16"/>
        </w:rPr>
        <w:footnoteRef/>
      </w:r>
      <w:r w:rsidRPr="00B42BE5">
        <w:rPr>
          <w:szCs w:val="16"/>
        </w:rPr>
        <w:t xml:space="preserve"> O</w:t>
      </w:r>
      <w:r>
        <w:rPr>
          <w:szCs w:val="16"/>
        </w:rPr>
        <w:t xml:space="preserve">rganisation for Economic Co-operation Development statistics, </w:t>
      </w:r>
      <w:hyperlink r:id="rId1" w:history="1">
        <w:r w:rsidRPr="00B42BE5">
          <w:rPr>
            <w:rStyle w:val="Hyperlink"/>
            <w:sz w:val="16"/>
            <w:szCs w:val="16"/>
          </w:rPr>
          <w:t>http://stats.oecd.org/</w:t>
        </w:r>
      </w:hyperlink>
      <w:r w:rsidRPr="00B42BE5">
        <w:rPr>
          <w:szCs w:val="16"/>
        </w:rPr>
        <w:t xml:space="preserve"> </w:t>
      </w:r>
    </w:p>
  </w:footnote>
  <w:footnote w:id="4">
    <w:p w:rsidR="006246DD" w:rsidRDefault="006246DD" w:rsidP="00B42BE5">
      <w:pPr>
        <w:pStyle w:val="FootnoteText"/>
      </w:pPr>
      <w:r w:rsidRPr="00B42BE5">
        <w:rPr>
          <w:rStyle w:val="FootnoteReference"/>
          <w:sz w:val="16"/>
          <w:szCs w:val="16"/>
        </w:rPr>
        <w:footnoteRef/>
      </w:r>
      <w:r w:rsidRPr="00B42BE5">
        <w:rPr>
          <w:szCs w:val="16"/>
        </w:rPr>
        <w:t xml:space="preserve"> </w:t>
      </w:r>
      <w:proofErr w:type="gramStart"/>
      <w:r w:rsidRPr="00873D4A">
        <w:rPr>
          <w:i/>
          <w:szCs w:val="16"/>
        </w:rPr>
        <w:t>UNDP Human Development Report 2013</w:t>
      </w:r>
      <w:r>
        <w:rPr>
          <w:szCs w:val="16"/>
        </w:rPr>
        <w:t>.</w:t>
      </w:r>
      <w:proofErr w:type="gramEnd"/>
    </w:p>
  </w:footnote>
  <w:footnote w:id="5">
    <w:p w:rsidR="006246DD" w:rsidRDefault="006246DD" w:rsidP="00B42BE5">
      <w:pPr>
        <w:pStyle w:val="FootnoteText"/>
      </w:pPr>
      <w:r w:rsidRPr="007D741E">
        <w:rPr>
          <w:rStyle w:val="FootnoteReference"/>
          <w:sz w:val="16"/>
          <w:szCs w:val="16"/>
        </w:rPr>
        <w:footnoteRef/>
      </w:r>
      <w:r w:rsidRPr="007D741E">
        <w:rPr>
          <w:szCs w:val="16"/>
        </w:rPr>
        <w:t xml:space="preserve"> World Bank data</w:t>
      </w:r>
      <w:r>
        <w:rPr>
          <w:szCs w:val="16"/>
        </w:rPr>
        <w:t xml:space="preserve">, </w:t>
      </w:r>
      <w:hyperlink r:id="rId2" w:history="1">
        <w:r w:rsidRPr="00CC1B82">
          <w:rPr>
            <w:color w:val="1F497D" w:themeColor="text2"/>
            <w:szCs w:val="16"/>
          </w:rPr>
          <w:t>http://www.tradingeconomics.com/pakistan/gdp-growth</w:t>
        </w:r>
      </w:hyperlink>
    </w:p>
  </w:footnote>
  <w:footnote w:id="6">
    <w:p w:rsidR="006246DD" w:rsidRDefault="006246DD" w:rsidP="00873E37">
      <w:pPr>
        <w:pStyle w:val="FootnoteText"/>
      </w:pPr>
      <w:r w:rsidRPr="007D741E">
        <w:rPr>
          <w:rStyle w:val="FootnoteReference"/>
          <w:sz w:val="16"/>
          <w:szCs w:val="16"/>
        </w:rPr>
        <w:footnoteRef/>
      </w:r>
      <w:r w:rsidRPr="005725CC">
        <w:rPr>
          <w:szCs w:val="16"/>
        </w:rPr>
        <w:t xml:space="preserve"> U</w:t>
      </w:r>
      <w:r>
        <w:rPr>
          <w:szCs w:val="16"/>
        </w:rPr>
        <w:t>NDP</w:t>
      </w:r>
      <w:r w:rsidRPr="007D741E">
        <w:rPr>
          <w:szCs w:val="16"/>
        </w:rPr>
        <w:t>, Human Development Indicators</w:t>
      </w:r>
      <w:r>
        <w:rPr>
          <w:szCs w:val="16"/>
        </w:rPr>
        <w:t xml:space="preserve">, </w:t>
      </w:r>
      <w:r w:rsidRPr="00CC1B82">
        <w:rPr>
          <w:color w:val="1F497D" w:themeColor="text2"/>
          <w:szCs w:val="16"/>
        </w:rPr>
        <w:t>http://hdrstats.undp.org/en/indicators/89006.html</w:t>
      </w:r>
    </w:p>
  </w:footnote>
  <w:footnote w:id="7">
    <w:p w:rsidR="006246DD" w:rsidRDefault="006246DD">
      <w:pPr>
        <w:pStyle w:val="FootnoteText"/>
      </w:pPr>
      <w:r w:rsidRPr="007D741E">
        <w:rPr>
          <w:rStyle w:val="FootnoteReference"/>
          <w:sz w:val="16"/>
          <w:szCs w:val="16"/>
        </w:rPr>
        <w:footnoteRef/>
      </w:r>
      <w:r w:rsidRPr="007D741E">
        <w:rPr>
          <w:szCs w:val="16"/>
        </w:rPr>
        <w:t xml:space="preserve"> Save the Children</w:t>
      </w:r>
      <w:r>
        <w:rPr>
          <w:szCs w:val="16"/>
        </w:rPr>
        <w:t xml:space="preserve"> (</w:t>
      </w:r>
      <w:r w:rsidRPr="007D741E">
        <w:rPr>
          <w:szCs w:val="16"/>
        </w:rPr>
        <w:t>2011</w:t>
      </w:r>
      <w:r>
        <w:rPr>
          <w:szCs w:val="16"/>
        </w:rPr>
        <w:t>)</w:t>
      </w:r>
      <w:r w:rsidRPr="007D741E">
        <w:rPr>
          <w:szCs w:val="16"/>
        </w:rPr>
        <w:t xml:space="preserve">, </w:t>
      </w:r>
      <w:r w:rsidRPr="00A227C5">
        <w:rPr>
          <w:i/>
          <w:szCs w:val="16"/>
        </w:rPr>
        <w:t>Missing Midwives</w:t>
      </w:r>
      <w:r w:rsidRPr="00A227C5">
        <w:rPr>
          <w:szCs w:val="16"/>
        </w:rPr>
        <w:t xml:space="preserve">, </w:t>
      </w:r>
      <w:r w:rsidRPr="00CC1B82">
        <w:rPr>
          <w:color w:val="1F497D" w:themeColor="text2"/>
          <w:szCs w:val="16"/>
        </w:rPr>
        <w:t xml:space="preserve">http://www.savethechildren.org.uk/sites/default/files/docs/Missing_Midwives_1.pdf </w:t>
      </w:r>
    </w:p>
  </w:footnote>
  <w:footnote w:id="8">
    <w:p w:rsidR="006246DD" w:rsidRPr="006B5A9C" w:rsidRDefault="006246DD" w:rsidP="00A7483F">
      <w:pPr>
        <w:pStyle w:val="FootnoteText"/>
        <w:rPr>
          <w:szCs w:val="16"/>
        </w:rPr>
      </w:pPr>
      <w:r w:rsidRPr="007D741E">
        <w:rPr>
          <w:rStyle w:val="FootnoteReference"/>
          <w:sz w:val="16"/>
          <w:szCs w:val="16"/>
        </w:rPr>
        <w:footnoteRef/>
      </w:r>
      <w:r w:rsidRPr="007D741E">
        <w:rPr>
          <w:szCs w:val="16"/>
        </w:rPr>
        <w:t xml:space="preserve"> </w:t>
      </w:r>
      <w:proofErr w:type="gramStart"/>
      <w:r w:rsidRPr="005626C7">
        <w:rPr>
          <w:i/>
          <w:szCs w:val="16"/>
        </w:rPr>
        <w:t>UNDP Human Development Report 2013</w:t>
      </w:r>
      <w:r>
        <w:rPr>
          <w:szCs w:val="16"/>
        </w:rPr>
        <w:t>.</w:t>
      </w:r>
      <w:proofErr w:type="gramEnd"/>
    </w:p>
  </w:footnote>
  <w:footnote w:id="9">
    <w:p w:rsidR="006246DD" w:rsidRDefault="006246DD" w:rsidP="00B42BE5">
      <w:pPr>
        <w:pStyle w:val="FootnoteText"/>
      </w:pPr>
      <w:r w:rsidRPr="00E34AED">
        <w:rPr>
          <w:rStyle w:val="FootnoteReference"/>
        </w:rPr>
        <w:footnoteRef/>
      </w:r>
      <w:r w:rsidRPr="00E34AED">
        <w:rPr>
          <w:rStyle w:val="FootnoteReference"/>
        </w:rPr>
        <w:t xml:space="preserve">  </w:t>
      </w:r>
      <w:proofErr w:type="gramStart"/>
      <w:r>
        <w:rPr>
          <w:szCs w:val="16"/>
        </w:rPr>
        <w:t xml:space="preserve">Ibid </w:t>
      </w:r>
      <w:r w:rsidRPr="005725CC">
        <w:rPr>
          <w:szCs w:val="16"/>
        </w:rPr>
        <w:t>.</w:t>
      </w:r>
      <w:proofErr w:type="gramEnd"/>
      <w:r w:rsidRPr="005725CC">
        <w:rPr>
          <w:szCs w:val="16"/>
        </w:rPr>
        <w:t xml:space="preserve"> </w:t>
      </w:r>
    </w:p>
  </w:footnote>
  <w:footnote w:id="10">
    <w:p w:rsidR="006246DD" w:rsidRDefault="006246DD">
      <w:pPr>
        <w:pStyle w:val="FootnoteText"/>
      </w:pPr>
      <w:r>
        <w:rPr>
          <w:rStyle w:val="FootnoteReference"/>
        </w:rPr>
        <w:footnoteRef/>
      </w:r>
      <w:r>
        <w:t xml:space="preserve"> </w:t>
      </w:r>
      <w:r w:rsidRPr="00873D4A">
        <w:rPr>
          <w:i/>
          <w:szCs w:val="16"/>
        </w:rPr>
        <w:t>World Report on Disability 2011</w:t>
      </w:r>
      <w:r w:rsidRPr="007D741E">
        <w:rPr>
          <w:szCs w:val="16"/>
        </w:rPr>
        <w:t>, World Bank and the World Health Organi</w:t>
      </w:r>
      <w:r>
        <w:rPr>
          <w:szCs w:val="16"/>
        </w:rPr>
        <w:t>z</w:t>
      </w:r>
      <w:r w:rsidRPr="007D741E">
        <w:rPr>
          <w:szCs w:val="16"/>
        </w:rPr>
        <w:t>ation</w:t>
      </w:r>
      <w:r>
        <w:rPr>
          <w:szCs w:val="16"/>
        </w:rPr>
        <w:t xml:space="preserve"> (WHO)</w:t>
      </w:r>
      <w:r w:rsidRPr="007D741E">
        <w:rPr>
          <w:szCs w:val="16"/>
        </w:rPr>
        <w:t xml:space="preserve">; Chapter </w:t>
      </w:r>
      <w:r>
        <w:rPr>
          <w:szCs w:val="16"/>
        </w:rPr>
        <w:t>2</w:t>
      </w:r>
      <w:r w:rsidRPr="007D741E">
        <w:rPr>
          <w:szCs w:val="16"/>
        </w:rPr>
        <w:t xml:space="preserve"> esti</w:t>
      </w:r>
      <w:r w:rsidRPr="005725CC">
        <w:rPr>
          <w:szCs w:val="16"/>
        </w:rPr>
        <w:t>mates the global prevalence of disability is 15</w:t>
      </w:r>
      <w:r>
        <w:rPr>
          <w:szCs w:val="16"/>
        </w:rPr>
        <w:t xml:space="preserve"> per cent.</w:t>
      </w:r>
    </w:p>
  </w:footnote>
  <w:footnote w:id="11">
    <w:p w:rsidR="006246DD" w:rsidRDefault="006246DD">
      <w:pPr>
        <w:pStyle w:val="FootnoteText"/>
      </w:pPr>
      <w:r>
        <w:rPr>
          <w:rStyle w:val="FootnoteReference"/>
        </w:rPr>
        <w:footnoteRef/>
      </w:r>
      <w:r>
        <w:t xml:space="preserve"> </w:t>
      </w:r>
      <w:r w:rsidRPr="007D741E">
        <w:rPr>
          <w:szCs w:val="16"/>
        </w:rPr>
        <w:t>The most recent data available is from WHO National Policy for Persons with Disabilities 2002 and Pakistan’s 1998 National Census Report</w:t>
      </w:r>
      <w:r>
        <w:rPr>
          <w:szCs w:val="16"/>
        </w:rPr>
        <w:t>.</w:t>
      </w:r>
    </w:p>
  </w:footnote>
  <w:footnote w:id="12">
    <w:p w:rsidR="006246DD" w:rsidRPr="00726793" w:rsidRDefault="006246DD" w:rsidP="00B42BE5">
      <w:pPr>
        <w:pStyle w:val="FootnoteText"/>
        <w:rPr>
          <w:szCs w:val="16"/>
        </w:rPr>
      </w:pPr>
      <w:r w:rsidRPr="00E34AED">
        <w:rPr>
          <w:rStyle w:val="FootnoteReference"/>
        </w:rPr>
        <w:footnoteRef/>
      </w:r>
      <w:r w:rsidRPr="00E34AED">
        <w:rPr>
          <w:rStyle w:val="FootnoteReference"/>
        </w:rPr>
        <w:t xml:space="preserve"> </w:t>
      </w:r>
      <w:r w:rsidRPr="005725CC">
        <w:rPr>
          <w:szCs w:val="16"/>
        </w:rPr>
        <w:t>Internal Displacement Monitoring Centre and Norwegian Refugee Council, 2012, ‘Global Overview 2012</w:t>
      </w:r>
      <w:r>
        <w:rPr>
          <w:szCs w:val="16"/>
        </w:rPr>
        <w:t>—</w:t>
      </w:r>
      <w:r w:rsidRPr="005725CC">
        <w:rPr>
          <w:szCs w:val="16"/>
        </w:rPr>
        <w:t>People Internally D</w:t>
      </w:r>
      <w:r w:rsidRPr="00726793">
        <w:rPr>
          <w:szCs w:val="16"/>
        </w:rPr>
        <w:t>isplaced by Conflict and Violence’</w:t>
      </w:r>
      <w:r>
        <w:rPr>
          <w:szCs w:val="16"/>
        </w:rPr>
        <w:t>,</w:t>
      </w:r>
    </w:p>
    <w:p w:rsidR="006246DD" w:rsidRDefault="006246DD" w:rsidP="00B42BE5">
      <w:pPr>
        <w:pStyle w:val="FootnoteText"/>
      </w:pPr>
      <w:r w:rsidRPr="00CC1B82">
        <w:rPr>
          <w:color w:val="1F497D" w:themeColor="text2"/>
          <w:szCs w:val="16"/>
        </w:rPr>
        <w:t>http://reliefweb.int/sites/reliefweb.int/files/resources/Pakistan%20FATA%20Displacements%20Sit%20Report%20No%202.pdf</w:t>
      </w:r>
    </w:p>
  </w:footnote>
  <w:footnote w:id="13">
    <w:p w:rsidR="006246DD" w:rsidRDefault="006246DD" w:rsidP="00B42BE5">
      <w:pPr>
        <w:pStyle w:val="FootnoteText"/>
      </w:pPr>
      <w:r w:rsidRPr="00E34AED">
        <w:rPr>
          <w:rStyle w:val="FootnoteReference"/>
        </w:rPr>
        <w:footnoteRef/>
      </w:r>
      <w:r>
        <w:rPr>
          <w:szCs w:val="16"/>
        </w:rPr>
        <w:t xml:space="preserve"> </w:t>
      </w:r>
      <w:r w:rsidRPr="007C5E7E">
        <w:rPr>
          <w:szCs w:val="16"/>
        </w:rPr>
        <w:t>Ibid.</w:t>
      </w:r>
    </w:p>
  </w:footnote>
  <w:footnote w:id="14">
    <w:p w:rsidR="006246DD" w:rsidRDefault="006246DD">
      <w:pPr>
        <w:pStyle w:val="FootnoteText"/>
      </w:pPr>
      <w:r w:rsidRPr="00E34AED">
        <w:rPr>
          <w:rStyle w:val="FootnoteReference"/>
        </w:rPr>
        <w:footnoteRef/>
      </w:r>
      <w:r>
        <w:rPr>
          <w:szCs w:val="16"/>
        </w:rPr>
        <w:t xml:space="preserve"> </w:t>
      </w:r>
      <w:r w:rsidRPr="00CC1B82">
        <w:rPr>
          <w:color w:val="1F497D" w:themeColor="text2"/>
          <w:szCs w:val="16"/>
        </w:rPr>
        <w:t>http://reliefweb.int/sites/reliefweb.int/files/resources/OCHA-HB-Issue16.pdf</w:t>
      </w:r>
    </w:p>
  </w:footnote>
  <w:footnote w:id="15">
    <w:p w:rsidR="006246DD" w:rsidRPr="00D25D64" w:rsidRDefault="006246DD" w:rsidP="00B42BE5">
      <w:pPr>
        <w:pStyle w:val="FootnoteText"/>
        <w:rPr>
          <w:szCs w:val="16"/>
        </w:rPr>
      </w:pPr>
      <w:r w:rsidRPr="00E34AED">
        <w:rPr>
          <w:rStyle w:val="FootnoteReference"/>
        </w:rPr>
        <w:footnoteRef/>
      </w:r>
      <w:r w:rsidRPr="007B7D7F">
        <w:rPr>
          <w:szCs w:val="16"/>
        </w:rPr>
        <w:t xml:space="preserve"> I</w:t>
      </w:r>
      <w:r>
        <w:rPr>
          <w:szCs w:val="16"/>
        </w:rPr>
        <w:t>MF</w:t>
      </w:r>
      <w:r w:rsidRPr="00D25D64">
        <w:rPr>
          <w:szCs w:val="16"/>
        </w:rPr>
        <w:t xml:space="preserve">, </w:t>
      </w:r>
      <w:r w:rsidRPr="00873D4A">
        <w:rPr>
          <w:i/>
          <w:szCs w:val="16"/>
        </w:rPr>
        <w:t>Country Report No. 12/35</w:t>
      </w:r>
      <w:r w:rsidRPr="007C5E7E">
        <w:rPr>
          <w:szCs w:val="16"/>
        </w:rPr>
        <w:t>, Febru</w:t>
      </w:r>
      <w:r w:rsidRPr="007B7D7F">
        <w:rPr>
          <w:szCs w:val="16"/>
        </w:rPr>
        <w:t>ary 2012,</w:t>
      </w:r>
    </w:p>
    <w:p w:rsidR="006246DD" w:rsidRDefault="006246DD" w:rsidP="00B42BE5">
      <w:pPr>
        <w:pStyle w:val="FootnoteText"/>
      </w:pPr>
      <w:hyperlink r:id="rId3" w:history="1">
        <w:r w:rsidRPr="00CC1B82">
          <w:rPr>
            <w:color w:val="1F497D" w:themeColor="text2"/>
            <w:szCs w:val="16"/>
          </w:rPr>
          <w:t>http://www.imf.org/external/pubs/ft/scr/2012/cr1235.pdf</w:t>
        </w:r>
      </w:hyperlink>
      <w:r w:rsidRPr="00CC1B82">
        <w:rPr>
          <w:color w:val="1F497D" w:themeColor="text2"/>
          <w:szCs w:val="16"/>
        </w:rPr>
        <w:t xml:space="preserve"> </w:t>
      </w:r>
    </w:p>
  </w:footnote>
  <w:footnote w:id="16">
    <w:p w:rsidR="006246DD" w:rsidRDefault="006246DD" w:rsidP="00B42BE5">
      <w:pPr>
        <w:pStyle w:val="FootnoteText"/>
      </w:pPr>
      <w:r w:rsidRPr="00E34AED">
        <w:rPr>
          <w:rStyle w:val="FootnoteReference"/>
        </w:rPr>
        <w:footnoteRef/>
      </w:r>
      <w:r w:rsidRPr="002B4A5B">
        <w:rPr>
          <w:szCs w:val="16"/>
        </w:rPr>
        <w:t xml:space="preserve"> I</w:t>
      </w:r>
      <w:r>
        <w:rPr>
          <w:szCs w:val="16"/>
        </w:rPr>
        <w:t>MF</w:t>
      </w:r>
      <w:r w:rsidRPr="002B4A5B">
        <w:rPr>
          <w:szCs w:val="16"/>
        </w:rPr>
        <w:t xml:space="preserve">, </w:t>
      </w:r>
      <w:r w:rsidRPr="00873D4A">
        <w:rPr>
          <w:i/>
          <w:szCs w:val="16"/>
        </w:rPr>
        <w:t>World Economic Outlook 2013</w:t>
      </w:r>
      <w:r>
        <w:rPr>
          <w:szCs w:val="16"/>
        </w:rPr>
        <w:t xml:space="preserve">, </w:t>
      </w:r>
      <w:hyperlink r:id="rId4" w:history="1">
        <w:r w:rsidRPr="00CC1B82">
          <w:rPr>
            <w:color w:val="1F497D" w:themeColor="text2"/>
            <w:szCs w:val="16"/>
          </w:rPr>
          <w:t>http://www.imf.org/external/pubs/ft/weo/2013/01/pdf/text.pdf</w:t>
        </w:r>
      </w:hyperlink>
    </w:p>
  </w:footnote>
  <w:footnote w:id="17">
    <w:p w:rsidR="006246DD" w:rsidRDefault="006246DD" w:rsidP="00D445DD">
      <w:pPr>
        <w:autoSpaceDE w:val="0"/>
        <w:autoSpaceDN w:val="0"/>
        <w:adjustRightInd w:val="0"/>
      </w:pPr>
      <w:r w:rsidRPr="00E34AED">
        <w:rPr>
          <w:rStyle w:val="FootnoteReference"/>
        </w:rPr>
        <w:footnoteRef/>
      </w:r>
      <w:r w:rsidRPr="002B4A5B">
        <w:rPr>
          <w:sz w:val="16"/>
          <w:szCs w:val="16"/>
        </w:rPr>
        <w:t xml:space="preserve"> Population Council</w:t>
      </w:r>
      <w:r>
        <w:rPr>
          <w:sz w:val="16"/>
          <w:szCs w:val="16"/>
        </w:rPr>
        <w:t xml:space="preserve"> (</w:t>
      </w:r>
      <w:r w:rsidRPr="002B4A5B">
        <w:rPr>
          <w:sz w:val="16"/>
          <w:szCs w:val="16"/>
        </w:rPr>
        <w:t>2013</w:t>
      </w:r>
      <w:r>
        <w:rPr>
          <w:sz w:val="16"/>
          <w:szCs w:val="16"/>
        </w:rPr>
        <w:t>)</w:t>
      </w:r>
      <w:r w:rsidRPr="002B4A5B">
        <w:rPr>
          <w:sz w:val="16"/>
          <w:szCs w:val="16"/>
        </w:rPr>
        <w:t xml:space="preserve">, </w:t>
      </w:r>
      <w:r w:rsidRPr="00873D4A">
        <w:rPr>
          <w:i/>
          <w:sz w:val="16"/>
          <w:szCs w:val="16"/>
        </w:rPr>
        <w:t>Capturing the Demographic Dividend in Pakistan</w:t>
      </w:r>
      <w:r>
        <w:rPr>
          <w:sz w:val="16"/>
          <w:szCs w:val="16"/>
        </w:rPr>
        <w:t xml:space="preserve">, </w:t>
      </w:r>
      <w:r w:rsidRPr="00CC1B82">
        <w:rPr>
          <w:color w:val="1F497D" w:themeColor="text2"/>
          <w:sz w:val="16"/>
          <w:szCs w:val="16"/>
        </w:rPr>
        <w:t>http://www.popcouncil.org/pdfs/2013_PakistanDividend/Chapter6.pdf</w:t>
      </w:r>
    </w:p>
  </w:footnote>
  <w:footnote w:id="18">
    <w:p w:rsidR="006246DD" w:rsidRDefault="006246DD" w:rsidP="00B42BE5">
      <w:pPr>
        <w:pStyle w:val="FootnoteText"/>
      </w:pPr>
      <w:r w:rsidRPr="00E34AED">
        <w:rPr>
          <w:rStyle w:val="FootnoteReference"/>
        </w:rPr>
        <w:footnoteRef/>
      </w:r>
      <w:r w:rsidRPr="002B4A5B">
        <w:rPr>
          <w:szCs w:val="16"/>
        </w:rPr>
        <w:t xml:space="preserve"> </w:t>
      </w:r>
      <w:hyperlink r:id="rId5" w:history="1">
        <w:r w:rsidRPr="00CC1B82">
          <w:rPr>
            <w:color w:val="1F497D" w:themeColor="text2"/>
            <w:szCs w:val="16"/>
          </w:rPr>
          <w:t>http://www.imf.org/external/np/sec/pr/2008/pr08303.htm</w:t>
        </w:r>
      </w:hyperlink>
      <w:r w:rsidRPr="00CC1B82">
        <w:rPr>
          <w:color w:val="1F497D" w:themeColor="text2"/>
          <w:szCs w:val="16"/>
        </w:rPr>
        <w:t xml:space="preserve"> </w:t>
      </w:r>
    </w:p>
  </w:footnote>
  <w:footnote w:id="19">
    <w:p w:rsidR="006246DD" w:rsidRDefault="006246DD" w:rsidP="00B42BE5">
      <w:pPr>
        <w:pStyle w:val="FootnoteText"/>
      </w:pPr>
      <w:r w:rsidRPr="00E34AED">
        <w:rPr>
          <w:rStyle w:val="FootnoteReference"/>
        </w:rPr>
        <w:footnoteRef/>
      </w:r>
      <w:r w:rsidRPr="00E34AED">
        <w:rPr>
          <w:rStyle w:val="FootnoteReference"/>
        </w:rPr>
        <w:t xml:space="preserve"> </w:t>
      </w:r>
      <w:r>
        <w:rPr>
          <w:szCs w:val="16"/>
        </w:rPr>
        <w:t>Transparency International,</w:t>
      </w:r>
      <w:r w:rsidRPr="002B4A5B">
        <w:rPr>
          <w:szCs w:val="16"/>
        </w:rPr>
        <w:t xml:space="preserve"> </w:t>
      </w:r>
      <w:hyperlink r:id="rId6" w:anchor="myAnchor1" w:history="1">
        <w:r w:rsidRPr="00CC1B82">
          <w:rPr>
            <w:color w:val="1F497D" w:themeColor="text2"/>
            <w:szCs w:val="16"/>
          </w:rPr>
          <w:t>http://cpi.transparency.org/cpi2012/results/#myAnchor1</w:t>
        </w:r>
      </w:hyperlink>
    </w:p>
  </w:footnote>
  <w:footnote w:id="20">
    <w:p w:rsidR="006246DD" w:rsidRDefault="006246DD" w:rsidP="00B42BE5">
      <w:pPr>
        <w:pStyle w:val="FootnoteText"/>
      </w:pPr>
      <w:r w:rsidRPr="00E34AED">
        <w:rPr>
          <w:rStyle w:val="FootnoteReference"/>
        </w:rPr>
        <w:footnoteRef/>
      </w:r>
      <w:r w:rsidRPr="00E34AED">
        <w:rPr>
          <w:rStyle w:val="FootnoteReference"/>
        </w:rPr>
        <w:t xml:space="preserve"> </w:t>
      </w:r>
      <w:r w:rsidRPr="007D741E">
        <w:rPr>
          <w:szCs w:val="16"/>
        </w:rPr>
        <w:t>Pakistan figures for 2010 from ‘Fragile states 2013: Resource flows and trends in a shifting world</w:t>
      </w:r>
      <w:r>
        <w:rPr>
          <w:szCs w:val="16"/>
        </w:rPr>
        <w:t>—</w:t>
      </w:r>
      <w:r w:rsidRPr="007D741E">
        <w:rPr>
          <w:szCs w:val="16"/>
        </w:rPr>
        <w:t>OECD 2012’</w:t>
      </w:r>
      <w:r>
        <w:rPr>
          <w:szCs w:val="16"/>
        </w:rPr>
        <w:t>.</w:t>
      </w:r>
    </w:p>
  </w:footnote>
  <w:footnote w:id="21">
    <w:p w:rsidR="006246DD" w:rsidRDefault="006246DD" w:rsidP="00B42BE5">
      <w:pPr>
        <w:pStyle w:val="FootnoteText"/>
      </w:pPr>
      <w:r w:rsidRPr="00E34AED">
        <w:rPr>
          <w:rStyle w:val="FootnoteReference"/>
        </w:rPr>
        <w:footnoteRef/>
      </w:r>
      <w:r w:rsidRPr="00E34AED">
        <w:rPr>
          <w:rStyle w:val="FootnoteReference"/>
        </w:rPr>
        <w:t xml:space="preserve"> </w:t>
      </w:r>
      <w:r>
        <w:rPr>
          <w:szCs w:val="16"/>
        </w:rPr>
        <w:t>Ibid.</w:t>
      </w:r>
    </w:p>
  </w:footnote>
  <w:footnote w:id="22">
    <w:p w:rsidR="006246DD" w:rsidRDefault="006246DD" w:rsidP="00B42BE5">
      <w:pPr>
        <w:pStyle w:val="FootnoteText"/>
      </w:pPr>
      <w:r w:rsidRPr="00E34AED">
        <w:rPr>
          <w:rStyle w:val="FootnoteReference"/>
        </w:rPr>
        <w:footnoteRef/>
      </w:r>
      <w:r w:rsidRPr="00E34AED">
        <w:rPr>
          <w:rStyle w:val="FootnoteReference"/>
        </w:rPr>
        <w:t xml:space="preserve"> </w:t>
      </w:r>
      <w:r w:rsidRPr="00873D4A">
        <w:rPr>
          <w:i/>
          <w:szCs w:val="16"/>
        </w:rPr>
        <w:t>Pakistan General Elections: Report of the Commonwealth Observer Mission 11 May 2013</w:t>
      </w:r>
      <w:r w:rsidRPr="002B4A5B">
        <w:rPr>
          <w:szCs w:val="16"/>
        </w:rPr>
        <w:t>, Commonwealth Secretariat.</w:t>
      </w:r>
      <w:r w:rsidRPr="00B42BE5">
        <w:rPr>
          <w:szCs w:val="16"/>
        </w:rPr>
        <w:t xml:space="preserve"> </w:t>
      </w:r>
    </w:p>
  </w:footnote>
  <w:footnote w:id="23">
    <w:p w:rsidR="006246DD" w:rsidRPr="00E34AED" w:rsidRDefault="006246DD" w:rsidP="00E34AED">
      <w:pPr>
        <w:pStyle w:val="FootnoteText"/>
      </w:pPr>
      <w:r w:rsidRPr="00E34AED">
        <w:rPr>
          <w:rStyle w:val="FootnoteReference"/>
        </w:rPr>
        <w:footnoteRef/>
      </w:r>
      <w:r w:rsidRPr="00E34AED">
        <w:rPr>
          <w:rStyle w:val="FootnoteReference"/>
        </w:rPr>
        <w:t xml:space="preserve"> </w:t>
      </w:r>
      <w:proofErr w:type="gramStart"/>
      <w:r w:rsidRPr="00E34AED">
        <w:t>‘Health and the Health Sector in Pakistan: An issues paper contributing to a new health delivery framework for AusAID in Pakistan’, December 2012, Health Resource Facility.</w:t>
      </w:r>
      <w:proofErr w:type="gramEnd"/>
    </w:p>
  </w:footnote>
  <w:footnote w:id="24">
    <w:p w:rsidR="006246DD" w:rsidRDefault="006246DD">
      <w:pPr>
        <w:pStyle w:val="FootnoteText"/>
      </w:pPr>
      <w:r>
        <w:rPr>
          <w:rStyle w:val="FootnoteReference"/>
        </w:rPr>
        <w:footnoteRef/>
      </w:r>
      <w:r>
        <w:t xml:space="preserve"> </w:t>
      </w:r>
      <w:r w:rsidRPr="00B42BE5">
        <w:rPr>
          <w:szCs w:val="16"/>
        </w:rPr>
        <w:t>UNDP</w:t>
      </w:r>
      <w:r>
        <w:rPr>
          <w:szCs w:val="16"/>
        </w:rPr>
        <w:t xml:space="preserve"> and</w:t>
      </w:r>
      <w:r w:rsidRPr="00B42BE5">
        <w:rPr>
          <w:szCs w:val="16"/>
        </w:rPr>
        <w:t xml:space="preserve"> </w:t>
      </w:r>
      <w:r w:rsidRPr="0081017B">
        <w:rPr>
          <w:szCs w:val="16"/>
        </w:rPr>
        <w:t>Government of KP</w:t>
      </w:r>
      <w:r>
        <w:rPr>
          <w:szCs w:val="16"/>
        </w:rPr>
        <w:t xml:space="preserve"> (</w:t>
      </w:r>
      <w:r w:rsidRPr="0081017B">
        <w:rPr>
          <w:szCs w:val="16"/>
        </w:rPr>
        <w:t>2011</w:t>
      </w:r>
      <w:r>
        <w:rPr>
          <w:szCs w:val="16"/>
        </w:rPr>
        <w:t>)</w:t>
      </w:r>
      <w:r w:rsidRPr="00B42BE5">
        <w:rPr>
          <w:szCs w:val="16"/>
        </w:rPr>
        <w:t xml:space="preserve">, </w:t>
      </w:r>
      <w:r w:rsidRPr="000B4BF1">
        <w:rPr>
          <w:i/>
          <w:szCs w:val="16"/>
        </w:rPr>
        <w:t xml:space="preserve">Khyber </w:t>
      </w:r>
      <w:proofErr w:type="spellStart"/>
      <w:r w:rsidRPr="000B4BF1">
        <w:rPr>
          <w:i/>
          <w:szCs w:val="16"/>
        </w:rPr>
        <w:t>Pakhtunkhwa</w:t>
      </w:r>
      <w:proofErr w:type="spellEnd"/>
      <w:r w:rsidRPr="000B4BF1">
        <w:rPr>
          <w:i/>
          <w:szCs w:val="16"/>
        </w:rPr>
        <w:t xml:space="preserve"> Millennium Development Goals Report 2011</w:t>
      </w:r>
      <w:r>
        <w:rPr>
          <w:i/>
          <w:szCs w:val="16"/>
        </w:rPr>
        <w:t>.</w:t>
      </w:r>
    </w:p>
  </w:footnote>
  <w:footnote w:id="25">
    <w:p w:rsidR="006246DD" w:rsidRDefault="006246DD">
      <w:pPr>
        <w:pStyle w:val="FootnoteText"/>
      </w:pPr>
      <w:r>
        <w:rPr>
          <w:rStyle w:val="FootnoteReference"/>
        </w:rPr>
        <w:footnoteRef/>
      </w:r>
      <w:r>
        <w:t xml:space="preserve"> </w:t>
      </w:r>
      <w:r w:rsidRPr="00B42BE5">
        <w:rPr>
          <w:szCs w:val="16"/>
        </w:rPr>
        <w:t xml:space="preserve">UNDP </w:t>
      </w:r>
      <w:r>
        <w:rPr>
          <w:szCs w:val="16"/>
        </w:rPr>
        <w:t>and</w:t>
      </w:r>
      <w:r w:rsidRPr="00B42BE5">
        <w:rPr>
          <w:szCs w:val="16"/>
        </w:rPr>
        <w:t xml:space="preserve"> Government of</w:t>
      </w:r>
      <w:r>
        <w:rPr>
          <w:szCs w:val="16"/>
        </w:rPr>
        <w:t xml:space="preserve"> </w:t>
      </w:r>
      <w:proofErr w:type="spellStart"/>
      <w:r w:rsidRPr="00B42BE5">
        <w:rPr>
          <w:szCs w:val="16"/>
        </w:rPr>
        <w:t>Balochistan</w:t>
      </w:r>
      <w:proofErr w:type="spellEnd"/>
      <w:r>
        <w:rPr>
          <w:szCs w:val="16"/>
        </w:rPr>
        <w:t xml:space="preserve"> (</w:t>
      </w:r>
      <w:r w:rsidRPr="00B42BE5">
        <w:rPr>
          <w:szCs w:val="16"/>
        </w:rPr>
        <w:t>2011</w:t>
      </w:r>
      <w:r>
        <w:rPr>
          <w:szCs w:val="16"/>
        </w:rPr>
        <w:t>)</w:t>
      </w:r>
      <w:proofErr w:type="gramStart"/>
      <w:r w:rsidRPr="00B42BE5">
        <w:rPr>
          <w:szCs w:val="16"/>
        </w:rPr>
        <w:t xml:space="preserve">, </w:t>
      </w:r>
      <w:r>
        <w:rPr>
          <w:szCs w:val="16"/>
        </w:rPr>
        <w:t xml:space="preserve"> </w:t>
      </w:r>
      <w:proofErr w:type="spellStart"/>
      <w:r w:rsidRPr="000B4BF1">
        <w:rPr>
          <w:i/>
          <w:szCs w:val="16"/>
        </w:rPr>
        <w:t>Balochistan</w:t>
      </w:r>
      <w:proofErr w:type="spellEnd"/>
      <w:proofErr w:type="gramEnd"/>
      <w:r w:rsidRPr="000B4BF1">
        <w:rPr>
          <w:i/>
          <w:szCs w:val="16"/>
        </w:rPr>
        <w:t xml:space="preserve"> Millennium Development Goals Report 2011</w:t>
      </w:r>
      <w:r>
        <w:rPr>
          <w:i/>
          <w:szCs w:val="16"/>
        </w:rPr>
        <w:t>.</w:t>
      </w:r>
    </w:p>
  </w:footnote>
  <w:footnote w:id="26">
    <w:p w:rsidR="006246DD" w:rsidRDefault="006246DD">
      <w:pPr>
        <w:pStyle w:val="FootnoteText"/>
      </w:pPr>
      <w:r>
        <w:rPr>
          <w:rStyle w:val="FootnoteReference"/>
        </w:rPr>
        <w:footnoteRef/>
      </w:r>
      <w:r>
        <w:t xml:space="preserve"> </w:t>
      </w:r>
      <w:proofErr w:type="gramStart"/>
      <w:r w:rsidRPr="00B42BE5">
        <w:rPr>
          <w:szCs w:val="16"/>
        </w:rPr>
        <w:t>World Bank</w:t>
      </w:r>
      <w:r>
        <w:rPr>
          <w:szCs w:val="16"/>
        </w:rPr>
        <w:t xml:space="preserve"> (</w:t>
      </w:r>
      <w:r w:rsidRPr="00B42BE5">
        <w:rPr>
          <w:szCs w:val="16"/>
        </w:rPr>
        <w:t>2012</w:t>
      </w:r>
      <w:r>
        <w:rPr>
          <w:szCs w:val="16"/>
        </w:rPr>
        <w:t>)</w:t>
      </w:r>
      <w:r w:rsidRPr="00B42BE5">
        <w:rPr>
          <w:szCs w:val="16"/>
        </w:rPr>
        <w:t>, World Development Indicators</w:t>
      </w:r>
      <w:r>
        <w:rPr>
          <w:szCs w:val="16"/>
        </w:rPr>
        <w:t>.</w:t>
      </w:r>
      <w:proofErr w:type="gramEnd"/>
    </w:p>
  </w:footnote>
  <w:footnote w:id="27">
    <w:p w:rsidR="006246DD" w:rsidRDefault="006246DD" w:rsidP="00B42BE5">
      <w:pPr>
        <w:pStyle w:val="FootnoteText"/>
      </w:pPr>
      <w:r w:rsidRPr="00E34AED">
        <w:rPr>
          <w:rStyle w:val="FootnoteReference"/>
        </w:rPr>
        <w:footnoteRef/>
      </w:r>
      <w:r w:rsidRPr="00E34AED">
        <w:rPr>
          <w:rStyle w:val="FootnoteReference"/>
        </w:rPr>
        <w:t xml:space="preserve"> </w:t>
      </w:r>
      <w:r w:rsidRPr="00B42BE5">
        <w:rPr>
          <w:szCs w:val="16"/>
        </w:rPr>
        <w:t>Australia’s contribution currently makes up 24</w:t>
      </w:r>
      <w:r>
        <w:rPr>
          <w:szCs w:val="16"/>
        </w:rPr>
        <w:t xml:space="preserve"> per cent</w:t>
      </w:r>
      <w:r w:rsidRPr="00B42BE5">
        <w:rPr>
          <w:szCs w:val="16"/>
        </w:rPr>
        <w:t xml:space="preserve"> of the program. </w:t>
      </w:r>
    </w:p>
  </w:footnote>
  <w:footnote w:id="28">
    <w:p w:rsidR="006246DD" w:rsidRDefault="006246DD" w:rsidP="00B42BE5">
      <w:r w:rsidRPr="00E34AED">
        <w:rPr>
          <w:rStyle w:val="FootnoteReference"/>
        </w:rPr>
        <w:footnoteRef/>
      </w:r>
      <w:r w:rsidRPr="00E34AED">
        <w:rPr>
          <w:rStyle w:val="FootnoteReference"/>
        </w:rPr>
        <w:t xml:space="preserve"> </w:t>
      </w:r>
      <w:r w:rsidRPr="006F7DE4">
        <w:rPr>
          <w:rFonts w:cs="Arial"/>
          <w:sz w:val="16"/>
          <w:szCs w:val="16"/>
        </w:rPr>
        <w:t xml:space="preserve">Quality at Implementation Report for </w:t>
      </w:r>
      <w:r w:rsidRPr="006F7DE4">
        <w:rPr>
          <w:rFonts w:cs="Arial"/>
          <w:i/>
          <w:sz w:val="16"/>
          <w:szCs w:val="16"/>
        </w:rPr>
        <w:t xml:space="preserve">Delivering Better Health Budget Initiative/ Pakistan: Improving Maternal and Child </w:t>
      </w:r>
      <w:r w:rsidRPr="00960EB2">
        <w:rPr>
          <w:rFonts w:cs="Arial"/>
          <w:i/>
          <w:sz w:val="16"/>
          <w:szCs w:val="16"/>
        </w:rPr>
        <w:t xml:space="preserve">Health </w:t>
      </w:r>
      <w:r w:rsidRPr="008E1D4D">
        <w:rPr>
          <w:rFonts w:cs="Arial"/>
          <w:i/>
          <w:sz w:val="16"/>
          <w:szCs w:val="16"/>
        </w:rPr>
        <w:t>(MNCH).</w:t>
      </w:r>
      <w:r>
        <w:rPr>
          <w:rFonts w:cs="Arial"/>
          <w:i/>
          <w:sz w:val="16"/>
          <w:szCs w:val="16"/>
        </w:rPr>
        <w:t xml:space="preserve"> </w:t>
      </w:r>
    </w:p>
  </w:footnote>
  <w:footnote w:id="29">
    <w:p w:rsidR="006246DD" w:rsidRDefault="006246DD">
      <w:pPr>
        <w:pStyle w:val="FootnoteText"/>
      </w:pPr>
      <w:r w:rsidRPr="00E34AED">
        <w:rPr>
          <w:rStyle w:val="FootnoteReference"/>
        </w:rPr>
        <w:footnoteRef/>
      </w:r>
      <w:r w:rsidRPr="00E34AED">
        <w:rPr>
          <w:rStyle w:val="FootnoteReference"/>
        </w:rPr>
        <w:t xml:space="preserve"> </w:t>
      </w:r>
      <w:proofErr w:type="gramStart"/>
      <w:r w:rsidRPr="006F7DE4">
        <w:rPr>
          <w:szCs w:val="16"/>
        </w:rPr>
        <w:t>Aide Memoire, 4</w:t>
      </w:r>
      <w:r w:rsidRPr="006F7DE4">
        <w:rPr>
          <w:szCs w:val="16"/>
          <w:vertAlign w:val="superscript"/>
        </w:rPr>
        <w:t>th</w:t>
      </w:r>
      <w:r w:rsidRPr="006F7DE4">
        <w:rPr>
          <w:szCs w:val="16"/>
        </w:rPr>
        <w:t xml:space="preserve"> Annual Review of the National MNCH program</w:t>
      </w:r>
      <w:r>
        <w:rPr>
          <w:szCs w:val="16"/>
        </w:rPr>
        <w:t xml:space="preserve"> for 2012, p.</w:t>
      </w:r>
      <w:r w:rsidRPr="006F7DE4">
        <w:rPr>
          <w:szCs w:val="16"/>
        </w:rPr>
        <w:t>6</w:t>
      </w:r>
      <w:r>
        <w:rPr>
          <w:szCs w:val="16"/>
        </w:rPr>
        <w:t>.</w:t>
      </w:r>
      <w:proofErr w:type="gramEnd"/>
    </w:p>
  </w:footnote>
  <w:footnote w:id="30">
    <w:p w:rsidR="006246DD" w:rsidRDefault="006246DD">
      <w:pPr>
        <w:pStyle w:val="FootnoteText"/>
      </w:pPr>
      <w:r w:rsidRPr="00E34AED">
        <w:rPr>
          <w:rStyle w:val="FootnoteReference"/>
        </w:rPr>
        <w:footnoteRef/>
      </w:r>
      <w:r w:rsidRPr="00E34AED">
        <w:rPr>
          <w:rStyle w:val="FootnoteReference"/>
        </w:rPr>
        <w:t xml:space="preserve"> </w:t>
      </w:r>
      <w:r w:rsidRPr="006F7DE4">
        <w:rPr>
          <w:szCs w:val="16"/>
        </w:rPr>
        <w:t>Ibid.</w:t>
      </w:r>
    </w:p>
  </w:footnote>
  <w:footnote w:id="31">
    <w:p w:rsidR="006246DD" w:rsidRDefault="006246DD" w:rsidP="00B42BE5">
      <w:pPr>
        <w:pStyle w:val="FootnoteText"/>
      </w:pPr>
      <w:r w:rsidRPr="00E34AED">
        <w:rPr>
          <w:rStyle w:val="FootnoteReference"/>
        </w:rPr>
        <w:footnoteRef/>
      </w:r>
      <w:r w:rsidRPr="00E34AED">
        <w:rPr>
          <w:rStyle w:val="FootnoteReference"/>
        </w:rPr>
        <w:t xml:space="preserve"> </w:t>
      </w:r>
      <w:r>
        <w:rPr>
          <w:szCs w:val="16"/>
        </w:rPr>
        <w:t>Ibid.</w:t>
      </w:r>
    </w:p>
  </w:footnote>
  <w:footnote w:id="32">
    <w:p w:rsidR="006246DD" w:rsidRDefault="006246DD" w:rsidP="0016103A">
      <w:pPr>
        <w:spacing w:before="60"/>
      </w:pPr>
      <w:r w:rsidRPr="00E34AED">
        <w:rPr>
          <w:rStyle w:val="FootnoteReference"/>
        </w:rPr>
        <w:footnoteRef/>
      </w:r>
      <w:r w:rsidRPr="00E34AED">
        <w:rPr>
          <w:rStyle w:val="FootnoteReference"/>
        </w:rPr>
        <w:t xml:space="preserve"> </w:t>
      </w:r>
      <w:proofErr w:type="gramStart"/>
      <w:r w:rsidRPr="00E34AED">
        <w:rPr>
          <w:rStyle w:val="FootnoteTextChar"/>
          <w:rFonts w:eastAsia="SimSun"/>
        </w:rPr>
        <w:t xml:space="preserve">2012–13 Quality at Implementation report for PASEC (2012–13), p. 6; 2012–13 Quality at </w:t>
      </w:r>
      <w:r>
        <w:rPr>
          <w:rStyle w:val="FootnoteTextChar"/>
          <w:rFonts w:eastAsia="SimSun"/>
        </w:rPr>
        <w:t>Implementation for PADEC II, p.</w:t>
      </w:r>
      <w:r w:rsidRPr="00E34AED">
        <w:rPr>
          <w:rStyle w:val="FootnoteTextChar"/>
          <w:rFonts w:eastAsia="SimSun"/>
        </w:rPr>
        <w:t>7.</w:t>
      </w:r>
      <w:proofErr w:type="gramEnd"/>
      <w:r>
        <w:rPr>
          <w:rFonts w:cs="Arial"/>
          <w:sz w:val="16"/>
          <w:szCs w:val="16"/>
        </w:rPr>
        <w:t xml:space="preserve"> </w:t>
      </w:r>
    </w:p>
  </w:footnote>
  <w:footnote w:id="33">
    <w:p w:rsidR="006246DD" w:rsidRDefault="006246DD" w:rsidP="00B42BE5">
      <w:pPr>
        <w:pStyle w:val="FootnoteText"/>
      </w:pPr>
      <w:r w:rsidRPr="00E34AED">
        <w:rPr>
          <w:rStyle w:val="FootnoteReference"/>
        </w:rPr>
        <w:footnoteRef/>
      </w:r>
      <w:r w:rsidRPr="00E34AED">
        <w:rPr>
          <w:rStyle w:val="FootnoteReference"/>
        </w:rPr>
        <w:t xml:space="preserve"> </w:t>
      </w:r>
      <w:r w:rsidRPr="004F72E5">
        <w:rPr>
          <w:szCs w:val="16"/>
        </w:rPr>
        <w:t>Save the Children Beneficiary Matrix June 2012</w:t>
      </w:r>
      <w:r>
        <w:rPr>
          <w:szCs w:val="16"/>
        </w:rPr>
        <w:t xml:space="preserve"> to </w:t>
      </w:r>
      <w:r w:rsidRPr="004F72E5">
        <w:rPr>
          <w:szCs w:val="16"/>
        </w:rPr>
        <w:t>February 2013.</w:t>
      </w:r>
    </w:p>
  </w:footnote>
  <w:footnote w:id="34">
    <w:p w:rsidR="006246DD" w:rsidRDefault="006246DD">
      <w:pPr>
        <w:pStyle w:val="FootnoteText"/>
      </w:pPr>
      <w:r w:rsidRPr="00E34AED">
        <w:rPr>
          <w:rStyle w:val="FootnoteReference"/>
        </w:rPr>
        <w:footnoteRef/>
      </w:r>
      <w:r w:rsidRPr="00E34AED">
        <w:rPr>
          <w:rStyle w:val="FootnoteReference"/>
        </w:rPr>
        <w:t xml:space="preserve"> </w:t>
      </w:r>
      <w:r>
        <w:rPr>
          <w:szCs w:val="16"/>
        </w:rPr>
        <w:t>Ibid.</w:t>
      </w:r>
    </w:p>
  </w:footnote>
  <w:footnote w:id="35">
    <w:p w:rsidR="006246DD" w:rsidRDefault="006246DD" w:rsidP="00B42BE5">
      <w:pPr>
        <w:pStyle w:val="FootnoteText"/>
      </w:pPr>
      <w:r w:rsidRPr="00E34AED">
        <w:rPr>
          <w:rStyle w:val="FootnoteReference"/>
        </w:rPr>
        <w:footnoteRef/>
      </w:r>
      <w:r w:rsidRPr="00E34AED">
        <w:rPr>
          <w:rStyle w:val="FootnoteReference"/>
        </w:rPr>
        <w:t xml:space="preserve"> </w:t>
      </w:r>
      <w:r w:rsidRPr="004F72E5">
        <w:rPr>
          <w:szCs w:val="16"/>
        </w:rPr>
        <w:t>Australia’s contribution currently makes up 50</w:t>
      </w:r>
      <w:r>
        <w:rPr>
          <w:szCs w:val="16"/>
        </w:rPr>
        <w:t xml:space="preserve"> per cent</w:t>
      </w:r>
      <w:r w:rsidRPr="004F72E5">
        <w:rPr>
          <w:szCs w:val="16"/>
        </w:rPr>
        <w:t xml:space="preserve"> of the program. </w:t>
      </w:r>
    </w:p>
  </w:footnote>
  <w:footnote w:id="36">
    <w:p w:rsidR="006246DD" w:rsidRDefault="006246DD">
      <w:pPr>
        <w:pStyle w:val="FootnoteText"/>
      </w:pPr>
      <w:r w:rsidRPr="00E34AED">
        <w:rPr>
          <w:rStyle w:val="FootnoteReference"/>
        </w:rPr>
        <w:footnoteRef/>
      </w:r>
      <w:r w:rsidRPr="00E34AED">
        <w:rPr>
          <w:rStyle w:val="FootnoteReference"/>
        </w:rPr>
        <w:t xml:space="preserve"> </w:t>
      </w:r>
      <w:r w:rsidRPr="00FD2381">
        <w:rPr>
          <w:i/>
        </w:rPr>
        <w:t>CESSD III,</w:t>
      </w:r>
      <w:r>
        <w:t xml:space="preserve"> </w:t>
      </w:r>
      <w:proofErr w:type="spellStart"/>
      <w:r w:rsidRPr="00873D4A">
        <w:rPr>
          <w:i/>
          <w:szCs w:val="16"/>
        </w:rPr>
        <w:t>Cowater</w:t>
      </w:r>
      <w:proofErr w:type="spellEnd"/>
      <w:r w:rsidRPr="00873D4A">
        <w:rPr>
          <w:i/>
          <w:szCs w:val="16"/>
        </w:rPr>
        <w:t xml:space="preserve"> Annual Report 2012</w:t>
      </w:r>
      <w:r>
        <w:rPr>
          <w:szCs w:val="16"/>
        </w:rPr>
        <w:t xml:space="preserve">-13, </w:t>
      </w:r>
      <w:proofErr w:type="spellStart"/>
      <w:r>
        <w:rPr>
          <w:szCs w:val="16"/>
        </w:rPr>
        <w:t>Cowater</w:t>
      </w:r>
      <w:proofErr w:type="spellEnd"/>
      <w:r>
        <w:rPr>
          <w:szCs w:val="16"/>
        </w:rPr>
        <w:t xml:space="preserve"> International</w:t>
      </w:r>
      <w:r w:rsidRPr="004F72E5">
        <w:rPr>
          <w:szCs w:val="16"/>
        </w:rPr>
        <w:t>.</w:t>
      </w:r>
    </w:p>
  </w:footnote>
  <w:footnote w:id="37">
    <w:p w:rsidR="006246DD" w:rsidRDefault="006246DD">
      <w:pPr>
        <w:pStyle w:val="FootnoteText"/>
      </w:pPr>
      <w:r w:rsidRPr="00E34AED">
        <w:rPr>
          <w:rStyle w:val="FootnoteReference"/>
        </w:rPr>
        <w:footnoteRef/>
      </w:r>
      <w:r w:rsidRPr="00E34AED">
        <w:rPr>
          <w:rStyle w:val="FootnoteReference"/>
        </w:rPr>
        <w:t xml:space="preserve"> </w:t>
      </w:r>
      <w:proofErr w:type="spellStart"/>
      <w:r w:rsidRPr="00873D4A">
        <w:rPr>
          <w:i/>
          <w:szCs w:val="16"/>
        </w:rPr>
        <w:t>Sarhad</w:t>
      </w:r>
      <w:proofErr w:type="spellEnd"/>
      <w:r w:rsidRPr="00873D4A">
        <w:rPr>
          <w:i/>
          <w:szCs w:val="16"/>
        </w:rPr>
        <w:t xml:space="preserve"> Rural Support Program Annual Report 2012</w:t>
      </w:r>
      <w:r w:rsidRPr="005E46ED">
        <w:rPr>
          <w:i/>
          <w:szCs w:val="16"/>
        </w:rPr>
        <w:t>–</w:t>
      </w:r>
      <w:r w:rsidRPr="00873D4A">
        <w:rPr>
          <w:i/>
          <w:szCs w:val="16"/>
        </w:rPr>
        <w:t>13</w:t>
      </w:r>
      <w:r w:rsidRPr="004F72E5">
        <w:rPr>
          <w:szCs w:val="16"/>
        </w:rPr>
        <w:t>.</w:t>
      </w:r>
    </w:p>
  </w:footnote>
  <w:footnote w:id="38">
    <w:p w:rsidR="006246DD" w:rsidRDefault="006246DD">
      <w:pPr>
        <w:pStyle w:val="FootnoteText"/>
      </w:pPr>
      <w:r w:rsidRPr="00E34AED">
        <w:rPr>
          <w:rStyle w:val="FootnoteReference"/>
        </w:rPr>
        <w:footnoteRef/>
      </w:r>
      <w:r w:rsidRPr="00E34AED">
        <w:rPr>
          <w:rStyle w:val="FootnoteReference"/>
        </w:rPr>
        <w:t xml:space="preserve"> </w:t>
      </w:r>
      <w:r w:rsidRPr="007D741E">
        <w:rPr>
          <w:szCs w:val="16"/>
        </w:rPr>
        <w:t>FAO</w:t>
      </w:r>
      <w:r>
        <w:rPr>
          <w:szCs w:val="16"/>
        </w:rPr>
        <w:t xml:space="preserve"> (</w:t>
      </w:r>
      <w:r w:rsidRPr="007D741E">
        <w:rPr>
          <w:szCs w:val="16"/>
        </w:rPr>
        <w:t>2013</w:t>
      </w:r>
      <w:r>
        <w:rPr>
          <w:szCs w:val="16"/>
        </w:rPr>
        <w:t>)</w:t>
      </w:r>
      <w:proofErr w:type="gramStart"/>
      <w:r w:rsidRPr="007D741E">
        <w:rPr>
          <w:szCs w:val="16"/>
        </w:rPr>
        <w:t xml:space="preserve">, </w:t>
      </w:r>
      <w:r>
        <w:rPr>
          <w:szCs w:val="16"/>
        </w:rPr>
        <w:t xml:space="preserve"> </w:t>
      </w:r>
      <w:r w:rsidRPr="00873D4A">
        <w:rPr>
          <w:i/>
          <w:szCs w:val="16"/>
        </w:rPr>
        <w:t>Emergency</w:t>
      </w:r>
      <w:proofErr w:type="gramEnd"/>
      <w:r w:rsidRPr="00873D4A">
        <w:rPr>
          <w:i/>
          <w:szCs w:val="16"/>
        </w:rPr>
        <w:t xml:space="preserve"> livelihood assistance to support flood-affected vulnerable farmers in Sindh Province, Pakistan </w:t>
      </w:r>
      <w:r w:rsidRPr="005E46ED">
        <w:rPr>
          <w:i/>
          <w:szCs w:val="16"/>
        </w:rPr>
        <w:t>–</w:t>
      </w:r>
      <w:r w:rsidRPr="00873D4A">
        <w:rPr>
          <w:i/>
          <w:szCs w:val="16"/>
        </w:rPr>
        <w:t xml:space="preserve"> Final Report.</w:t>
      </w:r>
    </w:p>
  </w:footnote>
  <w:footnote w:id="39">
    <w:p w:rsidR="006246DD" w:rsidRDefault="006246DD" w:rsidP="00B42BE5">
      <w:pPr>
        <w:pStyle w:val="FootnoteText"/>
      </w:pPr>
      <w:r w:rsidRPr="00E34AED">
        <w:rPr>
          <w:rStyle w:val="FootnoteReference"/>
        </w:rPr>
        <w:footnoteRef/>
      </w:r>
      <w:r w:rsidRPr="00E34AED">
        <w:rPr>
          <w:rStyle w:val="FootnoteReference"/>
        </w:rPr>
        <w:t xml:space="preserve"> </w:t>
      </w:r>
      <w:r>
        <w:rPr>
          <w:szCs w:val="16"/>
        </w:rPr>
        <w:t>Ibid.</w:t>
      </w:r>
    </w:p>
  </w:footnote>
  <w:footnote w:id="40">
    <w:p w:rsidR="006246DD" w:rsidRDefault="006246DD" w:rsidP="00B42BE5">
      <w:pPr>
        <w:pStyle w:val="FootnoteText"/>
      </w:pPr>
      <w:r w:rsidRPr="00E34AED">
        <w:rPr>
          <w:rStyle w:val="FootnoteReference"/>
        </w:rPr>
        <w:footnoteRef/>
      </w:r>
      <w:r w:rsidRPr="00E34AED">
        <w:rPr>
          <w:rStyle w:val="FootnoteReference"/>
        </w:rPr>
        <w:t xml:space="preserve"> </w:t>
      </w:r>
      <w:r w:rsidRPr="007D741E">
        <w:rPr>
          <w:szCs w:val="16"/>
        </w:rPr>
        <w:t>Australia’s contribution currently makes up 1.9</w:t>
      </w:r>
      <w:r>
        <w:rPr>
          <w:szCs w:val="16"/>
        </w:rPr>
        <w:t xml:space="preserve"> per cent</w:t>
      </w:r>
      <w:r w:rsidRPr="007D741E">
        <w:rPr>
          <w:szCs w:val="16"/>
        </w:rPr>
        <w:t xml:space="preserve"> of the program. </w:t>
      </w:r>
    </w:p>
  </w:footnote>
  <w:footnote w:id="41">
    <w:p w:rsidR="006246DD" w:rsidRDefault="006246DD" w:rsidP="00B42BE5">
      <w:pPr>
        <w:pStyle w:val="FootnoteText"/>
      </w:pPr>
      <w:r w:rsidRPr="00E34AED">
        <w:rPr>
          <w:rStyle w:val="FootnoteReference"/>
        </w:rPr>
        <w:footnoteRef/>
      </w:r>
      <w:r w:rsidRPr="00E34AED">
        <w:rPr>
          <w:rStyle w:val="FootnoteReference"/>
        </w:rPr>
        <w:t xml:space="preserve"> </w:t>
      </w:r>
      <w:r w:rsidRPr="007D741E">
        <w:rPr>
          <w:szCs w:val="16"/>
        </w:rPr>
        <w:t>WFP</w:t>
      </w:r>
      <w:r>
        <w:rPr>
          <w:szCs w:val="16"/>
        </w:rPr>
        <w:t xml:space="preserve"> (</w:t>
      </w:r>
      <w:r w:rsidRPr="007D741E">
        <w:rPr>
          <w:szCs w:val="16"/>
        </w:rPr>
        <w:t>2013</w:t>
      </w:r>
      <w:r>
        <w:rPr>
          <w:szCs w:val="16"/>
        </w:rPr>
        <w:t>)</w:t>
      </w:r>
      <w:proofErr w:type="gramStart"/>
      <w:r>
        <w:rPr>
          <w:szCs w:val="16"/>
        </w:rPr>
        <w:t xml:space="preserve">, </w:t>
      </w:r>
      <w:r w:rsidRPr="007D741E">
        <w:rPr>
          <w:szCs w:val="16"/>
        </w:rPr>
        <w:t xml:space="preserve"> </w:t>
      </w:r>
      <w:r w:rsidRPr="00873D4A">
        <w:rPr>
          <w:i/>
          <w:szCs w:val="16"/>
        </w:rPr>
        <w:t>Standard</w:t>
      </w:r>
      <w:proofErr w:type="gramEnd"/>
      <w:r w:rsidRPr="00873D4A">
        <w:rPr>
          <w:i/>
          <w:szCs w:val="16"/>
        </w:rPr>
        <w:t xml:space="preserve"> Project Report 2012</w:t>
      </w:r>
      <w:r>
        <w:rPr>
          <w:i/>
          <w:szCs w:val="16"/>
        </w:rPr>
        <w:t>—</w:t>
      </w:r>
      <w:r w:rsidRPr="00873D4A">
        <w:rPr>
          <w:i/>
          <w:szCs w:val="16"/>
        </w:rPr>
        <w:t xml:space="preserve"> Pakistan</w:t>
      </w:r>
      <w:r>
        <w:rPr>
          <w:i/>
          <w:szCs w:val="16"/>
        </w:rPr>
        <w:t>—</w:t>
      </w:r>
      <w:r w:rsidRPr="00873D4A">
        <w:rPr>
          <w:i/>
          <w:szCs w:val="16"/>
        </w:rPr>
        <w:t xml:space="preserve"> Food Assistance for Household Food Security, Early Recovery and Social Stability</w:t>
      </w:r>
      <w:r w:rsidRPr="007D741E">
        <w:rPr>
          <w:szCs w:val="16"/>
        </w:rPr>
        <w:t>.</w:t>
      </w:r>
    </w:p>
  </w:footnote>
  <w:footnote w:id="42">
    <w:p w:rsidR="006246DD" w:rsidRDefault="006246DD" w:rsidP="00B42BE5">
      <w:pPr>
        <w:pStyle w:val="FootnoteText"/>
      </w:pPr>
      <w:r w:rsidRPr="00E34AED">
        <w:rPr>
          <w:rStyle w:val="FootnoteReference"/>
        </w:rPr>
        <w:footnoteRef/>
      </w:r>
      <w:r w:rsidRPr="00E34AED">
        <w:rPr>
          <w:rStyle w:val="FootnoteReference"/>
        </w:rPr>
        <w:t xml:space="preserve"> </w:t>
      </w:r>
      <w:r w:rsidRPr="00B42BE5">
        <w:rPr>
          <w:szCs w:val="16"/>
        </w:rPr>
        <w:t>Australia’s contribution currently makes up 16</w:t>
      </w:r>
      <w:r>
        <w:rPr>
          <w:szCs w:val="16"/>
        </w:rPr>
        <w:t xml:space="preserve"> per cent</w:t>
      </w:r>
      <w:r w:rsidRPr="00B42BE5">
        <w:rPr>
          <w:szCs w:val="16"/>
        </w:rPr>
        <w:t xml:space="preserve"> of the program. </w:t>
      </w:r>
    </w:p>
  </w:footnote>
  <w:footnote w:id="43">
    <w:p w:rsidR="006246DD" w:rsidRDefault="006246DD">
      <w:pPr>
        <w:pStyle w:val="FootnoteText"/>
      </w:pPr>
      <w:r w:rsidRPr="00E34AED">
        <w:rPr>
          <w:rStyle w:val="FootnoteReference"/>
        </w:rPr>
        <w:footnoteRef/>
      </w:r>
      <w:r w:rsidRPr="00E34AED">
        <w:rPr>
          <w:rStyle w:val="FootnoteReference"/>
        </w:rPr>
        <w:t xml:space="preserve"> </w:t>
      </w:r>
      <w:proofErr w:type="gramStart"/>
      <w:r w:rsidRPr="00873D4A">
        <w:rPr>
          <w:szCs w:val="16"/>
        </w:rPr>
        <w:t xml:space="preserve">World Bank </w:t>
      </w:r>
      <w:r>
        <w:rPr>
          <w:szCs w:val="16"/>
        </w:rPr>
        <w:t>r</w:t>
      </w:r>
      <w:r w:rsidRPr="00873D4A">
        <w:rPr>
          <w:szCs w:val="16"/>
        </w:rPr>
        <w:t>ecords.</w:t>
      </w:r>
      <w:proofErr w:type="gramEnd"/>
    </w:p>
  </w:footnote>
  <w:footnote w:id="44">
    <w:p w:rsidR="006246DD" w:rsidRDefault="006246DD" w:rsidP="00B42BE5">
      <w:pPr>
        <w:pStyle w:val="FootnoteText"/>
      </w:pPr>
      <w:r w:rsidRPr="00E34AED">
        <w:rPr>
          <w:rStyle w:val="FootnoteReference"/>
        </w:rPr>
        <w:footnoteRef/>
      </w:r>
      <w:r w:rsidRPr="00E34AED">
        <w:rPr>
          <w:rStyle w:val="FootnoteReference"/>
        </w:rPr>
        <w:t xml:space="preserve"> </w:t>
      </w:r>
      <w:r w:rsidRPr="00B42BE5">
        <w:rPr>
          <w:szCs w:val="16"/>
        </w:rPr>
        <w:t>Australia’s contribution currently makes up 38</w:t>
      </w:r>
      <w:r>
        <w:rPr>
          <w:szCs w:val="16"/>
        </w:rPr>
        <w:t xml:space="preserve"> per cent</w:t>
      </w:r>
      <w:r w:rsidRPr="00B42BE5">
        <w:rPr>
          <w:szCs w:val="16"/>
        </w:rPr>
        <w:t xml:space="preserve"> of the program. </w:t>
      </w:r>
    </w:p>
  </w:footnote>
  <w:footnote w:id="45">
    <w:p w:rsidR="006246DD" w:rsidRDefault="006246DD">
      <w:pPr>
        <w:pStyle w:val="FootnoteText"/>
      </w:pPr>
      <w:r w:rsidRPr="00E34AED">
        <w:rPr>
          <w:rStyle w:val="FootnoteReference"/>
        </w:rPr>
        <w:footnoteRef/>
      </w:r>
      <w:r w:rsidRPr="00E34AED">
        <w:rPr>
          <w:rStyle w:val="FootnoteReference"/>
        </w:rPr>
        <w:t xml:space="preserve"> </w:t>
      </w:r>
      <w:proofErr w:type="gramStart"/>
      <w:r w:rsidRPr="00873D4A">
        <w:rPr>
          <w:szCs w:val="16"/>
        </w:rPr>
        <w:t>UNDP Election Program Quarterly Progress reports and field reports.</w:t>
      </w:r>
      <w:proofErr w:type="gramEnd"/>
    </w:p>
  </w:footnote>
  <w:footnote w:id="46">
    <w:p w:rsidR="006246DD" w:rsidRDefault="006246DD" w:rsidP="00B42BE5">
      <w:pPr>
        <w:pStyle w:val="FootnoteText"/>
      </w:pPr>
      <w:r w:rsidRPr="00E34AED">
        <w:rPr>
          <w:rStyle w:val="FootnoteReference"/>
        </w:rPr>
        <w:footnoteRef/>
      </w:r>
      <w:r w:rsidRPr="00E34AED">
        <w:rPr>
          <w:rStyle w:val="FootnoteReference"/>
        </w:rPr>
        <w:t xml:space="preserve"> </w:t>
      </w:r>
      <w:r w:rsidRPr="00FE3979">
        <w:rPr>
          <w:i/>
          <w:szCs w:val="16"/>
        </w:rPr>
        <w:t xml:space="preserve">Third Party Validation of Stipends to Girl Students in Khyber </w:t>
      </w:r>
      <w:proofErr w:type="spellStart"/>
      <w:r w:rsidRPr="00FE3979">
        <w:rPr>
          <w:i/>
          <w:szCs w:val="16"/>
        </w:rPr>
        <w:t>Pakhtunkhwa</w:t>
      </w:r>
      <w:proofErr w:type="spellEnd"/>
      <w:r w:rsidRPr="00B42BE5">
        <w:rPr>
          <w:szCs w:val="16"/>
        </w:rPr>
        <w:t>, p.</w:t>
      </w:r>
      <w:r>
        <w:rPr>
          <w:szCs w:val="16"/>
        </w:rPr>
        <w:t xml:space="preserve"> </w:t>
      </w:r>
      <w:r w:rsidRPr="00B42BE5">
        <w:rPr>
          <w:szCs w:val="16"/>
        </w:rPr>
        <w:t>30.</w:t>
      </w:r>
    </w:p>
  </w:footnote>
  <w:footnote w:id="47">
    <w:p w:rsidR="006246DD" w:rsidRDefault="006246DD" w:rsidP="00B42BE5">
      <w:pPr>
        <w:pStyle w:val="FootnoteText"/>
      </w:pPr>
      <w:r w:rsidRPr="00A44D92">
        <w:rPr>
          <w:rStyle w:val="FootnoteReference"/>
        </w:rPr>
        <w:footnoteRef/>
      </w:r>
      <w:r w:rsidRPr="00A44D92">
        <w:rPr>
          <w:rStyle w:val="FootnoteReference"/>
        </w:rPr>
        <w:t xml:space="preserve"> </w:t>
      </w:r>
      <w:r w:rsidRPr="00B42BE5">
        <w:rPr>
          <w:szCs w:val="16"/>
        </w:rPr>
        <w:t>Announced by the Secretary of the Go</w:t>
      </w:r>
      <w:r>
        <w:rPr>
          <w:szCs w:val="16"/>
        </w:rPr>
        <w:t xml:space="preserve">vernment of </w:t>
      </w:r>
      <w:r w:rsidRPr="00B42BE5">
        <w:rPr>
          <w:szCs w:val="16"/>
        </w:rPr>
        <w:t>KP</w:t>
      </w:r>
      <w:r>
        <w:rPr>
          <w:szCs w:val="16"/>
        </w:rPr>
        <w:t>’s</w:t>
      </w:r>
      <w:r w:rsidRPr="00B42BE5">
        <w:rPr>
          <w:szCs w:val="16"/>
        </w:rPr>
        <w:t xml:space="preserve"> Elementary and Secondary Education Department at the KP Education Donor Coordination Meeting</w:t>
      </w:r>
      <w:r>
        <w:rPr>
          <w:szCs w:val="16"/>
        </w:rPr>
        <w:t>,</w:t>
      </w:r>
      <w:r w:rsidRPr="00B42BE5">
        <w:rPr>
          <w:szCs w:val="16"/>
        </w:rPr>
        <w:t xml:space="preserve"> 2 May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DD" w:rsidRDefault="006246DD">
    <w:pPr>
      <w:pStyle w:val="Header"/>
    </w:pPr>
    <w:r>
      <w:rPr>
        <w:noProof/>
      </w:rPr>
      <w:drawing>
        <wp:anchor distT="0" distB="0" distL="114300" distR="114300" simplePos="0" relativeHeight="251717120" behindDoc="0" locked="0" layoutInCell="1" allowOverlap="1" wp14:anchorId="2C0AD68F" wp14:editId="36D5E678">
          <wp:simplePos x="0" y="0"/>
          <wp:positionH relativeFrom="page">
            <wp:align>left</wp:align>
          </wp:positionH>
          <wp:positionV relativeFrom="page">
            <wp:align>top</wp:align>
          </wp:positionV>
          <wp:extent cx="7560000" cy="1440000"/>
          <wp:effectExtent l="0" t="0" r="3175" b="825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p w:rsidR="006246DD" w:rsidRDefault="006246DD"/>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DD" w:rsidRDefault="006246D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DD" w:rsidRDefault="006246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DD" w:rsidRDefault="006246DD">
    <w:pPr>
      <w:pStyle w:val="Header"/>
    </w:pPr>
    <w:r>
      <w:rPr>
        <w:noProof/>
      </w:rPr>
      <w:drawing>
        <wp:anchor distT="0" distB="0" distL="114300" distR="114300" simplePos="0" relativeHeight="251715072" behindDoc="0" locked="0" layoutInCell="1" allowOverlap="1" wp14:anchorId="50126A32" wp14:editId="6D80D847">
          <wp:simplePos x="0" y="0"/>
          <wp:positionH relativeFrom="page">
            <wp:align>left</wp:align>
          </wp:positionH>
          <wp:positionV relativeFrom="page">
            <wp:align>top</wp:align>
          </wp:positionV>
          <wp:extent cx="7560000" cy="1890000"/>
          <wp:effectExtent l="0" t="0" r="317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DD" w:rsidRDefault="006246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DD" w:rsidRDefault="006246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DD" w:rsidRDefault="006246D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DD" w:rsidRDefault="006246D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DD" w:rsidRDefault="006246DD">
    <w:pPr>
      <w:pStyle w:val="Header"/>
    </w:pPr>
    <w:r>
      <w:rPr>
        <w:noProof/>
      </w:rPr>
      <w:drawing>
        <wp:anchor distT="0" distB="0" distL="114300" distR="114300" simplePos="0" relativeHeight="251721216" behindDoc="0" locked="0" layoutInCell="1" allowOverlap="1" wp14:anchorId="0FB1F741" wp14:editId="3967286B">
          <wp:simplePos x="0" y="0"/>
          <wp:positionH relativeFrom="page">
            <wp:align>left</wp:align>
          </wp:positionH>
          <wp:positionV relativeFrom="page">
            <wp:align>top</wp:align>
          </wp:positionV>
          <wp:extent cx="7560000" cy="1440000"/>
          <wp:effectExtent l="0" t="0" r="3175" b="8255"/>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DD" w:rsidRDefault="006246DD">
    <w:pPr>
      <w:pStyle w:val="Header"/>
    </w:pPr>
    <w:r>
      <w:rPr>
        <w:noProof/>
      </w:rPr>
      <w:drawing>
        <wp:anchor distT="0" distB="0" distL="114300" distR="114300" simplePos="0" relativeHeight="251719168" behindDoc="0" locked="0" layoutInCell="1" allowOverlap="1" wp14:anchorId="34E4E065" wp14:editId="4B816239">
          <wp:simplePos x="0" y="0"/>
          <wp:positionH relativeFrom="page">
            <wp:align>left</wp:align>
          </wp:positionH>
          <wp:positionV relativeFrom="page">
            <wp:align>top</wp:align>
          </wp:positionV>
          <wp:extent cx="7560000" cy="1440000"/>
          <wp:effectExtent l="0" t="0" r="3175" b="8255"/>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DD" w:rsidRDefault="006246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lvlText w:val="%1."/>
      <w:lvlJc w:val="left"/>
      <w:pPr>
        <w:tabs>
          <w:tab w:val="num" w:pos="926"/>
        </w:tabs>
        <w:ind w:left="926" w:hanging="360"/>
      </w:pPr>
      <w:rPr>
        <w:rFonts w:cs="Times New Roman"/>
      </w:rPr>
    </w:lvl>
  </w:abstractNum>
  <w:abstractNum w:abstractNumId="1">
    <w:nsid w:val="FFFFFF7F"/>
    <w:multiLevelType w:val="singleLevel"/>
    <w:tmpl w:val="86748DC4"/>
    <w:lvl w:ilvl="0">
      <w:start w:val="1"/>
      <w:numFmt w:val="decimal"/>
      <w:lvlText w:val="%1."/>
      <w:lvlJc w:val="left"/>
      <w:pPr>
        <w:tabs>
          <w:tab w:val="num" w:pos="643"/>
        </w:tabs>
        <w:ind w:left="643" w:hanging="360"/>
      </w:pPr>
      <w:rPr>
        <w:rFonts w:cs="Times New Roman"/>
      </w:rPr>
    </w:lvl>
  </w:abstractNum>
  <w:abstractNum w:abstractNumId="2">
    <w:nsid w:val="FFFFFF83"/>
    <w:multiLevelType w:val="singleLevel"/>
    <w:tmpl w:val="E31AD930"/>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34807E64"/>
    <w:lvl w:ilvl="0">
      <w:start w:val="1"/>
      <w:numFmt w:val="decimal"/>
      <w:pStyle w:val="ListParagraph"/>
      <w:lvlText w:val="%1."/>
      <w:lvlJc w:val="left"/>
      <w:pPr>
        <w:tabs>
          <w:tab w:val="num" w:pos="360"/>
        </w:tabs>
        <w:ind w:left="360" w:hanging="360"/>
      </w:pPr>
      <w:rPr>
        <w:rFonts w:cs="Times New Roman"/>
      </w:rPr>
    </w:lvl>
  </w:abstractNum>
  <w:abstractNum w:abstractNumId="4">
    <w:nsid w:val="FFFFFF89"/>
    <w:multiLevelType w:val="singleLevel"/>
    <w:tmpl w:val="93F258E6"/>
    <w:lvl w:ilvl="0">
      <w:start w:val="1"/>
      <w:numFmt w:val="bullet"/>
      <w:lvlText w:val=""/>
      <w:lvlJc w:val="left"/>
      <w:pPr>
        <w:tabs>
          <w:tab w:val="num" w:pos="360"/>
        </w:tabs>
        <w:ind w:left="360" w:hanging="360"/>
      </w:pPr>
      <w:rPr>
        <w:rFonts w:ascii="Symbol" w:hAnsi="Symbol" w:hint="default"/>
      </w:rPr>
    </w:lvl>
  </w:abstractNum>
  <w:abstractNum w:abstractNumId="5">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7323B5E"/>
    <w:multiLevelType w:val="hybridMultilevel"/>
    <w:tmpl w:val="7E841018"/>
    <w:lvl w:ilvl="0" w:tplc="451A51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F27590"/>
    <w:multiLevelType w:val="hybridMultilevel"/>
    <w:tmpl w:val="D9808764"/>
    <w:lvl w:ilvl="0" w:tplc="BC9E7618">
      <w:start w:val="1"/>
      <w:numFmt w:val="decimal"/>
      <w:lvlText w:val="%1."/>
      <w:lvlJc w:val="left"/>
      <w:pPr>
        <w:ind w:left="720" w:hanging="360"/>
      </w:pPr>
      <w:rPr>
        <w:rFonts w:cs="Times New Roman" w:hint="default"/>
        <w:b/>
        <w:i/>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14095160"/>
    <w:multiLevelType w:val="hybridMultilevel"/>
    <w:tmpl w:val="30ACC7E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411B4C"/>
    <w:multiLevelType w:val="hybridMultilevel"/>
    <w:tmpl w:val="B0DA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9ED5A3A"/>
    <w:multiLevelType w:val="hybridMultilevel"/>
    <w:tmpl w:val="4946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0B6731"/>
    <w:multiLevelType w:val="hybridMultilevel"/>
    <w:tmpl w:val="2120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2B798C"/>
    <w:multiLevelType w:val="hybridMultilevel"/>
    <w:tmpl w:val="69042CAC"/>
    <w:lvl w:ilvl="0" w:tplc="A120C8FE">
      <w:start w:val="1"/>
      <w:numFmt w:val="bullet"/>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5">
    <w:nsid w:val="209B02A7"/>
    <w:multiLevelType w:val="singleLevel"/>
    <w:tmpl w:val="38C655C0"/>
    <w:lvl w:ilvl="0">
      <w:start w:val="1"/>
      <w:numFmt w:val="bullet"/>
      <w:pStyle w:val="ListBullet2"/>
      <w:lvlText w:val="–"/>
      <w:lvlJc w:val="left"/>
      <w:pPr>
        <w:tabs>
          <w:tab w:val="num" w:pos="567"/>
        </w:tabs>
        <w:ind w:left="567" w:hanging="283"/>
      </w:pPr>
      <w:rPr>
        <w:rFonts w:hint="default"/>
        <w:color w:val="auto"/>
        <w:sz w:val="21"/>
      </w:rPr>
    </w:lvl>
  </w:abstractNum>
  <w:abstractNum w:abstractNumId="16">
    <w:nsid w:val="2351021E"/>
    <w:multiLevelType w:val="hybridMultilevel"/>
    <w:tmpl w:val="D738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b w:val="0"/>
        <w:i w:val="0"/>
      </w:rPr>
    </w:lvl>
    <w:lvl w:ilvl="1">
      <w:start w:val="1"/>
      <w:numFmt w:val="bullet"/>
      <w:lvlText w:val="–"/>
      <w:lvlJc w:val="left"/>
      <w:pPr>
        <w:tabs>
          <w:tab w:val="num" w:pos="1040"/>
        </w:tabs>
        <w:ind w:left="1040" w:hanging="520"/>
      </w:pPr>
      <w:rPr>
        <w:rFonts w:ascii="Times New Roman" w:hAnsi="Times New Roman"/>
        <w:b w:val="0"/>
        <w:i w:val="0"/>
      </w:rPr>
    </w:lvl>
    <w:lvl w:ilvl="2">
      <w:start w:val="1"/>
      <w:numFmt w:val="bullet"/>
      <w:lvlText w:val=":"/>
      <w:lvlJc w:val="left"/>
      <w:pPr>
        <w:tabs>
          <w:tab w:val="num" w:pos="1560"/>
        </w:tabs>
        <w:ind w:left="1560" w:hanging="520"/>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8">
    <w:nsid w:val="2D1E0CB6"/>
    <w:multiLevelType w:val="hybridMultilevel"/>
    <w:tmpl w:val="C9DC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D30FBA"/>
    <w:multiLevelType w:val="hybridMultilevel"/>
    <w:tmpl w:val="96781938"/>
    <w:lvl w:ilvl="0" w:tplc="BD50182A">
      <w:start w:val="1"/>
      <w:numFmt w:val="decimal"/>
      <w:lvlText w:val="%1."/>
      <w:lvlJc w:val="left"/>
      <w:pPr>
        <w:ind w:left="360" w:hanging="360"/>
      </w:pPr>
      <w:rPr>
        <w:rFonts w:cs="Times New Roman" w:hint="default"/>
        <w:b/>
        <w:i w:val="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0">
    <w:nsid w:val="2FBD11B4"/>
    <w:multiLevelType w:val="multilevel"/>
    <w:tmpl w:val="88B61454"/>
    <w:lvl w:ilvl="0">
      <w:start w:val="1"/>
      <w:numFmt w:val="decimal"/>
      <w:pStyle w:val="List-number-1"/>
      <w:lvlText w:val="%1."/>
      <w:lvlJc w:val="left"/>
      <w:pPr>
        <w:tabs>
          <w:tab w:val="num" w:pos="360"/>
        </w:tabs>
        <w:ind w:left="360" w:hanging="360"/>
      </w:pPr>
      <w:rPr>
        <w:rFonts w:cs="Times New Roman" w:hint="default"/>
      </w:rPr>
    </w:lvl>
    <w:lvl w:ilvl="1">
      <w:start w:val="1"/>
      <w:numFmt w:val="lowerLetter"/>
      <w:pStyle w:val="List-number-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31193B19"/>
    <w:multiLevelType w:val="hybridMultilevel"/>
    <w:tmpl w:val="31DC45B4"/>
    <w:lvl w:ilvl="0" w:tplc="63CACC18">
      <w:start w:val="1"/>
      <w:numFmt w:val="decimal"/>
      <w:lvlText w:val="%1."/>
      <w:lvlJc w:val="left"/>
      <w:pPr>
        <w:ind w:left="720" w:hanging="360"/>
      </w:pPr>
      <w:rPr>
        <w:rFonts w:cs="Times New Roman" w:hint="default"/>
        <w:b/>
        <w:i/>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382D65A6"/>
    <w:multiLevelType w:val="hybridMultilevel"/>
    <w:tmpl w:val="A7446C82"/>
    <w:lvl w:ilvl="0" w:tplc="B70A9096">
      <w:start w:val="1"/>
      <w:numFmt w:val="decimal"/>
      <w:pStyle w:val="BoxListNumber"/>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7D86B2D"/>
    <w:multiLevelType w:val="hybridMultilevel"/>
    <w:tmpl w:val="D0EA5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98A5214"/>
    <w:multiLevelType w:val="hybridMultilevel"/>
    <w:tmpl w:val="0B5AC610"/>
    <w:lvl w:ilvl="0" w:tplc="FFFFFFFF">
      <w:start w:val="1"/>
      <w:numFmt w:val="decimal"/>
      <w:pStyle w:val="TableListNumber"/>
      <w:lvlText w:val="%1."/>
      <w:lvlJc w:val="left"/>
      <w:pPr>
        <w:tabs>
          <w:tab w:val="num" w:pos="227"/>
        </w:tabs>
        <w:ind w:left="227" w:hanging="22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59F0034A"/>
    <w:multiLevelType w:val="hybridMultilevel"/>
    <w:tmpl w:val="F1CA54E8"/>
    <w:lvl w:ilvl="0" w:tplc="6C42C01E">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64F264CF"/>
    <w:multiLevelType w:val="multilevel"/>
    <w:tmpl w:val="537047AE"/>
    <w:lvl w:ilvl="0">
      <w:start w:val="1"/>
      <w:numFmt w:val="none"/>
      <w:suff w:val="nothing"/>
      <w:lvlText w:val=""/>
      <w:lvlJc w:val="left"/>
      <w:rPr>
        <w:rFonts w:cs="Times New Roman" w:hint="default"/>
        <w:b w:val="0"/>
        <w:i w:val="0"/>
        <w:color w:val="54534A"/>
      </w:rPr>
    </w:lvl>
    <w:lvl w:ilvl="1">
      <w:start w:val="1"/>
      <w:numFmt w:val="none"/>
      <w:suff w:val="nothing"/>
      <w:lvlText w:val=""/>
      <w:lvlJc w:val="left"/>
      <w:rPr>
        <w:rFonts w:cs="Times New Roman" w:hint="default"/>
      </w:rPr>
    </w:lvl>
    <w:lvl w:ilvl="2">
      <w:start w:val="1"/>
      <w:numFmt w:val="none"/>
      <w:lvlRestart w:val="0"/>
      <w:suff w:val="nothing"/>
      <w:lvlText w:val=""/>
      <w:lvlJc w:val="left"/>
      <w:rPr>
        <w:rFonts w:cs="Times New Roman" w:hint="default"/>
      </w:rPr>
    </w:lvl>
    <w:lvl w:ilvl="3">
      <w:start w:val="1"/>
      <w:numFmt w:val="none"/>
      <w:lvlRestart w:val="0"/>
      <w:pStyle w:val="Heading4"/>
      <w:suff w:val="nothing"/>
      <w:lvlText w:val=""/>
      <w:lvlJc w:val="left"/>
      <w:rPr>
        <w:rFonts w:cs="Times New Roman" w:hint="default"/>
      </w:rPr>
    </w:lvl>
    <w:lvl w:ilvl="4">
      <w:start w:val="1"/>
      <w:numFmt w:val="none"/>
      <w:lvlRestart w:val="0"/>
      <w:pStyle w:val="Heading5"/>
      <w:suff w:val="nothing"/>
      <w:lvlText w:val=""/>
      <w:lvlJc w:val="left"/>
      <w:rPr>
        <w:rFonts w:cs="Times New Roman"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cs="Times New Roman" w:hint="default"/>
        <w:b w:val="0"/>
        <w:i w:val="0"/>
        <w:caps w:val="0"/>
        <w:color w:val="54534A"/>
        <w:position w:val="0"/>
        <w:sz w:val="50"/>
        <w:szCs w:val="50"/>
      </w:rPr>
    </w:lvl>
    <w:lvl w:ilvl="6">
      <w:start w:val="1"/>
      <w:numFmt w:val="none"/>
      <w:lvlRestart w:val="0"/>
      <w:suff w:val="nothing"/>
      <w:lvlText w:val=""/>
      <w:lvlJc w:val="left"/>
      <w:rPr>
        <w:rFonts w:cs="Times New Roman" w:hint="default"/>
        <w:caps/>
        <w:sz w:val="22"/>
        <w:szCs w:val="22"/>
      </w:rPr>
    </w:lvl>
    <w:lvl w:ilvl="7">
      <w:start w:val="1"/>
      <w:numFmt w:val="none"/>
      <w:lvlRestart w:val="0"/>
      <w:suff w:val="nothing"/>
      <w:lvlText w:val=""/>
      <w:lvlJc w:val="left"/>
      <w:rPr>
        <w:rFonts w:cs="Times New Roman" w:hint="default"/>
      </w:rPr>
    </w:lvl>
    <w:lvl w:ilvl="8">
      <w:start w:val="1"/>
      <w:numFmt w:val="none"/>
      <w:lvlRestart w:val="0"/>
      <w:pStyle w:val="Heading9"/>
      <w:suff w:val="nothing"/>
      <w:lvlText w:val=""/>
      <w:lvlJc w:val="left"/>
      <w:rPr>
        <w:rFonts w:cs="Times New Roman" w:hint="default"/>
      </w:rPr>
    </w:lvl>
  </w:abstractNum>
  <w:abstractNum w:abstractNumId="30">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CA95AF5"/>
    <w:multiLevelType w:val="multilevel"/>
    <w:tmpl w:val="AA96A81E"/>
    <w:lvl w:ilvl="0">
      <w:start w:val="1"/>
      <w:numFmt w:val="lowerLetter"/>
      <w:lvlRestart w:val="0"/>
      <w:pStyle w:val="NoteNumber"/>
      <w:lvlText w:val="%1"/>
      <w:lvlJc w:val="left"/>
      <w:pPr>
        <w:tabs>
          <w:tab w:val="num" w:pos="170"/>
        </w:tabs>
      </w:pPr>
      <w:rPr>
        <w:rFonts w:ascii="Times New Roman" w:hAnsi="Times New Roman" w:cs="Times New Roman" w:hint="default"/>
        <w:b w:val="0"/>
        <w:bCs w:val="0"/>
        <w:i w:val="0"/>
        <w:iCs w:val="0"/>
        <w:caps w:val="0"/>
        <w:smallCaps w:val="0"/>
        <w:strike w:val="0"/>
        <w:dstrike w:val="0"/>
        <w:vanish w:val="0"/>
        <w:color w:val="000000"/>
        <w:spacing w:val="0"/>
        <w:kern w:val="0"/>
        <w:position w:val="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3"/>
      </w:pPr>
      <w:rPr>
        <w:rFonts w:cs="Times New Roman" w:hint="default"/>
      </w:rPr>
    </w:lvl>
    <w:lvl w:ilvl="2">
      <w:start w:val="1"/>
      <w:numFmt w:val="lowerRoman"/>
      <w:lvlText w:val="%3."/>
      <w:lvlJc w:val="right"/>
      <w:pPr>
        <w:tabs>
          <w:tab w:val="num" w:pos="2160"/>
        </w:tabs>
        <w:ind w:left="2160" w:hanging="181"/>
      </w:pPr>
      <w:rPr>
        <w:rFonts w:cs="Times New Roman" w:hint="default"/>
      </w:rPr>
    </w:lvl>
    <w:lvl w:ilvl="3">
      <w:start w:val="1"/>
      <w:numFmt w:val="decimal"/>
      <w:lvlText w:val="%4."/>
      <w:lvlJc w:val="left"/>
      <w:pPr>
        <w:tabs>
          <w:tab w:val="num" w:pos="2880"/>
        </w:tabs>
        <w:ind w:left="2880" w:hanging="363"/>
      </w:pPr>
      <w:rPr>
        <w:rFonts w:cs="Times New Roman" w:hint="default"/>
      </w:rPr>
    </w:lvl>
    <w:lvl w:ilvl="4">
      <w:start w:val="1"/>
      <w:numFmt w:val="lowerLetter"/>
      <w:lvlText w:val="%5."/>
      <w:lvlJc w:val="left"/>
      <w:pPr>
        <w:tabs>
          <w:tab w:val="num" w:pos="3600"/>
        </w:tabs>
        <w:ind w:left="3600" w:hanging="363"/>
      </w:pPr>
      <w:rPr>
        <w:rFonts w:cs="Times New Roman" w:hint="default"/>
      </w:rPr>
    </w:lvl>
    <w:lvl w:ilvl="5">
      <w:start w:val="1"/>
      <w:numFmt w:val="lowerRoman"/>
      <w:lvlText w:val="%6."/>
      <w:lvlJc w:val="right"/>
      <w:pPr>
        <w:tabs>
          <w:tab w:val="num" w:pos="4320"/>
        </w:tabs>
        <w:ind w:left="4320" w:hanging="181"/>
      </w:pPr>
      <w:rPr>
        <w:rFonts w:cs="Times New Roman" w:hint="default"/>
      </w:rPr>
    </w:lvl>
    <w:lvl w:ilvl="6">
      <w:start w:val="1"/>
      <w:numFmt w:val="decimal"/>
      <w:lvlText w:val="%7."/>
      <w:lvlJc w:val="left"/>
      <w:pPr>
        <w:tabs>
          <w:tab w:val="num" w:pos="5040"/>
        </w:tabs>
        <w:ind w:left="5040" w:hanging="363"/>
      </w:pPr>
      <w:rPr>
        <w:rFonts w:cs="Times New Roman" w:hint="default"/>
      </w:rPr>
    </w:lvl>
    <w:lvl w:ilvl="7">
      <w:start w:val="1"/>
      <w:numFmt w:val="lowerLetter"/>
      <w:lvlText w:val="%8."/>
      <w:lvlJc w:val="left"/>
      <w:pPr>
        <w:tabs>
          <w:tab w:val="num" w:pos="5760"/>
        </w:tabs>
        <w:ind w:left="5760" w:hanging="363"/>
      </w:pPr>
      <w:rPr>
        <w:rFonts w:cs="Times New Roman" w:hint="default"/>
      </w:rPr>
    </w:lvl>
    <w:lvl w:ilvl="8">
      <w:start w:val="1"/>
      <w:numFmt w:val="lowerRoman"/>
      <w:lvlText w:val="%9."/>
      <w:lvlJc w:val="right"/>
      <w:pPr>
        <w:tabs>
          <w:tab w:val="num" w:pos="6480"/>
        </w:tabs>
        <w:ind w:left="6480" w:hanging="181"/>
      </w:pPr>
      <w:rPr>
        <w:rFonts w:cs="Times New Roman" w:hint="default"/>
      </w:rPr>
    </w:lvl>
  </w:abstractNum>
  <w:abstractNum w:abstractNumId="32">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167A7B"/>
    <w:multiLevelType w:val="hybridMultilevel"/>
    <w:tmpl w:val="BF663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09007CE"/>
    <w:multiLevelType w:val="hybridMultilevel"/>
    <w:tmpl w:val="B90C9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9877A1D"/>
    <w:multiLevelType w:val="hybridMultilevel"/>
    <w:tmpl w:val="8D0A2AD2"/>
    <w:lvl w:ilvl="0" w:tplc="910E2882">
      <w:start w:val="1"/>
      <w:numFmt w:val="decimal"/>
      <w:lvlText w:val="%1."/>
      <w:lvlJc w:val="left"/>
      <w:pPr>
        <w:ind w:left="720" w:hanging="360"/>
      </w:pPr>
      <w:rPr>
        <w:rFonts w:cs="Times New Roman" w:hint="default"/>
        <w:b/>
        <w:i/>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nsid w:val="79E1124E"/>
    <w:multiLevelType w:val="hybridMultilevel"/>
    <w:tmpl w:val="6D42E656"/>
    <w:lvl w:ilvl="0" w:tplc="FFFFFFFF">
      <w:start w:val="1"/>
      <w:numFmt w:val="lowerLetter"/>
      <w:pStyle w:val="ListNumber2"/>
      <w:lvlText w:val="%1."/>
      <w:lvlJc w:val="left"/>
      <w:pPr>
        <w:tabs>
          <w:tab w:val="num" w:pos="567"/>
        </w:tabs>
        <w:ind w:left="567" w:hanging="28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7D544138"/>
    <w:multiLevelType w:val="hybridMultilevel"/>
    <w:tmpl w:val="67A8F3DA"/>
    <w:lvl w:ilvl="0" w:tplc="AAFE5A42">
      <w:start w:val="1"/>
      <w:numFmt w:val="decimal"/>
      <w:lvlText w:val="%1."/>
      <w:lvlJc w:val="left"/>
      <w:pPr>
        <w:ind w:left="720" w:hanging="360"/>
      </w:pPr>
      <w:rPr>
        <w:rFonts w:cs="Times New Roman" w:hint="default"/>
        <w:b/>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4"/>
  </w:num>
  <w:num w:numId="7">
    <w:abstractNumId w:val="2"/>
  </w:num>
  <w:num w:numId="8">
    <w:abstractNumId w:val="3"/>
  </w:num>
  <w:num w:numId="9">
    <w:abstractNumId w:val="1"/>
  </w:num>
  <w:num w:numId="10">
    <w:abstractNumId w:val="0"/>
  </w:num>
  <w:num w:numId="11">
    <w:abstractNumId w:val="29"/>
  </w:num>
  <w:num w:numId="12">
    <w:abstractNumId w:val="31"/>
  </w:num>
  <w:num w:numId="13">
    <w:abstractNumId w:val="14"/>
  </w:num>
  <w:num w:numId="14">
    <w:abstractNumId w:val="27"/>
  </w:num>
  <w:num w:numId="15">
    <w:abstractNumId w:val="11"/>
  </w:num>
  <w:num w:numId="16">
    <w:abstractNumId w:val="26"/>
  </w:num>
  <w:num w:numId="17">
    <w:abstractNumId w:val="23"/>
  </w:num>
  <w:num w:numId="18">
    <w:abstractNumId w:val="22"/>
  </w:num>
  <w:num w:numId="19">
    <w:abstractNumId w:val="30"/>
  </w:num>
  <w:num w:numId="20">
    <w:abstractNumId w:val="9"/>
  </w:num>
  <w:num w:numId="21">
    <w:abstractNumId w:val="25"/>
  </w:num>
  <w:num w:numId="22">
    <w:abstractNumId w:val="32"/>
  </w:num>
  <w:num w:numId="23">
    <w:abstractNumId w:val="15"/>
  </w:num>
  <w:num w:numId="24">
    <w:abstractNumId w:val="36"/>
  </w:num>
  <w:num w:numId="25">
    <w:abstractNumId w:val="38"/>
  </w:num>
  <w:num w:numId="26">
    <w:abstractNumId w:val="20"/>
  </w:num>
  <w:num w:numId="27">
    <w:abstractNumId w:val="0"/>
  </w:num>
  <w:num w:numId="28">
    <w:abstractNumId w:val="5"/>
  </w:num>
  <w:num w:numId="29">
    <w:abstractNumId w:val="6"/>
  </w:num>
  <w:num w:numId="30">
    <w:abstractNumId w:val="28"/>
  </w:num>
  <w:num w:numId="31">
    <w:abstractNumId w:val="34"/>
  </w:num>
  <w:num w:numId="32">
    <w:abstractNumId w:val="33"/>
  </w:num>
  <w:num w:numId="33">
    <w:abstractNumId w:val="13"/>
  </w:num>
  <w:num w:numId="34">
    <w:abstractNumId w:val="18"/>
  </w:num>
  <w:num w:numId="35">
    <w:abstractNumId w:val="10"/>
  </w:num>
  <w:num w:numId="36">
    <w:abstractNumId w:val="12"/>
  </w:num>
  <w:num w:numId="37">
    <w:abstractNumId w:val="16"/>
  </w:num>
  <w:num w:numId="38">
    <w:abstractNumId w:val="14"/>
  </w:num>
  <w:num w:numId="39">
    <w:abstractNumId w:val="24"/>
  </w:num>
  <w:num w:numId="40">
    <w:abstractNumId w:val="8"/>
  </w:num>
  <w:num w:numId="41">
    <w:abstractNumId w:val="19"/>
  </w:num>
  <w:num w:numId="42">
    <w:abstractNumId w:val="7"/>
  </w:num>
  <w:num w:numId="43">
    <w:abstractNumId w:val="37"/>
  </w:num>
  <w:num w:numId="44">
    <w:abstractNumId w:val="35"/>
  </w:num>
  <w:num w:numId="45">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358B23-7114-4C82-BA02-4A6AEE34646F}"/>
    <w:docVar w:name="dgnword-eventsink" w:val="238888680"/>
  </w:docVars>
  <w:rsids>
    <w:rsidRoot w:val="005B7C71"/>
    <w:rsid w:val="000004FF"/>
    <w:rsid w:val="000039CF"/>
    <w:rsid w:val="000143D9"/>
    <w:rsid w:val="00014F58"/>
    <w:rsid w:val="000200F1"/>
    <w:rsid w:val="00020121"/>
    <w:rsid w:val="00021A9E"/>
    <w:rsid w:val="00025B18"/>
    <w:rsid w:val="00030111"/>
    <w:rsid w:val="00031100"/>
    <w:rsid w:val="00033445"/>
    <w:rsid w:val="00040943"/>
    <w:rsid w:val="00045AC2"/>
    <w:rsid w:val="00046B6A"/>
    <w:rsid w:val="0005235A"/>
    <w:rsid w:val="00054877"/>
    <w:rsid w:val="0005697B"/>
    <w:rsid w:val="00060B36"/>
    <w:rsid w:val="000710A5"/>
    <w:rsid w:val="00071B95"/>
    <w:rsid w:val="000745E2"/>
    <w:rsid w:val="000774FD"/>
    <w:rsid w:val="00092599"/>
    <w:rsid w:val="00092F36"/>
    <w:rsid w:val="00096904"/>
    <w:rsid w:val="00097701"/>
    <w:rsid w:val="000979A0"/>
    <w:rsid w:val="000A1618"/>
    <w:rsid w:val="000A28A4"/>
    <w:rsid w:val="000A498F"/>
    <w:rsid w:val="000A6DA9"/>
    <w:rsid w:val="000B166F"/>
    <w:rsid w:val="000B3121"/>
    <w:rsid w:val="000B4BF1"/>
    <w:rsid w:val="000B530A"/>
    <w:rsid w:val="000B7FEB"/>
    <w:rsid w:val="000C29BF"/>
    <w:rsid w:val="000C6080"/>
    <w:rsid w:val="000C60A8"/>
    <w:rsid w:val="000D3855"/>
    <w:rsid w:val="000E0331"/>
    <w:rsid w:val="000E1AC2"/>
    <w:rsid w:val="000E21C7"/>
    <w:rsid w:val="000E46EF"/>
    <w:rsid w:val="000E579E"/>
    <w:rsid w:val="000E7297"/>
    <w:rsid w:val="000E775A"/>
    <w:rsid w:val="000F1ED7"/>
    <w:rsid w:val="000F5425"/>
    <w:rsid w:val="000F5C34"/>
    <w:rsid w:val="00100AA2"/>
    <w:rsid w:val="001010B5"/>
    <w:rsid w:val="00101580"/>
    <w:rsid w:val="00106200"/>
    <w:rsid w:val="00111CC0"/>
    <w:rsid w:val="00112E97"/>
    <w:rsid w:val="0011582A"/>
    <w:rsid w:val="001158FC"/>
    <w:rsid w:val="00120FC7"/>
    <w:rsid w:val="00123626"/>
    <w:rsid w:val="00125C7E"/>
    <w:rsid w:val="001327C4"/>
    <w:rsid w:val="0013427D"/>
    <w:rsid w:val="001366B4"/>
    <w:rsid w:val="00136E87"/>
    <w:rsid w:val="00137E9A"/>
    <w:rsid w:val="00141A30"/>
    <w:rsid w:val="0014411B"/>
    <w:rsid w:val="0014524B"/>
    <w:rsid w:val="0015034D"/>
    <w:rsid w:val="0016103A"/>
    <w:rsid w:val="001612CE"/>
    <w:rsid w:val="00162591"/>
    <w:rsid w:val="0016544D"/>
    <w:rsid w:val="00173C6E"/>
    <w:rsid w:val="00174ABF"/>
    <w:rsid w:val="00180B19"/>
    <w:rsid w:val="0018196F"/>
    <w:rsid w:val="001829BB"/>
    <w:rsid w:val="0018356A"/>
    <w:rsid w:val="00187E81"/>
    <w:rsid w:val="001912FD"/>
    <w:rsid w:val="00191540"/>
    <w:rsid w:val="001915ED"/>
    <w:rsid w:val="00192498"/>
    <w:rsid w:val="0019341B"/>
    <w:rsid w:val="0019394C"/>
    <w:rsid w:val="00194806"/>
    <w:rsid w:val="00195575"/>
    <w:rsid w:val="001A463F"/>
    <w:rsid w:val="001B1557"/>
    <w:rsid w:val="001B1A0C"/>
    <w:rsid w:val="001B1AF8"/>
    <w:rsid w:val="001B1B2D"/>
    <w:rsid w:val="001B21DD"/>
    <w:rsid w:val="001B7551"/>
    <w:rsid w:val="001C1EA0"/>
    <w:rsid w:val="001C1F68"/>
    <w:rsid w:val="001C4335"/>
    <w:rsid w:val="001C507E"/>
    <w:rsid w:val="001C700E"/>
    <w:rsid w:val="001C7117"/>
    <w:rsid w:val="001D20FC"/>
    <w:rsid w:val="001D210A"/>
    <w:rsid w:val="001D3FBC"/>
    <w:rsid w:val="001D701C"/>
    <w:rsid w:val="001E28B1"/>
    <w:rsid w:val="001E5DD2"/>
    <w:rsid w:val="001F1476"/>
    <w:rsid w:val="001F7480"/>
    <w:rsid w:val="00200A13"/>
    <w:rsid w:val="0020188F"/>
    <w:rsid w:val="0020223B"/>
    <w:rsid w:val="00202FF0"/>
    <w:rsid w:val="002115BD"/>
    <w:rsid w:val="0021292A"/>
    <w:rsid w:val="00220199"/>
    <w:rsid w:val="00227F7A"/>
    <w:rsid w:val="00231D45"/>
    <w:rsid w:val="00232975"/>
    <w:rsid w:val="00232BD6"/>
    <w:rsid w:val="00237C4B"/>
    <w:rsid w:val="00237D94"/>
    <w:rsid w:val="00241C24"/>
    <w:rsid w:val="002438C6"/>
    <w:rsid w:val="00244BCD"/>
    <w:rsid w:val="00246E5F"/>
    <w:rsid w:val="00254972"/>
    <w:rsid w:val="00262271"/>
    <w:rsid w:val="0026487C"/>
    <w:rsid w:val="00265DD6"/>
    <w:rsid w:val="002737C7"/>
    <w:rsid w:val="002765E4"/>
    <w:rsid w:val="002778E1"/>
    <w:rsid w:val="00280126"/>
    <w:rsid w:val="00280C28"/>
    <w:rsid w:val="00283757"/>
    <w:rsid w:val="002849B4"/>
    <w:rsid w:val="002931A9"/>
    <w:rsid w:val="00295640"/>
    <w:rsid w:val="002978FD"/>
    <w:rsid w:val="002A1935"/>
    <w:rsid w:val="002A22F7"/>
    <w:rsid w:val="002A7E93"/>
    <w:rsid w:val="002B0F9E"/>
    <w:rsid w:val="002B3CA3"/>
    <w:rsid w:val="002B433A"/>
    <w:rsid w:val="002B4A5B"/>
    <w:rsid w:val="002B5E27"/>
    <w:rsid w:val="002B65E9"/>
    <w:rsid w:val="002B79D4"/>
    <w:rsid w:val="002C30D6"/>
    <w:rsid w:val="002C3B85"/>
    <w:rsid w:val="002C7DB6"/>
    <w:rsid w:val="002D0748"/>
    <w:rsid w:val="002D19A8"/>
    <w:rsid w:val="002D2A5F"/>
    <w:rsid w:val="002D4CFA"/>
    <w:rsid w:val="002D5DA5"/>
    <w:rsid w:val="002D671C"/>
    <w:rsid w:val="002D6914"/>
    <w:rsid w:val="002F217D"/>
    <w:rsid w:val="002F2630"/>
    <w:rsid w:val="002F479A"/>
    <w:rsid w:val="002F5A14"/>
    <w:rsid w:val="0030174D"/>
    <w:rsid w:val="00303038"/>
    <w:rsid w:val="00304B68"/>
    <w:rsid w:val="0030541E"/>
    <w:rsid w:val="00306268"/>
    <w:rsid w:val="003103C1"/>
    <w:rsid w:val="00310426"/>
    <w:rsid w:val="00310C4A"/>
    <w:rsid w:val="003123FB"/>
    <w:rsid w:val="00315D13"/>
    <w:rsid w:val="00320CA5"/>
    <w:rsid w:val="003214F5"/>
    <w:rsid w:val="003223F8"/>
    <w:rsid w:val="0032486D"/>
    <w:rsid w:val="003260C0"/>
    <w:rsid w:val="00326B5A"/>
    <w:rsid w:val="003274CB"/>
    <w:rsid w:val="00327CF9"/>
    <w:rsid w:val="00331D92"/>
    <w:rsid w:val="00332396"/>
    <w:rsid w:val="003327F8"/>
    <w:rsid w:val="00341177"/>
    <w:rsid w:val="00345855"/>
    <w:rsid w:val="00345B8E"/>
    <w:rsid w:val="0034691B"/>
    <w:rsid w:val="00351ACA"/>
    <w:rsid w:val="00352AE5"/>
    <w:rsid w:val="00352FAC"/>
    <w:rsid w:val="003554F7"/>
    <w:rsid w:val="00356726"/>
    <w:rsid w:val="003573AC"/>
    <w:rsid w:val="003574C6"/>
    <w:rsid w:val="00357AF7"/>
    <w:rsid w:val="00357D44"/>
    <w:rsid w:val="00360662"/>
    <w:rsid w:val="00361457"/>
    <w:rsid w:val="00363B38"/>
    <w:rsid w:val="003653FE"/>
    <w:rsid w:val="003658C4"/>
    <w:rsid w:val="00367E27"/>
    <w:rsid w:val="00372E1B"/>
    <w:rsid w:val="00380FAB"/>
    <w:rsid w:val="003826CC"/>
    <w:rsid w:val="00382E53"/>
    <w:rsid w:val="00383294"/>
    <w:rsid w:val="00385021"/>
    <w:rsid w:val="0038683A"/>
    <w:rsid w:val="00391692"/>
    <w:rsid w:val="00395CFA"/>
    <w:rsid w:val="003A2428"/>
    <w:rsid w:val="003A2D7B"/>
    <w:rsid w:val="003A74BF"/>
    <w:rsid w:val="003A7699"/>
    <w:rsid w:val="003B5156"/>
    <w:rsid w:val="003C2702"/>
    <w:rsid w:val="003C4B40"/>
    <w:rsid w:val="003C7721"/>
    <w:rsid w:val="003D081D"/>
    <w:rsid w:val="003D7D1C"/>
    <w:rsid w:val="003E0725"/>
    <w:rsid w:val="003E4982"/>
    <w:rsid w:val="003E4CA6"/>
    <w:rsid w:val="003E560E"/>
    <w:rsid w:val="003F23D9"/>
    <w:rsid w:val="00405B1E"/>
    <w:rsid w:val="00406D80"/>
    <w:rsid w:val="00411E85"/>
    <w:rsid w:val="00413539"/>
    <w:rsid w:val="0041445D"/>
    <w:rsid w:val="00415A92"/>
    <w:rsid w:val="004228CD"/>
    <w:rsid w:val="00426354"/>
    <w:rsid w:val="004272CB"/>
    <w:rsid w:val="004311C0"/>
    <w:rsid w:val="00436811"/>
    <w:rsid w:val="00441E20"/>
    <w:rsid w:val="00443639"/>
    <w:rsid w:val="00445A3B"/>
    <w:rsid w:val="004500D1"/>
    <w:rsid w:val="00450747"/>
    <w:rsid w:val="00450E02"/>
    <w:rsid w:val="00451E89"/>
    <w:rsid w:val="004549AB"/>
    <w:rsid w:val="00457FF5"/>
    <w:rsid w:val="00484E47"/>
    <w:rsid w:val="004967DD"/>
    <w:rsid w:val="004A7400"/>
    <w:rsid w:val="004C442E"/>
    <w:rsid w:val="004C4A3E"/>
    <w:rsid w:val="004C5CB0"/>
    <w:rsid w:val="004C660D"/>
    <w:rsid w:val="004D1529"/>
    <w:rsid w:val="004D19CE"/>
    <w:rsid w:val="004D1D06"/>
    <w:rsid w:val="004D390F"/>
    <w:rsid w:val="004D4522"/>
    <w:rsid w:val="004E2872"/>
    <w:rsid w:val="004E3709"/>
    <w:rsid w:val="004E42D1"/>
    <w:rsid w:val="004E6400"/>
    <w:rsid w:val="004E6E33"/>
    <w:rsid w:val="004F521E"/>
    <w:rsid w:val="004F72E5"/>
    <w:rsid w:val="00502435"/>
    <w:rsid w:val="005028AE"/>
    <w:rsid w:val="00503974"/>
    <w:rsid w:val="0050529F"/>
    <w:rsid w:val="00511F40"/>
    <w:rsid w:val="00514B5E"/>
    <w:rsid w:val="0051718A"/>
    <w:rsid w:val="005211ED"/>
    <w:rsid w:val="0052286C"/>
    <w:rsid w:val="00522AB9"/>
    <w:rsid w:val="00525542"/>
    <w:rsid w:val="00525BAA"/>
    <w:rsid w:val="005265B9"/>
    <w:rsid w:val="005309E2"/>
    <w:rsid w:val="00531F2F"/>
    <w:rsid w:val="00532263"/>
    <w:rsid w:val="00533533"/>
    <w:rsid w:val="00535E24"/>
    <w:rsid w:val="0053685E"/>
    <w:rsid w:val="00536B6D"/>
    <w:rsid w:val="00544070"/>
    <w:rsid w:val="005440F6"/>
    <w:rsid w:val="0054557A"/>
    <w:rsid w:val="00546DD6"/>
    <w:rsid w:val="00547211"/>
    <w:rsid w:val="005505E3"/>
    <w:rsid w:val="00552F4E"/>
    <w:rsid w:val="0055771D"/>
    <w:rsid w:val="0056204E"/>
    <w:rsid w:val="005626C7"/>
    <w:rsid w:val="00562FE3"/>
    <w:rsid w:val="00565CC6"/>
    <w:rsid w:val="00567FCF"/>
    <w:rsid w:val="005706B6"/>
    <w:rsid w:val="005725CC"/>
    <w:rsid w:val="00575295"/>
    <w:rsid w:val="005752FA"/>
    <w:rsid w:val="00575A27"/>
    <w:rsid w:val="00581315"/>
    <w:rsid w:val="005845CB"/>
    <w:rsid w:val="0058498A"/>
    <w:rsid w:val="00586350"/>
    <w:rsid w:val="005A18C5"/>
    <w:rsid w:val="005B1EC6"/>
    <w:rsid w:val="005B2826"/>
    <w:rsid w:val="005B52BF"/>
    <w:rsid w:val="005B7C71"/>
    <w:rsid w:val="005C1CDD"/>
    <w:rsid w:val="005C37DE"/>
    <w:rsid w:val="005C4A6B"/>
    <w:rsid w:val="005C63CC"/>
    <w:rsid w:val="005D063C"/>
    <w:rsid w:val="005D0955"/>
    <w:rsid w:val="005D2073"/>
    <w:rsid w:val="005D2A59"/>
    <w:rsid w:val="005D2BAE"/>
    <w:rsid w:val="005E46ED"/>
    <w:rsid w:val="005E5BD0"/>
    <w:rsid w:val="005F0C00"/>
    <w:rsid w:val="005F33F2"/>
    <w:rsid w:val="005F7190"/>
    <w:rsid w:val="00600452"/>
    <w:rsid w:val="006026F2"/>
    <w:rsid w:val="00617F30"/>
    <w:rsid w:val="0062341D"/>
    <w:rsid w:val="006246DD"/>
    <w:rsid w:val="0063005E"/>
    <w:rsid w:val="00641ABC"/>
    <w:rsid w:val="0064209E"/>
    <w:rsid w:val="00642E50"/>
    <w:rsid w:val="00646049"/>
    <w:rsid w:val="0065596D"/>
    <w:rsid w:val="00657108"/>
    <w:rsid w:val="00663909"/>
    <w:rsid w:val="006671BC"/>
    <w:rsid w:val="00672D23"/>
    <w:rsid w:val="00680679"/>
    <w:rsid w:val="00683FFB"/>
    <w:rsid w:val="006856BE"/>
    <w:rsid w:val="00692894"/>
    <w:rsid w:val="00693150"/>
    <w:rsid w:val="00695279"/>
    <w:rsid w:val="00695289"/>
    <w:rsid w:val="006A0F17"/>
    <w:rsid w:val="006A34F7"/>
    <w:rsid w:val="006A5E0D"/>
    <w:rsid w:val="006A729B"/>
    <w:rsid w:val="006A7C8F"/>
    <w:rsid w:val="006B1456"/>
    <w:rsid w:val="006B18D6"/>
    <w:rsid w:val="006B31E8"/>
    <w:rsid w:val="006B5A9C"/>
    <w:rsid w:val="006B5CDE"/>
    <w:rsid w:val="006C0494"/>
    <w:rsid w:val="006C05CB"/>
    <w:rsid w:val="006C515C"/>
    <w:rsid w:val="006C6800"/>
    <w:rsid w:val="006D2E37"/>
    <w:rsid w:val="006E0D7B"/>
    <w:rsid w:val="006E5BE6"/>
    <w:rsid w:val="006E5C16"/>
    <w:rsid w:val="006E7E9F"/>
    <w:rsid w:val="006E7FA8"/>
    <w:rsid w:val="006F23A8"/>
    <w:rsid w:val="006F4623"/>
    <w:rsid w:val="006F4B40"/>
    <w:rsid w:val="006F5C22"/>
    <w:rsid w:val="006F7DE4"/>
    <w:rsid w:val="00701FEA"/>
    <w:rsid w:val="00702EED"/>
    <w:rsid w:val="007031D8"/>
    <w:rsid w:val="007036B9"/>
    <w:rsid w:val="00704A94"/>
    <w:rsid w:val="0070671E"/>
    <w:rsid w:val="0070677C"/>
    <w:rsid w:val="00706DE1"/>
    <w:rsid w:val="007110C9"/>
    <w:rsid w:val="00711ABA"/>
    <w:rsid w:val="00714039"/>
    <w:rsid w:val="00714BA3"/>
    <w:rsid w:val="007152DB"/>
    <w:rsid w:val="0071605A"/>
    <w:rsid w:val="00716489"/>
    <w:rsid w:val="007174A9"/>
    <w:rsid w:val="0071755B"/>
    <w:rsid w:val="00721098"/>
    <w:rsid w:val="007224F5"/>
    <w:rsid w:val="0072289A"/>
    <w:rsid w:val="00726793"/>
    <w:rsid w:val="00733F9F"/>
    <w:rsid w:val="00741951"/>
    <w:rsid w:val="00742DD1"/>
    <w:rsid w:val="00747976"/>
    <w:rsid w:val="00750E77"/>
    <w:rsid w:val="00751326"/>
    <w:rsid w:val="007528CC"/>
    <w:rsid w:val="007572E9"/>
    <w:rsid w:val="00757CEF"/>
    <w:rsid w:val="00760BE2"/>
    <w:rsid w:val="00761A3A"/>
    <w:rsid w:val="007631C4"/>
    <w:rsid w:val="007648A8"/>
    <w:rsid w:val="007657D0"/>
    <w:rsid w:val="007665D4"/>
    <w:rsid w:val="00766BCF"/>
    <w:rsid w:val="00767F39"/>
    <w:rsid w:val="007726E1"/>
    <w:rsid w:val="00772BC8"/>
    <w:rsid w:val="00774F4B"/>
    <w:rsid w:val="007769D9"/>
    <w:rsid w:val="0077788B"/>
    <w:rsid w:val="00780E35"/>
    <w:rsid w:val="00782BA3"/>
    <w:rsid w:val="0079256F"/>
    <w:rsid w:val="00792F48"/>
    <w:rsid w:val="007A3C6A"/>
    <w:rsid w:val="007A5821"/>
    <w:rsid w:val="007A5D06"/>
    <w:rsid w:val="007A6522"/>
    <w:rsid w:val="007A6D87"/>
    <w:rsid w:val="007B105C"/>
    <w:rsid w:val="007B51E2"/>
    <w:rsid w:val="007B6E48"/>
    <w:rsid w:val="007B7D7F"/>
    <w:rsid w:val="007C039A"/>
    <w:rsid w:val="007C1DBC"/>
    <w:rsid w:val="007C5E7E"/>
    <w:rsid w:val="007C73FD"/>
    <w:rsid w:val="007D0D82"/>
    <w:rsid w:val="007D4777"/>
    <w:rsid w:val="007D6971"/>
    <w:rsid w:val="007D741E"/>
    <w:rsid w:val="007D7727"/>
    <w:rsid w:val="007D7CEC"/>
    <w:rsid w:val="007E0BC5"/>
    <w:rsid w:val="007E11DB"/>
    <w:rsid w:val="007E1BCC"/>
    <w:rsid w:val="007E2A95"/>
    <w:rsid w:val="007E43C4"/>
    <w:rsid w:val="007E5716"/>
    <w:rsid w:val="007F2841"/>
    <w:rsid w:val="007F2A77"/>
    <w:rsid w:val="007F3854"/>
    <w:rsid w:val="007F3E26"/>
    <w:rsid w:val="00802A66"/>
    <w:rsid w:val="00803460"/>
    <w:rsid w:val="008052C5"/>
    <w:rsid w:val="0081017B"/>
    <w:rsid w:val="00813480"/>
    <w:rsid w:val="00821541"/>
    <w:rsid w:val="008241C3"/>
    <w:rsid w:val="00830647"/>
    <w:rsid w:val="00830E80"/>
    <w:rsid w:val="008415CB"/>
    <w:rsid w:val="00845269"/>
    <w:rsid w:val="008536AC"/>
    <w:rsid w:val="00857978"/>
    <w:rsid w:val="00857F4D"/>
    <w:rsid w:val="008673E7"/>
    <w:rsid w:val="0087186E"/>
    <w:rsid w:val="00873D4A"/>
    <w:rsid w:val="00873E37"/>
    <w:rsid w:val="008810FA"/>
    <w:rsid w:val="00884878"/>
    <w:rsid w:val="00885B9C"/>
    <w:rsid w:val="008860A1"/>
    <w:rsid w:val="00892E1E"/>
    <w:rsid w:val="00896927"/>
    <w:rsid w:val="00897E16"/>
    <w:rsid w:val="008A144E"/>
    <w:rsid w:val="008B5F65"/>
    <w:rsid w:val="008C0C31"/>
    <w:rsid w:val="008D27EF"/>
    <w:rsid w:val="008D2DC8"/>
    <w:rsid w:val="008D34F9"/>
    <w:rsid w:val="008D5E2C"/>
    <w:rsid w:val="008D745E"/>
    <w:rsid w:val="008E04DA"/>
    <w:rsid w:val="008E1874"/>
    <w:rsid w:val="008E1D4D"/>
    <w:rsid w:val="008E68AE"/>
    <w:rsid w:val="008F06F2"/>
    <w:rsid w:val="008F0F05"/>
    <w:rsid w:val="008F4C4B"/>
    <w:rsid w:val="008F5D80"/>
    <w:rsid w:val="008F665C"/>
    <w:rsid w:val="00920AE2"/>
    <w:rsid w:val="00923D3D"/>
    <w:rsid w:val="00924CCB"/>
    <w:rsid w:val="0092520A"/>
    <w:rsid w:val="00932FAD"/>
    <w:rsid w:val="0093319A"/>
    <w:rsid w:val="00935449"/>
    <w:rsid w:val="009371DA"/>
    <w:rsid w:val="0094075F"/>
    <w:rsid w:val="00944C2B"/>
    <w:rsid w:val="00950FCD"/>
    <w:rsid w:val="00951562"/>
    <w:rsid w:val="00953C0B"/>
    <w:rsid w:val="00954EF3"/>
    <w:rsid w:val="0095506B"/>
    <w:rsid w:val="00960EB2"/>
    <w:rsid w:val="00963349"/>
    <w:rsid w:val="009668EF"/>
    <w:rsid w:val="009729A9"/>
    <w:rsid w:val="00972C94"/>
    <w:rsid w:val="00974919"/>
    <w:rsid w:val="00974C98"/>
    <w:rsid w:val="009763E4"/>
    <w:rsid w:val="009770D4"/>
    <w:rsid w:val="0098030D"/>
    <w:rsid w:val="00981E62"/>
    <w:rsid w:val="009913D5"/>
    <w:rsid w:val="00991E29"/>
    <w:rsid w:val="0099530A"/>
    <w:rsid w:val="00997343"/>
    <w:rsid w:val="009A1E07"/>
    <w:rsid w:val="009A28D2"/>
    <w:rsid w:val="009A28E2"/>
    <w:rsid w:val="009A3E86"/>
    <w:rsid w:val="009A4D39"/>
    <w:rsid w:val="009A4FD5"/>
    <w:rsid w:val="009A768B"/>
    <w:rsid w:val="009B5190"/>
    <w:rsid w:val="009B654F"/>
    <w:rsid w:val="009B77CB"/>
    <w:rsid w:val="009C16DF"/>
    <w:rsid w:val="009C26CF"/>
    <w:rsid w:val="009C4804"/>
    <w:rsid w:val="009C7948"/>
    <w:rsid w:val="009D03BB"/>
    <w:rsid w:val="009D22B1"/>
    <w:rsid w:val="009D3524"/>
    <w:rsid w:val="009D4C2F"/>
    <w:rsid w:val="009D4C69"/>
    <w:rsid w:val="009D53C4"/>
    <w:rsid w:val="009E2ED0"/>
    <w:rsid w:val="009E6780"/>
    <w:rsid w:val="009F07C5"/>
    <w:rsid w:val="009F2ACF"/>
    <w:rsid w:val="009F2F29"/>
    <w:rsid w:val="009F4D99"/>
    <w:rsid w:val="009F50F0"/>
    <w:rsid w:val="00A03685"/>
    <w:rsid w:val="00A03911"/>
    <w:rsid w:val="00A04A1D"/>
    <w:rsid w:val="00A05140"/>
    <w:rsid w:val="00A07A24"/>
    <w:rsid w:val="00A10DE1"/>
    <w:rsid w:val="00A120CE"/>
    <w:rsid w:val="00A12E42"/>
    <w:rsid w:val="00A150EA"/>
    <w:rsid w:val="00A22538"/>
    <w:rsid w:val="00A227C5"/>
    <w:rsid w:val="00A238F0"/>
    <w:rsid w:val="00A27341"/>
    <w:rsid w:val="00A329FB"/>
    <w:rsid w:val="00A34039"/>
    <w:rsid w:val="00A3552E"/>
    <w:rsid w:val="00A417FA"/>
    <w:rsid w:val="00A42760"/>
    <w:rsid w:val="00A443C7"/>
    <w:rsid w:val="00A44704"/>
    <w:rsid w:val="00A44D92"/>
    <w:rsid w:val="00A51653"/>
    <w:rsid w:val="00A5551F"/>
    <w:rsid w:val="00A57BFA"/>
    <w:rsid w:val="00A604E2"/>
    <w:rsid w:val="00A65CAA"/>
    <w:rsid w:val="00A66214"/>
    <w:rsid w:val="00A71731"/>
    <w:rsid w:val="00A73807"/>
    <w:rsid w:val="00A7483F"/>
    <w:rsid w:val="00A74F49"/>
    <w:rsid w:val="00A75FEF"/>
    <w:rsid w:val="00A766FD"/>
    <w:rsid w:val="00A82049"/>
    <w:rsid w:val="00A820E7"/>
    <w:rsid w:val="00A84DB7"/>
    <w:rsid w:val="00A85D16"/>
    <w:rsid w:val="00A94A75"/>
    <w:rsid w:val="00A94EC5"/>
    <w:rsid w:val="00AA1101"/>
    <w:rsid w:val="00AA2C43"/>
    <w:rsid w:val="00AA4D8A"/>
    <w:rsid w:val="00AA4F9F"/>
    <w:rsid w:val="00AA6BB1"/>
    <w:rsid w:val="00AA7EA8"/>
    <w:rsid w:val="00AB157B"/>
    <w:rsid w:val="00AB3900"/>
    <w:rsid w:val="00AB7215"/>
    <w:rsid w:val="00AC56C2"/>
    <w:rsid w:val="00AC5E19"/>
    <w:rsid w:val="00AC7F84"/>
    <w:rsid w:val="00AD65B7"/>
    <w:rsid w:val="00AE5C52"/>
    <w:rsid w:val="00AF045F"/>
    <w:rsid w:val="00AF0FA2"/>
    <w:rsid w:val="00AF0FDD"/>
    <w:rsid w:val="00AF394C"/>
    <w:rsid w:val="00AF648E"/>
    <w:rsid w:val="00B04EF1"/>
    <w:rsid w:val="00B065E1"/>
    <w:rsid w:val="00B06871"/>
    <w:rsid w:val="00B10A3C"/>
    <w:rsid w:val="00B13DFD"/>
    <w:rsid w:val="00B17A9D"/>
    <w:rsid w:val="00B21C2F"/>
    <w:rsid w:val="00B22B62"/>
    <w:rsid w:val="00B25FB5"/>
    <w:rsid w:val="00B2764E"/>
    <w:rsid w:val="00B3089B"/>
    <w:rsid w:val="00B30E77"/>
    <w:rsid w:val="00B33E99"/>
    <w:rsid w:val="00B33F27"/>
    <w:rsid w:val="00B4067A"/>
    <w:rsid w:val="00B42BE5"/>
    <w:rsid w:val="00B456CC"/>
    <w:rsid w:val="00B463FE"/>
    <w:rsid w:val="00B478EF"/>
    <w:rsid w:val="00B51558"/>
    <w:rsid w:val="00B51BAD"/>
    <w:rsid w:val="00B54BC6"/>
    <w:rsid w:val="00B56551"/>
    <w:rsid w:val="00B57AE9"/>
    <w:rsid w:val="00B638BD"/>
    <w:rsid w:val="00B63A12"/>
    <w:rsid w:val="00B65EB5"/>
    <w:rsid w:val="00B7189A"/>
    <w:rsid w:val="00B72CEC"/>
    <w:rsid w:val="00B746DC"/>
    <w:rsid w:val="00B80707"/>
    <w:rsid w:val="00B82C95"/>
    <w:rsid w:val="00B86E89"/>
    <w:rsid w:val="00B8749F"/>
    <w:rsid w:val="00B87675"/>
    <w:rsid w:val="00B917F2"/>
    <w:rsid w:val="00B91B94"/>
    <w:rsid w:val="00B92FEA"/>
    <w:rsid w:val="00B9323A"/>
    <w:rsid w:val="00B95043"/>
    <w:rsid w:val="00BA072F"/>
    <w:rsid w:val="00BA3026"/>
    <w:rsid w:val="00BA3EB0"/>
    <w:rsid w:val="00BA3EFF"/>
    <w:rsid w:val="00BA4972"/>
    <w:rsid w:val="00BA5FE7"/>
    <w:rsid w:val="00BA7FD4"/>
    <w:rsid w:val="00BB03FC"/>
    <w:rsid w:val="00BB1C24"/>
    <w:rsid w:val="00BB3DFD"/>
    <w:rsid w:val="00BC6774"/>
    <w:rsid w:val="00BC6EEF"/>
    <w:rsid w:val="00BC7980"/>
    <w:rsid w:val="00BD00CC"/>
    <w:rsid w:val="00BD4D43"/>
    <w:rsid w:val="00BD55CC"/>
    <w:rsid w:val="00BD615C"/>
    <w:rsid w:val="00BD649B"/>
    <w:rsid w:val="00BE0128"/>
    <w:rsid w:val="00BE0D5C"/>
    <w:rsid w:val="00BE3312"/>
    <w:rsid w:val="00BE47A8"/>
    <w:rsid w:val="00BE623A"/>
    <w:rsid w:val="00BE65E4"/>
    <w:rsid w:val="00BF0AA7"/>
    <w:rsid w:val="00BF2D63"/>
    <w:rsid w:val="00BF2F97"/>
    <w:rsid w:val="00C00765"/>
    <w:rsid w:val="00C06287"/>
    <w:rsid w:val="00C10E7D"/>
    <w:rsid w:val="00C11C19"/>
    <w:rsid w:val="00C1574A"/>
    <w:rsid w:val="00C20D5E"/>
    <w:rsid w:val="00C219B2"/>
    <w:rsid w:val="00C22909"/>
    <w:rsid w:val="00C23583"/>
    <w:rsid w:val="00C2491D"/>
    <w:rsid w:val="00C2603F"/>
    <w:rsid w:val="00C2624B"/>
    <w:rsid w:val="00C3289B"/>
    <w:rsid w:val="00C36C67"/>
    <w:rsid w:val="00C4066A"/>
    <w:rsid w:val="00C40D0E"/>
    <w:rsid w:val="00C422E0"/>
    <w:rsid w:val="00C43484"/>
    <w:rsid w:val="00C43749"/>
    <w:rsid w:val="00C450B2"/>
    <w:rsid w:val="00C469FC"/>
    <w:rsid w:val="00C5105C"/>
    <w:rsid w:val="00C56BAB"/>
    <w:rsid w:val="00C60D92"/>
    <w:rsid w:val="00C60E22"/>
    <w:rsid w:val="00C65930"/>
    <w:rsid w:val="00C72D33"/>
    <w:rsid w:val="00C73AF9"/>
    <w:rsid w:val="00C75AB0"/>
    <w:rsid w:val="00C80E9D"/>
    <w:rsid w:val="00C82568"/>
    <w:rsid w:val="00C82AA4"/>
    <w:rsid w:val="00C8305C"/>
    <w:rsid w:val="00C874DF"/>
    <w:rsid w:val="00C90291"/>
    <w:rsid w:val="00C92B19"/>
    <w:rsid w:val="00C93493"/>
    <w:rsid w:val="00C95691"/>
    <w:rsid w:val="00CA124C"/>
    <w:rsid w:val="00CA130C"/>
    <w:rsid w:val="00CA1B4C"/>
    <w:rsid w:val="00CA1ECD"/>
    <w:rsid w:val="00CA4C7F"/>
    <w:rsid w:val="00CA5D0A"/>
    <w:rsid w:val="00CB08D4"/>
    <w:rsid w:val="00CB5644"/>
    <w:rsid w:val="00CB5BDF"/>
    <w:rsid w:val="00CC1B82"/>
    <w:rsid w:val="00CC3B67"/>
    <w:rsid w:val="00CC3D36"/>
    <w:rsid w:val="00CC6BF4"/>
    <w:rsid w:val="00CC7214"/>
    <w:rsid w:val="00CD0FA4"/>
    <w:rsid w:val="00CD1979"/>
    <w:rsid w:val="00CE2417"/>
    <w:rsid w:val="00CE37C0"/>
    <w:rsid w:val="00CE6EB9"/>
    <w:rsid w:val="00CF5974"/>
    <w:rsid w:val="00D0608D"/>
    <w:rsid w:val="00D06E87"/>
    <w:rsid w:val="00D06EFC"/>
    <w:rsid w:val="00D1197E"/>
    <w:rsid w:val="00D1619E"/>
    <w:rsid w:val="00D17249"/>
    <w:rsid w:val="00D21E28"/>
    <w:rsid w:val="00D23D5D"/>
    <w:rsid w:val="00D23F34"/>
    <w:rsid w:val="00D25D64"/>
    <w:rsid w:val="00D310EC"/>
    <w:rsid w:val="00D31ECF"/>
    <w:rsid w:val="00D33DA7"/>
    <w:rsid w:val="00D445DD"/>
    <w:rsid w:val="00D44DB9"/>
    <w:rsid w:val="00D46055"/>
    <w:rsid w:val="00D4716E"/>
    <w:rsid w:val="00D472D8"/>
    <w:rsid w:val="00D56D31"/>
    <w:rsid w:val="00D56FF4"/>
    <w:rsid w:val="00D73AAB"/>
    <w:rsid w:val="00D74036"/>
    <w:rsid w:val="00D756C5"/>
    <w:rsid w:val="00D808EE"/>
    <w:rsid w:val="00D82918"/>
    <w:rsid w:val="00D86BBC"/>
    <w:rsid w:val="00D90785"/>
    <w:rsid w:val="00D930F4"/>
    <w:rsid w:val="00D93663"/>
    <w:rsid w:val="00D94097"/>
    <w:rsid w:val="00DA2B97"/>
    <w:rsid w:val="00DA78D5"/>
    <w:rsid w:val="00DA7DA7"/>
    <w:rsid w:val="00DB0CB2"/>
    <w:rsid w:val="00DC4E60"/>
    <w:rsid w:val="00DD327A"/>
    <w:rsid w:val="00DD3CA8"/>
    <w:rsid w:val="00DE40E8"/>
    <w:rsid w:val="00DE55E6"/>
    <w:rsid w:val="00DE73F3"/>
    <w:rsid w:val="00E04482"/>
    <w:rsid w:val="00E05EDE"/>
    <w:rsid w:val="00E068D9"/>
    <w:rsid w:val="00E07968"/>
    <w:rsid w:val="00E103A1"/>
    <w:rsid w:val="00E114CC"/>
    <w:rsid w:val="00E15D92"/>
    <w:rsid w:val="00E172F9"/>
    <w:rsid w:val="00E2267F"/>
    <w:rsid w:val="00E2365D"/>
    <w:rsid w:val="00E25B75"/>
    <w:rsid w:val="00E27C9F"/>
    <w:rsid w:val="00E33C11"/>
    <w:rsid w:val="00E34AED"/>
    <w:rsid w:val="00E36280"/>
    <w:rsid w:val="00E4261B"/>
    <w:rsid w:val="00E50948"/>
    <w:rsid w:val="00E56811"/>
    <w:rsid w:val="00E6139F"/>
    <w:rsid w:val="00E61E1E"/>
    <w:rsid w:val="00E62387"/>
    <w:rsid w:val="00E626F6"/>
    <w:rsid w:val="00E64B3B"/>
    <w:rsid w:val="00E65627"/>
    <w:rsid w:val="00E67A0D"/>
    <w:rsid w:val="00E71A05"/>
    <w:rsid w:val="00E71F58"/>
    <w:rsid w:val="00E725B3"/>
    <w:rsid w:val="00E73581"/>
    <w:rsid w:val="00E8353A"/>
    <w:rsid w:val="00E90B9D"/>
    <w:rsid w:val="00E923F1"/>
    <w:rsid w:val="00E92B7B"/>
    <w:rsid w:val="00EA1206"/>
    <w:rsid w:val="00EB0C62"/>
    <w:rsid w:val="00EB3D8A"/>
    <w:rsid w:val="00EB4AF9"/>
    <w:rsid w:val="00EB711D"/>
    <w:rsid w:val="00EB7904"/>
    <w:rsid w:val="00EC1279"/>
    <w:rsid w:val="00EC3C88"/>
    <w:rsid w:val="00EC73D5"/>
    <w:rsid w:val="00EC7C06"/>
    <w:rsid w:val="00ED0F30"/>
    <w:rsid w:val="00ED2380"/>
    <w:rsid w:val="00ED2536"/>
    <w:rsid w:val="00EE0130"/>
    <w:rsid w:val="00EE0E84"/>
    <w:rsid w:val="00EE18B9"/>
    <w:rsid w:val="00EE308D"/>
    <w:rsid w:val="00EE44C9"/>
    <w:rsid w:val="00EE45C9"/>
    <w:rsid w:val="00EF0062"/>
    <w:rsid w:val="00EF2769"/>
    <w:rsid w:val="00EF4DF3"/>
    <w:rsid w:val="00F005C2"/>
    <w:rsid w:val="00F05077"/>
    <w:rsid w:val="00F0799D"/>
    <w:rsid w:val="00F10BF0"/>
    <w:rsid w:val="00F1405B"/>
    <w:rsid w:val="00F158C4"/>
    <w:rsid w:val="00F16DC4"/>
    <w:rsid w:val="00F209D8"/>
    <w:rsid w:val="00F214D3"/>
    <w:rsid w:val="00F23E1D"/>
    <w:rsid w:val="00F27ED1"/>
    <w:rsid w:val="00F30897"/>
    <w:rsid w:val="00F31DD2"/>
    <w:rsid w:val="00F417C5"/>
    <w:rsid w:val="00F433F8"/>
    <w:rsid w:val="00F46297"/>
    <w:rsid w:val="00F469B2"/>
    <w:rsid w:val="00F5172B"/>
    <w:rsid w:val="00F521C9"/>
    <w:rsid w:val="00F53655"/>
    <w:rsid w:val="00F540AE"/>
    <w:rsid w:val="00F56610"/>
    <w:rsid w:val="00F6071E"/>
    <w:rsid w:val="00F65284"/>
    <w:rsid w:val="00F6659F"/>
    <w:rsid w:val="00F67041"/>
    <w:rsid w:val="00F711FF"/>
    <w:rsid w:val="00F71512"/>
    <w:rsid w:val="00F715C5"/>
    <w:rsid w:val="00F71FC3"/>
    <w:rsid w:val="00F74FA5"/>
    <w:rsid w:val="00F76351"/>
    <w:rsid w:val="00F76A78"/>
    <w:rsid w:val="00F77DC9"/>
    <w:rsid w:val="00F77E6A"/>
    <w:rsid w:val="00F81D93"/>
    <w:rsid w:val="00F81FE5"/>
    <w:rsid w:val="00F823A7"/>
    <w:rsid w:val="00F8531A"/>
    <w:rsid w:val="00F86C62"/>
    <w:rsid w:val="00F903A6"/>
    <w:rsid w:val="00F91686"/>
    <w:rsid w:val="00F93164"/>
    <w:rsid w:val="00F940A3"/>
    <w:rsid w:val="00F9413F"/>
    <w:rsid w:val="00F94D21"/>
    <w:rsid w:val="00F96927"/>
    <w:rsid w:val="00FA0893"/>
    <w:rsid w:val="00FA0C88"/>
    <w:rsid w:val="00FA11D0"/>
    <w:rsid w:val="00FA406D"/>
    <w:rsid w:val="00FA4570"/>
    <w:rsid w:val="00FB08C8"/>
    <w:rsid w:val="00FB1BCF"/>
    <w:rsid w:val="00FC19A6"/>
    <w:rsid w:val="00FC3C87"/>
    <w:rsid w:val="00FC7353"/>
    <w:rsid w:val="00FD125E"/>
    <w:rsid w:val="00FD1951"/>
    <w:rsid w:val="00FD2381"/>
    <w:rsid w:val="00FD710F"/>
    <w:rsid w:val="00FE1536"/>
    <w:rsid w:val="00FE25EE"/>
    <w:rsid w:val="00FE3979"/>
    <w:rsid w:val="00FE4491"/>
    <w:rsid w:val="00FE6F15"/>
    <w:rsid w:val="00FF1E84"/>
    <w:rsid w:val="00FF2D07"/>
    <w:rsid w:val="00FF2E8B"/>
    <w:rsid w:val="00FF3710"/>
    <w:rsid w:val="00FF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ko-K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locked="1" w:uiPriority="0"/>
    <w:lsdException w:name="List Number 3" w:locked="1" w:uiPriority="0"/>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8D5"/>
    <w:rPr>
      <w:rFonts w:ascii="Times New Roman" w:eastAsia="SimSun" w:hAnsi="Times New Roman"/>
      <w:sz w:val="20"/>
      <w:szCs w:val="24"/>
      <w:lang w:val="en-AU" w:eastAsia="en-AU"/>
    </w:rPr>
  </w:style>
  <w:style w:type="paragraph" w:styleId="Heading1">
    <w:name w:val="heading 1"/>
    <w:basedOn w:val="Normal"/>
    <w:next w:val="Normal"/>
    <w:link w:val="Heading1Char"/>
    <w:uiPriority w:val="99"/>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uiPriority w:val="99"/>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uiPriority w:val="99"/>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uiPriority w:val="99"/>
    <w:qFormat/>
    <w:rsid w:val="0050529F"/>
    <w:pPr>
      <w:numPr>
        <w:ilvl w:val="3"/>
        <w:numId w:val="11"/>
      </w:numPr>
      <w:spacing w:before="320" w:after="0"/>
      <w:outlineLvl w:val="3"/>
    </w:pPr>
    <w:rPr>
      <w:b/>
      <w:color w:val="54534A"/>
      <w:szCs w:val="22"/>
    </w:rPr>
  </w:style>
  <w:style w:type="paragraph" w:styleId="Heading5">
    <w:name w:val="heading 5"/>
    <w:basedOn w:val="BodyText"/>
    <w:next w:val="BodyText"/>
    <w:link w:val="Heading5Char"/>
    <w:uiPriority w:val="99"/>
    <w:qFormat/>
    <w:rsid w:val="0050529F"/>
    <w:pPr>
      <w:keepNext/>
      <w:numPr>
        <w:ilvl w:val="4"/>
        <w:numId w:val="11"/>
      </w:numPr>
      <w:spacing w:before="320" w:after="0"/>
      <w:outlineLvl w:val="4"/>
    </w:pPr>
    <w:rPr>
      <w:b/>
      <w:color w:val="54534A"/>
    </w:rPr>
  </w:style>
  <w:style w:type="paragraph" w:styleId="Heading6">
    <w:name w:val="heading 6"/>
    <w:basedOn w:val="Heading1"/>
    <w:next w:val="BodyText"/>
    <w:link w:val="Heading6Char"/>
    <w:uiPriority w:val="99"/>
    <w:qFormat/>
    <w:rsid w:val="0050529F"/>
    <w:pPr>
      <w:keepNext w:val="0"/>
      <w:numPr>
        <w:ilvl w:val="5"/>
        <w:numId w:val="1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uiPriority w:val="99"/>
    <w:qFormat/>
    <w:rsid w:val="0050529F"/>
    <w:pPr>
      <w:numPr>
        <w:ilvl w:val="6"/>
      </w:numPr>
      <w:outlineLvl w:val="6"/>
    </w:pPr>
    <w:rPr>
      <w:sz w:val="28"/>
    </w:rPr>
  </w:style>
  <w:style w:type="paragraph" w:styleId="Heading8">
    <w:name w:val="heading 8"/>
    <w:basedOn w:val="Heading3"/>
    <w:next w:val="BodyText"/>
    <w:link w:val="Heading8Char"/>
    <w:uiPriority w:val="99"/>
    <w:qFormat/>
    <w:rsid w:val="0050529F"/>
    <w:pPr>
      <w:numPr>
        <w:ilvl w:val="7"/>
      </w:numPr>
      <w:outlineLvl w:val="7"/>
    </w:pPr>
  </w:style>
  <w:style w:type="paragraph" w:styleId="Heading9">
    <w:name w:val="heading 9"/>
    <w:basedOn w:val="Heading4"/>
    <w:next w:val="BodyText"/>
    <w:link w:val="Heading9Char"/>
    <w:uiPriority w:val="99"/>
    <w:qFormat/>
    <w:rsid w:val="0050529F"/>
    <w:pPr>
      <w:numPr>
        <w:ilvl w:val="8"/>
      </w:numPr>
      <w:ind w:left="36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030D"/>
    <w:rPr>
      <w:rFonts w:ascii="Franklin Gothic Demi" w:hAnsi="Franklin Gothic Demi" w:cs="Arial"/>
      <w:color w:val="AD495D"/>
      <w:kern w:val="28"/>
      <w:sz w:val="28"/>
      <w:szCs w:val="28"/>
    </w:rPr>
  </w:style>
  <w:style w:type="character" w:customStyle="1" w:styleId="Heading2Char">
    <w:name w:val="Heading 2 Char"/>
    <w:basedOn w:val="DefaultParagraphFont"/>
    <w:link w:val="Heading2"/>
    <w:uiPriority w:val="99"/>
    <w:locked/>
    <w:rsid w:val="0098030D"/>
    <w:rPr>
      <w:rFonts w:ascii="Franklin Gothic Demi" w:hAnsi="Franklin Gothic Demi" w:cs="Arial"/>
      <w:color w:val="AD495D"/>
      <w:kern w:val="28"/>
      <w:sz w:val="28"/>
      <w:szCs w:val="28"/>
    </w:rPr>
  </w:style>
  <w:style w:type="character" w:customStyle="1" w:styleId="Heading3Char">
    <w:name w:val="Heading 3 Char"/>
    <w:basedOn w:val="DefaultParagraphFont"/>
    <w:link w:val="Heading3"/>
    <w:uiPriority w:val="99"/>
    <w:locked/>
    <w:rsid w:val="00535E24"/>
    <w:rPr>
      <w:rFonts w:ascii="Franklin Gothic Medium" w:hAnsi="Franklin Gothic Medium" w:cs="Times New Roman"/>
      <w:color w:val="54534A"/>
      <w:lang w:eastAsia="zh-CN"/>
    </w:rPr>
  </w:style>
  <w:style w:type="character" w:customStyle="1" w:styleId="Heading4Char">
    <w:name w:val="Heading 4 Char"/>
    <w:basedOn w:val="DefaultParagraphFont"/>
    <w:link w:val="Heading4"/>
    <w:uiPriority w:val="99"/>
    <w:locked/>
    <w:rsid w:val="0050529F"/>
    <w:rPr>
      <w:rFonts w:ascii="Times New Roman" w:eastAsia="Times New Roman" w:hAnsi="Times New Roman"/>
      <w:b/>
      <w:color w:val="54534A"/>
      <w:lang w:val="en-AU" w:eastAsia="en-AU"/>
    </w:rPr>
  </w:style>
  <w:style w:type="character" w:customStyle="1" w:styleId="Heading5Char">
    <w:name w:val="Heading 5 Char"/>
    <w:basedOn w:val="DefaultParagraphFont"/>
    <w:link w:val="Heading5"/>
    <w:uiPriority w:val="99"/>
    <w:locked/>
    <w:rsid w:val="0050529F"/>
    <w:rPr>
      <w:rFonts w:ascii="Times New Roman" w:eastAsia="Times New Roman" w:hAnsi="Times New Roman"/>
      <w:b/>
      <w:color w:val="54534A"/>
      <w:szCs w:val="24"/>
      <w:lang w:val="en-AU" w:eastAsia="en-AU"/>
    </w:rPr>
  </w:style>
  <w:style w:type="character" w:customStyle="1" w:styleId="Heading6Char">
    <w:name w:val="Heading 6 Char"/>
    <w:basedOn w:val="DefaultParagraphFont"/>
    <w:link w:val="Heading6"/>
    <w:uiPriority w:val="99"/>
    <w:locked/>
    <w:rsid w:val="0050529F"/>
    <w:rPr>
      <w:rFonts w:ascii="Times New Roman" w:eastAsia="Times New Roman" w:hAnsi="Times New Roman"/>
      <w:b/>
      <w:kern w:val="28"/>
      <w:sz w:val="24"/>
      <w:szCs w:val="19"/>
      <w:lang w:val="en-AU" w:eastAsia="en-AU"/>
    </w:rPr>
  </w:style>
  <w:style w:type="character" w:customStyle="1" w:styleId="Heading7Char">
    <w:name w:val="Heading 7 Char"/>
    <w:basedOn w:val="DefaultParagraphFont"/>
    <w:link w:val="Heading7"/>
    <w:uiPriority w:val="99"/>
    <w:locked/>
    <w:rsid w:val="0050529F"/>
    <w:rPr>
      <w:rFonts w:ascii="Franklin Gothic Demi" w:hAnsi="Franklin Gothic Demi" w:cs="Times New Roman"/>
      <w:color w:val="5A9A98"/>
      <w:sz w:val="28"/>
      <w:szCs w:val="28"/>
    </w:rPr>
  </w:style>
  <w:style w:type="character" w:customStyle="1" w:styleId="Heading8Char">
    <w:name w:val="Heading 8 Char"/>
    <w:basedOn w:val="DefaultParagraphFont"/>
    <w:link w:val="Heading8"/>
    <w:uiPriority w:val="99"/>
    <w:locked/>
    <w:rsid w:val="0050529F"/>
    <w:rPr>
      <w:rFonts w:ascii="Franklin Gothic Medium" w:hAnsi="Franklin Gothic Medium" w:cs="Times New Roman"/>
      <w:color w:val="54534A"/>
    </w:rPr>
  </w:style>
  <w:style w:type="character" w:customStyle="1" w:styleId="Heading9Char">
    <w:name w:val="Heading 9 Char"/>
    <w:basedOn w:val="DefaultParagraphFont"/>
    <w:link w:val="Heading9"/>
    <w:uiPriority w:val="99"/>
    <w:locked/>
    <w:rsid w:val="0050529F"/>
    <w:rPr>
      <w:rFonts w:ascii="Times New Roman" w:eastAsia="Times New Roman" w:hAnsi="Times New Roman"/>
      <w:b/>
      <w:color w:val="54534A"/>
      <w:lang w:val="en-AU" w:eastAsia="en-AU"/>
    </w:rPr>
  </w:style>
  <w:style w:type="paragraph" w:styleId="BodyText">
    <w:name w:val="Body Text"/>
    <w:basedOn w:val="Normal"/>
    <w:link w:val="BodyTextChar"/>
    <w:uiPriority w:val="99"/>
    <w:rsid w:val="004C4A3E"/>
    <w:pPr>
      <w:spacing w:after="120"/>
    </w:pPr>
    <w:rPr>
      <w:rFonts w:eastAsia="Times New Roman"/>
      <w:sz w:val="22"/>
    </w:rPr>
  </w:style>
  <w:style w:type="character" w:customStyle="1" w:styleId="BodyTextChar">
    <w:name w:val="Body Text Char"/>
    <w:basedOn w:val="DefaultParagraphFont"/>
    <w:link w:val="BodyText"/>
    <w:uiPriority w:val="99"/>
    <w:locked/>
    <w:rsid w:val="004C4A3E"/>
    <w:rPr>
      <w:rFonts w:ascii="Times New Roman" w:hAnsi="Times New Roman" w:cs="Times New Roman"/>
      <w:sz w:val="24"/>
      <w:szCs w:val="24"/>
    </w:rPr>
  </w:style>
  <w:style w:type="paragraph" w:styleId="Date">
    <w:name w:val="Date"/>
    <w:basedOn w:val="Normal"/>
    <w:next w:val="BodyText"/>
    <w:link w:val="DateChar"/>
    <w:uiPriority w:val="99"/>
    <w:semiHidden/>
    <w:rsid w:val="00EE44C9"/>
    <w:pPr>
      <w:spacing w:before="120" w:after="1000" w:line="380" w:lineRule="atLeast"/>
    </w:pPr>
    <w:rPr>
      <w:rFonts w:ascii="Franklin Gothic Book" w:eastAsia="Times New Roman" w:hAnsi="Franklin Gothic Book"/>
      <w:color w:val="FFFFFF"/>
      <w:spacing w:val="-10"/>
      <w:kern w:val="28"/>
      <w:sz w:val="24"/>
    </w:rPr>
  </w:style>
  <w:style w:type="character" w:customStyle="1" w:styleId="DateChar">
    <w:name w:val="Date Char"/>
    <w:basedOn w:val="DefaultParagraphFont"/>
    <w:link w:val="Date"/>
    <w:uiPriority w:val="99"/>
    <w:locked/>
    <w:rsid w:val="00EE44C9"/>
    <w:rPr>
      <w:rFonts w:ascii="Franklin Gothic Book" w:hAnsi="Franklin Gothic Book" w:cs="Times New Roman"/>
      <w:color w:val="FFFFFF"/>
      <w:spacing w:val="-10"/>
      <w:kern w:val="28"/>
      <w:sz w:val="24"/>
      <w:szCs w:val="24"/>
    </w:rPr>
  </w:style>
  <w:style w:type="paragraph" w:customStyle="1" w:styleId="PublicationDate">
    <w:name w:val="Publication Date"/>
    <w:basedOn w:val="Date"/>
    <w:uiPriority w:val="99"/>
    <w:rsid w:val="00B9323A"/>
    <w:pPr>
      <w:spacing w:after="480"/>
    </w:pPr>
    <w:rPr>
      <w:rFonts w:ascii="Arial" w:hAnsi="Arial"/>
      <w:color w:val="auto"/>
    </w:rPr>
  </w:style>
  <w:style w:type="paragraph" w:customStyle="1" w:styleId="DocStatus">
    <w:name w:val="DocStatus"/>
    <w:basedOn w:val="Normal"/>
    <w:uiPriority w:val="99"/>
    <w:rsid w:val="004C4A3E"/>
    <w:pPr>
      <w:spacing w:before="120" w:after="60"/>
      <w:jc w:val="center"/>
    </w:pPr>
    <w:rPr>
      <w:rFonts w:ascii="Arial" w:eastAsia="Times New Roman" w:hAnsi="Arial"/>
      <w:b/>
      <w:sz w:val="22"/>
      <w:lang w:eastAsia="en-US"/>
    </w:rPr>
  </w:style>
  <w:style w:type="paragraph" w:styleId="Title">
    <w:name w:val="Title"/>
    <w:basedOn w:val="Normal"/>
    <w:next w:val="Normal"/>
    <w:link w:val="TitleChar"/>
    <w:uiPriority w:val="99"/>
    <w:qFormat/>
    <w:rsid w:val="00232975"/>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uiPriority w:val="99"/>
    <w:locked/>
    <w:rsid w:val="00232975"/>
    <w:rPr>
      <w:rFonts w:ascii="Arial" w:eastAsia="Times New Roman" w:hAnsi="Arial"/>
      <w:color w:val="AD495D"/>
      <w:spacing w:val="-10"/>
      <w:kern w:val="28"/>
      <w:sz w:val="40"/>
      <w:szCs w:val="20"/>
      <w:lang w:val="en-AU" w:eastAsia="en-AU"/>
    </w:rPr>
  </w:style>
  <w:style w:type="paragraph" w:styleId="Header">
    <w:name w:val="header"/>
    <w:basedOn w:val="Normal"/>
    <w:link w:val="HeaderChar"/>
    <w:uiPriority w:val="99"/>
    <w:rsid w:val="0050529F"/>
    <w:pPr>
      <w:tabs>
        <w:tab w:val="center" w:pos="4513"/>
        <w:tab w:val="right" w:pos="9026"/>
      </w:tabs>
    </w:pPr>
  </w:style>
  <w:style w:type="character" w:customStyle="1" w:styleId="HeaderChar">
    <w:name w:val="Header Char"/>
    <w:basedOn w:val="DefaultParagraphFont"/>
    <w:link w:val="Header"/>
    <w:uiPriority w:val="99"/>
    <w:locked/>
    <w:rsid w:val="0050529F"/>
    <w:rPr>
      <w:rFonts w:cs="Times New Roman"/>
    </w:rPr>
  </w:style>
  <w:style w:type="paragraph" w:styleId="Footer">
    <w:name w:val="footer"/>
    <w:basedOn w:val="Normal"/>
    <w:link w:val="FooterChar"/>
    <w:uiPriority w:val="99"/>
    <w:rsid w:val="0050529F"/>
    <w:pPr>
      <w:tabs>
        <w:tab w:val="center" w:pos="4513"/>
        <w:tab w:val="right" w:pos="9026"/>
      </w:tabs>
    </w:pPr>
  </w:style>
  <w:style w:type="character" w:customStyle="1" w:styleId="FooterChar">
    <w:name w:val="Footer Char"/>
    <w:basedOn w:val="DefaultParagraphFont"/>
    <w:link w:val="Footer"/>
    <w:uiPriority w:val="99"/>
    <w:locked/>
    <w:rsid w:val="0050529F"/>
    <w:rPr>
      <w:rFonts w:cs="Times New Roman"/>
    </w:rPr>
  </w:style>
  <w:style w:type="paragraph" w:styleId="Caption">
    <w:name w:val="caption"/>
    <w:basedOn w:val="Normal"/>
    <w:next w:val="BodyText"/>
    <w:link w:val="CaptionChar"/>
    <w:autoRedefine/>
    <w:uiPriority w:val="99"/>
    <w:qFormat/>
    <w:rsid w:val="008F5D80"/>
    <w:pPr>
      <w:keepNext/>
      <w:spacing w:before="80" w:after="80" w:line="280" w:lineRule="atLeast"/>
    </w:pPr>
    <w:rPr>
      <w:rFonts w:ascii="Arial" w:eastAsia="Times New Roman" w:hAnsi="Arial"/>
      <w:color w:val="7E6D5F"/>
      <w:szCs w:val="19"/>
      <w:lang w:val="en-US" w:eastAsia="ko-KR"/>
    </w:rPr>
  </w:style>
  <w:style w:type="paragraph" w:customStyle="1" w:styleId="Note">
    <w:name w:val="Note"/>
    <w:basedOn w:val="TableTextEntries"/>
    <w:next w:val="Normal"/>
    <w:link w:val="NoteCharChar"/>
    <w:autoRedefine/>
    <w:uiPriority w:val="99"/>
    <w:rsid w:val="00246E5F"/>
    <w:pPr>
      <w:keepNext/>
      <w:spacing w:before="20" w:after="20" w:line="180" w:lineRule="atLeast"/>
    </w:pPr>
    <w:rPr>
      <w:iCs/>
      <w:sz w:val="14"/>
      <w:szCs w:val="14"/>
      <w:lang w:val="en-US" w:eastAsia="ko-KR"/>
    </w:rPr>
  </w:style>
  <w:style w:type="paragraph" w:customStyle="1" w:styleId="TableTextEntries">
    <w:name w:val="Table Text Entries"/>
    <w:basedOn w:val="Normal"/>
    <w:uiPriority w:val="99"/>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uiPriority w:val="99"/>
    <w:locked/>
    <w:rsid w:val="00246E5F"/>
    <w:rPr>
      <w:rFonts w:ascii="Franklin Gothic Book" w:hAnsi="Franklin Gothic Book"/>
      <w:sz w:val="14"/>
    </w:rPr>
  </w:style>
  <w:style w:type="paragraph" w:customStyle="1" w:styleId="TableDataEntries">
    <w:name w:val="Table Data Entries"/>
    <w:basedOn w:val="TableTextEntries"/>
    <w:uiPriority w:val="99"/>
    <w:rsid w:val="0050529F"/>
    <w:pPr>
      <w:jc w:val="right"/>
    </w:pPr>
  </w:style>
  <w:style w:type="paragraph" w:customStyle="1" w:styleId="TableDataColumnHeading">
    <w:name w:val="Table Data Column Heading"/>
    <w:basedOn w:val="TableDataEntries"/>
    <w:uiPriority w:val="99"/>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uiPriority w:val="99"/>
    <w:rsid w:val="004C4A3E"/>
    <w:pPr>
      <w:jc w:val="left"/>
    </w:pPr>
    <w:rPr>
      <w:b/>
    </w:rPr>
  </w:style>
  <w:style w:type="paragraph" w:customStyle="1" w:styleId="NoteNumber">
    <w:name w:val="Note Number"/>
    <w:basedOn w:val="TableTextEntries"/>
    <w:link w:val="NoteNumberCharChar"/>
    <w:uiPriority w:val="99"/>
    <w:rsid w:val="00701FEA"/>
    <w:pPr>
      <w:numPr>
        <w:numId w:val="12"/>
      </w:numPr>
      <w:spacing w:after="0" w:line="180" w:lineRule="atLeast"/>
    </w:pPr>
    <w:rPr>
      <w:rFonts w:ascii="Times New Roman" w:hAnsi="Times New Roman"/>
      <w:sz w:val="14"/>
      <w:szCs w:val="14"/>
      <w:lang w:val="en-US"/>
    </w:rPr>
  </w:style>
  <w:style w:type="character" w:customStyle="1" w:styleId="NoteNumberCharChar">
    <w:name w:val="Note Number Char Char"/>
    <w:link w:val="NoteNumber"/>
    <w:uiPriority w:val="99"/>
    <w:locked/>
    <w:rsid w:val="00701FEA"/>
    <w:rPr>
      <w:rFonts w:ascii="Times New Roman" w:eastAsia="Times New Roman" w:hAnsi="Times New Roman"/>
      <w:sz w:val="14"/>
      <w:szCs w:val="14"/>
      <w:lang w:eastAsia="en-US"/>
    </w:rPr>
  </w:style>
  <w:style w:type="paragraph" w:customStyle="1" w:styleId="Ratingbullet">
    <w:name w:val="Rating bullet"/>
    <w:basedOn w:val="TableTextEntries"/>
    <w:uiPriority w:val="99"/>
    <w:semiHidden/>
    <w:rsid w:val="0050529F"/>
    <w:pPr>
      <w:jc w:val="center"/>
    </w:pPr>
    <w:rPr>
      <w:sz w:val="22"/>
      <w:szCs w:val="22"/>
    </w:rPr>
  </w:style>
  <w:style w:type="paragraph" w:styleId="ListParagraph">
    <w:name w:val="List Paragraph"/>
    <w:basedOn w:val="BodyText"/>
    <w:uiPriority w:val="99"/>
    <w:qFormat/>
    <w:rsid w:val="00100AA2"/>
    <w:pPr>
      <w:numPr>
        <w:numId w:val="8"/>
      </w:numPr>
      <w:tabs>
        <w:tab w:val="clear" w:pos="360"/>
      </w:tabs>
      <w:ind w:left="68"/>
    </w:pPr>
  </w:style>
  <w:style w:type="character" w:customStyle="1" w:styleId="DraftingNote">
    <w:name w:val="Drafting Note"/>
    <w:uiPriority w:val="99"/>
    <w:semiHidden/>
    <w:rsid w:val="0050529F"/>
    <w:rPr>
      <w:rFonts w:ascii="Georgia" w:hAnsi="Georgia"/>
      <w:b/>
      <w:color w:val="FF0000"/>
      <w:sz w:val="19"/>
      <w:u w:val="dotted"/>
    </w:rPr>
  </w:style>
  <w:style w:type="paragraph" w:customStyle="1" w:styleId="Abbreviation">
    <w:name w:val="Abbreviation"/>
    <w:basedOn w:val="BodyText"/>
    <w:uiPriority w:val="99"/>
    <w:rsid w:val="0050529F"/>
    <w:pPr>
      <w:ind w:left="1418" w:hanging="1418"/>
    </w:pPr>
  </w:style>
  <w:style w:type="paragraph" w:customStyle="1" w:styleId="Ratingamber">
    <w:name w:val="Rating amber"/>
    <w:basedOn w:val="Normal"/>
    <w:uiPriority w:val="99"/>
    <w:semiHidden/>
    <w:rsid w:val="0050529F"/>
    <w:pPr>
      <w:numPr>
        <w:numId w:val="21"/>
      </w:numPr>
      <w:spacing w:before="80" w:after="80" w:line="280" w:lineRule="atLeast"/>
    </w:pPr>
    <w:rPr>
      <w:rFonts w:ascii="Georgia" w:eastAsia="Times New Roman" w:hAnsi="Georgia"/>
      <w:sz w:val="19"/>
      <w:szCs w:val="19"/>
    </w:rPr>
  </w:style>
  <w:style w:type="paragraph" w:styleId="ListBullet">
    <w:name w:val="List Bullet"/>
    <w:basedOn w:val="BodyText"/>
    <w:uiPriority w:val="99"/>
    <w:rsid w:val="0050529F"/>
    <w:pPr>
      <w:numPr>
        <w:numId w:val="25"/>
      </w:numPr>
    </w:pPr>
  </w:style>
  <w:style w:type="paragraph" w:styleId="ListBullet2">
    <w:name w:val="List Bullet 2"/>
    <w:basedOn w:val="ListBullet"/>
    <w:uiPriority w:val="99"/>
    <w:rsid w:val="0050529F"/>
    <w:pPr>
      <w:numPr>
        <w:numId w:val="23"/>
      </w:numPr>
      <w:ind w:left="568" w:hanging="284"/>
    </w:pPr>
  </w:style>
  <w:style w:type="paragraph" w:styleId="ListNumber">
    <w:name w:val="List Number"/>
    <w:basedOn w:val="ListBullet"/>
    <w:uiPriority w:val="99"/>
    <w:rsid w:val="0050529F"/>
  </w:style>
  <w:style w:type="paragraph" w:styleId="ListNumber2">
    <w:name w:val="List Number 2"/>
    <w:basedOn w:val="ListNumber"/>
    <w:uiPriority w:val="99"/>
    <w:rsid w:val="0050529F"/>
    <w:pPr>
      <w:numPr>
        <w:numId w:val="24"/>
      </w:numPr>
      <w:ind w:left="568" w:hanging="284"/>
    </w:pPr>
  </w:style>
  <w:style w:type="paragraph" w:customStyle="1" w:styleId="Ratinggreen">
    <w:name w:val="Rating green"/>
    <w:basedOn w:val="Ratingamber"/>
    <w:uiPriority w:val="99"/>
    <w:semiHidden/>
    <w:rsid w:val="0050529F"/>
    <w:pPr>
      <w:numPr>
        <w:numId w:val="22"/>
      </w:numPr>
      <w:tabs>
        <w:tab w:val="num" w:pos="284"/>
      </w:tabs>
      <w:ind w:left="284" w:hanging="284"/>
    </w:pPr>
  </w:style>
  <w:style w:type="paragraph" w:customStyle="1" w:styleId="Reference">
    <w:name w:val="Reference"/>
    <w:basedOn w:val="BodyText"/>
    <w:uiPriority w:val="99"/>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uiPriority w:val="99"/>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basedOn w:val="DefaultParagraphFont"/>
    <w:uiPriority w:val="99"/>
    <w:semiHidden/>
    <w:rsid w:val="0050529F"/>
    <w:rPr>
      <w:rFonts w:ascii="Franklin Gothic Medium" w:hAnsi="Franklin Gothic Medium" w:cs="Times New Roman"/>
      <w:color w:val="54534A"/>
      <w:sz w:val="14"/>
    </w:rPr>
  </w:style>
  <w:style w:type="paragraph" w:styleId="TOC1">
    <w:name w:val="toc 1"/>
    <w:basedOn w:val="BodyText"/>
    <w:next w:val="BodyText"/>
    <w:uiPriority w:val="99"/>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99"/>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uiPriority w:val="99"/>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uiPriority w:val="99"/>
    <w:semiHidden/>
    <w:rsid w:val="0050529F"/>
    <w:rPr>
      <w:rFonts w:ascii="Franklin Gothic Book" w:hAnsi="Franklin Gothic Book"/>
      <w:color w:val="auto"/>
      <w:sz w:val="17"/>
    </w:rPr>
  </w:style>
  <w:style w:type="paragraph" w:customStyle="1" w:styleId="Invisiblepara">
    <w:name w:val="Invisible para"/>
    <w:basedOn w:val="Normal"/>
    <w:uiPriority w:val="99"/>
    <w:semiHidden/>
    <w:rsid w:val="0050529F"/>
    <w:pPr>
      <w:keepNext/>
      <w:spacing w:before="320" w:line="80" w:lineRule="exact"/>
    </w:pPr>
    <w:rPr>
      <w:rFonts w:eastAsia="Times New Roman"/>
      <w:sz w:val="21"/>
      <w:szCs w:val="20"/>
    </w:rPr>
  </w:style>
  <w:style w:type="paragraph" w:customStyle="1" w:styleId="BoxListBullet">
    <w:name w:val="Box List Bullet"/>
    <w:basedOn w:val="BoxText"/>
    <w:uiPriority w:val="99"/>
    <w:rsid w:val="0050529F"/>
    <w:pPr>
      <w:keepLines/>
      <w:numPr>
        <w:numId w:val="17"/>
      </w:numPr>
      <w:tabs>
        <w:tab w:val="clear" w:pos="284"/>
        <w:tab w:val="num" w:pos="454"/>
      </w:tabs>
      <w:spacing w:before="0"/>
      <w:ind w:left="454" w:hanging="227"/>
    </w:pPr>
  </w:style>
  <w:style w:type="paragraph" w:customStyle="1" w:styleId="BoxText">
    <w:name w:val="Box Text"/>
    <w:basedOn w:val="Normal"/>
    <w:link w:val="BoxTextChar"/>
    <w:autoRedefine/>
    <w:uiPriority w:val="99"/>
    <w:rsid w:val="000B3121"/>
    <w:pPr>
      <w:spacing w:before="80" w:after="80" w:line="280" w:lineRule="atLeast"/>
    </w:pPr>
    <w:rPr>
      <w:rFonts w:eastAsia="Times New Roman"/>
      <w:iCs/>
      <w:szCs w:val="20"/>
      <w:lang w:val="en-US" w:eastAsia="ko-KR"/>
    </w:rPr>
  </w:style>
  <w:style w:type="character" w:customStyle="1" w:styleId="BoxTextChar">
    <w:name w:val="Box Text Char"/>
    <w:link w:val="BoxText"/>
    <w:uiPriority w:val="99"/>
    <w:locked/>
    <w:rsid w:val="000B3121"/>
    <w:rPr>
      <w:rFonts w:ascii="Times New Roman" w:hAnsi="Times New Roman"/>
    </w:rPr>
  </w:style>
  <w:style w:type="character" w:customStyle="1" w:styleId="NoteLabel">
    <w:name w:val="Note Label"/>
    <w:uiPriority w:val="99"/>
    <w:rsid w:val="00701FEA"/>
    <w:rPr>
      <w:rFonts w:ascii="Times New Roman" w:hAnsi="Times New Roman"/>
      <w:color w:val="auto"/>
      <w:position w:val="4"/>
      <w:sz w:val="14"/>
    </w:rPr>
  </w:style>
  <w:style w:type="paragraph" w:customStyle="1" w:styleId="Source">
    <w:name w:val="Source"/>
    <w:basedOn w:val="Note"/>
    <w:next w:val="BodyText"/>
    <w:uiPriority w:val="99"/>
    <w:rsid w:val="0050529F"/>
    <w:pPr>
      <w:spacing w:after="240"/>
    </w:pPr>
  </w:style>
  <w:style w:type="paragraph" w:customStyle="1" w:styleId="BoxHeading1">
    <w:name w:val="Box Heading 1"/>
    <w:basedOn w:val="BoxText"/>
    <w:next w:val="BoxText"/>
    <w:uiPriority w:val="99"/>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uiPriority w:val="99"/>
    <w:rsid w:val="0050529F"/>
    <w:pPr>
      <w:spacing w:before="140"/>
    </w:pPr>
    <w:rPr>
      <w:rFonts w:ascii="Franklin Gothic Book" w:hAnsi="Franklin Gothic Book"/>
      <w:i/>
      <w:color w:val="auto"/>
    </w:rPr>
  </w:style>
  <w:style w:type="paragraph" w:customStyle="1" w:styleId="TableListBullet">
    <w:name w:val="Table List Bullet"/>
    <w:basedOn w:val="TableTextEntries"/>
    <w:uiPriority w:val="99"/>
    <w:rsid w:val="0050529F"/>
    <w:pPr>
      <w:numPr>
        <w:numId w:val="19"/>
      </w:numPr>
    </w:pPr>
  </w:style>
  <w:style w:type="paragraph" w:styleId="TableofFigures">
    <w:name w:val="table of figures"/>
    <w:basedOn w:val="BodyText"/>
    <w:next w:val="BodyText"/>
    <w:uiPriority w:val="99"/>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uiPriority w:val="99"/>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uiPriority w:val="99"/>
    <w:semiHidden/>
    <w:rsid w:val="0050529F"/>
    <w:pPr>
      <w:jc w:val="right"/>
    </w:pPr>
  </w:style>
  <w:style w:type="paragraph" w:customStyle="1" w:styleId="Recommendation">
    <w:name w:val="Recommendation"/>
    <w:basedOn w:val="BodyText"/>
    <w:next w:val="BodyText"/>
    <w:uiPriority w:val="99"/>
    <w:semiHidden/>
    <w:rsid w:val="0050529F"/>
    <w:pPr>
      <w:tabs>
        <w:tab w:val="left" w:pos="284"/>
      </w:tabs>
      <w:ind w:left="284" w:hanging="284"/>
    </w:pPr>
    <w:rPr>
      <w:rFonts w:eastAsia="MS Mincho" w:cs="MS Mincho"/>
      <w:b/>
    </w:rPr>
  </w:style>
  <w:style w:type="paragraph" w:styleId="TOC6">
    <w:name w:val="toc 6"/>
    <w:basedOn w:val="BodyText"/>
    <w:next w:val="BodyText"/>
    <w:uiPriority w:val="99"/>
    <w:semiHidden/>
    <w:rsid w:val="0050529F"/>
    <w:pPr>
      <w:tabs>
        <w:tab w:val="left" w:pos="284"/>
        <w:tab w:val="right" w:pos="8222"/>
      </w:tabs>
      <w:ind w:left="284" w:right="567" w:hanging="284"/>
    </w:pPr>
  </w:style>
  <w:style w:type="character" w:styleId="CommentReference">
    <w:name w:val="annotation reference"/>
    <w:basedOn w:val="DefaultParagraphFont"/>
    <w:uiPriority w:val="99"/>
    <w:rsid w:val="0050529F"/>
    <w:rPr>
      <w:rFonts w:ascii="Franklin Gothic Medium" w:hAnsi="Franklin Gothic Medium" w:cs="Times New Roman"/>
      <w:vanish/>
      <w:color w:val="FF00FF"/>
      <w:sz w:val="16"/>
    </w:rPr>
  </w:style>
  <w:style w:type="paragraph" w:styleId="CommentText">
    <w:name w:val="annotation text"/>
    <w:basedOn w:val="BodyText"/>
    <w:link w:val="CommentTextChar"/>
    <w:uiPriority w:val="99"/>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locked/>
    <w:rsid w:val="0050529F"/>
    <w:rPr>
      <w:rFonts w:ascii="Calibri" w:hAnsi="Calibri" w:cs="Times New Roman"/>
      <w:sz w:val="18"/>
      <w:szCs w:val="18"/>
    </w:rPr>
  </w:style>
  <w:style w:type="character" w:styleId="Hyperlink">
    <w:name w:val="Hyperlink"/>
    <w:basedOn w:val="DefaultParagraphFont"/>
    <w:uiPriority w:val="99"/>
    <w:rsid w:val="0050529F"/>
    <w:rPr>
      <w:rFonts w:cs="Times New Roman"/>
      <w:color w:val="00467F"/>
      <w:sz w:val="20"/>
      <w:u w:val="none"/>
    </w:rPr>
  </w:style>
  <w:style w:type="paragraph" w:customStyle="1" w:styleId="ChartText">
    <w:name w:val="Chart Text"/>
    <w:basedOn w:val="BodyText"/>
    <w:uiPriority w:val="99"/>
    <w:semiHidden/>
    <w:rsid w:val="0050529F"/>
    <w:pPr>
      <w:spacing w:before="100" w:line="190" w:lineRule="exact"/>
    </w:pPr>
    <w:rPr>
      <w:rFonts w:ascii="Arial" w:hAnsi="Arial"/>
      <w:sz w:val="17"/>
    </w:rPr>
  </w:style>
  <w:style w:type="paragraph" w:customStyle="1" w:styleId="ChartBoldText">
    <w:name w:val="Chart Bold Text"/>
    <w:basedOn w:val="ChartText"/>
    <w:next w:val="ChartText"/>
    <w:uiPriority w:val="99"/>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50529F"/>
    <w:pPr>
      <w:spacing w:line="210" w:lineRule="exact"/>
    </w:pPr>
    <w:rPr>
      <w:caps/>
      <w:sz w:val="19"/>
    </w:rPr>
  </w:style>
  <w:style w:type="paragraph" w:customStyle="1" w:styleId="ChartListBullet">
    <w:name w:val="Chart List Bullet"/>
    <w:basedOn w:val="TableListBullet"/>
    <w:uiPriority w:val="99"/>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50529F"/>
    <w:pPr>
      <w:tabs>
        <w:tab w:val="num" w:pos="227"/>
      </w:tabs>
      <w:spacing w:before="60"/>
      <w:ind w:left="227" w:hanging="227"/>
    </w:pPr>
  </w:style>
  <w:style w:type="paragraph" w:styleId="TOC7">
    <w:name w:val="toc 7"/>
    <w:basedOn w:val="TOC1"/>
    <w:next w:val="TOC1"/>
    <w:uiPriority w:val="99"/>
    <w:semiHidden/>
    <w:rsid w:val="0050529F"/>
    <w:pPr>
      <w:tabs>
        <w:tab w:val="left" w:pos="1418"/>
      </w:tabs>
      <w:ind w:left="1418" w:hanging="1418"/>
    </w:pPr>
  </w:style>
  <w:style w:type="paragraph" w:customStyle="1" w:styleId="Author">
    <w:name w:val="Author"/>
    <w:basedOn w:val="Date"/>
    <w:next w:val="Position"/>
    <w:link w:val="AuthorCharChar"/>
    <w:uiPriority w:val="99"/>
    <w:semiHidden/>
    <w:rsid w:val="0050529F"/>
    <w:pPr>
      <w:spacing w:before="180" w:after="0" w:line="260" w:lineRule="atLeast"/>
    </w:pPr>
    <w:rPr>
      <w:rFonts w:ascii="Franklin Gothic Medium" w:hAnsi="Franklin Gothic Medium"/>
      <w:color w:val="auto"/>
      <w:spacing w:val="-2"/>
      <w:sz w:val="20"/>
      <w:szCs w:val="20"/>
      <w:lang w:val="en-US" w:eastAsia="ko-KR"/>
    </w:rPr>
  </w:style>
  <w:style w:type="paragraph" w:customStyle="1" w:styleId="Position">
    <w:name w:val="Position"/>
    <w:basedOn w:val="Author"/>
    <w:next w:val="Author"/>
    <w:link w:val="PositionCharChar"/>
    <w:uiPriority w:val="99"/>
    <w:semiHidden/>
    <w:rsid w:val="0050529F"/>
    <w:pPr>
      <w:spacing w:before="0"/>
    </w:pPr>
    <w:rPr>
      <w:rFonts w:ascii="Franklin Gothic Book" w:hAnsi="Franklin Gothic Book"/>
    </w:rPr>
  </w:style>
  <w:style w:type="character" w:customStyle="1" w:styleId="PositionCharChar">
    <w:name w:val="Position Char Char"/>
    <w:link w:val="Position"/>
    <w:uiPriority w:val="99"/>
    <w:locked/>
    <w:rsid w:val="0050529F"/>
    <w:rPr>
      <w:rFonts w:ascii="Franklin Gothic Book" w:hAnsi="Franklin Gothic Book"/>
      <w:spacing w:val="-2"/>
      <w:kern w:val="28"/>
      <w:sz w:val="20"/>
    </w:rPr>
  </w:style>
  <w:style w:type="character" w:customStyle="1" w:styleId="AuthorCharChar">
    <w:name w:val="Author Char Char"/>
    <w:link w:val="Author"/>
    <w:uiPriority w:val="99"/>
    <w:locked/>
    <w:rsid w:val="0050529F"/>
    <w:rPr>
      <w:rFonts w:ascii="Franklin Gothic Medium" w:hAnsi="Franklin Gothic Medium"/>
      <w:spacing w:val="-2"/>
      <w:kern w:val="28"/>
      <w:sz w:val="20"/>
    </w:rPr>
  </w:style>
  <w:style w:type="paragraph" w:customStyle="1" w:styleId="Client">
    <w:name w:val="Client"/>
    <w:basedOn w:val="Author"/>
    <w:uiPriority w:val="99"/>
    <w:semiHidden/>
    <w:rsid w:val="0050529F"/>
  </w:style>
  <w:style w:type="paragraph" w:customStyle="1" w:styleId="TableHeading1">
    <w:name w:val="Table Heading 1"/>
    <w:basedOn w:val="TableTextEntries"/>
    <w:next w:val="TableTextEntries"/>
    <w:uiPriority w:val="99"/>
    <w:rsid w:val="00F91686"/>
    <w:pPr>
      <w:spacing w:before="80" w:after="80"/>
    </w:pPr>
    <w:rPr>
      <w:rFonts w:ascii="Franklin Gothic Medium" w:hAnsi="Franklin Gothic Medium"/>
      <w:b/>
    </w:rPr>
  </w:style>
  <w:style w:type="paragraph" w:customStyle="1" w:styleId="TableHeading2">
    <w:name w:val="Table Heading 2"/>
    <w:basedOn w:val="TableHeading1"/>
    <w:next w:val="TableTextEntries"/>
    <w:uiPriority w:val="99"/>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uiPriority w:val="99"/>
    <w:rsid w:val="0050529F"/>
    <w:pPr>
      <w:numPr>
        <w:numId w:val="20"/>
      </w:numPr>
    </w:pPr>
    <w:rPr>
      <w:lang w:val="en-US"/>
    </w:rPr>
  </w:style>
  <w:style w:type="character" w:customStyle="1" w:styleId="TableListBullet2CharChar">
    <w:name w:val="Table List Bullet 2 Char Char"/>
    <w:link w:val="TableListBullet2"/>
    <w:uiPriority w:val="99"/>
    <w:locked/>
    <w:rsid w:val="0050529F"/>
    <w:rPr>
      <w:rFonts w:ascii="Franklin Gothic Book" w:eastAsia="Times New Roman" w:hAnsi="Franklin Gothic Book"/>
      <w:sz w:val="17"/>
      <w:szCs w:val="17"/>
      <w:lang w:eastAsia="en-US"/>
    </w:rPr>
  </w:style>
  <w:style w:type="paragraph" w:customStyle="1" w:styleId="TableListNumber">
    <w:name w:val="Table List Number"/>
    <w:basedOn w:val="TableTextEntries"/>
    <w:uiPriority w:val="99"/>
    <w:rsid w:val="0050529F"/>
    <w:pPr>
      <w:numPr>
        <w:numId w:val="14"/>
      </w:numPr>
    </w:pPr>
  </w:style>
  <w:style w:type="paragraph" w:customStyle="1" w:styleId="TableListNumber2">
    <w:name w:val="Table List Number 2"/>
    <w:basedOn w:val="TableListNumber"/>
    <w:uiPriority w:val="99"/>
    <w:rsid w:val="0050529F"/>
    <w:pPr>
      <w:numPr>
        <w:numId w:val="15"/>
      </w:numPr>
      <w:tabs>
        <w:tab w:val="num" w:pos="926"/>
      </w:tabs>
      <w:ind w:hanging="360"/>
    </w:pPr>
  </w:style>
  <w:style w:type="paragraph" w:customStyle="1" w:styleId="TableUnit">
    <w:name w:val="Table Unit"/>
    <w:basedOn w:val="TableDataColumnHeading"/>
    <w:next w:val="TableDataEntries"/>
    <w:uiPriority w:val="99"/>
    <w:semiHidden/>
    <w:rsid w:val="0050529F"/>
    <w:pPr>
      <w:keepNext/>
    </w:pPr>
    <w:rPr>
      <w:rFonts w:ascii="Franklin Gothic Book" w:hAnsi="Franklin Gothic Book"/>
    </w:rPr>
  </w:style>
  <w:style w:type="character" w:styleId="FollowedHyperlink">
    <w:name w:val="FollowedHyperlink"/>
    <w:basedOn w:val="DefaultParagraphFont"/>
    <w:uiPriority w:val="99"/>
    <w:semiHidden/>
    <w:rsid w:val="0050529F"/>
    <w:rPr>
      <w:rFonts w:cs="Times New Roman"/>
      <w:color w:val="333399"/>
      <w:u w:val="none"/>
    </w:rPr>
  </w:style>
  <w:style w:type="paragraph" w:customStyle="1" w:styleId="Blurb">
    <w:name w:val="Blurb"/>
    <w:basedOn w:val="Caption"/>
    <w:uiPriority w:val="99"/>
    <w:semiHidden/>
    <w:rsid w:val="0050529F"/>
    <w:pPr>
      <w:spacing w:before="180" w:after="0"/>
    </w:pPr>
    <w:rPr>
      <w:color w:val="FFFFFF"/>
    </w:rPr>
  </w:style>
  <w:style w:type="paragraph" w:customStyle="1" w:styleId="Figure">
    <w:name w:val="Figure"/>
    <w:basedOn w:val="BodyText"/>
    <w:next w:val="BodyText"/>
    <w:uiPriority w:val="99"/>
    <w:semiHidden/>
    <w:rsid w:val="0050529F"/>
    <w:pPr>
      <w:spacing w:line="200" w:lineRule="atLeast"/>
    </w:pPr>
    <w:rPr>
      <w:sz w:val="18"/>
      <w:szCs w:val="18"/>
    </w:rPr>
  </w:style>
  <w:style w:type="paragraph" w:customStyle="1" w:styleId="BoxListBullet2">
    <w:name w:val="Box List Bullet 2"/>
    <w:basedOn w:val="BoxListBullet"/>
    <w:uiPriority w:val="99"/>
    <w:rsid w:val="0050529F"/>
    <w:pPr>
      <w:numPr>
        <w:numId w:val="16"/>
      </w:numPr>
      <w:tabs>
        <w:tab w:val="clear" w:pos="567"/>
        <w:tab w:val="num" w:pos="227"/>
      </w:tabs>
      <w:ind w:left="227" w:hanging="227"/>
    </w:pPr>
    <w:rPr>
      <w:szCs w:val="18"/>
    </w:rPr>
  </w:style>
  <w:style w:type="paragraph" w:customStyle="1" w:styleId="BoxListNumber">
    <w:name w:val="Box List Number"/>
    <w:basedOn w:val="BoxText"/>
    <w:uiPriority w:val="99"/>
    <w:rsid w:val="0050529F"/>
    <w:pPr>
      <w:numPr>
        <w:numId w:val="18"/>
      </w:numPr>
      <w:tabs>
        <w:tab w:val="clear" w:pos="284"/>
        <w:tab w:val="num" w:pos="567"/>
      </w:tabs>
      <w:spacing w:before="0"/>
      <w:ind w:left="567" w:hanging="283"/>
    </w:pPr>
  </w:style>
  <w:style w:type="paragraph" w:customStyle="1" w:styleId="BoxListNumber2">
    <w:name w:val="Box List Number 2"/>
    <w:basedOn w:val="BoxListNumber"/>
    <w:uiPriority w:val="99"/>
    <w:rsid w:val="0050529F"/>
    <w:pPr>
      <w:tabs>
        <w:tab w:val="clear" w:pos="567"/>
      </w:tabs>
      <w:ind w:left="68" w:hanging="360"/>
    </w:pPr>
  </w:style>
  <w:style w:type="paragraph" w:customStyle="1" w:styleId="BoxNoteSource">
    <w:name w:val="Box Note/Source"/>
    <w:basedOn w:val="BoxText"/>
    <w:uiPriority w:val="99"/>
    <w:rsid w:val="00701FEA"/>
    <w:pPr>
      <w:spacing w:before="100" w:after="100" w:line="180" w:lineRule="atLeast"/>
    </w:pPr>
    <w:rPr>
      <w:sz w:val="14"/>
      <w:szCs w:val="14"/>
    </w:rPr>
  </w:style>
  <w:style w:type="paragraph" w:customStyle="1" w:styleId="BoxQuote">
    <w:name w:val="Box Quote"/>
    <w:basedOn w:val="BoxText"/>
    <w:next w:val="BoxText"/>
    <w:uiPriority w:val="99"/>
    <w:rsid w:val="0050529F"/>
    <w:pPr>
      <w:spacing w:before="0" w:line="240" w:lineRule="atLeast"/>
      <w:ind w:left="284"/>
    </w:pPr>
    <w:rPr>
      <w:sz w:val="16"/>
      <w:szCs w:val="16"/>
    </w:rPr>
  </w:style>
  <w:style w:type="paragraph" w:customStyle="1" w:styleId="Appendix">
    <w:name w:val="Appendix"/>
    <w:basedOn w:val="Normal"/>
    <w:uiPriority w:val="99"/>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uiPriority w:val="99"/>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99"/>
    <w:rsid w:val="005052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uiPriority w:val="99"/>
    <w:semiHidden/>
    <w:rsid w:val="0050529F"/>
  </w:style>
  <w:style w:type="paragraph" w:styleId="CommentSubject">
    <w:name w:val="annotation subject"/>
    <w:basedOn w:val="CommentText"/>
    <w:next w:val="CommentText"/>
    <w:link w:val="CommentSubjectChar"/>
    <w:uiPriority w:val="99"/>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locked/>
    <w:rsid w:val="0050529F"/>
    <w:rPr>
      <w:rFonts w:ascii="Times New Roman" w:hAnsi="Times New Roman" w:cs="Times New Roman"/>
      <w:b/>
      <w:bCs/>
      <w:sz w:val="20"/>
      <w:szCs w:val="20"/>
    </w:rPr>
  </w:style>
  <w:style w:type="paragraph" w:styleId="BalloonText">
    <w:name w:val="Balloon Text"/>
    <w:basedOn w:val="Normal"/>
    <w:link w:val="BalloonTextChar"/>
    <w:uiPriority w:val="99"/>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50529F"/>
    <w:rPr>
      <w:rFonts w:ascii="Tahoma" w:hAnsi="Tahoma" w:cs="Tahoma"/>
      <w:sz w:val="16"/>
      <w:szCs w:val="16"/>
    </w:rPr>
  </w:style>
  <w:style w:type="paragraph" w:customStyle="1" w:styleId="Rating">
    <w:name w:val="Rating"/>
    <w:basedOn w:val="BodyText"/>
    <w:next w:val="BodyText"/>
    <w:uiPriority w:val="99"/>
    <w:semiHidden/>
    <w:rsid w:val="0050529F"/>
    <w:pPr>
      <w:tabs>
        <w:tab w:val="left" w:pos="567"/>
      </w:tabs>
    </w:pPr>
  </w:style>
  <w:style w:type="paragraph" w:customStyle="1" w:styleId="GuidanceText">
    <w:name w:val="Guidance Text"/>
    <w:basedOn w:val="BodyText"/>
    <w:uiPriority w:val="99"/>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uiPriority w:val="99"/>
    <w:rsid w:val="0050529F"/>
    <w:pPr>
      <w:spacing w:before="120"/>
    </w:pPr>
    <w:rPr>
      <w:rFonts w:ascii="Arial" w:eastAsia="Times New Roman" w:hAnsi="Arial"/>
      <w:szCs w:val="20"/>
      <w:lang w:val="en-US" w:eastAsia="en-US"/>
    </w:rPr>
  </w:style>
  <w:style w:type="character" w:customStyle="1" w:styleId="List-bullet-1Char">
    <w:name w:val="List-bullet-1 Char"/>
    <w:link w:val="List-bullet-1"/>
    <w:uiPriority w:val="99"/>
    <w:locked/>
    <w:rsid w:val="0050529F"/>
    <w:rPr>
      <w:rFonts w:ascii="Arial" w:hAnsi="Arial"/>
      <w:sz w:val="20"/>
      <w:lang w:eastAsia="en-US"/>
    </w:rPr>
  </w:style>
  <w:style w:type="table" w:styleId="MediumGrid2-Accent2">
    <w:name w:val="Medium Grid 2 Accent 2"/>
    <w:basedOn w:val="TableNormal"/>
    <w:uiPriority w:val="99"/>
    <w:rsid w:val="0050529F"/>
    <w:rPr>
      <w:rFonts w:ascii="Cambria" w:eastAsia="Malgun Gothic" w:hAnsi="Cambria"/>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customStyle="1" w:styleId="APPR">
    <w:name w:val="APPR"/>
    <w:uiPriority w:val="99"/>
    <w:rsid w:val="004C4A3E"/>
    <w:rPr>
      <w:rFonts w:ascii="Franklin Gothic Book" w:hAnsi="Franklin Gothic Book"/>
      <w:sz w:val="17"/>
      <w:szCs w:val="20"/>
      <w:lang w:val="en-AU" w:eastAsia="en-AU"/>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rPr>
        <w:rFonts w:ascii="Franklin Gothic Medium" w:hAnsi="Franklin Gothic Medium" w:cs="Times New Roman"/>
        <w:b/>
        <w:sz w:val="17"/>
      </w:rPr>
      <w:tblPr/>
      <w:tcPr>
        <w:tcBorders>
          <w:top w:val="nil"/>
          <w:bottom w:val="nil"/>
        </w:tcBorders>
      </w:tcPr>
    </w:tblStylePr>
    <w:tblStylePr w:type="band2Horz">
      <w:rPr>
        <w:rFonts w:cs="Times New Roman"/>
      </w:rPr>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99"/>
    <w:rsid w:val="00706DE1"/>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MediumShading2-Accent5">
    <w:name w:val="Medium Shading 2 Accent 5"/>
    <w:basedOn w:val="TableNormal"/>
    <w:uiPriority w:val="99"/>
    <w:rsid w:val="00706DE1"/>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99"/>
    <w:rsid w:val="00706DE1"/>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Revision">
    <w:name w:val="Revision"/>
    <w:hidden/>
    <w:uiPriority w:val="99"/>
    <w:rsid w:val="00F53655"/>
    <w:rPr>
      <w:rFonts w:ascii="Times New Roman" w:eastAsia="Times New Roman" w:hAnsi="Times New Roman"/>
      <w:sz w:val="20"/>
      <w:szCs w:val="24"/>
      <w:lang w:val="en-AU" w:eastAsia="en-AU"/>
    </w:rPr>
  </w:style>
  <w:style w:type="paragraph" w:styleId="Quote">
    <w:name w:val="Quote"/>
    <w:basedOn w:val="BodyText"/>
    <w:next w:val="BodyText"/>
    <w:link w:val="QuoteChar"/>
    <w:uiPriority w:val="99"/>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uiPriority w:val="99"/>
    <w:locked/>
    <w:rsid w:val="002A1935"/>
    <w:rPr>
      <w:rFonts w:ascii="Georgia" w:hAnsi="Georgia" w:cs="Times New Roman"/>
      <w:sz w:val="17"/>
      <w:szCs w:val="17"/>
    </w:rPr>
  </w:style>
  <w:style w:type="paragraph" w:customStyle="1" w:styleId="List-number-2">
    <w:name w:val="List-number-2"/>
    <w:basedOn w:val="Normal"/>
    <w:uiPriority w:val="99"/>
    <w:rsid w:val="002A1935"/>
    <w:pPr>
      <w:numPr>
        <w:ilvl w:val="1"/>
        <w:numId w:val="26"/>
      </w:numPr>
      <w:spacing w:before="120"/>
    </w:pPr>
    <w:rPr>
      <w:rFonts w:ascii="Arial" w:eastAsia="Times New Roman" w:hAnsi="Arial"/>
      <w:lang w:eastAsia="en-US"/>
    </w:rPr>
  </w:style>
  <w:style w:type="paragraph" w:customStyle="1" w:styleId="List-number-1">
    <w:name w:val="List-number-1"/>
    <w:basedOn w:val="Normal"/>
    <w:link w:val="List-number-1Char"/>
    <w:uiPriority w:val="99"/>
    <w:rsid w:val="002A1935"/>
    <w:pPr>
      <w:numPr>
        <w:numId w:val="26"/>
      </w:numPr>
      <w:spacing w:before="120"/>
    </w:pPr>
    <w:rPr>
      <w:rFonts w:ascii="Arial" w:eastAsia="Times New Roman" w:hAnsi="Arial"/>
      <w:lang w:val="en-US" w:eastAsia="en-US"/>
    </w:rPr>
  </w:style>
  <w:style w:type="character" w:customStyle="1" w:styleId="List-number-1Char">
    <w:name w:val="List-number-1 Char"/>
    <w:link w:val="List-number-1"/>
    <w:uiPriority w:val="99"/>
    <w:locked/>
    <w:rsid w:val="002A1935"/>
    <w:rPr>
      <w:rFonts w:ascii="Arial" w:eastAsia="Times New Roman" w:hAnsi="Arial"/>
      <w:sz w:val="20"/>
      <w:szCs w:val="24"/>
      <w:lang w:eastAsia="en-US"/>
    </w:rPr>
  </w:style>
  <w:style w:type="paragraph" w:styleId="ListNumber3">
    <w:name w:val="List Number 3"/>
    <w:basedOn w:val="Normal"/>
    <w:uiPriority w:val="99"/>
    <w:rsid w:val="002A1935"/>
    <w:pPr>
      <w:tabs>
        <w:tab w:val="num" w:pos="926"/>
      </w:tabs>
      <w:spacing w:after="120" w:line="220" w:lineRule="exact"/>
      <w:ind w:left="926" w:hanging="360"/>
    </w:pPr>
    <w:rPr>
      <w:rFonts w:ascii="Arial" w:eastAsia="Times New Roman" w:hAnsi="Arial"/>
      <w:sz w:val="18"/>
    </w:rPr>
  </w:style>
  <w:style w:type="paragraph" w:customStyle="1" w:styleId="Issue">
    <w:name w:val="Issue"/>
    <w:basedOn w:val="Normal"/>
    <w:uiPriority w:val="99"/>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uiPriority w:val="99"/>
    <w:rsid w:val="002A1935"/>
    <w:rPr>
      <w:rFonts w:eastAsia="Times New Roman"/>
      <w:szCs w:val="20"/>
    </w:rPr>
  </w:style>
  <w:style w:type="character" w:customStyle="1" w:styleId="EndnoteTextChar">
    <w:name w:val="Endnote Text Char"/>
    <w:basedOn w:val="DefaultParagraphFont"/>
    <w:link w:val="EndnoteText"/>
    <w:uiPriority w:val="99"/>
    <w:locked/>
    <w:rsid w:val="002A1935"/>
    <w:rPr>
      <w:rFonts w:ascii="Times New Roman" w:hAnsi="Times New Roman" w:cs="Times New Roman"/>
      <w:sz w:val="20"/>
      <w:szCs w:val="20"/>
    </w:rPr>
  </w:style>
  <w:style w:type="character" w:styleId="EndnoteReference">
    <w:name w:val="endnote reference"/>
    <w:basedOn w:val="DefaultParagraphFont"/>
    <w:uiPriority w:val="99"/>
    <w:rsid w:val="002A1935"/>
    <w:rPr>
      <w:rFonts w:cs="Times New Roman"/>
      <w:vertAlign w:val="superscript"/>
    </w:rPr>
  </w:style>
  <w:style w:type="character" w:customStyle="1" w:styleId="CaptionChar">
    <w:name w:val="Caption Char"/>
    <w:link w:val="Caption"/>
    <w:uiPriority w:val="99"/>
    <w:locked/>
    <w:rsid w:val="001612CE"/>
    <w:rPr>
      <w:rFonts w:ascii="Arial" w:hAnsi="Arial"/>
      <w:color w:val="7E6D5F"/>
      <w:sz w:val="19"/>
    </w:rPr>
  </w:style>
  <w:style w:type="paragraph" w:customStyle="1" w:styleId="list-number-10">
    <w:name w:val="list-number-1"/>
    <w:basedOn w:val="Normal"/>
    <w:uiPriority w:val="99"/>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rsid w:val="00F67041"/>
    <w:pPr>
      <w:spacing w:after="0"/>
      <w:contextualSpacing/>
    </w:pPr>
    <w:rPr>
      <w:sz w:val="16"/>
      <w:szCs w:val="20"/>
    </w:rPr>
  </w:style>
  <w:style w:type="character" w:customStyle="1" w:styleId="FootnoteTextChar">
    <w:name w:val="Footnote Text Char"/>
    <w:basedOn w:val="DefaultParagraphFont"/>
    <w:link w:val="FootnoteText"/>
    <w:uiPriority w:val="99"/>
    <w:locked/>
    <w:rsid w:val="00F67041"/>
    <w:rPr>
      <w:rFonts w:ascii="Times New Roman" w:eastAsia="Times New Roman" w:hAnsi="Times New Roman"/>
      <w:sz w:val="16"/>
      <w:szCs w:val="20"/>
      <w:lang w:val="en-AU" w:eastAsia="en-AU"/>
    </w:rPr>
  </w:style>
  <w:style w:type="character" w:styleId="FootnoteReference">
    <w:name w:val="footnote reference"/>
    <w:basedOn w:val="DefaultParagraphFont"/>
    <w:uiPriority w:val="99"/>
    <w:rsid w:val="00E34AED"/>
    <w:rPr>
      <w:rFonts w:ascii="Times New Roman" w:hAnsi="Times New Roman" w:cs="Times New Roman"/>
      <w:w w:val="100"/>
      <w:position w:val="6"/>
      <w:sz w:val="14"/>
      <w:vertAlign w:val="baseline"/>
    </w:rPr>
  </w:style>
  <w:style w:type="character" w:styleId="Emphasis">
    <w:name w:val="Emphasis"/>
    <w:basedOn w:val="DefaultParagraphFont"/>
    <w:uiPriority w:val="99"/>
    <w:qFormat/>
    <w:rsid w:val="00280C28"/>
    <w:rPr>
      <w:rFonts w:cs="Times New Roman"/>
      <w:b/>
      <w:bCs/>
    </w:rPr>
  </w:style>
  <w:style w:type="character" w:customStyle="1" w:styleId="st">
    <w:name w:val="st"/>
    <w:basedOn w:val="DefaultParagraphFont"/>
    <w:uiPriority w:val="99"/>
    <w:rsid w:val="00280C28"/>
    <w:rPr>
      <w:rFonts w:cs="Times New Roman"/>
    </w:rPr>
  </w:style>
  <w:style w:type="character" w:customStyle="1" w:styleId="field-content">
    <w:name w:val="field-content"/>
    <w:basedOn w:val="DefaultParagraphFont"/>
    <w:uiPriority w:val="99"/>
    <w:rsid w:val="00280C28"/>
    <w:rPr>
      <w:rFonts w:cs="Times New Roman"/>
    </w:rPr>
  </w:style>
  <w:style w:type="character" w:customStyle="1" w:styleId="st1">
    <w:name w:val="st1"/>
    <w:basedOn w:val="DefaultParagraphFont"/>
    <w:uiPriority w:val="99"/>
    <w:rsid w:val="007B105C"/>
    <w:rPr>
      <w:rFonts w:cs="Times New Roman"/>
    </w:rPr>
  </w:style>
  <w:style w:type="numbering" w:customStyle="1" w:styleId="StyleBulletedSymbolsymbol95ptLeft063cmHanging">
    <w:name w:val="Style Bulleted Symbol (symbol) 9.5 pt Left:  0.63 cm Hanging:  ..."/>
    <w:rsid w:val="00570B72"/>
    <w:pPr>
      <w:numPr>
        <w:numId w:val="28"/>
      </w:numPr>
    </w:pPr>
  </w:style>
  <w:style w:type="paragraph" w:customStyle="1" w:styleId="StyleBodyTextLeft0cmHanging127cm">
    <w:name w:val="Style Body Text + Left:  0 cm Hanging:  1.27 cm"/>
    <w:basedOn w:val="BodyText"/>
    <w:rsid w:val="00525542"/>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ko-K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locked="1" w:uiPriority="0"/>
    <w:lsdException w:name="List Number 3" w:locked="1" w:uiPriority="0"/>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8D5"/>
    <w:rPr>
      <w:rFonts w:ascii="Times New Roman" w:eastAsia="SimSun" w:hAnsi="Times New Roman"/>
      <w:sz w:val="20"/>
      <w:szCs w:val="24"/>
      <w:lang w:val="en-AU" w:eastAsia="en-AU"/>
    </w:rPr>
  </w:style>
  <w:style w:type="paragraph" w:styleId="Heading1">
    <w:name w:val="heading 1"/>
    <w:basedOn w:val="Normal"/>
    <w:next w:val="Normal"/>
    <w:link w:val="Heading1Char"/>
    <w:uiPriority w:val="99"/>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uiPriority w:val="99"/>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uiPriority w:val="99"/>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uiPriority w:val="99"/>
    <w:qFormat/>
    <w:rsid w:val="0050529F"/>
    <w:pPr>
      <w:numPr>
        <w:ilvl w:val="3"/>
        <w:numId w:val="11"/>
      </w:numPr>
      <w:spacing w:before="320" w:after="0"/>
      <w:outlineLvl w:val="3"/>
    </w:pPr>
    <w:rPr>
      <w:b/>
      <w:color w:val="54534A"/>
      <w:szCs w:val="22"/>
    </w:rPr>
  </w:style>
  <w:style w:type="paragraph" w:styleId="Heading5">
    <w:name w:val="heading 5"/>
    <w:basedOn w:val="BodyText"/>
    <w:next w:val="BodyText"/>
    <w:link w:val="Heading5Char"/>
    <w:uiPriority w:val="99"/>
    <w:qFormat/>
    <w:rsid w:val="0050529F"/>
    <w:pPr>
      <w:keepNext/>
      <w:numPr>
        <w:ilvl w:val="4"/>
        <w:numId w:val="11"/>
      </w:numPr>
      <w:spacing w:before="320" w:after="0"/>
      <w:outlineLvl w:val="4"/>
    </w:pPr>
    <w:rPr>
      <w:b/>
      <w:color w:val="54534A"/>
    </w:rPr>
  </w:style>
  <w:style w:type="paragraph" w:styleId="Heading6">
    <w:name w:val="heading 6"/>
    <w:basedOn w:val="Heading1"/>
    <w:next w:val="BodyText"/>
    <w:link w:val="Heading6Char"/>
    <w:uiPriority w:val="99"/>
    <w:qFormat/>
    <w:rsid w:val="0050529F"/>
    <w:pPr>
      <w:keepNext w:val="0"/>
      <w:numPr>
        <w:ilvl w:val="5"/>
        <w:numId w:val="1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uiPriority w:val="99"/>
    <w:qFormat/>
    <w:rsid w:val="0050529F"/>
    <w:pPr>
      <w:numPr>
        <w:ilvl w:val="6"/>
      </w:numPr>
      <w:outlineLvl w:val="6"/>
    </w:pPr>
    <w:rPr>
      <w:sz w:val="28"/>
    </w:rPr>
  </w:style>
  <w:style w:type="paragraph" w:styleId="Heading8">
    <w:name w:val="heading 8"/>
    <w:basedOn w:val="Heading3"/>
    <w:next w:val="BodyText"/>
    <w:link w:val="Heading8Char"/>
    <w:uiPriority w:val="99"/>
    <w:qFormat/>
    <w:rsid w:val="0050529F"/>
    <w:pPr>
      <w:numPr>
        <w:ilvl w:val="7"/>
      </w:numPr>
      <w:outlineLvl w:val="7"/>
    </w:pPr>
  </w:style>
  <w:style w:type="paragraph" w:styleId="Heading9">
    <w:name w:val="heading 9"/>
    <w:basedOn w:val="Heading4"/>
    <w:next w:val="BodyText"/>
    <w:link w:val="Heading9Char"/>
    <w:uiPriority w:val="99"/>
    <w:qFormat/>
    <w:rsid w:val="0050529F"/>
    <w:pPr>
      <w:numPr>
        <w:ilvl w:val="8"/>
      </w:numPr>
      <w:ind w:left="36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030D"/>
    <w:rPr>
      <w:rFonts w:ascii="Franklin Gothic Demi" w:hAnsi="Franklin Gothic Demi" w:cs="Arial"/>
      <w:color w:val="AD495D"/>
      <w:kern w:val="28"/>
      <w:sz w:val="28"/>
      <w:szCs w:val="28"/>
    </w:rPr>
  </w:style>
  <w:style w:type="character" w:customStyle="1" w:styleId="Heading2Char">
    <w:name w:val="Heading 2 Char"/>
    <w:basedOn w:val="DefaultParagraphFont"/>
    <w:link w:val="Heading2"/>
    <w:uiPriority w:val="99"/>
    <w:locked/>
    <w:rsid w:val="0098030D"/>
    <w:rPr>
      <w:rFonts w:ascii="Franklin Gothic Demi" w:hAnsi="Franklin Gothic Demi" w:cs="Arial"/>
      <w:color w:val="AD495D"/>
      <w:kern w:val="28"/>
      <w:sz w:val="28"/>
      <w:szCs w:val="28"/>
    </w:rPr>
  </w:style>
  <w:style w:type="character" w:customStyle="1" w:styleId="Heading3Char">
    <w:name w:val="Heading 3 Char"/>
    <w:basedOn w:val="DefaultParagraphFont"/>
    <w:link w:val="Heading3"/>
    <w:uiPriority w:val="99"/>
    <w:locked/>
    <w:rsid w:val="00535E24"/>
    <w:rPr>
      <w:rFonts w:ascii="Franklin Gothic Medium" w:hAnsi="Franklin Gothic Medium" w:cs="Times New Roman"/>
      <w:color w:val="54534A"/>
      <w:lang w:eastAsia="zh-CN"/>
    </w:rPr>
  </w:style>
  <w:style w:type="character" w:customStyle="1" w:styleId="Heading4Char">
    <w:name w:val="Heading 4 Char"/>
    <w:basedOn w:val="DefaultParagraphFont"/>
    <w:link w:val="Heading4"/>
    <w:uiPriority w:val="99"/>
    <w:locked/>
    <w:rsid w:val="0050529F"/>
    <w:rPr>
      <w:rFonts w:ascii="Times New Roman" w:eastAsia="Times New Roman" w:hAnsi="Times New Roman"/>
      <w:b/>
      <w:color w:val="54534A"/>
      <w:lang w:val="en-AU" w:eastAsia="en-AU"/>
    </w:rPr>
  </w:style>
  <w:style w:type="character" w:customStyle="1" w:styleId="Heading5Char">
    <w:name w:val="Heading 5 Char"/>
    <w:basedOn w:val="DefaultParagraphFont"/>
    <w:link w:val="Heading5"/>
    <w:uiPriority w:val="99"/>
    <w:locked/>
    <w:rsid w:val="0050529F"/>
    <w:rPr>
      <w:rFonts w:ascii="Times New Roman" w:eastAsia="Times New Roman" w:hAnsi="Times New Roman"/>
      <w:b/>
      <w:color w:val="54534A"/>
      <w:szCs w:val="24"/>
      <w:lang w:val="en-AU" w:eastAsia="en-AU"/>
    </w:rPr>
  </w:style>
  <w:style w:type="character" w:customStyle="1" w:styleId="Heading6Char">
    <w:name w:val="Heading 6 Char"/>
    <w:basedOn w:val="DefaultParagraphFont"/>
    <w:link w:val="Heading6"/>
    <w:uiPriority w:val="99"/>
    <w:locked/>
    <w:rsid w:val="0050529F"/>
    <w:rPr>
      <w:rFonts w:ascii="Times New Roman" w:eastAsia="Times New Roman" w:hAnsi="Times New Roman"/>
      <w:b/>
      <w:kern w:val="28"/>
      <w:sz w:val="24"/>
      <w:szCs w:val="19"/>
      <w:lang w:val="en-AU" w:eastAsia="en-AU"/>
    </w:rPr>
  </w:style>
  <w:style w:type="character" w:customStyle="1" w:styleId="Heading7Char">
    <w:name w:val="Heading 7 Char"/>
    <w:basedOn w:val="DefaultParagraphFont"/>
    <w:link w:val="Heading7"/>
    <w:uiPriority w:val="99"/>
    <w:locked/>
    <w:rsid w:val="0050529F"/>
    <w:rPr>
      <w:rFonts w:ascii="Franklin Gothic Demi" w:hAnsi="Franklin Gothic Demi" w:cs="Times New Roman"/>
      <w:color w:val="5A9A98"/>
      <w:sz w:val="28"/>
      <w:szCs w:val="28"/>
    </w:rPr>
  </w:style>
  <w:style w:type="character" w:customStyle="1" w:styleId="Heading8Char">
    <w:name w:val="Heading 8 Char"/>
    <w:basedOn w:val="DefaultParagraphFont"/>
    <w:link w:val="Heading8"/>
    <w:uiPriority w:val="99"/>
    <w:locked/>
    <w:rsid w:val="0050529F"/>
    <w:rPr>
      <w:rFonts w:ascii="Franklin Gothic Medium" w:hAnsi="Franklin Gothic Medium" w:cs="Times New Roman"/>
      <w:color w:val="54534A"/>
    </w:rPr>
  </w:style>
  <w:style w:type="character" w:customStyle="1" w:styleId="Heading9Char">
    <w:name w:val="Heading 9 Char"/>
    <w:basedOn w:val="DefaultParagraphFont"/>
    <w:link w:val="Heading9"/>
    <w:uiPriority w:val="99"/>
    <w:locked/>
    <w:rsid w:val="0050529F"/>
    <w:rPr>
      <w:rFonts w:ascii="Times New Roman" w:eastAsia="Times New Roman" w:hAnsi="Times New Roman"/>
      <w:b/>
      <w:color w:val="54534A"/>
      <w:lang w:val="en-AU" w:eastAsia="en-AU"/>
    </w:rPr>
  </w:style>
  <w:style w:type="paragraph" w:styleId="BodyText">
    <w:name w:val="Body Text"/>
    <w:basedOn w:val="Normal"/>
    <w:link w:val="BodyTextChar"/>
    <w:uiPriority w:val="99"/>
    <w:rsid w:val="004C4A3E"/>
    <w:pPr>
      <w:spacing w:after="120"/>
    </w:pPr>
    <w:rPr>
      <w:rFonts w:eastAsia="Times New Roman"/>
      <w:sz w:val="22"/>
    </w:rPr>
  </w:style>
  <w:style w:type="character" w:customStyle="1" w:styleId="BodyTextChar">
    <w:name w:val="Body Text Char"/>
    <w:basedOn w:val="DefaultParagraphFont"/>
    <w:link w:val="BodyText"/>
    <w:uiPriority w:val="99"/>
    <w:locked/>
    <w:rsid w:val="004C4A3E"/>
    <w:rPr>
      <w:rFonts w:ascii="Times New Roman" w:hAnsi="Times New Roman" w:cs="Times New Roman"/>
      <w:sz w:val="24"/>
      <w:szCs w:val="24"/>
    </w:rPr>
  </w:style>
  <w:style w:type="paragraph" w:styleId="Date">
    <w:name w:val="Date"/>
    <w:basedOn w:val="Normal"/>
    <w:next w:val="BodyText"/>
    <w:link w:val="DateChar"/>
    <w:uiPriority w:val="99"/>
    <w:semiHidden/>
    <w:rsid w:val="00EE44C9"/>
    <w:pPr>
      <w:spacing w:before="120" w:after="1000" w:line="380" w:lineRule="atLeast"/>
    </w:pPr>
    <w:rPr>
      <w:rFonts w:ascii="Franklin Gothic Book" w:eastAsia="Times New Roman" w:hAnsi="Franklin Gothic Book"/>
      <w:color w:val="FFFFFF"/>
      <w:spacing w:val="-10"/>
      <w:kern w:val="28"/>
      <w:sz w:val="24"/>
    </w:rPr>
  </w:style>
  <w:style w:type="character" w:customStyle="1" w:styleId="DateChar">
    <w:name w:val="Date Char"/>
    <w:basedOn w:val="DefaultParagraphFont"/>
    <w:link w:val="Date"/>
    <w:uiPriority w:val="99"/>
    <w:locked/>
    <w:rsid w:val="00EE44C9"/>
    <w:rPr>
      <w:rFonts w:ascii="Franklin Gothic Book" w:hAnsi="Franklin Gothic Book" w:cs="Times New Roman"/>
      <w:color w:val="FFFFFF"/>
      <w:spacing w:val="-10"/>
      <w:kern w:val="28"/>
      <w:sz w:val="24"/>
      <w:szCs w:val="24"/>
    </w:rPr>
  </w:style>
  <w:style w:type="paragraph" w:customStyle="1" w:styleId="PublicationDate">
    <w:name w:val="Publication Date"/>
    <w:basedOn w:val="Date"/>
    <w:uiPriority w:val="99"/>
    <w:rsid w:val="00B9323A"/>
    <w:pPr>
      <w:spacing w:after="480"/>
    </w:pPr>
    <w:rPr>
      <w:rFonts w:ascii="Arial" w:hAnsi="Arial"/>
      <w:color w:val="auto"/>
    </w:rPr>
  </w:style>
  <w:style w:type="paragraph" w:customStyle="1" w:styleId="DocStatus">
    <w:name w:val="DocStatus"/>
    <w:basedOn w:val="Normal"/>
    <w:uiPriority w:val="99"/>
    <w:rsid w:val="004C4A3E"/>
    <w:pPr>
      <w:spacing w:before="120" w:after="60"/>
      <w:jc w:val="center"/>
    </w:pPr>
    <w:rPr>
      <w:rFonts w:ascii="Arial" w:eastAsia="Times New Roman" w:hAnsi="Arial"/>
      <w:b/>
      <w:sz w:val="22"/>
      <w:lang w:eastAsia="en-US"/>
    </w:rPr>
  </w:style>
  <w:style w:type="paragraph" w:styleId="Title">
    <w:name w:val="Title"/>
    <w:basedOn w:val="Normal"/>
    <w:next w:val="Normal"/>
    <w:link w:val="TitleChar"/>
    <w:uiPriority w:val="99"/>
    <w:qFormat/>
    <w:rsid w:val="00232975"/>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uiPriority w:val="99"/>
    <w:locked/>
    <w:rsid w:val="00232975"/>
    <w:rPr>
      <w:rFonts w:ascii="Arial" w:eastAsia="Times New Roman" w:hAnsi="Arial"/>
      <w:color w:val="AD495D"/>
      <w:spacing w:val="-10"/>
      <w:kern w:val="28"/>
      <w:sz w:val="40"/>
      <w:szCs w:val="20"/>
      <w:lang w:val="en-AU" w:eastAsia="en-AU"/>
    </w:rPr>
  </w:style>
  <w:style w:type="paragraph" w:styleId="Header">
    <w:name w:val="header"/>
    <w:basedOn w:val="Normal"/>
    <w:link w:val="HeaderChar"/>
    <w:uiPriority w:val="99"/>
    <w:rsid w:val="0050529F"/>
    <w:pPr>
      <w:tabs>
        <w:tab w:val="center" w:pos="4513"/>
        <w:tab w:val="right" w:pos="9026"/>
      </w:tabs>
    </w:pPr>
  </w:style>
  <w:style w:type="character" w:customStyle="1" w:styleId="HeaderChar">
    <w:name w:val="Header Char"/>
    <w:basedOn w:val="DefaultParagraphFont"/>
    <w:link w:val="Header"/>
    <w:uiPriority w:val="99"/>
    <w:locked/>
    <w:rsid w:val="0050529F"/>
    <w:rPr>
      <w:rFonts w:cs="Times New Roman"/>
    </w:rPr>
  </w:style>
  <w:style w:type="paragraph" w:styleId="Footer">
    <w:name w:val="footer"/>
    <w:basedOn w:val="Normal"/>
    <w:link w:val="FooterChar"/>
    <w:uiPriority w:val="99"/>
    <w:rsid w:val="0050529F"/>
    <w:pPr>
      <w:tabs>
        <w:tab w:val="center" w:pos="4513"/>
        <w:tab w:val="right" w:pos="9026"/>
      </w:tabs>
    </w:pPr>
  </w:style>
  <w:style w:type="character" w:customStyle="1" w:styleId="FooterChar">
    <w:name w:val="Footer Char"/>
    <w:basedOn w:val="DefaultParagraphFont"/>
    <w:link w:val="Footer"/>
    <w:uiPriority w:val="99"/>
    <w:locked/>
    <w:rsid w:val="0050529F"/>
    <w:rPr>
      <w:rFonts w:cs="Times New Roman"/>
    </w:rPr>
  </w:style>
  <w:style w:type="paragraph" w:styleId="Caption">
    <w:name w:val="caption"/>
    <w:basedOn w:val="Normal"/>
    <w:next w:val="BodyText"/>
    <w:link w:val="CaptionChar"/>
    <w:autoRedefine/>
    <w:uiPriority w:val="99"/>
    <w:qFormat/>
    <w:rsid w:val="008F5D80"/>
    <w:pPr>
      <w:keepNext/>
      <w:spacing w:before="80" w:after="80" w:line="280" w:lineRule="atLeast"/>
    </w:pPr>
    <w:rPr>
      <w:rFonts w:ascii="Arial" w:eastAsia="Times New Roman" w:hAnsi="Arial"/>
      <w:color w:val="7E6D5F"/>
      <w:szCs w:val="19"/>
      <w:lang w:val="en-US" w:eastAsia="ko-KR"/>
    </w:rPr>
  </w:style>
  <w:style w:type="paragraph" w:customStyle="1" w:styleId="Note">
    <w:name w:val="Note"/>
    <w:basedOn w:val="TableTextEntries"/>
    <w:next w:val="Normal"/>
    <w:link w:val="NoteCharChar"/>
    <w:autoRedefine/>
    <w:uiPriority w:val="99"/>
    <w:rsid w:val="00246E5F"/>
    <w:pPr>
      <w:keepNext/>
      <w:spacing w:before="20" w:after="20" w:line="180" w:lineRule="atLeast"/>
    </w:pPr>
    <w:rPr>
      <w:iCs/>
      <w:sz w:val="14"/>
      <w:szCs w:val="14"/>
      <w:lang w:val="en-US" w:eastAsia="ko-KR"/>
    </w:rPr>
  </w:style>
  <w:style w:type="paragraph" w:customStyle="1" w:styleId="TableTextEntries">
    <w:name w:val="Table Text Entries"/>
    <w:basedOn w:val="Normal"/>
    <w:uiPriority w:val="99"/>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uiPriority w:val="99"/>
    <w:locked/>
    <w:rsid w:val="00246E5F"/>
    <w:rPr>
      <w:rFonts w:ascii="Franklin Gothic Book" w:hAnsi="Franklin Gothic Book"/>
      <w:sz w:val="14"/>
    </w:rPr>
  </w:style>
  <w:style w:type="paragraph" w:customStyle="1" w:styleId="TableDataEntries">
    <w:name w:val="Table Data Entries"/>
    <w:basedOn w:val="TableTextEntries"/>
    <w:uiPriority w:val="99"/>
    <w:rsid w:val="0050529F"/>
    <w:pPr>
      <w:jc w:val="right"/>
    </w:pPr>
  </w:style>
  <w:style w:type="paragraph" w:customStyle="1" w:styleId="TableDataColumnHeading">
    <w:name w:val="Table Data Column Heading"/>
    <w:basedOn w:val="TableDataEntries"/>
    <w:uiPriority w:val="99"/>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uiPriority w:val="99"/>
    <w:rsid w:val="004C4A3E"/>
    <w:pPr>
      <w:jc w:val="left"/>
    </w:pPr>
    <w:rPr>
      <w:b/>
    </w:rPr>
  </w:style>
  <w:style w:type="paragraph" w:customStyle="1" w:styleId="NoteNumber">
    <w:name w:val="Note Number"/>
    <w:basedOn w:val="TableTextEntries"/>
    <w:link w:val="NoteNumberCharChar"/>
    <w:uiPriority w:val="99"/>
    <w:rsid w:val="00701FEA"/>
    <w:pPr>
      <w:numPr>
        <w:numId w:val="12"/>
      </w:numPr>
      <w:spacing w:after="0" w:line="180" w:lineRule="atLeast"/>
    </w:pPr>
    <w:rPr>
      <w:rFonts w:ascii="Times New Roman" w:hAnsi="Times New Roman"/>
      <w:sz w:val="14"/>
      <w:szCs w:val="14"/>
      <w:lang w:val="en-US"/>
    </w:rPr>
  </w:style>
  <w:style w:type="character" w:customStyle="1" w:styleId="NoteNumberCharChar">
    <w:name w:val="Note Number Char Char"/>
    <w:link w:val="NoteNumber"/>
    <w:uiPriority w:val="99"/>
    <w:locked/>
    <w:rsid w:val="00701FEA"/>
    <w:rPr>
      <w:rFonts w:ascii="Times New Roman" w:eastAsia="Times New Roman" w:hAnsi="Times New Roman"/>
      <w:sz w:val="14"/>
      <w:szCs w:val="14"/>
      <w:lang w:eastAsia="en-US"/>
    </w:rPr>
  </w:style>
  <w:style w:type="paragraph" w:customStyle="1" w:styleId="Ratingbullet">
    <w:name w:val="Rating bullet"/>
    <w:basedOn w:val="TableTextEntries"/>
    <w:uiPriority w:val="99"/>
    <w:semiHidden/>
    <w:rsid w:val="0050529F"/>
    <w:pPr>
      <w:jc w:val="center"/>
    </w:pPr>
    <w:rPr>
      <w:sz w:val="22"/>
      <w:szCs w:val="22"/>
    </w:rPr>
  </w:style>
  <w:style w:type="paragraph" w:styleId="ListParagraph">
    <w:name w:val="List Paragraph"/>
    <w:basedOn w:val="BodyText"/>
    <w:uiPriority w:val="99"/>
    <w:qFormat/>
    <w:rsid w:val="00100AA2"/>
    <w:pPr>
      <w:numPr>
        <w:numId w:val="8"/>
      </w:numPr>
      <w:tabs>
        <w:tab w:val="clear" w:pos="360"/>
      </w:tabs>
      <w:ind w:left="68"/>
    </w:pPr>
  </w:style>
  <w:style w:type="character" w:customStyle="1" w:styleId="DraftingNote">
    <w:name w:val="Drafting Note"/>
    <w:uiPriority w:val="99"/>
    <w:semiHidden/>
    <w:rsid w:val="0050529F"/>
    <w:rPr>
      <w:rFonts w:ascii="Georgia" w:hAnsi="Georgia"/>
      <w:b/>
      <w:color w:val="FF0000"/>
      <w:sz w:val="19"/>
      <w:u w:val="dotted"/>
    </w:rPr>
  </w:style>
  <w:style w:type="paragraph" w:customStyle="1" w:styleId="Abbreviation">
    <w:name w:val="Abbreviation"/>
    <w:basedOn w:val="BodyText"/>
    <w:uiPriority w:val="99"/>
    <w:rsid w:val="0050529F"/>
    <w:pPr>
      <w:ind w:left="1418" w:hanging="1418"/>
    </w:pPr>
  </w:style>
  <w:style w:type="paragraph" w:customStyle="1" w:styleId="Ratingamber">
    <w:name w:val="Rating amber"/>
    <w:basedOn w:val="Normal"/>
    <w:uiPriority w:val="99"/>
    <w:semiHidden/>
    <w:rsid w:val="0050529F"/>
    <w:pPr>
      <w:numPr>
        <w:numId w:val="21"/>
      </w:numPr>
      <w:spacing w:before="80" w:after="80" w:line="280" w:lineRule="atLeast"/>
    </w:pPr>
    <w:rPr>
      <w:rFonts w:ascii="Georgia" w:eastAsia="Times New Roman" w:hAnsi="Georgia"/>
      <w:sz w:val="19"/>
      <w:szCs w:val="19"/>
    </w:rPr>
  </w:style>
  <w:style w:type="paragraph" w:styleId="ListBullet">
    <w:name w:val="List Bullet"/>
    <w:basedOn w:val="BodyText"/>
    <w:uiPriority w:val="99"/>
    <w:rsid w:val="0050529F"/>
    <w:pPr>
      <w:numPr>
        <w:numId w:val="25"/>
      </w:numPr>
    </w:pPr>
  </w:style>
  <w:style w:type="paragraph" w:styleId="ListBullet2">
    <w:name w:val="List Bullet 2"/>
    <w:basedOn w:val="ListBullet"/>
    <w:uiPriority w:val="99"/>
    <w:rsid w:val="0050529F"/>
    <w:pPr>
      <w:numPr>
        <w:numId w:val="23"/>
      </w:numPr>
      <w:ind w:left="568" w:hanging="284"/>
    </w:pPr>
  </w:style>
  <w:style w:type="paragraph" w:styleId="ListNumber">
    <w:name w:val="List Number"/>
    <w:basedOn w:val="ListBullet"/>
    <w:uiPriority w:val="99"/>
    <w:rsid w:val="0050529F"/>
  </w:style>
  <w:style w:type="paragraph" w:styleId="ListNumber2">
    <w:name w:val="List Number 2"/>
    <w:basedOn w:val="ListNumber"/>
    <w:uiPriority w:val="99"/>
    <w:rsid w:val="0050529F"/>
    <w:pPr>
      <w:numPr>
        <w:numId w:val="24"/>
      </w:numPr>
      <w:ind w:left="568" w:hanging="284"/>
    </w:pPr>
  </w:style>
  <w:style w:type="paragraph" w:customStyle="1" w:styleId="Ratinggreen">
    <w:name w:val="Rating green"/>
    <w:basedOn w:val="Ratingamber"/>
    <w:uiPriority w:val="99"/>
    <w:semiHidden/>
    <w:rsid w:val="0050529F"/>
    <w:pPr>
      <w:numPr>
        <w:numId w:val="22"/>
      </w:numPr>
      <w:tabs>
        <w:tab w:val="num" w:pos="284"/>
      </w:tabs>
      <w:ind w:left="284" w:hanging="284"/>
    </w:pPr>
  </w:style>
  <w:style w:type="paragraph" w:customStyle="1" w:styleId="Reference">
    <w:name w:val="Reference"/>
    <w:basedOn w:val="BodyText"/>
    <w:uiPriority w:val="99"/>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uiPriority w:val="99"/>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basedOn w:val="DefaultParagraphFont"/>
    <w:uiPriority w:val="99"/>
    <w:semiHidden/>
    <w:rsid w:val="0050529F"/>
    <w:rPr>
      <w:rFonts w:ascii="Franklin Gothic Medium" w:hAnsi="Franklin Gothic Medium" w:cs="Times New Roman"/>
      <w:color w:val="54534A"/>
      <w:sz w:val="14"/>
    </w:rPr>
  </w:style>
  <w:style w:type="paragraph" w:styleId="TOC1">
    <w:name w:val="toc 1"/>
    <w:basedOn w:val="BodyText"/>
    <w:next w:val="BodyText"/>
    <w:uiPriority w:val="99"/>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99"/>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uiPriority w:val="99"/>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uiPriority w:val="99"/>
    <w:semiHidden/>
    <w:rsid w:val="0050529F"/>
    <w:rPr>
      <w:rFonts w:ascii="Franklin Gothic Book" w:hAnsi="Franklin Gothic Book"/>
      <w:color w:val="auto"/>
      <w:sz w:val="17"/>
    </w:rPr>
  </w:style>
  <w:style w:type="paragraph" w:customStyle="1" w:styleId="Invisiblepara">
    <w:name w:val="Invisible para"/>
    <w:basedOn w:val="Normal"/>
    <w:uiPriority w:val="99"/>
    <w:semiHidden/>
    <w:rsid w:val="0050529F"/>
    <w:pPr>
      <w:keepNext/>
      <w:spacing w:before="320" w:line="80" w:lineRule="exact"/>
    </w:pPr>
    <w:rPr>
      <w:rFonts w:eastAsia="Times New Roman"/>
      <w:sz w:val="21"/>
      <w:szCs w:val="20"/>
    </w:rPr>
  </w:style>
  <w:style w:type="paragraph" w:customStyle="1" w:styleId="BoxListBullet">
    <w:name w:val="Box List Bullet"/>
    <w:basedOn w:val="BoxText"/>
    <w:uiPriority w:val="99"/>
    <w:rsid w:val="0050529F"/>
    <w:pPr>
      <w:keepLines/>
      <w:numPr>
        <w:numId w:val="17"/>
      </w:numPr>
      <w:tabs>
        <w:tab w:val="clear" w:pos="284"/>
        <w:tab w:val="num" w:pos="454"/>
      </w:tabs>
      <w:spacing w:before="0"/>
      <w:ind w:left="454" w:hanging="227"/>
    </w:pPr>
  </w:style>
  <w:style w:type="paragraph" w:customStyle="1" w:styleId="BoxText">
    <w:name w:val="Box Text"/>
    <w:basedOn w:val="Normal"/>
    <w:link w:val="BoxTextChar"/>
    <w:autoRedefine/>
    <w:uiPriority w:val="99"/>
    <w:rsid w:val="000B3121"/>
    <w:pPr>
      <w:spacing w:before="80" w:after="80" w:line="280" w:lineRule="atLeast"/>
    </w:pPr>
    <w:rPr>
      <w:rFonts w:eastAsia="Times New Roman"/>
      <w:iCs/>
      <w:szCs w:val="20"/>
      <w:lang w:val="en-US" w:eastAsia="ko-KR"/>
    </w:rPr>
  </w:style>
  <w:style w:type="character" w:customStyle="1" w:styleId="BoxTextChar">
    <w:name w:val="Box Text Char"/>
    <w:link w:val="BoxText"/>
    <w:uiPriority w:val="99"/>
    <w:locked/>
    <w:rsid w:val="000B3121"/>
    <w:rPr>
      <w:rFonts w:ascii="Times New Roman" w:hAnsi="Times New Roman"/>
    </w:rPr>
  </w:style>
  <w:style w:type="character" w:customStyle="1" w:styleId="NoteLabel">
    <w:name w:val="Note Label"/>
    <w:uiPriority w:val="99"/>
    <w:rsid w:val="00701FEA"/>
    <w:rPr>
      <w:rFonts w:ascii="Times New Roman" w:hAnsi="Times New Roman"/>
      <w:color w:val="auto"/>
      <w:position w:val="4"/>
      <w:sz w:val="14"/>
    </w:rPr>
  </w:style>
  <w:style w:type="paragraph" w:customStyle="1" w:styleId="Source">
    <w:name w:val="Source"/>
    <w:basedOn w:val="Note"/>
    <w:next w:val="BodyText"/>
    <w:uiPriority w:val="99"/>
    <w:rsid w:val="0050529F"/>
    <w:pPr>
      <w:spacing w:after="240"/>
    </w:pPr>
  </w:style>
  <w:style w:type="paragraph" w:customStyle="1" w:styleId="BoxHeading1">
    <w:name w:val="Box Heading 1"/>
    <w:basedOn w:val="BoxText"/>
    <w:next w:val="BoxText"/>
    <w:uiPriority w:val="99"/>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uiPriority w:val="99"/>
    <w:rsid w:val="0050529F"/>
    <w:pPr>
      <w:spacing w:before="140"/>
    </w:pPr>
    <w:rPr>
      <w:rFonts w:ascii="Franklin Gothic Book" w:hAnsi="Franklin Gothic Book"/>
      <w:i/>
      <w:color w:val="auto"/>
    </w:rPr>
  </w:style>
  <w:style w:type="paragraph" w:customStyle="1" w:styleId="TableListBullet">
    <w:name w:val="Table List Bullet"/>
    <w:basedOn w:val="TableTextEntries"/>
    <w:uiPriority w:val="99"/>
    <w:rsid w:val="0050529F"/>
    <w:pPr>
      <w:numPr>
        <w:numId w:val="19"/>
      </w:numPr>
    </w:pPr>
  </w:style>
  <w:style w:type="paragraph" w:styleId="TableofFigures">
    <w:name w:val="table of figures"/>
    <w:basedOn w:val="BodyText"/>
    <w:next w:val="BodyText"/>
    <w:uiPriority w:val="99"/>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uiPriority w:val="99"/>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uiPriority w:val="99"/>
    <w:semiHidden/>
    <w:rsid w:val="0050529F"/>
    <w:pPr>
      <w:jc w:val="right"/>
    </w:pPr>
  </w:style>
  <w:style w:type="paragraph" w:customStyle="1" w:styleId="Recommendation">
    <w:name w:val="Recommendation"/>
    <w:basedOn w:val="BodyText"/>
    <w:next w:val="BodyText"/>
    <w:uiPriority w:val="99"/>
    <w:semiHidden/>
    <w:rsid w:val="0050529F"/>
    <w:pPr>
      <w:tabs>
        <w:tab w:val="left" w:pos="284"/>
      </w:tabs>
      <w:ind w:left="284" w:hanging="284"/>
    </w:pPr>
    <w:rPr>
      <w:rFonts w:eastAsia="MS Mincho" w:cs="MS Mincho"/>
      <w:b/>
    </w:rPr>
  </w:style>
  <w:style w:type="paragraph" w:styleId="TOC6">
    <w:name w:val="toc 6"/>
    <w:basedOn w:val="BodyText"/>
    <w:next w:val="BodyText"/>
    <w:uiPriority w:val="99"/>
    <w:semiHidden/>
    <w:rsid w:val="0050529F"/>
    <w:pPr>
      <w:tabs>
        <w:tab w:val="left" w:pos="284"/>
        <w:tab w:val="right" w:pos="8222"/>
      </w:tabs>
      <w:ind w:left="284" w:right="567" w:hanging="284"/>
    </w:pPr>
  </w:style>
  <w:style w:type="character" w:styleId="CommentReference">
    <w:name w:val="annotation reference"/>
    <w:basedOn w:val="DefaultParagraphFont"/>
    <w:uiPriority w:val="99"/>
    <w:rsid w:val="0050529F"/>
    <w:rPr>
      <w:rFonts w:ascii="Franklin Gothic Medium" w:hAnsi="Franklin Gothic Medium" w:cs="Times New Roman"/>
      <w:vanish/>
      <w:color w:val="FF00FF"/>
      <w:sz w:val="16"/>
    </w:rPr>
  </w:style>
  <w:style w:type="paragraph" w:styleId="CommentText">
    <w:name w:val="annotation text"/>
    <w:basedOn w:val="BodyText"/>
    <w:link w:val="CommentTextChar"/>
    <w:uiPriority w:val="99"/>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locked/>
    <w:rsid w:val="0050529F"/>
    <w:rPr>
      <w:rFonts w:ascii="Calibri" w:hAnsi="Calibri" w:cs="Times New Roman"/>
      <w:sz w:val="18"/>
      <w:szCs w:val="18"/>
    </w:rPr>
  </w:style>
  <w:style w:type="character" w:styleId="Hyperlink">
    <w:name w:val="Hyperlink"/>
    <w:basedOn w:val="DefaultParagraphFont"/>
    <w:uiPriority w:val="99"/>
    <w:rsid w:val="0050529F"/>
    <w:rPr>
      <w:rFonts w:cs="Times New Roman"/>
      <w:color w:val="00467F"/>
      <w:sz w:val="20"/>
      <w:u w:val="none"/>
    </w:rPr>
  </w:style>
  <w:style w:type="paragraph" w:customStyle="1" w:styleId="ChartText">
    <w:name w:val="Chart Text"/>
    <w:basedOn w:val="BodyText"/>
    <w:uiPriority w:val="99"/>
    <w:semiHidden/>
    <w:rsid w:val="0050529F"/>
    <w:pPr>
      <w:spacing w:before="100" w:line="190" w:lineRule="exact"/>
    </w:pPr>
    <w:rPr>
      <w:rFonts w:ascii="Arial" w:hAnsi="Arial"/>
      <w:sz w:val="17"/>
    </w:rPr>
  </w:style>
  <w:style w:type="paragraph" w:customStyle="1" w:styleId="ChartBoldText">
    <w:name w:val="Chart Bold Text"/>
    <w:basedOn w:val="ChartText"/>
    <w:next w:val="ChartText"/>
    <w:uiPriority w:val="99"/>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50529F"/>
    <w:pPr>
      <w:spacing w:line="210" w:lineRule="exact"/>
    </w:pPr>
    <w:rPr>
      <w:caps/>
      <w:sz w:val="19"/>
    </w:rPr>
  </w:style>
  <w:style w:type="paragraph" w:customStyle="1" w:styleId="ChartListBullet">
    <w:name w:val="Chart List Bullet"/>
    <w:basedOn w:val="TableListBullet"/>
    <w:uiPriority w:val="99"/>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50529F"/>
    <w:pPr>
      <w:tabs>
        <w:tab w:val="num" w:pos="227"/>
      </w:tabs>
      <w:spacing w:before="60"/>
      <w:ind w:left="227" w:hanging="227"/>
    </w:pPr>
  </w:style>
  <w:style w:type="paragraph" w:styleId="TOC7">
    <w:name w:val="toc 7"/>
    <w:basedOn w:val="TOC1"/>
    <w:next w:val="TOC1"/>
    <w:uiPriority w:val="99"/>
    <w:semiHidden/>
    <w:rsid w:val="0050529F"/>
    <w:pPr>
      <w:tabs>
        <w:tab w:val="left" w:pos="1418"/>
      </w:tabs>
      <w:ind w:left="1418" w:hanging="1418"/>
    </w:pPr>
  </w:style>
  <w:style w:type="paragraph" w:customStyle="1" w:styleId="Author">
    <w:name w:val="Author"/>
    <w:basedOn w:val="Date"/>
    <w:next w:val="Position"/>
    <w:link w:val="AuthorCharChar"/>
    <w:uiPriority w:val="99"/>
    <w:semiHidden/>
    <w:rsid w:val="0050529F"/>
    <w:pPr>
      <w:spacing w:before="180" w:after="0" w:line="260" w:lineRule="atLeast"/>
    </w:pPr>
    <w:rPr>
      <w:rFonts w:ascii="Franklin Gothic Medium" w:hAnsi="Franklin Gothic Medium"/>
      <w:color w:val="auto"/>
      <w:spacing w:val="-2"/>
      <w:sz w:val="20"/>
      <w:szCs w:val="20"/>
      <w:lang w:val="en-US" w:eastAsia="ko-KR"/>
    </w:rPr>
  </w:style>
  <w:style w:type="paragraph" w:customStyle="1" w:styleId="Position">
    <w:name w:val="Position"/>
    <w:basedOn w:val="Author"/>
    <w:next w:val="Author"/>
    <w:link w:val="PositionCharChar"/>
    <w:uiPriority w:val="99"/>
    <w:semiHidden/>
    <w:rsid w:val="0050529F"/>
    <w:pPr>
      <w:spacing w:before="0"/>
    </w:pPr>
    <w:rPr>
      <w:rFonts w:ascii="Franklin Gothic Book" w:hAnsi="Franklin Gothic Book"/>
    </w:rPr>
  </w:style>
  <w:style w:type="character" w:customStyle="1" w:styleId="PositionCharChar">
    <w:name w:val="Position Char Char"/>
    <w:link w:val="Position"/>
    <w:uiPriority w:val="99"/>
    <w:locked/>
    <w:rsid w:val="0050529F"/>
    <w:rPr>
      <w:rFonts w:ascii="Franklin Gothic Book" w:hAnsi="Franklin Gothic Book"/>
      <w:spacing w:val="-2"/>
      <w:kern w:val="28"/>
      <w:sz w:val="20"/>
    </w:rPr>
  </w:style>
  <w:style w:type="character" w:customStyle="1" w:styleId="AuthorCharChar">
    <w:name w:val="Author Char Char"/>
    <w:link w:val="Author"/>
    <w:uiPriority w:val="99"/>
    <w:locked/>
    <w:rsid w:val="0050529F"/>
    <w:rPr>
      <w:rFonts w:ascii="Franklin Gothic Medium" w:hAnsi="Franklin Gothic Medium"/>
      <w:spacing w:val="-2"/>
      <w:kern w:val="28"/>
      <w:sz w:val="20"/>
    </w:rPr>
  </w:style>
  <w:style w:type="paragraph" w:customStyle="1" w:styleId="Client">
    <w:name w:val="Client"/>
    <w:basedOn w:val="Author"/>
    <w:uiPriority w:val="99"/>
    <w:semiHidden/>
    <w:rsid w:val="0050529F"/>
  </w:style>
  <w:style w:type="paragraph" w:customStyle="1" w:styleId="TableHeading1">
    <w:name w:val="Table Heading 1"/>
    <w:basedOn w:val="TableTextEntries"/>
    <w:next w:val="TableTextEntries"/>
    <w:uiPriority w:val="99"/>
    <w:rsid w:val="00F91686"/>
    <w:pPr>
      <w:spacing w:before="80" w:after="80"/>
    </w:pPr>
    <w:rPr>
      <w:rFonts w:ascii="Franklin Gothic Medium" w:hAnsi="Franklin Gothic Medium"/>
      <w:b/>
    </w:rPr>
  </w:style>
  <w:style w:type="paragraph" w:customStyle="1" w:styleId="TableHeading2">
    <w:name w:val="Table Heading 2"/>
    <w:basedOn w:val="TableHeading1"/>
    <w:next w:val="TableTextEntries"/>
    <w:uiPriority w:val="99"/>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uiPriority w:val="99"/>
    <w:rsid w:val="0050529F"/>
    <w:pPr>
      <w:numPr>
        <w:numId w:val="20"/>
      </w:numPr>
    </w:pPr>
    <w:rPr>
      <w:lang w:val="en-US"/>
    </w:rPr>
  </w:style>
  <w:style w:type="character" w:customStyle="1" w:styleId="TableListBullet2CharChar">
    <w:name w:val="Table List Bullet 2 Char Char"/>
    <w:link w:val="TableListBullet2"/>
    <w:uiPriority w:val="99"/>
    <w:locked/>
    <w:rsid w:val="0050529F"/>
    <w:rPr>
      <w:rFonts w:ascii="Franklin Gothic Book" w:eastAsia="Times New Roman" w:hAnsi="Franklin Gothic Book"/>
      <w:sz w:val="17"/>
      <w:szCs w:val="17"/>
      <w:lang w:eastAsia="en-US"/>
    </w:rPr>
  </w:style>
  <w:style w:type="paragraph" w:customStyle="1" w:styleId="TableListNumber">
    <w:name w:val="Table List Number"/>
    <w:basedOn w:val="TableTextEntries"/>
    <w:uiPriority w:val="99"/>
    <w:rsid w:val="0050529F"/>
    <w:pPr>
      <w:numPr>
        <w:numId w:val="14"/>
      </w:numPr>
    </w:pPr>
  </w:style>
  <w:style w:type="paragraph" w:customStyle="1" w:styleId="TableListNumber2">
    <w:name w:val="Table List Number 2"/>
    <w:basedOn w:val="TableListNumber"/>
    <w:uiPriority w:val="99"/>
    <w:rsid w:val="0050529F"/>
    <w:pPr>
      <w:numPr>
        <w:numId w:val="15"/>
      </w:numPr>
      <w:tabs>
        <w:tab w:val="num" w:pos="926"/>
      </w:tabs>
      <w:ind w:hanging="360"/>
    </w:pPr>
  </w:style>
  <w:style w:type="paragraph" w:customStyle="1" w:styleId="TableUnit">
    <w:name w:val="Table Unit"/>
    <w:basedOn w:val="TableDataColumnHeading"/>
    <w:next w:val="TableDataEntries"/>
    <w:uiPriority w:val="99"/>
    <w:semiHidden/>
    <w:rsid w:val="0050529F"/>
    <w:pPr>
      <w:keepNext/>
    </w:pPr>
    <w:rPr>
      <w:rFonts w:ascii="Franklin Gothic Book" w:hAnsi="Franklin Gothic Book"/>
    </w:rPr>
  </w:style>
  <w:style w:type="character" w:styleId="FollowedHyperlink">
    <w:name w:val="FollowedHyperlink"/>
    <w:basedOn w:val="DefaultParagraphFont"/>
    <w:uiPriority w:val="99"/>
    <w:semiHidden/>
    <w:rsid w:val="0050529F"/>
    <w:rPr>
      <w:rFonts w:cs="Times New Roman"/>
      <w:color w:val="333399"/>
      <w:u w:val="none"/>
    </w:rPr>
  </w:style>
  <w:style w:type="paragraph" w:customStyle="1" w:styleId="Blurb">
    <w:name w:val="Blurb"/>
    <w:basedOn w:val="Caption"/>
    <w:uiPriority w:val="99"/>
    <w:semiHidden/>
    <w:rsid w:val="0050529F"/>
    <w:pPr>
      <w:spacing w:before="180" w:after="0"/>
    </w:pPr>
    <w:rPr>
      <w:color w:val="FFFFFF"/>
    </w:rPr>
  </w:style>
  <w:style w:type="paragraph" w:customStyle="1" w:styleId="Figure">
    <w:name w:val="Figure"/>
    <w:basedOn w:val="BodyText"/>
    <w:next w:val="BodyText"/>
    <w:uiPriority w:val="99"/>
    <w:semiHidden/>
    <w:rsid w:val="0050529F"/>
    <w:pPr>
      <w:spacing w:line="200" w:lineRule="atLeast"/>
    </w:pPr>
    <w:rPr>
      <w:sz w:val="18"/>
      <w:szCs w:val="18"/>
    </w:rPr>
  </w:style>
  <w:style w:type="paragraph" w:customStyle="1" w:styleId="BoxListBullet2">
    <w:name w:val="Box List Bullet 2"/>
    <w:basedOn w:val="BoxListBullet"/>
    <w:uiPriority w:val="99"/>
    <w:rsid w:val="0050529F"/>
    <w:pPr>
      <w:numPr>
        <w:numId w:val="16"/>
      </w:numPr>
      <w:tabs>
        <w:tab w:val="clear" w:pos="567"/>
        <w:tab w:val="num" w:pos="227"/>
      </w:tabs>
      <w:ind w:left="227" w:hanging="227"/>
    </w:pPr>
    <w:rPr>
      <w:szCs w:val="18"/>
    </w:rPr>
  </w:style>
  <w:style w:type="paragraph" w:customStyle="1" w:styleId="BoxListNumber">
    <w:name w:val="Box List Number"/>
    <w:basedOn w:val="BoxText"/>
    <w:uiPriority w:val="99"/>
    <w:rsid w:val="0050529F"/>
    <w:pPr>
      <w:numPr>
        <w:numId w:val="18"/>
      </w:numPr>
      <w:tabs>
        <w:tab w:val="clear" w:pos="284"/>
        <w:tab w:val="num" w:pos="567"/>
      </w:tabs>
      <w:spacing w:before="0"/>
      <w:ind w:left="567" w:hanging="283"/>
    </w:pPr>
  </w:style>
  <w:style w:type="paragraph" w:customStyle="1" w:styleId="BoxListNumber2">
    <w:name w:val="Box List Number 2"/>
    <w:basedOn w:val="BoxListNumber"/>
    <w:uiPriority w:val="99"/>
    <w:rsid w:val="0050529F"/>
    <w:pPr>
      <w:tabs>
        <w:tab w:val="clear" w:pos="567"/>
      </w:tabs>
      <w:ind w:left="68" w:hanging="360"/>
    </w:pPr>
  </w:style>
  <w:style w:type="paragraph" w:customStyle="1" w:styleId="BoxNoteSource">
    <w:name w:val="Box Note/Source"/>
    <w:basedOn w:val="BoxText"/>
    <w:uiPriority w:val="99"/>
    <w:rsid w:val="00701FEA"/>
    <w:pPr>
      <w:spacing w:before="100" w:after="100" w:line="180" w:lineRule="atLeast"/>
    </w:pPr>
    <w:rPr>
      <w:sz w:val="14"/>
      <w:szCs w:val="14"/>
    </w:rPr>
  </w:style>
  <w:style w:type="paragraph" w:customStyle="1" w:styleId="BoxQuote">
    <w:name w:val="Box Quote"/>
    <w:basedOn w:val="BoxText"/>
    <w:next w:val="BoxText"/>
    <w:uiPriority w:val="99"/>
    <w:rsid w:val="0050529F"/>
    <w:pPr>
      <w:spacing w:before="0" w:line="240" w:lineRule="atLeast"/>
      <w:ind w:left="284"/>
    </w:pPr>
    <w:rPr>
      <w:sz w:val="16"/>
      <w:szCs w:val="16"/>
    </w:rPr>
  </w:style>
  <w:style w:type="paragraph" w:customStyle="1" w:styleId="Appendix">
    <w:name w:val="Appendix"/>
    <w:basedOn w:val="Normal"/>
    <w:uiPriority w:val="99"/>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uiPriority w:val="99"/>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99"/>
    <w:rsid w:val="005052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uiPriority w:val="99"/>
    <w:semiHidden/>
    <w:rsid w:val="0050529F"/>
  </w:style>
  <w:style w:type="paragraph" w:styleId="CommentSubject">
    <w:name w:val="annotation subject"/>
    <w:basedOn w:val="CommentText"/>
    <w:next w:val="CommentText"/>
    <w:link w:val="CommentSubjectChar"/>
    <w:uiPriority w:val="99"/>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locked/>
    <w:rsid w:val="0050529F"/>
    <w:rPr>
      <w:rFonts w:ascii="Times New Roman" w:hAnsi="Times New Roman" w:cs="Times New Roman"/>
      <w:b/>
      <w:bCs/>
      <w:sz w:val="20"/>
      <w:szCs w:val="20"/>
    </w:rPr>
  </w:style>
  <w:style w:type="paragraph" w:styleId="BalloonText">
    <w:name w:val="Balloon Text"/>
    <w:basedOn w:val="Normal"/>
    <w:link w:val="BalloonTextChar"/>
    <w:uiPriority w:val="99"/>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50529F"/>
    <w:rPr>
      <w:rFonts w:ascii="Tahoma" w:hAnsi="Tahoma" w:cs="Tahoma"/>
      <w:sz w:val="16"/>
      <w:szCs w:val="16"/>
    </w:rPr>
  </w:style>
  <w:style w:type="paragraph" w:customStyle="1" w:styleId="Rating">
    <w:name w:val="Rating"/>
    <w:basedOn w:val="BodyText"/>
    <w:next w:val="BodyText"/>
    <w:uiPriority w:val="99"/>
    <w:semiHidden/>
    <w:rsid w:val="0050529F"/>
    <w:pPr>
      <w:tabs>
        <w:tab w:val="left" w:pos="567"/>
      </w:tabs>
    </w:pPr>
  </w:style>
  <w:style w:type="paragraph" w:customStyle="1" w:styleId="GuidanceText">
    <w:name w:val="Guidance Text"/>
    <w:basedOn w:val="BodyText"/>
    <w:uiPriority w:val="99"/>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uiPriority w:val="99"/>
    <w:rsid w:val="0050529F"/>
    <w:pPr>
      <w:spacing w:before="120"/>
    </w:pPr>
    <w:rPr>
      <w:rFonts w:ascii="Arial" w:eastAsia="Times New Roman" w:hAnsi="Arial"/>
      <w:szCs w:val="20"/>
      <w:lang w:val="en-US" w:eastAsia="en-US"/>
    </w:rPr>
  </w:style>
  <w:style w:type="character" w:customStyle="1" w:styleId="List-bullet-1Char">
    <w:name w:val="List-bullet-1 Char"/>
    <w:link w:val="List-bullet-1"/>
    <w:uiPriority w:val="99"/>
    <w:locked/>
    <w:rsid w:val="0050529F"/>
    <w:rPr>
      <w:rFonts w:ascii="Arial" w:hAnsi="Arial"/>
      <w:sz w:val="20"/>
      <w:lang w:eastAsia="en-US"/>
    </w:rPr>
  </w:style>
  <w:style w:type="table" w:styleId="MediumGrid2-Accent2">
    <w:name w:val="Medium Grid 2 Accent 2"/>
    <w:basedOn w:val="TableNormal"/>
    <w:uiPriority w:val="99"/>
    <w:rsid w:val="0050529F"/>
    <w:rPr>
      <w:rFonts w:ascii="Cambria" w:eastAsia="Malgun Gothic" w:hAnsi="Cambria"/>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customStyle="1" w:styleId="APPR">
    <w:name w:val="APPR"/>
    <w:uiPriority w:val="99"/>
    <w:rsid w:val="004C4A3E"/>
    <w:rPr>
      <w:rFonts w:ascii="Franklin Gothic Book" w:hAnsi="Franklin Gothic Book"/>
      <w:sz w:val="17"/>
      <w:szCs w:val="20"/>
      <w:lang w:val="en-AU" w:eastAsia="en-AU"/>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rPr>
        <w:rFonts w:ascii="Franklin Gothic Medium" w:hAnsi="Franklin Gothic Medium" w:cs="Times New Roman"/>
        <w:b/>
        <w:sz w:val="17"/>
      </w:rPr>
      <w:tblPr/>
      <w:tcPr>
        <w:tcBorders>
          <w:top w:val="nil"/>
          <w:bottom w:val="nil"/>
        </w:tcBorders>
      </w:tcPr>
    </w:tblStylePr>
    <w:tblStylePr w:type="band2Horz">
      <w:rPr>
        <w:rFonts w:cs="Times New Roman"/>
      </w:rPr>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99"/>
    <w:rsid w:val="00706DE1"/>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MediumShading2-Accent5">
    <w:name w:val="Medium Shading 2 Accent 5"/>
    <w:basedOn w:val="TableNormal"/>
    <w:uiPriority w:val="99"/>
    <w:rsid w:val="00706DE1"/>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99"/>
    <w:rsid w:val="00706DE1"/>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Revision">
    <w:name w:val="Revision"/>
    <w:hidden/>
    <w:uiPriority w:val="99"/>
    <w:rsid w:val="00F53655"/>
    <w:rPr>
      <w:rFonts w:ascii="Times New Roman" w:eastAsia="Times New Roman" w:hAnsi="Times New Roman"/>
      <w:sz w:val="20"/>
      <w:szCs w:val="24"/>
      <w:lang w:val="en-AU" w:eastAsia="en-AU"/>
    </w:rPr>
  </w:style>
  <w:style w:type="paragraph" w:styleId="Quote">
    <w:name w:val="Quote"/>
    <w:basedOn w:val="BodyText"/>
    <w:next w:val="BodyText"/>
    <w:link w:val="QuoteChar"/>
    <w:uiPriority w:val="99"/>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uiPriority w:val="99"/>
    <w:locked/>
    <w:rsid w:val="002A1935"/>
    <w:rPr>
      <w:rFonts w:ascii="Georgia" w:hAnsi="Georgia" w:cs="Times New Roman"/>
      <w:sz w:val="17"/>
      <w:szCs w:val="17"/>
    </w:rPr>
  </w:style>
  <w:style w:type="paragraph" w:customStyle="1" w:styleId="List-number-2">
    <w:name w:val="List-number-2"/>
    <w:basedOn w:val="Normal"/>
    <w:uiPriority w:val="99"/>
    <w:rsid w:val="002A1935"/>
    <w:pPr>
      <w:numPr>
        <w:ilvl w:val="1"/>
        <w:numId w:val="26"/>
      </w:numPr>
      <w:spacing w:before="120"/>
    </w:pPr>
    <w:rPr>
      <w:rFonts w:ascii="Arial" w:eastAsia="Times New Roman" w:hAnsi="Arial"/>
      <w:lang w:eastAsia="en-US"/>
    </w:rPr>
  </w:style>
  <w:style w:type="paragraph" w:customStyle="1" w:styleId="List-number-1">
    <w:name w:val="List-number-1"/>
    <w:basedOn w:val="Normal"/>
    <w:link w:val="List-number-1Char"/>
    <w:uiPriority w:val="99"/>
    <w:rsid w:val="002A1935"/>
    <w:pPr>
      <w:numPr>
        <w:numId w:val="26"/>
      </w:numPr>
      <w:spacing w:before="120"/>
    </w:pPr>
    <w:rPr>
      <w:rFonts w:ascii="Arial" w:eastAsia="Times New Roman" w:hAnsi="Arial"/>
      <w:lang w:val="en-US" w:eastAsia="en-US"/>
    </w:rPr>
  </w:style>
  <w:style w:type="character" w:customStyle="1" w:styleId="List-number-1Char">
    <w:name w:val="List-number-1 Char"/>
    <w:link w:val="List-number-1"/>
    <w:uiPriority w:val="99"/>
    <w:locked/>
    <w:rsid w:val="002A1935"/>
    <w:rPr>
      <w:rFonts w:ascii="Arial" w:eastAsia="Times New Roman" w:hAnsi="Arial"/>
      <w:sz w:val="20"/>
      <w:szCs w:val="24"/>
      <w:lang w:eastAsia="en-US"/>
    </w:rPr>
  </w:style>
  <w:style w:type="paragraph" w:styleId="ListNumber3">
    <w:name w:val="List Number 3"/>
    <w:basedOn w:val="Normal"/>
    <w:uiPriority w:val="99"/>
    <w:rsid w:val="002A1935"/>
    <w:pPr>
      <w:tabs>
        <w:tab w:val="num" w:pos="926"/>
      </w:tabs>
      <w:spacing w:after="120" w:line="220" w:lineRule="exact"/>
      <w:ind w:left="926" w:hanging="360"/>
    </w:pPr>
    <w:rPr>
      <w:rFonts w:ascii="Arial" w:eastAsia="Times New Roman" w:hAnsi="Arial"/>
      <w:sz w:val="18"/>
    </w:rPr>
  </w:style>
  <w:style w:type="paragraph" w:customStyle="1" w:styleId="Issue">
    <w:name w:val="Issue"/>
    <w:basedOn w:val="Normal"/>
    <w:uiPriority w:val="99"/>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uiPriority w:val="99"/>
    <w:rsid w:val="002A1935"/>
    <w:rPr>
      <w:rFonts w:eastAsia="Times New Roman"/>
      <w:szCs w:val="20"/>
    </w:rPr>
  </w:style>
  <w:style w:type="character" w:customStyle="1" w:styleId="EndnoteTextChar">
    <w:name w:val="Endnote Text Char"/>
    <w:basedOn w:val="DefaultParagraphFont"/>
    <w:link w:val="EndnoteText"/>
    <w:uiPriority w:val="99"/>
    <w:locked/>
    <w:rsid w:val="002A1935"/>
    <w:rPr>
      <w:rFonts w:ascii="Times New Roman" w:hAnsi="Times New Roman" w:cs="Times New Roman"/>
      <w:sz w:val="20"/>
      <w:szCs w:val="20"/>
    </w:rPr>
  </w:style>
  <w:style w:type="character" w:styleId="EndnoteReference">
    <w:name w:val="endnote reference"/>
    <w:basedOn w:val="DefaultParagraphFont"/>
    <w:uiPriority w:val="99"/>
    <w:rsid w:val="002A1935"/>
    <w:rPr>
      <w:rFonts w:cs="Times New Roman"/>
      <w:vertAlign w:val="superscript"/>
    </w:rPr>
  </w:style>
  <w:style w:type="character" w:customStyle="1" w:styleId="CaptionChar">
    <w:name w:val="Caption Char"/>
    <w:link w:val="Caption"/>
    <w:uiPriority w:val="99"/>
    <w:locked/>
    <w:rsid w:val="001612CE"/>
    <w:rPr>
      <w:rFonts w:ascii="Arial" w:hAnsi="Arial"/>
      <w:color w:val="7E6D5F"/>
      <w:sz w:val="19"/>
    </w:rPr>
  </w:style>
  <w:style w:type="paragraph" w:customStyle="1" w:styleId="list-number-10">
    <w:name w:val="list-number-1"/>
    <w:basedOn w:val="Normal"/>
    <w:uiPriority w:val="99"/>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rsid w:val="00F67041"/>
    <w:pPr>
      <w:spacing w:after="0"/>
      <w:contextualSpacing/>
    </w:pPr>
    <w:rPr>
      <w:sz w:val="16"/>
      <w:szCs w:val="20"/>
    </w:rPr>
  </w:style>
  <w:style w:type="character" w:customStyle="1" w:styleId="FootnoteTextChar">
    <w:name w:val="Footnote Text Char"/>
    <w:basedOn w:val="DefaultParagraphFont"/>
    <w:link w:val="FootnoteText"/>
    <w:uiPriority w:val="99"/>
    <w:locked/>
    <w:rsid w:val="00F67041"/>
    <w:rPr>
      <w:rFonts w:ascii="Times New Roman" w:eastAsia="Times New Roman" w:hAnsi="Times New Roman"/>
      <w:sz w:val="16"/>
      <w:szCs w:val="20"/>
      <w:lang w:val="en-AU" w:eastAsia="en-AU"/>
    </w:rPr>
  </w:style>
  <w:style w:type="character" w:styleId="FootnoteReference">
    <w:name w:val="footnote reference"/>
    <w:basedOn w:val="DefaultParagraphFont"/>
    <w:uiPriority w:val="99"/>
    <w:rsid w:val="00E34AED"/>
    <w:rPr>
      <w:rFonts w:ascii="Times New Roman" w:hAnsi="Times New Roman" w:cs="Times New Roman"/>
      <w:w w:val="100"/>
      <w:position w:val="6"/>
      <w:sz w:val="14"/>
      <w:vertAlign w:val="baseline"/>
    </w:rPr>
  </w:style>
  <w:style w:type="character" w:styleId="Emphasis">
    <w:name w:val="Emphasis"/>
    <w:basedOn w:val="DefaultParagraphFont"/>
    <w:uiPriority w:val="99"/>
    <w:qFormat/>
    <w:rsid w:val="00280C28"/>
    <w:rPr>
      <w:rFonts w:cs="Times New Roman"/>
      <w:b/>
      <w:bCs/>
    </w:rPr>
  </w:style>
  <w:style w:type="character" w:customStyle="1" w:styleId="st">
    <w:name w:val="st"/>
    <w:basedOn w:val="DefaultParagraphFont"/>
    <w:uiPriority w:val="99"/>
    <w:rsid w:val="00280C28"/>
    <w:rPr>
      <w:rFonts w:cs="Times New Roman"/>
    </w:rPr>
  </w:style>
  <w:style w:type="character" w:customStyle="1" w:styleId="field-content">
    <w:name w:val="field-content"/>
    <w:basedOn w:val="DefaultParagraphFont"/>
    <w:uiPriority w:val="99"/>
    <w:rsid w:val="00280C28"/>
    <w:rPr>
      <w:rFonts w:cs="Times New Roman"/>
    </w:rPr>
  </w:style>
  <w:style w:type="character" w:customStyle="1" w:styleId="st1">
    <w:name w:val="st1"/>
    <w:basedOn w:val="DefaultParagraphFont"/>
    <w:uiPriority w:val="99"/>
    <w:rsid w:val="007B105C"/>
    <w:rPr>
      <w:rFonts w:cs="Times New Roman"/>
    </w:rPr>
  </w:style>
  <w:style w:type="numbering" w:customStyle="1" w:styleId="StyleBulletedSymbolsymbol95ptLeft063cmHanging">
    <w:name w:val="Style Bulleted Symbol (symbol) 9.5 pt Left:  0.63 cm Hanging:  ..."/>
    <w:rsid w:val="00570B72"/>
    <w:pPr>
      <w:numPr>
        <w:numId w:val="28"/>
      </w:numPr>
    </w:pPr>
  </w:style>
  <w:style w:type="paragraph" w:customStyle="1" w:styleId="StyleBodyTextLeft0cmHanging127cm">
    <w:name w:val="Style Body Text + Left:  0 cm Hanging:  1.27 cm"/>
    <w:basedOn w:val="BodyText"/>
    <w:rsid w:val="00525542"/>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001733">
      <w:marLeft w:val="0"/>
      <w:marRight w:val="0"/>
      <w:marTop w:val="0"/>
      <w:marBottom w:val="0"/>
      <w:divBdr>
        <w:top w:val="none" w:sz="0" w:space="0" w:color="auto"/>
        <w:left w:val="none" w:sz="0" w:space="0" w:color="auto"/>
        <w:bottom w:val="none" w:sz="0" w:space="0" w:color="auto"/>
        <w:right w:val="none" w:sz="0" w:space="0" w:color="auto"/>
      </w:divBdr>
    </w:div>
    <w:div w:id="1930001734">
      <w:marLeft w:val="0"/>
      <w:marRight w:val="0"/>
      <w:marTop w:val="0"/>
      <w:marBottom w:val="0"/>
      <w:divBdr>
        <w:top w:val="none" w:sz="0" w:space="0" w:color="auto"/>
        <w:left w:val="none" w:sz="0" w:space="0" w:color="auto"/>
        <w:bottom w:val="none" w:sz="0" w:space="0" w:color="auto"/>
        <w:right w:val="none" w:sz="0" w:space="0" w:color="auto"/>
      </w:divBdr>
    </w:div>
    <w:div w:id="1930001735">
      <w:marLeft w:val="0"/>
      <w:marRight w:val="0"/>
      <w:marTop w:val="0"/>
      <w:marBottom w:val="0"/>
      <w:divBdr>
        <w:top w:val="none" w:sz="0" w:space="0" w:color="auto"/>
        <w:left w:val="none" w:sz="0" w:space="0" w:color="auto"/>
        <w:bottom w:val="none" w:sz="0" w:space="0" w:color="auto"/>
        <w:right w:val="none" w:sz="0" w:space="0" w:color="auto"/>
      </w:divBdr>
    </w:div>
    <w:div w:id="1930001736">
      <w:marLeft w:val="0"/>
      <w:marRight w:val="0"/>
      <w:marTop w:val="0"/>
      <w:marBottom w:val="0"/>
      <w:divBdr>
        <w:top w:val="none" w:sz="0" w:space="0" w:color="auto"/>
        <w:left w:val="none" w:sz="0" w:space="0" w:color="auto"/>
        <w:bottom w:val="none" w:sz="0" w:space="0" w:color="auto"/>
        <w:right w:val="none" w:sz="0" w:space="0" w:color="auto"/>
      </w:divBdr>
    </w:div>
    <w:div w:id="1930001737">
      <w:marLeft w:val="0"/>
      <w:marRight w:val="0"/>
      <w:marTop w:val="0"/>
      <w:marBottom w:val="0"/>
      <w:divBdr>
        <w:top w:val="none" w:sz="0" w:space="0" w:color="auto"/>
        <w:left w:val="none" w:sz="0" w:space="0" w:color="auto"/>
        <w:bottom w:val="none" w:sz="0" w:space="0" w:color="auto"/>
        <w:right w:val="none" w:sz="0" w:space="0" w:color="auto"/>
      </w:divBdr>
    </w:div>
    <w:div w:id="1930001738">
      <w:marLeft w:val="0"/>
      <w:marRight w:val="0"/>
      <w:marTop w:val="0"/>
      <w:marBottom w:val="0"/>
      <w:divBdr>
        <w:top w:val="none" w:sz="0" w:space="0" w:color="auto"/>
        <w:left w:val="none" w:sz="0" w:space="0" w:color="auto"/>
        <w:bottom w:val="none" w:sz="0" w:space="0" w:color="auto"/>
        <w:right w:val="none" w:sz="0" w:space="0" w:color="auto"/>
      </w:divBdr>
    </w:div>
    <w:div w:id="1930001739">
      <w:marLeft w:val="0"/>
      <w:marRight w:val="0"/>
      <w:marTop w:val="0"/>
      <w:marBottom w:val="0"/>
      <w:divBdr>
        <w:top w:val="none" w:sz="0" w:space="0" w:color="auto"/>
        <w:left w:val="none" w:sz="0" w:space="0" w:color="auto"/>
        <w:bottom w:val="none" w:sz="0" w:space="0" w:color="auto"/>
        <w:right w:val="none" w:sz="0" w:space="0" w:color="auto"/>
      </w:divBdr>
    </w:div>
    <w:div w:id="1930001740">
      <w:marLeft w:val="0"/>
      <w:marRight w:val="0"/>
      <w:marTop w:val="0"/>
      <w:marBottom w:val="0"/>
      <w:divBdr>
        <w:top w:val="none" w:sz="0" w:space="0" w:color="auto"/>
        <w:left w:val="none" w:sz="0" w:space="0" w:color="auto"/>
        <w:bottom w:val="none" w:sz="0" w:space="0" w:color="auto"/>
        <w:right w:val="none" w:sz="0" w:space="0" w:color="auto"/>
      </w:divBdr>
    </w:div>
    <w:div w:id="1930001741">
      <w:marLeft w:val="0"/>
      <w:marRight w:val="0"/>
      <w:marTop w:val="0"/>
      <w:marBottom w:val="0"/>
      <w:divBdr>
        <w:top w:val="none" w:sz="0" w:space="0" w:color="auto"/>
        <w:left w:val="none" w:sz="0" w:space="0" w:color="auto"/>
        <w:bottom w:val="none" w:sz="0" w:space="0" w:color="auto"/>
        <w:right w:val="none" w:sz="0" w:space="0" w:color="auto"/>
      </w:divBdr>
    </w:div>
    <w:div w:id="1930001742">
      <w:marLeft w:val="0"/>
      <w:marRight w:val="0"/>
      <w:marTop w:val="0"/>
      <w:marBottom w:val="0"/>
      <w:divBdr>
        <w:top w:val="none" w:sz="0" w:space="0" w:color="auto"/>
        <w:left w:val="none" w:sz="0" w:space="0" w:color="auto"/>
        <w:bottom w:val="none" w:sz="0" w:space="0" w:color="auto"/>
        <w:right w:val="none" w:sz="0" w:space="0" w:color="auto"/>
      </w:divBdr>
    </w:div>
    <w:div w:id="1930001743">
      <w:marLeft w:val="0"/>
      <w:marRight w:val="0"/>
      <w:marTop w:val="0"/>
      <w:marBottom w:val="0"/>
      <w:divBdr>
        <w:top w:val="none" w:sz="0" w:space="0" w:color="auto"/>
        <w:left w:val="none" w:sz="0" w:space="0" w:color="auto"/>
        <w:bottom w:val="none" w:sz="0" w:space="0" w:color="auto"/>
        <w:right w:val="none" w:sz="0" w:space="0" w:color="auto"/>
      </w:divBdr>
    </w:div>
    <w:div w:id="19300017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www.imf.org/external/pubs/ft/scr/2012/cr1235.pdf" TargetMode="External"/><Relationship Id="rId2" Type="http://schemas.openxmlformats.org/officeDocument/2006/relationships/hyperlink" Target="http://www.tradingeconomics.com/pakistan/gdp-growth" TargetMode="External"/><Relationship Id="rId1" Type="http://schemas.openxmlformats.org/officeDocument/2006/relationships/hyperlink" Target="http://stats.oecd.org/" TargetMode="External"/><Relationship Id="rId6" Type="http://schemas.openxmlformats.org/officeDocument/2006/relationships/hyperlink" Target="http://cpi.transparency.org/cpi2012/results/" TargetMode="External"/><Relationship Id="rId5" Type="http://schemas.openxmlformats.org/officeDocument/2006/relationships/hyperlink" Target="http://www.imf.org/external/np/sec/pr/2008/pr08303.htm" TargetMode="External"/><Relationship Id="rId4" Type="http://schemas.openxmlformats.org/officeDocument/2006/relationships/hyperlink" Target="http://www.imf.org/external/pubs/ft/weo/2013/01/pdf/tex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9A1721-FE8B-4CB4-9FF3-08AEFBF22671}"/>
</file>

<file path=customXml/itemProps2.xml><?xml version="1.0" encoding="utf-8"?>
<ds:datastoreItem xmlns:ds="http://schemas.openxmlformats.org/officeDocument/2006/customXml" ds:itemID="{9B083A32-D301-4568-84C5-FFC4C8B0024C}"/>
</file>

<file path=customXml/itemProps3.xml><?xml version="1.0" encoding="utf-8"?>
<ds:datastoreItem xmlns:ds="http://schemas.openxmlformats.org/officeDocument/2006/customXml" ds:itemID="{1C0E7E9A-9E48-4DF8-B573-74B5E7E0426B}"/>
</file>

<file path=customXml/itemProps4.xml><?xml version="1.0" encoding="utf-8"?>
<ds:datastoreItem xmlns:ds="http://schemas.openxmlformats.org/officeDocument/2006/customXml" ds:itemID="{341A0B88-5E0F-46E1-9A62-F452E6110C58}"/>
</file>

<file path=docProps/app.xml><?xml version="1.0" encoding="utf-8"?>
<Properties xmlns="http://schemas.openxmlformats.org/officeDocument/2006/extended-properties" xmlns:vt="http://schemas.openxmlformats.org/officeDocument/2006/docPropsVTypes">
  <Template>Normal.dotm</Template>
  <TotalTime>0</TotalTime>
  <Pages>22</Pages>
  <Words>9192</Words>
  <Characters>52592</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2013-12-05T03:50:00Z</dcterms:created>
  <dcterms:modified xsi:type="dcterms:W3CDTF">2014-01-29T05:21:00Z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316100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