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7E7D0" w14:textId="77777777" w:rsidR="00944BC2" w:rsidRPr="00B1463A" w:rsidRDefault="00944BC2" w:rsidP="00944BC2">
      <w:pPr>
        <w:tabs>
          <w:tab w:val="left" w:pos="170"/>
        </w:tabs>
        <w:rPr>
          <w:rFonts w:cs="Arial"/>
          <w:color w:val="666699"/>
          <w:sz w:val="22"/>
          <w:szCs w:val="22"/>
        </w:rPr>
      </w:pPr>
      <w:bookmarkStart w:id="0" w:name="_GoBack"/>
      <w:bookmarkEnd w:id="0"/>
    </w:p>
    <w:p w14:paraId="7F750E72" w14:textId="22452CDC" w:rsidR="00C657FB" w:rsidRPr="00B1463A" w:rsidRDefault="000347B9" w:rsidP="00CC57BF">
      <w:pPr>
        <w:pStyle w:val="DocName"/>
        <w:pBdr>
          <w:top w:val="single" w:sz="4" w:space="12" w:color="FF9900"/>
          <w:bottom w:val="single" w:sz="4" w:space="5" w:color="FF9900"/>
        </w:pBdr>
        <w:shd w:val="clear" w:color="auto" w:fill="FFFFCC"/>
        <w:spacing w:line="360" w:lineRule="auto"/>
        <w:rPr>
          <w:rFonts w:cs="Arial"/>
          <w:sz w:val="22"/>
          <w:szCs w:val="22"/>
          <w:lang w:eastAsia="en-AU"/>
        </w:rPr>
      </w:pPr>
      <w:r>
        <w:rPr>
          <w:rFonts w:cs="Arial"/>
          <w:sz w:val="22"/>
          <w:szCs w:val="22"/>
          <w:lang w:eastAsia="en-AU"/>
        </w:rPr>
        <w:t xml:space="preserve">Mid-Term Evaluation of the </w:t>
      </w:r>
      <w:r w:rsidR="003B6D78">
        <w:rPr>
          <w:rFonts w:cs="Arial"/>
          <w:sz w:val="22"/>
          <w:szCs w:val="22"/>
          <w:lang w:eastAsia="en-AU"/>
        </w:rPr>
        <w:t>Pacific Women’s Parliamentary Partnerships</w:t>
      </w:r>
      <w:r>
        <w:rPr>
          <w:rFonts w:cs="Arial"/>
          <w:sz w:val="22"/>
          <w:szCs w:val="22"/>
          <w:lang w:eastAsia="en-AU"/>
        </w:rPr>
        <w:t xml:space="preserve"> (</w:t>
      </w:r>
      <w:r w:rsidR="003B6D78">
        <w:rPr>
          <w:rFonts w:cs="Arial"/>
          <w:sz w:val="22"/>
          <w:szCs w:val="22"/>
          <w:lang w:eastAsia="en-AU"/>
        </w:rPr>
        <w:t>PWPP</w:t>
      </w:r>
      <w:r>
        <w:rPr>
          <w:rFonts w:cs="Arial"/>
          <w:sz w:val="22"/>
          <w:szCs w:val="22"/>
          <w:lang w:eastAsia="en-AU"/>
        </w:rPr>
        <w:t>) Project</w:t>
      </w:r>
    </w:p>
    <w:p w14:paraId="48B81D3B" w14:textId="77777777" w:rsidR="00C657FB" w:rsidRPr="00B1463A" w:rsidRDefault="00F37B61" w:rsidP="00C657FB">
      <w:pPr>
        <w:pStyle w:val="DocName"/>
        <w:pBdr>
          <w:top w:val="single" w:sz="4" w:space="12" w:color="FF9900"/>
          <w:bottom w:val="single" w:sz="4" w:space="5" w:color="FF9900"/>
        </w:pBdr>
        <w:shd w:val="clear" w:color="auto" w:fill="FFFFCC"/>
        <w:spacing w:line="360" w:lineRule="auto"/>
        <w:rPr>
          <w:rFonts w:cs="Arial"/>
          <w:sz w:val="22"/>
          <w:szCs w:val="22"/>
          <w:lang w:eastAsia="en-AU"/>
        </w:rPr>
      </w:pPr>
      <w:r w:rsidRPr="00B1463A">
        <w:rPr>
          <w:rFonts w:cs="Arial"/>
          <w:sz w:val="22"/>
          <w:szCs w:val="22"/>
          <w:lang w:eastAsia="en-AU"/>
        </w:rPr>
        <w:t>MANAGEMENT RESPONSE</w:t>
      </w:r>
    </w:p>
    <w:p w14:paraId="5A4636F9" w14:textId="20B26D69" w:rsidR="00C657FB" w:rsidRDefault="006F625A" w:rsidP="003B2211">
      <w:pPr>
        <w:spacing w:after="120"/>
        <w:rPr>
          <w:rFonts w:cs="Arial"/>
          <w:b/>
          <w:color w:val="4F81BD" w:themeColor="accent1"/>
          <w:sz w:val="24"/>
        </w:rPr>
      </w:pPr>
      <w:r w:rsidRPr="003B2211">
        <w:rPr>
          <w:rFonts w:cs="Arial"/>
          <w:b/>
          <w:color w:val="4F81BD" w:themeColor="accent1"/>
          <w:sz w:val="24"/>
        </w:rPr>
        <w:t>Investment</w:t>
      </w:r>
      <w:r w:rsidR="000B520A" w:rsidRPr="003B2211">
        <w:rPr>
          <w:rFonts w:cs="Arial"/>
          <w:b/>
          <w:color w:val="4F81BD" w:themeColor="accent1"/>
          <w:sz w:val="24"/>
        </w:rPr>
        <w:t xml:space="preserve"> </w:t>
      </w:r>
      <w:r w:rsidR="00C657FB" w:rsidRPr="003B2211">
        <w:rPr>
          <w:rFonts w:cs="Arial"/>
          <w:b/>
          <w:color w:val="4F81BD" w:themeColor="accent1"/>
          <w:sz w:val="24"/>
        </w:rPr>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B1463A" w14:paraId="35A7460C" w14:textId="77777777" w:rsidTr="00175FFC">
        <w:trPr>
          <w:cantSplit/>
          <w:tblHeader/>
        </w:trPr>
        <w:tc>
          <w:tcPr>
            <w:tcW w:w="2660" w:type="dxa"/>
            <w:shd w:val="clear" w:color="auto" w:fill="E0E0E0"/>
            <w:vAlign w:val="center"/>
          </w:tcPr>
          <w:p w14:paraId="52B7E6CB" w14:textId="77777777" w:rsidR="00C657FB" w:rsidRPr="00B1463A" w:rsidRDefault="006F625A" w:rsidP="00175FFC">
            <w:pPr>
              <w:pStyle w:val="Table-normal-text"/>
              <w:spacing w:before="120" w:after="120"/>
              <w:rPr>
                <w:rFonts w:cs="Arial"/>
                <w:b/>
                <w:sz w:val="22"/>
                <w:szCs w:val="22"/>
              </w:rPr>
            </w:pPr>
            <w:r w:rsidRPr="00B1463A">
              <w:rPr>
                <w:rFonts w:cs="Arial"/>
                <w:b/>
                <w:sz w:val="22"/>
                <w:szCs w:val="22"/>
              </w:rPr>
              <w:t xml:space="preserve">Investment </w:t>
            </w:r>
            <w:r w:rsidR="00C657FB" w:rsidRPr="00B1463A">
              <w:rPr>
                <w:rFonts w:cs="Arial"/>
                <w:b/>
                <w:sz w:val="22"/>
                <w:szCs w:val="22"/>
              </w:rPr>
              <w:t xml:space="preserve"> Name</w:t>
            </w:r>
          </w:p>
        </w:tc>
        <w:tc>
          <w:tcPr>
            <w:tcW w:w="7229" w:type="dxa"/>
            <w:gridSpan w:val="3"/>
            <w:shd w:val="clear" w:color="auto" w:fill="E0E0E0"/>
            <w:vAlign w:val="center"/>
          </w:tcPr>
          <w:p w14:paraId="741DC8A5" w14:textId="52D6C119" w:rsidR="00C657FB" w:rsidRPr="0078019F" w:rsidRDefault="003B6D78" w:rsidP="00175FFC">
            <w:pPr>
              <w:pStyle w:val="Table-normal-text"/>
              <w:spacing w:before="120" w:after="120"/>
              <w:rPr>
                <w:rFonts w:cs="Arial"/>
                <w:b/>
                <w:sz w:val="22"/>
                <w:szCs w:val="22"/>
              </w:rPr>
            </w:pPr>
            <w:r w:rsidRPr="0078019F">
              <w:rPr>
                <w:rFonts w:cs="Arial"/>
                <w:b/>
                <w:sz w:val="22"/>
                <w:szCs w:val="22"/>
                <w:lang w:eastAsia="en-AU"/>
              </w:rPr>
              <w:t>Pacific Women’s Parliamentary Partnerships (PWPP) Project</w:t>
            </w:r>
          </w:p>
        </w:tc>
      </w:tr>
      <w:tr w:rsidR="00C657FB" w:rsidRPr="00B1463A" w14:paraId="72D4926F" w14:textId="77777777" w:rsidTr="00175FFC">
        <w:trPr>
          <w:cantSplit/>
        </w:trPr>
        <w:tc>
          <w:tcPr>
            <w:tcW w:w="2660" w:type="dxa"/>
            <w:shd w:val="clear" w:color="auto" w:fill="auto"/>
          </w:tcPr>
          <w:p w14:paraId="6D37079C" w14:textId="708C38D3" w:rsidR="00C657FB" w:rsidRPr="00B1463A" w:rsidRDefault="00C657FB" w:rsidP="003B2211">
            <w:pPr>
              <w:pStyle w:val="Table-normal-text"/>
              <w:rPr>
                <w:rFonts w:cs="Arial"/>
                <w:sz w:val="22"/>
                <w:szCs w:val="22"/>
              </w:rPr>
            </w:pPr>
            <w:r w:rsidRPr="00B1463A">
              <w:rPr>
                <w:rFonts w:cs="Arial"/>
                <w:sz w:val="22"/>
                <w:szCs w:val="22"/>
              </w:rPr>
              <w:t xml:space="preserve">AidWorks </w:t>
            </w:r>
            <w:r w:rsidR="003B2211">
              <w:rPr>
                <w:rFonts w:cs="Arial"/>
                <w:sz w:val="22"/>
                <w:szCs w:val="22"/>
              </w:rPr>
              <w:t>identifier</w:t>
            </w:r>
          </w:p>
        </w:tc>
        <w:tc>
          <w:tcPr>
            <w:tcW w:w="7229" w:type="dxa"/>
            <w:gridSpan w:val="3"/>
            <w:shd w:val="clear" w:color="auto" w:fill="auto"/>
          </w:tcPr>
          <w:p w14:paraId="732BCFEC" w14:textId="13BAB95F" w:rsidR="00C657FB" w:rsidRPr="00B1463A" w:rsidRDefault="003B6D78" w:rsidP="0078019F">
            <w:pPr>
              <w:pStyle w:val="Table-normal-text"/>
              <w:rPr>
                <w:rFonts w:cs="Arial"/>
                <w:sz w:val="22"/>
                <w:szCs w:val="22"/>
              </w:rPr>
            </w:pPr>
            <w:r>
              <w:rPr>
                <w:rFonts w:cs="Arial"/>
                <w:sz w:val="22"/>
                <w:szCs w:val="22"/>
              </w:rPr>
              <w:t>INK496-12A926-43761/5</w:t>
            </w:r>
          </w:p>
        </w:tc>
      </w:tr>
      <w:tr w:rsidR="00C657FB" w:rsidRPr="00B1463A" w14:paraId="6BA0C4E4" w14:textId="77777777" w:rsidTr="00175FFC">
        <w:trPr>
          <w:cantSplit/>
        </w:trPr>
        <w:tc>
          <w:tcPr>
            <w:tcW w:w="2660" w:type="dxa"/>
            <w:shd w:val="clear" w:color="auto" w:fill="auto"/>
          </w:tcPr>
          <w:p w14:paraId="60029659" w14:textId="77777777" w:rsidR="00C657FB" w:rsidRPr="00B1463A" w:rsidRDefault="00C657FB" w:rsidP="00175FFC">
            <w:pPr>
              <w:pStyle w:val="Table-normal-text"/>
              <w:rPr>
                <w:rFonts w:cs="Arial"/>
                <w:sz w:val="22"/>
                <w:szCs w:val="22"/>
              </w:rPr>
            </w:pPr>
            <w:r w:rsidRPr="00B1463A">
              <w:rPr>
                <w:rFonts w:cs="Arial"/>
                <w:sz w:val="22"/>
                <w:szCs w:val="22"/>
              </w:rPr>
              <w:t>Commencement date</w:t>
            </w:r>
          </w:p>
        </w:tc>
        <w:tc>
          <w:tcPr>
            <w:tcW w:w="2693" w:type="dxa"/>
            <w:shd w:val="clear" w:color="auto" w:fill="auto"/>
          </w:tcPr>
          <w:p w14:paraId="5E4EAF12" w14:textId="5377A624" w:rsidR="00C657FB" w:rsidRPr="00B1463A" w:rsidRDefault="00052C14" w:rsidP="006F625A">
            <w:pPr>
              <w:pStyle w:val="Table-normal-text"/>
              <w:rPr>
                <w:rFonts w:cs="Arial"/>
                <w:sz w:val="22"/>
                <w:szCs w:val="22"/>
              </w:rPr>
            </w:pPr>
            <w:r>
              <w:rPr>
                <w:rFonts w:cs="Arial"/>
                <w:sz w:val="22"/>
                <w:szCs w:val="22"/>
              </w:rPr>
              <w:t>10</w:t>
            </w:r>
            <w:r w:rsidR="003B6D78">
              <w:rPr>
                <w:rFonts w:cs="Arial"/>
                <w:sz w:val="22"/>
                <w:szCs w:val="22"/>
              </w:rPr>
              <w:t xml:space="preserve"> January</w:t>
            </w:r>
            <w:r w:rsidR="00BB7992">
              <w:rPr>
                <w:rFonts w:cs="Arial"/>
                <w:sz w:val="22"/>
                <w:szCs w:val="22"/>
              </w:rPr>
              <w:t xml:space="preserve"> 2013</w:t>
            </w:r>
          </w:p>
        </w:tc>
        <w:tc>
          <w:tcPr>
            <w:tcW w:w="1843" w:type="dxa"/>
            <w:shd w:val="clear" w:color="auto" w:fill="auto"/>
          </w:tcPr>
          <w:p w14:paraId="0B9F1E1C" w14:textId="77777777" w:rsidR="00C657FB" w:rsidRPr="00B1463A" w:rsidRDefault="00C657FB" w:rsidP="00175FFC">
            <w:pPr>
              <w:pStyle w:val="Table-normal-text"/>
              <w:rPr>
                <w:rFonts w:cs="Arial"/>
                <w:sz w:val="22"/>
                <w:szCs w:val="22"/>
              </w:rPr>
            </w:pPr>
            <w:r w:rsidRPr="00B1463A">
              <w:rPr>
                <w:rFonts w:cs="Arial"/>
                <w:sz w:val="22"/>
                <w:szCs w:val="22"/>
              </w:rPr>
              <w:t>Completion date</w:t>
            </w:r>
          </w:p>
        </w:tc>
        <w:tc>
          <w:tcPr>
            <w:tcW w:w="2693" w:type="dxa"/>
            <w:shd w:val="clear" w:color="auto" w:fill="auto"/>
          </w:tcPr>
          <w:p w14:paraId="7252C01B" w14:textId="302D929D" w:rsidR="00C657FB" w:rsidRPr="00B1463A" w:rsidRDefault="00BB7992" w:rsidP="0078019F">
            <w:pPr>
              <w:pStyle w:val="Table-normal-text"/>
              <w:rPr>
                <w:rFonts w:cs="Arial"/>
                <w:sz w:val="22"/>
                <w:szCs w:val="22"/>
              </w:rPr>
            </w:pPr>
            <w:r>
              <w:rPr>
                <w:rFonts w:cs="Arial"/>
                <w:sz w:val="22"/>
                <w:szCs w:val="22"/>
              </w:rPr>
              <w:t xml:space="preserve">30 </w:t>
            </w:r>
            <w:r w:rsidR="003B6D78">
              <w:rPr>
                <w:rFonts w:cs="Arial"/>
                <w:sz w:val="22"/>
                <w:szCs w:val="22"/>
              </w:rPr>
              <w:t>December 2017</w:t>
            </w:r>
          </w:p>
        </w:tc>
      </w:tr>
      <w:tr w:rsidR="00C657FB" w:rsidRPr="00B1463A" w14:paraId="20DDAC45" w14:textId="77777777" w:rsidTr="00175FFC">
        <w:trPr>
          <w:cantSplit/>
        </w:trPr>
        <w:tc>
          <w:tcPr>
            <w:tcW w:w="2660" w:type="dxa"/>
            <w:shd w:val="clear" w:color="auto" w:fill="auto"/>
          </w:tcPr>
          <w:p w14:paraId="11AE4D0D" w14:textId="77777777" w:rsidR="00C657FB" w:rsidRPr="00B1463A" w:rsidRDefault="00C657FB" w:rsidP="00175FFC">
            <w:pPr>
              <w:pStyle w:val="Table-normal-text"/>
              <w:rPr>
                <w:rFonts w:cs="Arial"/>
                <w:sz w:val="22"/>
                <w:szCs w:val="22"/>
              </w:rPr>
            </w:pPr>
            <w:r w:rsidRPr="00B1463A">
              <w:rPr>
                <w:rFonts w:cs="Arial"/>
                <w:sz w:val="22"/>
                <w:szCs w:val="22"/>
              </w:rPr>
              <w:t>Total Australian $</w:t>
            </w:r>
          </w:p>
        </w:tc>
        <w:tc>
          <w:tcPr>
            <w:tcW w:w="7229" w:type="dxa"/>
            <w:gridSpan w:val="3"/>
            <w:shd w:val="clear" w:color="auto" w:fill="auto"/>
          </w:tcPr>
          <w:p w14:paraId="66CEA6B0" w14:textId="73D20ED1" w:rsidR="00C657FB" w:rsidRPr="007C5317" w:rsidRDefault="00BB7992" w:rsidP="0078019F">
            <w:pPr>
              <w:pStyle w:val="Table-normal-text"/>
              <w:rPr>
                <w:rFonts w:cs="Arial"/>
                <w:sz w:val="22"/>
                <w:szCs w:val="22"/>
              </w:rPr>
            </w:pPr>
            <w:r w:rsidRPr="007C5317">
              <w:rPr>
                <w:rFonts w:cs="Arial"/>
                <w:sz w:val="22"/>
                <w:szCs w:val="22"/>
              </w:rPr>
              <w:t>AUD</w:t>
            </w:r>
            <w:r w:rsidR="003B6D78">
              <w:rPr>
                <w:rFonts w:cs="Arial"/>
                <w:sz w:val="22"/>
                <w:szCs w:val="22"/>
              </w:rPr>
              <w:t>2,850,037.00</w:t>
            </w:r>
          </w:p>
        </w:tc>
      </w:tr>
      <w:tr w:rsidR="00C657FB" w:rsidRPr="00B1463A" w14:paraId="0FC5ED3D" w14:textId="77777777" w:rsidTr="00175FFC">
        <w:trPr>
          <w:cantSplit/>
        </w:trPr>
        <w:tc>
          <w:tcPr>
            <w:tcW w:w="2660" w:type="dxa"/>
            <w:shd w:val="clear" w:color="auto" w:fill="auto"/>
          </w:tcPr>
          <w:p w14:paraId="73268FFB" w14:textId="77777777" w:rsidR="00C657FB" w:rsidRPr="00B1463A" w:rsidRDefault="00C657FB" w:rsidP="00175FFC">
            <w:pPr>
              <w:pStyle w:val="Table-normal-text"/>
              <w:rPr>
                <w:rFonts w:cs="Arial"/>
                <w:sz w:val="22"/>
                <w:szCs w:val="22"/>
              </w:rPr>
            </w:pPr>
            <w:r w:rsidRPr="00B1463A">
              <w:rPr>
                <w:rFonts w:cs="Arial"/>
                <w:sz w:val="22"/>
                <w:szCs w:val="22"/>
              </w:rPr>
              <w:t>Delivery organisation(s)</w:t>
            </w:r>
          </w:p>
        </w:tc>
        <w:tc>
          <w:tcPr>
            <w:tcW w:w="7229" w:type="dxa"/>
            <w:gridSpan w:val="3"/>
            <w:shd w:val="clear" w:color="auto" w:fill="auto"/>
          </w:tcPr>
          <w:p w14:paraId="296E83E0" w14:textId="02FE23AC" w:rsidR="00C657FB" w:rsidRPr="00B1463A" w:rsidRDefault="003B6D78" w:rsidP="00BB7992">
            <w:pPr>
              <w:pStyle w:val="Table-normal-text"/>
              <w:rPr>
                <w:rFonts w:cs="Arial"/>
                <w:sz w:val="22"/>
                <w:szCs w:val="22"/>
              </w:rPr>
            </w:pPr>
            <w:r>
              <w:rPr>
                <w:rFonts w:cs="Arial"/>
                <w:sz w:val="22"/>
                <w:szCs w:val="22"/>
              </w:rPr>
              <w:t>Parliamentary Skills Centre (PSC), Department of the House of Representatives (DHoR)</w:t>
            </w:r>
          </w:p>
        </w:tc>
      </w:tr>
      <w:tr w:rsidR="00C657FB" w:rsidRPr="00B1463A" w14:paraId="22A385E7" w14:textId="77777777" w:rsidTr="00175FFC">
        <w:trPr>
          <w:cantSplit/>
        </w:trPr>
        <w:tc>
          <w:tcPr>
            <w:tcW w:w="2660" w:type="dxa"/>
            <w:shd w:val="clear" w:color="auto" w:fill="auto"/>
          </w:tcPr>
          <w:p w14:paraId="372AEDDD" w14:textId="77777777" w:rsidR="00C657FB" w:rsidRPr="00B1463A" w:rsidRDefault="00C657FB" w:rsidP="00845B17">
            <w:pPr>
              <w:pStyle w:val="Table-normal-text"/>
              <w:rPr>
                <w:rFonts w:cs="Arial"/>
                <w:sz w:val="22"/>
                <w:szCs w:val="22"/>
              </w:rPr>
            </w:pPr>
            <w:r w:rsidRPr="00B1463A">
              <w:rPr>
                <w:rFonts w:cs="Arial"/>
                <w:sz w:val="22"/>
                <w:szCs w:val="22"/>
              </w:rPr>
              <w:t xml:space="preserve">Implementing </w:t>
            </w:r>
            <w:r w:rsidR="00845B17" w:rsidRPr="00B1463A">
              <w:rPr>
                <w:rFonts w:cs="Arial"/>
                <w:sz w:val="22"/>
                <w:szCs w:val="22"/>
              </w:rPr>
              <w:t>partner</w:t>
            </w:r>
            <w:r w:rsidRPr="00B1463A">
              <w:rPr>
                <w:rFonts w:cs="Arial"/>
                <w:sz w:val="22"/>
                <w:szCs w:val="22"/>
              </w:rPr>
              <w:t>(s)</w:t>
            </w:r>
          </w:p>
        </w:tc>
        <w:tc>
          <w:tcPr>
            <w:tcW w:w="7229" w:type="dxa"/>
            <w:gridSpan w:val="3"/>
            <w:shd w:val="clear" w:color="auto" w:fill="auto"/>
          </w:tcPr>
          <w:p w14:paraId="04F413AD" w14:textId="4722D7C6" w:rsidR="00C657FB" w:rsidRPr="00B1463A" w:rsidRDefault="00D622DD" w:rsidP="0078019F">
            <w:pPr>
              <w:pStyle w:val="Table-normal-text"/>
              <w:rPr>
                <w:rFonts w:cs="Arial"/>
                <w:sz w:val="22"/>
                <w:szCs w:val="22"/>
              </w:rPr>
            </w:pPr>
            <w:r>
              <w:rPr>
                <w:rFonts w:cs="Arial"/>
                <w:sz w:val="22"/>
                <w:szCs w:val="22"/>
              </w:rPr>
              <w:t>Pacific Island governments</w:t>
            </w:r>
          </w:p>
        </w:tc>
      </w:tr>
      <w:tr w:rsidR="00C657FB" w:rsidRPr="00B1463A" w14:paraId="73D6C484" w14:textId="77777777" w:rsidTr="00175FFC">
        <w:trPr>
          <w:cantSplit/>
        </w:trPr>
        <w:tc>
          <w:tcPr>
            <w:tcW w:w="2660" w:type="dxa"/>
            <w:shd w:val="clear" w:color="auto" w:fill="auto"/>
          </w:tcPr>
          <w:p w14:paraId="7654AF47" w14:textId="77777777" w:rsidR="00C657FB" w:rsidRPr="00B1463A" w:rsidRDefault="00C657FB" w:rsidP="00175FFC">
            <w:pPr>
              <w:pStyle w:val="Table-normal-text"/>
              <w:rPr>
                <w:rFonts w:cs="Arial"/>
                <w:sz w:val="22"/>
                <w:szCs w:val="22"/>
              </w:rPr>
            </w:pPr>
            <w:r w:rsidRPr="00B1463A">
              <w:rPr>
                <w:rFonts w:cs="Arial"/>
                <w:sz w:val="22"/>
                <w:szCs w:val="22"/>
              </w:rPr>
              <w:t>Country/Region</w:t>
            </w:r>
          </w:p>
        </w:tc>
        <w:tc>
          <w:tcPr>
            <w:tcW w:w="7229" w:type="dxa"/>
            <w:gridSpan w:val="3"/>
            <w:shd w:val="clear" w:color="auto" w:fill="auto"/>
          </w:tcPr>
          <w:p w14:paraId="29D5381F" w14:textId="77777777" w:rsidR="00C657FB" w:rsidRPr="00B1463A" w:rsidRDefault="00CC57BF" w:rsidP="0032045D">
            <w:pPr>
              <w:pStyle w:val="Table-normal-text"/>
              <w:rPr>
                <w:rFonts w:cs="Arial"/>
                <w:sz w:val="22"/>
                <w:szCs w:val="22"/>
              </w:rPr>
            </w:pPr>
            <w:r w:rsidRPr="00B1463A">
              <w:rPr>
                <w:rFonts w:cs="Arial"/>
                <w:sz w:val="22"/>
                <w:szCs w:val="22"/>
              </w:rPr>
              <w:t>Pacific</w:t>
            </w:r>
            <w:r w:rsidR="00997956" w:rsidRPr="00B1463A">
              <w:rPr>
                <w:rFonts w:cs="Arial"/>
                <w:sz w:val="22"/>
                <w:szCs w:val="22"/>
              </w:rPr>
              <w:t xml:space="preserve"> </w:t>
            </w:r>
            <w:r w:rsidR="0032045D" w:rsidRPr="00B1463A">
              <w:rPr>
                <w:rFonts w:cs="Arial"/>
                <w:sz w:val="22"/>
                <w:szCs w:val="22"/>
              </w:rPr>
              <w:t xml:space="preserve">Regional </w:t>
            </w:r>
          </w:p>
        </w:tc>
      </w:tr>
      <w:tr w:rsidR="00C657FB" w:rsidRPr="00B1463A" w14:paraId="41F1CC90" w14:textId="77777777" w:rsidTr="00175FFC">
        <w:trPr>
          <w:cantSplit/>
        </w:trPr>
        <w:tc>
          <w:tcPr>
            <w:tcW w:w="2660" w:type="dxa"/>
            <w:shd w:val="clear" w:color="auto" w:fill="auto"/>
          </w:tcPr>
          <w:p w14:paraId="113DF231" w14:textId="77777777" w:rsidR="00C657FB" w:rsidRPr="00B1463A" w:rsidRDefault="00C657FB" w:rsidP="00845B17">
            <w:pPr>
              <w:pStyle w:val="Table-normal-text"/>
              <w:rPr>
                <w:rFonts w:cs="Arial"/>
                <w:sz w:val="22"/>
                <w:szCs w:val="22"/>
              </w:rPr>
            </w:pPr>
            <w:r w:rsidRPr="00B1463A">
              <w:rPr>
                <w:rFonts w:cs="Arial"/>
                <w:sz w:val="22"/>
                <w:szCs w:val="22"/>
              </w:rPr>
              <w:t xml:space="preserve">Primary </w:t>
            </w:r>
            <w:r w:rsidR="00845B17" w:rsidRPr="00B1463A">
              <w:rPr>
                <w:rFonts w:cs="Arial"/>
                <w:sz w:val="22"/>
                <w:szCs w:val="22"/>
              </w:rPr>
              <w:t>sector</w:t>
            </w:r>
          </w:p>
        </w:tc>
        <w:tc>
          <w:tcPr>
            <w:tcW w:w="7229" w:type="dxa"/>
            <w:gridSpan w:val="3"/>
            <w:shd w:val="clear" w:color="auto" w:fill="auto"/>
          </w:tcPr>
          <w:p w14:paraId="10810D8E" w14:textId="77777777" w:rsidR="00C657FB" w:rsidRPr="00B1463A" w:rsidRDefault="000347B9" w:rsidP="00175FFC">
            <w:pPr>
              <w:pStyle w:val="Table-normal-text"/>
              <w:rPr>
                <w:rFonts w:cs="Arial"/>
                <w:sz w:val="22"/>
                <w:szCs w:val="22"/>
              </w:rPr>
            </w:pPr>
            <w:r w:rsidRPr="00BB7992">
              <w:rPr>
                <w:rFonts w:cs="Arial"/>
                <w:sz w:val="22"/>
                <w:szCs w:val="22"/>
              </w:rPr>
              <w:t>Gender</w:t>
            </w:r>
            <w:r>
              <w:rPr>
                <w:rFonts w:cs="Arial"/>
                <w:sz w:val="22"/>
                <w:szCs w:val="22"/>
              </w:rPr>
              <w:t xml:space="preserve"> </w:t>
            </w:r>
          </w:p>
        </w:tc>
      </w:tr>
      <w:tr w:rsidR="00C657FB" w:rsidRPr="00B1463A" w14:paraId="7F47883F" w14:textId="77777777" w:rsidTr="00175FFC">
        <w:trPr>
          <w:cantSplit/>
        </w:trPr>
        <w:tc>
          <w:tcPr>
            <w:tcW w:w="2660" w:type="dxa"/>
            <w:shd w:val="clear" w:color="auto" w:fill="auto"/>
          </w:tcPr>
          <w:p w14:paraId="74419131" w14:textId="77777777" w:rsidR="00C657FB" w:rsidRPr="00B1463A" w:rsidRDefault="00390A59" w:rsidP="00A842EF">
            <w:pPr>
              <w:pStyle w:val="Table-normal-text"/>
              <w:rPr>
                <w:rFonts w:cs="Arial"/>
                <w:sz w:val="22"/>
                <w:szCs w:val="22"/>
              </w:rPr>
            </w:pPr>
            <w:r w:rsidRPr="00B1463A">
              <w:rPr>
                <w:rFonts w:cs="Arial"/>
                <w:sz w:val="22"/>
                <w:szCs w:val="22"/>
              </w:rPr>
              <w:t>Initiative</w:t>
            </w:r>
            <w:r w:rsidR="00C657FB" w:rsidRPr="00B1463A">
              <w:rPr>
                <w:rFonts w:cs="Arial"/>
                <w:sz w:val="22"/>
                <w:szCs w:val="22"/>
              </w:rPr>
              <w:t xml:space="preserve"> </w:t>
            </w:r>
            <w:r w:rsidR="00A842EF">
              <w:rPr>
                <w:rFonts w:cs="Arial"/>
                <w:sz w:val="22"/>
                <w:szCs w:val="22"/>
              </w:rPr>
              <w:t>description</w:t>
            </w:r>
          </w:p>
        </w:tc>
        <w:tc>
          <w:tcPr>
            <w:tcW w:w="7229" w:type="dxa"/>
            <w:gridSpan w:val="3"/>
            <w:shd w:val="clear" w:color="auto" w:fill="auto"/>
          </w:tcPr>
          <w:p w14:paraId="57DADE39" w14:textId="0ADBABFE" w:rsidR="00A842EF" w:rsidRPr="00E3082F" w:rsidRDefault="0035175D" w:rsidP="003B2211">
            <w:pPr>
              <w:jc w:val="both"/>
              <w:rPr>
                <w:sz w:val="22"/>
                <w:szCs w:val="22"/>
              </w:rPr>
            </w:pPr>
            <w:r>
              <w:rPr>
                <w:sz w:val="22"/>
                <w:szCs w:val="22"/>
              </w:rPr>
              <w:t xml:space="preserve">The </w:t>
            </w:r>
            <w:r w:rsidR="00052C14" w:rsidRPr="00052C14">
              <w:rPr>
                <w:sz w:val="22"/>
                <w:szCs w:val="22"/>
              </w:rPr>
              <w:t xml:space="preserve">Pacific Women’s Parliamentary Partnerships (PWPP) </w:t>
            </w:r>
            <w:r>
              <w:rPr>
                <w:sz w:val="22"/>
                <w:szCs w:val="22"/>
              </w:rPr>
              <w:t>p</w:t>
            </w:r>
            <w:r w:rsidR="00052C14" w:rsidRPr="00052C14">
              <w:rPr>
                <w:sz w:val="22"/>
                <w:szCs w:val="22"/>
              </w:rPr>
              <w:t>roject</w:t>
            </w:r>
            <w:r w:rsidR="00A842EF" w:rsidRPr="00E3082F">
              <w:rPr>
                <w:sz w:val="22"/>
                <w:szCs w:val="22"/>
              </w:rPr>
              <w:t xml:space="preserve"> is a five-year project </w:t>
            </w:r>
            <w:r w:rsidR="0078019F">
              <w:rPr>
                <w:sz w:val="22"/>
                <w:szCs w:val="22"/>
              </w:rPr>
              <w:t xml:space="preserve">that </w:t>
            </w:r>
            <w:r w:rsidR="0078019F" w:rsidRPr="0078019F">
              <w:rPr>
                <w:sz w:val="22"/>
                <w:szCs w:val="22"/>
              </w:rPr>
              <w:t>aims to build the capacity of women parliamentarians in the Pacific, the institutions in which they work, and the staff who support them, so that gender equality issues are better addressed by parliament</w:t>
            </w:r>
            <w:r w:rsidR="00052C14">
              <w:rPr>
                <w:sz w:val="22"/>
                <w:szCs w:val="22"/>
              </w:rPr>
              <w:t>.</w:t>
            </w:r>
          </w:p>
          <w:p w14:paraId="028C1052" w14:textId="7891092F" w:rsidR="00C657FB" w:rsidRPr="00E3082F" w:rsidRDefault="00A842EF" w:rsidP="003B2211">
            <w:pPr>
              <w:spacing w:after="120"/>
              <w:jc w:val="both"/>
              <w:rPr>
                <w:sz w:val="22"/>
                <w:szCs w:val="22"/>
              </w:rPr>
            </w:pPr>
            <w:r w:rsidRPr="00E3082F">
              <w:rPr>
                <w:sz w:val="22"/>
                <w:szCs w:val="22"/>
              </w:rPr>
              <w:t xml:space="preserve">The </w:t>
            </w:r>
            <w:r w:rsidR="0078019F">
              <w:rPr>
                <w:sz w:val="22"/>
                <w:szCs w:val="22"/>
              </w:rPr>
              <w:t>end-of-program objectives</w:t>
            </w:r>
            <w:r w:rsidR="00052C14">
              <w:rPr>
                <w:sz w:val="22"/>
                <w:szCs w:val="22"/>
              </w:rPr>
              <w:t xml:space="preserve"> of the project (as outlined in the revised design document dated April 2013) are</w:t>
            </w:r>
            <w:r w:rsidRPr="00E3082F">
              <w:rPr>
                <w:sz w:val="22"/>
                <w:szCs w:val="22"/>
              </w:rPr>
              <w:t>:</w:t>
            </w:r>
          </w:p>
          <w:p w14:paraId="59946F8F" w14:textId="77777777" w:rsidR="0078019F" w:rsidRPr="0078019F" w:rsidRDefault="0078019F" w:rsidP="0078019F">
            <w:pPr>
              <w:pStyle w:val="ListParagraph"/>
              <w:numPr>
                <w:ilvl w:val="0"/>
                <w:numId w:val="37"/>
              </w:numPr>
              <w:spacing w:before="100" w:after="200" w:line="276" w:lineRule="auto"/>
              <w:jc w:val="both"/>
              <w:rPr>
                <w:sz w:val="22"/>
                <w:szCs w:val="22"/>
              </w:rPr>
            </w:pPr>
            <w:r w:rsidRPr="0078019F">
              <w:rPr>
                <w:sz w:val="22"/>
                <w:szCs w:val="22"/>
              </w:rPr>
              <w:t>Pacific women parliamentarians are supported in their parliamentary and representational work and are better able to use parliamentary mechanisms to raise gender equality issues;</w:t>
            </w:r>
          </w:p>
          <w:p w14:paraId="2E889D43" w14:textId="77777777" w:rsidR="0078019F" w:rsidRPr="0078019F" w:rsidRDefault="0078019F" w:rsidP="0078019F">
            <w:pPr>
              <w:pStyle w:val="ListParagraph"/>
              <w:numPr>
                <w:ilvl w:val="0"/>
                <w:numId w:val="37"/>
              </w:numPr>
              <w:spacing w:before="100" w:after="200" w:line="276" w:lineRule="auto"/>
              <w:jc w:val="both"/>
              <w:rPr>
                <w:sz w:val="22"/>
                <w:szCs w:val="22"/>
              </w:rPr>
            </w:pPr>
            <w:r w:rsidRPr="0078019F">
              <w:rPr>
                <w:sz w:val="22"/>
                <w:szCs w:val="22"/>
              </w:rPr>
              <w:t>Pacific parliaments have improved mechanisms to raise and effectively consider gender equality issues and engage their communities on those issues; and</w:t>
            </w:r>
          </w:p>
          <w:p w14:paraId="388FCA10" w14:textId="16DCD91F" w:rsidR="00A842EF" w:rsidRPr="00A842EF" w:rsidRDefault="0078019F" w:rsidP="003B2211">
            <w:pPr>
              <w:pStyle w:val="ListParagraph"/>
              <w:numPr>
                <w:ilvl w:val="0"/>
                <w:numId w:val="37"/>
              </w:numPr>
              <w:spacing w:before="100" w:after="200" w:line="276" w:lineRule="auto"/>
              <w:jc w:val="both"/>
            </w:pPr>
            <w:r w:rsidRPr="0078019F">
              <w:rPr>
                <w:sz w:val="22"/>
                <w:szCs w:val="22"/>
              </w:rPr>
              <w:t>Parliamentary staff have improved capacity to support the gender equality work of parliaments</w:t>
            </w:r>
            <w:r>
              <w:rPr>
                <w:sz w:val="22"/>
                <w:szCs w:val="22"/>
              </w:rPr>
              <w:t>.</w:t>
            </w:r>
          </w:p>
        </w:tc>
      </w:tr>
    </w:tbl>
    <w:p w14:paraId="58D6623B" w14:textId="77777777" w:rsidR="003B2211" w:rsidRPr="00FA046E" w:rsidRDefault="003B2211" w:rsidP="003B2211">
      <w:pPr>
        <w:rPr>
          <w:rFonts w:cs="Arial"/>
          <w:b/>
          <w:color w:val="4F81BD" w:themeColor="accent1"/>
          <w:sz w:val="24"/>
        </w:rPr>
      </w:pPr>
      <w:r w:rsidRPr="00FA046E">
        <w:rPr>
          <w:rFonts w:cs="Arial"/>
          <w:b/>
          <w:color w:val="4F81BD" w:themeColor="accent1"/>
          <w:sz w:val="24"/>
        </w:rPr>
        <w:t xml:space="preserve">Evaluation Objective: </w:t>
      </w:r>
    </w:p>
    <w:p w14:paraId="3383535E" w14:textId="55B70120" w:rsidR="003B2211" w:rsidRDefault="003B2211" w:rsidP="003B2211">
      <w:pPr>
        <w:jc w:val="both"/>
        <w:rPr>
          <w:sz w:val="22"/>
          <w:szCs w:val="22"/>
        </w:rPr>
      </w:pPr>
      <w:r w:rsidRPr="007A36D7">
        <w:rPr>
          <w:sz w:val="22"/>
          <w:szCs w:val="22"/>
        </w:rPr>
        <w:t>The mid-term evaluation of PWPP</w:t>
      </w:r>
      <w:r>
        <w:rPr>
          <w:sz w:val="22"/>
          <w:szCs w:val="22"/>
        </w:rPr>
        <w:t xml:space="preserve"> was</w:t>
      </w:r>
      <w:r w:rsidRPr="007A36D7">
        <w:rPr>
          <w:sz w:val="22"/>
          <w:szCs w:val="22"/>
        </w:rPr>
        <w:t xml:space="preserve"> commissioned by DFAT through the Pacific Women Shaping Pacific Development (</w:t>
      </w:r>
      <w:r w:rsidRPr="007A36D7">
        <w:rPr>
          <w:i/>
          <w:sz w:val="22"/>
          <w:szCs w:val="22"/>
        </w:rPr>
        <w:t>Pacific Women</w:t>
      </w:r>
      <w:r w:rsidRPr="007A36D7">
        <w:rPr>
          <w:sz w:val="22"/>
          <w:szCs w:val="22"/>
        </w:rPr>
        <w:t xml:space="preserve">) Support Unit.   The purpose </w:t>
      </w:r>
      <w:r>
        <w:rPr>
          <w:sz w:val="22"/>
          <w:szCs w:val="22"/>
        </w:rPr>
        <w:t>wa</w:t>
      </w:r>
      <w:r w:rsidRPr="007A36D7">
        <w:rPr>
          <w:sz w:val="22"/>
          <w:szCs w:val="22"/>
        </w:rPr>
        <w:t xml:space="preserve">s to undertake an independent assessment of PWPP at the three-year point of its implementation to review progress and the effectiveness of strategies employed. The </w:t>
      </w:r>
      <w:r>
        <w:rPr>
          <w:sz w:val="22"/>
          <w:szCs w:val="22"/>
        </w:rPr>
        <w:t>e</w:t>
      </w:r>
      <w:r w:rsidRPr="007A36D7">
        <w:rPr>
          <w:sz w:val="22"/>
          <w:szCs w:val="22"/>
        </w:rPr>
        <w:t>valuation considered the questions of relevance, effectiveness and efficiency</w:t>
      </w:r>
      <w:r w:rsidRPr="00D65F20">
        <w:t xml:space="preserve"> </w:t>
      </w:r>
      <w:r>
        <w:rPr>
          <w:sz w:val="22"/>
          <w:szCs w:val="22"/>
        </w:rPr>
        <w:t>with a focus on the following broad questions:</w:t>
      </w:r>
    </w:p>
    <w:p w14:paraId="50220022" w14:textId="77777777" w:rsidR="003B2211" w:rsidRPr="00D65F20" w:rsidRDefault="003B2211" w:rsidP="003B2211">
      <w:pPr>
        <w:pStyle w:val="ListParagraph"/>
        <w:numPr>
          <w:ilvl w:val="0"/>
          <w:numId w:val="48"/>
        </w:numPr>
        <w:spacing w:before="80"/>
        <w:ind w:left="1077"/>
        <w:contextualSpacing w:val="0"/>
        <w:jc w:val="both"/>
        <w:rPr>
          <w:sz w:val="22"/>
          <w:szCs w:val="22"/>
        </w:rPr>
      </w:pPr>
      <w:r w:rsidRPr="00D65F20">
        <w:rPr>
          <w:sz w:val="22"/>
          <w:szCs w:val="22"/>
        </w:rPr>
        <w:t xml:space="preserve">How relevant was the program design, including the activities delivered? </w:t>
      </w:r>
    </w:p>
    <w:p w14:paraId="436C0107" w14:textId="77777777" w:rsidR="003B2211" w:rsidRPr="00D65F20" w:rsidRDefault="003B2211" w:rsidP="003B2211">
      <w:pPr>
        <w:pStyle w:val="ListParagraph"/>
        <w:numPr>
          <w:ilvl w:val="0"/>
          <w:numId w:val="48"/>
        </w:numPr>
        <w:spacing w:before="80"/>
        <w:ind w:left="1077"/>
        <w:contextualSpacing w:val="0"/>
        <w:jc w:val="both"/>
        <w:rPr>
          <w:sz w:val="22"/>
          <w:szCs w:val="22"/>
        </w:rPr>
      </w:pPr>
      <w:r w:rsidRPr="00D65F20">
        <w:rPr>
          <w:sz w:val="22"/>
          <w:szCs w:val="22"/>
        </w:rPr>
        <w:t>What has been the impact of the PWPP program so far?</w:t>
      </w:r>
    </w:p>
    <w:p w14:paraId="217039DE" w14:textId="77777777" w:rsidR="003B2211" w:rsidRPr="00D65F20" w:rsidRDefault="003B2211" w:rsidP="003B2211">
      <w:pPr>
        <w:pStyle w:val="ListParagraph"/>
        <w:numPr>
          <w:ilvl w:val="0"/>
          <w:numId w:val="48"/>
        </w:numPr>
        <w:spacing w:before="80"/>
        <w:ind w:left="1077"/>
        <w:contextualSpacing w:val="0"/>
        <w:jc w:val="both"/>
        <w:rPr>
          <w:sz w:val="22"/>
          <w:szCs w:val="22"/>
        </w:rPr>
      </w:pPr>
      <w:r w:rsidRPr="00D65F20">
        <w:rPr>
          <w:sz w:val="22"/>
          <w:szCs w:val="22"/>
        </w:rPr>
        <w:t>How efficiently has the program been implemented so far?</w:t>
      </w:r>
    </w:p>
    <w:p w14:paraId="6968C8B2" w14:textId="77777777" w:rsidR="003B2211" w:rsidRPr="00D65F20" w:rsidRDefault="003B2211" w:rsidP="003B2211">
      <w:pPr>
        <w:pStyle w:val="ListParagraph"/>
        <w:numPr>
          <w:ilvl w:val="0"/>
          <w:numId w:val="48"/>
        </w:numPr>
        <w:spacing w:before="80"/>
        <w:ind w:left="1077"/>
        <w:contextualSpacing w:val="0"/>
        <w:jc w:val="both"/>
        <w:rPr>
          <w:sz w:val="22"/>
          <w:szCs w:val="22"/>
        </w:rPr>
      </w:pPr>
      <w:r w:rsidRPr="00D65F20">
        <w:rPr>
          <w:sz w:val="22"/>
          <w:szCs w:val="22"/>
        </w:rPr>
        <w:t>What improvements could be made to the program in the future?</w:t>
      </w:r>
    </w:p>
    <w:p w14:paraId="100306B4" w14:textId="77777777" w:rsidR="003B2211" w:rsidRDefault="003B2211" w:rsidP="00FA046E">
      <w:pPr>
        <w:rPr>
          <w:rFonts w:cs="Arial"/>
          <w:b/>
          <w:color w:val="4F81BD" w:themeColor="accent1"/>
          <w:sz w:val="24"/>
        </w:rPr>
      </w:pPr>
    </w:p>
    <w:p w14:paraId="03E96363" w14:textId="6F439DA0" w:rsidR="00FA046E" w:rsidRPr="00FA046E" w:rsidRDefault="00754838" w:rsidP="00FA046E">
      <w:pPr>
        <w:rPr>
          <w:rFonts w:cs="Arial"/>
          <w:b/>
          <w:color w:val="4F81BD" w:themeColor="accent1"/>
          <w:sz w:val="24"/>
        </w:rPr>
      </w:pPr>
      <w:r w:rsidRPr="00FA046E">
        <w:rPr>
          <w:rFonts w:cs="Arial"/>
          <w:b/>
          <w:color w:val="4F81BD" w:themeColor="accent1"/>
          <w:sz w:val="24"/>
        </w:rPr>
        <w:t xml:space="preserve">Evaluation Team:  </w:t>
      </w:r>
    </w:p>
    <w:p w14:paraId="393557A6" w14:textId="15F21A58" w:rsidR="00754838" w:rsidRPr="00754838" w:rsidRDefault="00754838" w:rsidP="00FA046E">
      <w:pPr>
        <w:spacing w:before="0"/>
        <w:rPr>
          <w:rFonts w:cs="Arial"/>
          <w:b/>
          <w:sz w:val="22"/>
          <w:szCs w:val="22"/>
        </w:rPr>
      </w:pPr>
      <w:r w:rsidRPr="00754838">
        <w:rPr>
          <w:rFonts w:cs="Arial"/>
          <w:sz w:val="22"/>
          <w:szCs w:val="22"/>
        </w:rPr>
        <w:t>Natalie Moxham (</w:t>
      </w:r>
      <w:r>
        <w:rPr>
          <w:rFonts w:cs="Arial"/>
          <w:sz w:val="22"/>
          <w:szCs w:val="22"/>
        </w:rPr>
        <w:t>Lead Evaluator</w:t>
      </w:r>
      <w:r w:rsidRPr="00754838">
        <w:rPr>
          <w:rFonts w:cs="Arial"/>
          <w:sz w:val="22"/>
          <w:szCs w:val="22"/>
        </w:rPr>
        <w:t>)</w:t>
      </w:r>
      <w:r>
        <w:rPr>
          <w:rFonts w:cs="Arial"/>
          <w:sz w:val="22"/>
          <w:szCs w:val="22"/>
        </w:rPr>
        <w:t xml:space="preserve">, </w:t>
      </w:r>
      <w:r w:rsidRPr="00754838">
        <w:rPr>
          <w:rFonts w:cs="Arial"/>
          <w:sz w:val="22"/>
          <w:szCs w:val="22"/>
        </w:rPr>
        <w:t>Vanessa Hood</w:t>
      </w:r>
      <w:r>
        <w:rPr>
          <w:rFonts w:cs="Arial"/>
          <w:sz w:val="22"/>
          <w:szCs w:val="22"/>
        </w:rPr>
        <w:t xml:space="preserve"> (Evaluator) </w:t>
      </w:r>
      <w:r w:rsidRPr="00754838">
        <w:rPr>
          <w:rFonts w:cs="Arial"/>
          <w:sz w:val="22"/>
          <w:szCs w:val="22"/>
        </w:rPr>
        <w:t>and Neil Penman (</w:t>
      </w:r>
      <w:r>
        <w:rPr>
          <w:rFonts w:cs="Arial"/>
          <w:sz w:val="22"/>
          <w:szCs w:val="22"/>
        </w:rPr>
        <w:t>IT consultant</w:t>
      </w:r>
      <w:r w:rsidRPr="00754838">
        <w:rPr>
          <w:rFonts w:cs="Arial"/>
          <w:sz w:val="22"/>
          <w:szCs w:val="22"/>
        </w:rPr>
        <w:t>).</w:t>
      </w:r>
    </w:p>
    <w:p w14:paraId="523514C6" w14:textId="77777777" w:rsidR="00754838" w:rsidRDefault="00754838" w:rsidP="00FA046E">
      <w:pPr>
        <w:spacing w:before="0"/>
        <w:rPr>
          <w:rFonts w:cs="Arial"/>
          <w:b/>
          <w:sz w:val="22"/>
          <w:szCs w:val="22"/>
        </w:rPr>
      </w:pPr>
    </w:p>
    <w:p w14:paraId="5AEAF0B2" w14:textId="77777777" w:rsidR="00FA046E" w:rsidRPr="00FA046E" w:rsidRDefault="00754838" w:rsidP="00E33C55">
      <w:pPr>
        <w:spacing w:before="0"/>
        <w:rPr>
          <w:rFonts w:cs="Arial"/>
          <w:b/>
          <w:color w:val="4F81BD" w:themeColor="accent1"/>
          <w:sz w:val="24"/>
        </w:rPr>
      </w:pPr>
      <w:r w:rsidRPr="00FA046E">
        <w:rPr>
          <w:rFonts w:cs="Arial"/>
          <w:b/>
          <w:color w:val="4F81BD" w:themeColor="accent1"/>
          <w:sz w:val="24"/>
        </w:rPr>
        <w:t xml:space="preserve">Evaluation Completion Date: </w:t>
      </w:r>
    </w:p>
    <w:p w14:paraId="4E7054B2" w14:textId="5FC31AE0" w:rsidR="00754838" w:rsidRDefault="003C7A52" w:rsidP="00FA046E">
      <w:pPr>
        <w:spacing w:before="0"/>
        <w:rPr>
          <w:rFonts w:cs="Arial"/>
          <w:b/>
          <w:sz w:val="24"/>
          <w:lang w:eastAsia="en-AU"/>
        </w:rPr>
      </w:pPr>
      <w:r>
        <w:rPr>
          <w:rFonts w:cs="Arial"/>
          <w:sz w:val="22"/>
          <w:szCs w:val="22"/>
        </w:rPr>
        <w:t>28 March</w:t>
      </w:r>
      <w:r w:rsidR="00754838">
        <w:rPr>
          <w:rFonts w:cs="Arial"/>
          <w:sz w:val="22"/>
          <w:szCs w:val="22"/>
        </w:rPr>
        <w:t xml:space="preserve"> 2017</w:t>
      </w:r>
    </w:p>
    <w:p w14:paraId="12E61C92" w14:textId="77777777" w:rsidR="00754838" w:rsidRDefault="00754838" w:rsidP="00FA046E">
      <w:pPr>
        <w:spacing w:before="0"/>
        <w:rPr>
          <w:rFonts w:cs="Arial"/>
          <w:b/>
          <w:sz w:val="22"/>
          <w:szCs w:val="22"/>
        </w:rPr>
      </w:pPr>
    </w:p>
    <w:p w14:paraId="7EC58B22" w14:textId="4E987400" w:rsidR="00C657FB" w:rsidRPr="00FA046E" w:rsidRDefault="00C657FB" w:rsidP="00FA046E">
      <w:pPr>
        <w:spacing w:before="0"/>
        <w:rPr>
          <w:rFonts w:cs="Arial"/>
          <w:b/>
          <w:color w:val="4F81BD" w:themeColor="accent1"/>
          <w:sz w:val="24"/>
        </w:rPr>
      </w:pPr>
      <w:r w:rsidRPr="00FA046E">
        <w:rPr>
          <w:rFonts w:cs="Arial"/>
          <w:b/>
          <w:color w:val="4F81BD" w:themeColor="accent1"/>
          <w:sz w:val="24"/>
        </w:rPr>
        <w:t>Evaluation Summary</w:t>
      </w:r>
    </w:p>
    <w:p w14:paraId="7B778711" w14:textId="77777777" w:rsidR="00A842EF" w:rsidRDefault="00A842EF" w:rsidP="00FA046E">
      <w:pPr>
        <w:spacing w:before="0"/>
        <w:rPr>
          <w:rFonts w:cs="Arial"/>
          <w:b/>
          <w:sz w:val="22"/>
          <w:szCs w:val="22"/>
        </w:rPr>
      </w:pPr>
    </w:p>
    <w:p w14:paraId="338590C9" w14:textId="77777777" w:rsidR="00A842EF" w:rsidRPr="00B1463A" w:rsidRDefault="00A842EF" w:rsidP="00FA046E">
      <w:pPr>
        <w:spacing w:before="0"/>
        <w:rPr>
          <w:rFonts w:cs="Arial"/>
          <w:b/>
          <w:sz w:val="22"/>
          <w:szCs w:val="22"/>
        </w:rPr>
      </w:pPr>
      <w:r>
        <w:rPr>
          <w:rFonts w:cs="Arial"/>
          <w:b/>
          <w:sz w:val="22"/>
          <w:szCs w:val="22"/>
        </w:rPr>
        <w:t xml:space="preserve">Overall Assessment </w:t>
      </w:r>
    </w:p>
    <w:p w14:paraId="2610415E" w14:textId="3613F657" w:rsidR="00A842EF" w:rsidRPr="00E3082F" w:rsidRDefault="00643205" w:rsidP="00FA046E">
      <w:pPr>
        <w:jc w:val="both"/>
        <w:rPr>
          <w:sz w:val="22"/>
          <w:szCs w:val="22"/>
        </w:rPr>
      </w:pPr>
      <w:r w:rsidRPr="00E3082F">
        <w:rPr>
          <w:sz w:val="22"/>
          <w:szCs w:val="22"/>
        </w:rPr>
        <w:t xml:space="preserve">The mid-term evaluation found that </w:t>
      </w:r>
      <w:r w:rsidR="001C6816" w:rsidRPr="001C6816">
        <w:rPr>
          <w:sz w:val="22"/>
          <w:szCs w:val="22"/>
        </w:rPr>
        <w:t>the performance of PWPP is less than optimal</w:t>
      </w:r>
      <w:r w:rsidR="001C6816">
        <w:rPr>
          <w:sz w:val="22"/>
          <w:szCs w:val="22"/>
        </w:rPr>
        <w:t xml:space="preserve">. </w:t>
      </w:r>
      <w:r w:rsidR="001C6816" w:rsidRPr="001C6816">
        <w:rPr>
          <w:sz w:val="22"/>
          <w:szCs w:val="22"/>
        </w:rPr>
        <w:t xml:space="preserve">However, it </w:t>
      </w:r>
      <w:r w:rsidR="007A37A5">
        <w:rPr>
          <w:sz w:val="22"/>
          <w:szCs w:val="22"/>
        </w:rPr>
        <w:t>was noted that PWPP is an</w:t>
      </w:r>
      <w:r w:rsidR="001C6816" w:rsidRPr="001C6816">
        <w:rPr>
          <w:sz w:val="22"/>
          <w:szCs w:val="22"/>
        </w:rPr>
        <w:t xml:space="preserve"> important project that has merit. The flagship activity</w:t>
      </w:r>
      <w:r w:rsidR="001C6816">
        <w:rPr>
          <w:sz w:val="22"/>
          <w:szCs w:val="22"/>
        </w:rPr>
        <w:t>,</w:t>
      </w:r>
      <w:r w:rsidR="001C6816" w:rsidRPr="001C6816">
        <w:rPr>
          <w:sz w:val="22"/>
          <w:szCs w:val="22"/>
        </w:rPr>
        <w:t xml:space="preserve"> the Annual PWPP Forum</w:t>
      </w:r>
      <w:r w:rsidR="001C6816">
        <w:rPr>
          <w:sz w:val="22"/>
          <w:szCs w:val="22"/>
        </w:rPr>
        <w:t>, h</w:t>
      </w:r>
      <w:r w:rsidR="001C6816" w:rsidRPr="001C6816">
        <w:rPr>
          <w:sz w:val="22"/>
          <w:szCs w:val="22"/>
        </w:rPr>
        <w:t xml:space="preserve">as evolved into a high level, high profile, face-to-face networking event that is highly valued by its participants. The most significant outcome achieved </w:t>
      </w:r>
      <w:r w:rsidR="001C6816">
        <w:rPr>
          <w:sz w:val="22"/>
          <w:szCs w:val="22"/>
        </w:rPr>
        <w:t>by PWPP is</w:t>
      </w:r>
      <w:r w:rsidR="001C6816" w:rsidRPr="001C6816">
        <w:rPr>
          <w:sz w:val="22"/>
          <w:szCs w:val="22"/>
        </w:rPr>
        <w:t xml:space="preserve"> the establishment of this network which has produced a range of positive outcomes.</w:t>
      </w:r>
      <w:r w:rsidR="001C6816">
        <w:rPr>
          <w:sz w:val="22"/>
          <w:szCs w:val="22"/>
        </w:rPr>
        <w:t xml:space="preserve"> </w:t>
      </w:r>
      <w:r w:rsidR="00853CC0">
        <w:rPr>
          <w:sz w:val="22"/>
          <w:szCs w:val="22"/>
        </w:rPr>
        <w:t>The evaluation found that t</w:t>
      </w:r>
      <w:r w:rsidR="001C6816" w:rsidRPr="001C6816">
        <w:rPr>
          <w:sz w:val="22"/>
          <w:szCs w:val="22"/>
        </w:rPr>
        <w:t xml:space="preserve">he design and project management </w:t>
      </w:r>
      <w:r w:rsidR="00853CC0">
        <w:rPr>
          <w:sz w:val="22"/>
          <w:szCs w:val="22"/>
        </w:rPr>
        <w:t xml:space="preserve">of PWPP </w:t>
      </w:r>
      <w:r w:rsidR="001C6816" w:rsidRPr="001C6816">
        <w:rPr>
          <w:sz w:val="22"/>
          <w:szCs w:val="22"/>
        </w:rPr>
        <w:t xml:space="preserve">has not reflected best practice. The project’s lack of a clear design and rationale, theory of change and monitoring and evaluation framework are of concern given the complexity of the problem being targeted and the </w:t>
      </w:r>
      <w:r w:rsidR="00853CC0" w:rsidRPr="001C6816">
        <w:rPr>
          <w:sz w:val="22"/>
          <w:szCs w:val="22"/>
        </w:rPr>
        <w:t>high-profile</w:t>
      </w:r>
      <w:r w:rsidR="001C6816" w:rsidRPr="001C6816">
        <w:rPr>
          <w:sz w:val="22"/>
          <w:szCs w:val="22"/>
        </w:rPr>
        <w:t xml:space="preserve"> nature of this work.</w:t>
      </w:r>
      <w:r w:rsidR="001C6816">
        <w:rPr>
          <w:sz w:val="22"/>
          <w:szCs w:val="22"/>
        </w:rPr>
        <w:t xml:space="preserve"> However, </w:t>
      </w:r>
      <w:r w:rsidR="00853CC0">
        <w:rPr>
          <w:sz w:val="22"/>
          <w:szCs w:val="22"/>
        </w:rPr>
        <w:t xml:space="preserve">the evaluation </w:t>
      </w:r>
      <w:r w:rsidR="007A37A5">
        <w:rPr>
          <w:sz w:val="22"/>
          <w:szCs w:val="22"/>
        </w:rPr>
        <w:t>acknowledged that</w:t>
      </w:r>
      <w:r w:rsidR="00853CC0">
        <w:rPr>
          <w:sz w:val="22"/>
          <w:szCs w:val="22"/>
        </w:rPr>
        <w:t xml:space="preserve"> </w:t>
      </w:r>
      <w:r w:rsidR="001C6816">
        <w:rPr>
          <w:sz w:val="22"/>
          <w:szCs w:val="22"/>
        </w:rPr>
        <w:t>t</w:t>
      </w:r>
      <w:r w:rsidR="001C6816" w:rsidRPr="001C6816">
        <w:rPr>
          <w:sz w:val="22"/>
          <w:szCs w:val="22"/>
        </w:rPr>
        <w:t>here is potential to recalibrate the project to capitalize on the limited but significant outcomes that have been achieved to date.</w:t>
      </w:r>
      <w:r w:rsidR="00A842EF" w:rsidRPr="00E3082F">
        <w:rPr>
          <w:sz w:val="22"/>
          <w:szCs w:val="22"/>
        </w:rPr>
        <w:t xml:space="preserve">  </w:t>
      </w:r>
    </w:p>
    <w:p w14:paraId="58A87E86" w14:textId="77777777" w:rsidR="00D618D5" w:rsidRPr="00B1463A" w:rsidRDefault="00D618D5" w:rsidP="00FA046E">
      <w:pPr>
        <w:rPr>
          <w:rFonts w:cs="Arial"/>
          <w:b/>
          <w:sz w:val="22"/>
          <w:szCs w:val="22"/>
        </w:rPr>
      </w:pPr>
      <w:r w:rsidRPr="00B1463A">
        <w:rPr>
          <w:rFonts w:cs="Arial"/>
          <w:b/>
          <w:sz w:val="22"/>
          <w:szCs w:val="22"/>
        </w:rPr>
        <w:t>Program effectiveness</w:t>
      </w:r>
    </w:p>
    <w:p w14:paraId="413AF031" w14:textId="2C9CDE0C" w:rsidR="00070B06" w:rsidRDefault="007963FA" w:rsidP="00FA046E">
      <w:pPr>
        <w:jc w:val="both"/>
        <w:rPr>
          <w:sz w:val="22"/>
          <w:szCs w:val="22"/>
        </w:rPr>
      </w:pPr>
      <w:r w:rsidRPr="0015735B">
        <w:rPr>
          <w:sz w:val="22"/>
          <w:szCs w:val="22"/>
        </w:rPr>
        <w:t xml:space="preserve">The </w:t>
      </w:r>
      <w:r w:rsidR="007A37A5">
        <w:rPr>
          <w:sz w:val="22"/>
          <w:szCs w:val="22"/>
        </w:rPr>
        <w:t>evaluation</w:t>
      </w:r>
      <w:r w:rsidR="007A37A5" w:rsidRPr="0015735B">
        <w:rPr>
          <w:sz w:val="22"/>
          <w:szCs w:val="22"/>
        </w:rPr>
        <w:t xml:space="preserve"> </w:t>
      </w:r>
      <w:r w:rsidRPr="0015735B">
        <w:rPr>
          <w:sz w:val="22"/>
          <w:szCs w:val="22"/>
        </w:rPr>
        <w:t xml:space="preserve">found that </w:t>
      </w:r>
      <w:r>
        <w:rPr>
          <w:sz w:val="22"/>
          <w:szCs w:val="22"/>
        </w:rPr>
        <w:t>a</w:t>
      </w:r>
      <w:r w:rsidR="00070B06" w:rsidRPr="00070B06">
        <w:rPr>
          <w:sz w:val="22"/>
          <w:szCs w:val="22"/>
        </w:rPr>
        <w:t xml:space="preserve">lthough PWPP has clearly contributed to achievement of a number of outcomes, programming is not based on an understanding of need or targeted and focused </w:t>
      </w:r>
      <w:r w:rsidR="00315396">
        <w:rPr>
          <w:sz w:val="22"/>
          <w:szCs w:val="22"/>
        </w:rPr>
        <w:t xml:space="preserve">to </w:t>
      </w:r>
      <w:r w:rsidR="00070B06" w:rsidRPr="00070B06">
        <w:rPr>
          <w:sz w:val="22"/>
          <w:szCs w:val="22"/>
        </w:rPr>
        <w:t xml:space="preserve">attainment of intended outcomes. </w:t>
      </w:r>
      <w:r w:rsidR="00315396">
        <w:rPr>
          <w:sz w:val="22"/>
          <w:szCs w:val="22"/>
        </w:rPr>
        <w:t xml:space="preserve">It could have </w:t>
      </w:r>
      <w:r w:rsidR="00070B06" w:rsidRPr="00070B06">
        <w:rPr>
          <w:sz w:val="22"/>
          <w:szCs w:val="22"/>
        </w:rPr>
        <w:t>be</w:t>
      </w:r>
      <w:r w:rsidR="00315396">
        <w:rPr>
          <w:sz w:val="22"/>
          <w:szCs w:val="22"/>
        </w:rPr>
        <w:t>en</w:t>
      </w:r>
      <w:r w:rsidR="00070B06" w:rsidRPr="00070B06">
        <w:rPr>
          <w:sz w:val="22"/>
          <w:szCs w:val="22"/>
        </w:rPr>
        <w:t xml:space="preserve"> expected that after four years of investment there would have been better attainment of medium and longer term outcomes</w:t>
      </w:r>
      <w:r w:rsidR="00070B06">
        <w:rPr>
          <w:sz w:val="22"/>
          <w:szCs w:val="22"/>
        </w:rPr>
        <w:t>.</w:t>
      </w:r>
    </w:p>
    <w:p w14:paraId="33F9FBED" w14:textId="3B019016" w:rsidR="007A37A5" w:rsidRDefault="007963FA" w:rsidP="00FA046E">
      <w:pPr>
        <w:jc w:val="both"/>
        <w:rPr>
          <w:sz w:val="22"/>
          <w:szCs w:val="22"/>
        </w:rPr>
      </w:pPr>
      <w:r>
        <w:rPr>
          <w:sz w:val="22"/>
          <w:szCs w:val="22"/>
        </w:rPr>
        <w:t>T</w:t>
      </w:r>
      <w:r w:rsidR="0015735B" w:rsidRPr="0015735B">
        <w:rPr>
          <w:sz w:val="22"/>
          <w:szCs w:val="22"/>
        </w:rPr>
        <w:t xml:space="preserve">he most significant outcomes were achieved in relation to support for </w:t>
      </w:r>
      <w:r w:rsidR="001F0ED7" w:rsidRPr="001C6816">
        <w:rPr>
          <w:sz w:val="22"/>
          <w:szCs w:val="22"/>
        </w:rPr>
        <w:t xml:space="preserve">Pacific </w:t>
      </w:r>
      <w:r w:rsidR="00315396">
        <w:rPr>
          <w:sz w:val="22"/>
          <w:szCs w:val="22"/>
        </w:rPr>
        <w:t>w</w:t>
      </w:r>
      <w:r w:rsidR="00315396" w:rsidRPr="001C6816">
        <w:rPr>
          <w:sz w:val="22"/>
          <w:szCs w:val="22"/>
        </w:rPr>
        <w:t xml:space="preserve">omen </w:t>
      </w:r>
      <w:r w:rsidR="00315396">
        <w:rPr>
          <w:sz w:val="22"/>
          <w:szCs w:val="22"/>
        </w:rPr>
        <w:t>p</w:t>
      </w:r>
      <w:r w:rsidR="00315396" w:rsidRPr="001C6816">
        <w:rPr>
          <w:sz w:val="22"/>
          <w:szCs w:val="22"/>
        </w:rPr>
        <w:t xml:space="preserve">arliamentarians </w:t>
      </w:r>
      <w:r w:rsidR="001F0ED7" w:rsidRPr="001C6816">
        <w:rPr>
          <w:sz w:val="22"/>
          <w:szCs w:val="22"/>
        </w:rPr>
        <w:t xml:space="preserve">(PWPs) </w:t>
      </w:r>
      <w:r w:rsidR="0015735B" w:rsidRPr="0015735B">
        <w:rPr>
          <w:sz w:val="22"/>
          <w:szCs w:val="22"/>
        </w:rPr>
        <w:t>through establishment of a PWP Network (via the PWPP annual forum)</w:t>
      </w:r>
      <w:r w:rsidR="00A842EF" w:rsidRPr="0015735B">
        <w:rPr>
          <w:sz w:val="22"/>
          <w:szCs w:val="22"/>
        </w:rPr>
        <w:t>.</w:t>
      </w:r>
      <w:r w:rsidR="00070B06">
        <w:rPr>
          <w:sz w:val="22"/>
          <w:szCs w:val="22"/>
        </w:rPr>
        <w:t xml:space="preserve"> </w:t>
      </w:r>
      <w:r w:rsidR="00A842EF" w:rsidRPr="00E3082F">
        <w:rPr>
          <w:sz w:val="22"/>
          <w:szCs w:val="22"/>
        </w:rPr>
        <w:t xml:space="preserve"> </w:t>
      </w:r>
      <w:r w:rsidR="00070B06" w:rsidRPr="00070B06">
        <w:rPr>
          <w:sz w:val="22"/>
          <w:szCs w:val="22"/>
        </w:rPr>
        <w:t>There is evidence that some women have made specific changes to their behaviour (e.g. after attending the Forum or an Exchange). However, PWPs have not been supported directly to act.</w:t>
      </w:r>
      <w:r w:rsidR="00070B06">
        <w:rPr>
          <w:sz w:val="22"/>
          <w:szCs w:val="22"/>
        </w:rPr>
        <w:t xml:space="preserve"> </w:t>
      </w:r>
    </w:p>
    <w:p w14:paraId="530AD08B" w14:textId="3FDBCC05" w:rsidR="00A842EF" w:rsidRPr="00E3082F" w:rsidRDefault="00070B06" w:rsidP="00FA046E">
      <w:pPr>
        <w:jc w:val="both"/>
        <w:rPr>
          <w:sz w:val="22"/>
          <w:szCs w:val="22"/>
        </w:rPr>
      </w:pPr>
      <w:r w:rsidRPr="00070B06">
        <w:rPr>
          <w:sz w:val="22"/>
          <w:szCs w:val="22"/>
        </w:rPr>
        <w:t>PWPP has invested in a number of activities that target Pacific parliaments and their staff. The short-term result of engagement with Parliamentary staff has been achieved. PWPP has successfully engaged Parliamentary Clerks, Educators and Researchers.</w:t>
      </w:r>
      <w:r>
        <w:rPr>
          <w:sz w:val="22"/>
          <w:szCs w:val="22"/>
        </w:rPr>
        <w:t xml:space="preserve"> </w:t>
      </w:r>
      <w:r w:rsidRPr="00070B06">
        <w:rPr>
          <w:sz w:val="22"/>
          <w:szCs w:val="22"/>
        </w:rPr>
        <w:t xml:space="preserve">As a result of the eight </w:t>
      </w:r>
      <w:r w:rsidR="00315396">
        <w:rPr>
          <w:sz w:val="22"/>
          <w:szCs w:val="22"/>
        </w:rPr>
        <w:t>r</w:t>
      </w:r>
      <w:r w:rsidR="00315396" w:rsidRPr="00070B06">
        <w:rPr>
          <w:sz w:val="22"/>
          <w:szCs w:val="22"/>
        </w:rPr>
        <w:t xml:space="preserve">esearch </w:t>
      </w:r>
      <w:r w:rsidR="00315396">
        <w:rPr>
          <w:sz w:val="22"/>
          <w:szCs w:val="22"/>
        </w:rPr>
        <w:t>s</w:t>
      </w:r>
      <w:r w:rsidRPr="00070B06">
        <w:rPr>
          <w:sz w:val="22"/>
          <w:szCs w:val="22"/>
        </w:rPr>
        <w:t>cholarships undertaken there is some evidence that, for a small amount of investment, the activity has resulted in gender champions having increased access to research skills and hence gender equality research.</w:t>
      </w:r>
      <w:r w:rsidR="007963FA">
        <w:rPr>
          <w:sz w:val="22"/>
          <w:szCs w:val="22"/>
        </w:rPr>
        <w:t xml:space="preserve"> </w:t>
      </w:r>
      <w:r w:rsidR="007963FA" w:rsidRPr="007963FA">
        <w:rPr>
          <w:sz w:val="22"/>
          <w:szCs w:val="22"/>
        </w:rPr>
        <w:t xml:space="preserve">However, the </w:t>
      </w:r>
      <w:r w:rsidR="007A37A5">
        <w:rPr>
          <w:sz w:val="22"/>
          <w:szCs w:val="22"/>
        </w:rPr>
        <w:t xml:space="preserve">evaluation found that </w:t>
      </w:r>
      <w:r w:rsidR="007963FA" w:rsidRPr="007963FA">
        <w:rPr>
          <w:sz w:val="22"/>
          <w:szCs w:val="22"/>
        </w:rPr>
        <w:t>strategies could have been better planned and implemented and therefore led to better attainment of outcomes.</w:t>
      </w:r>
    </w:p>
    <w:p w14:paraId="60EF339E" w14:textId="77777777" w:rsidR="00D618D5" w:rsidRDefault="00D618D5" w:rsidP="00FA046E">
      <w:pPr>
        <w:jc w:val="both"/>
        <w:rPr>
          <w:rFonts w:cs="Arial"/>
          <w:b/>
          <w:sz w:val="22"/>
          <w:szCs w:val="22"/>
        </w:rPr>
      </w:pPr>
      <w:r w:rsidRPr="00B1463A">
        <w:rPr>
          <w:rFonts w:cs="Arial"/>
          <w:b/>
          <w:sz w:val="22"/>
          <w:szCs w:val="22"/>
        </w:rPr>
        <w:t xml:space="preserve">Program </w:t>
      </w:r>
      <w:r w:rsidR="00A842EF">
        <w:rPr>
          <w:rFonts w:cs="Arial"/>
          <w:b/>
          <w:sz w:val="22"/>
          <w:szCs w:val="22"/>
        </w:rPr>
        <w:t xml:space="preserve">Relevance </w:t>
      </w:r>
    </w:p>
    <w:p w14:paraId="539C2D68" w14:textId="25E4418A" w:rsidR="00A842EF" w:rsidRPr="00E3082F" w:rsidRDefault="001C6816" w:rsidP="00FA046E">
      <w:pPr>
        <w:jc w:val="both"/>
        <w:rPr>
          <w:sz w:val="22"/>
          <w:szCs w:val="22"/>
        </w:rPr>
      </w:pPr>
      <w:r w:rsidRPr="001C6816">
        <w:rPr>
          <w:sz w:val="22"/>
          <w:szCs w:val="22"/>
        </w:rPr>
        <w:t xml:space="preserve">While PWPP’s mandate is relatively clear, there is a significant degree of uncertainty regarding the rationale or basis and processes for the </w:t>
      </w:r>
      <w:r w:rsidR="00315396">
        <w:rPr>
          <w:sz w:val="22"/>
          <w:szCs w:val="22"/>
        </w:rPr>
        <w:t>p</w:t>
      </w:r>
      <w:r w:rsidR="00315396" w:rsidRPr="001C6816">
        <w:rPr>
          <w:sz w:val="22"/>
          <w:szCs w:val="22"/>
        </w:rPr>
        <w:t xml:space="preserve">roject’s </w:t>
      </w:r>
      <w:r w:rsidRPr="001C6816">
        <w:rPr>
          <w:sz w:val="22"/>
          <w:szCs w:val="22"/>
        </w:rPr>
        <w:t xml:space="preserve">strategies. This is largely due to the absence of </w:t>
      </w:r>
      <w:r w:rsidR="00315396">
        <w:rPr>
          <w:sz w:val="22"/>
          <w:szCs w:val="22"/>
        </w:rPr>
        <w:t>a</w:t>
      </w:r>
      <w:r w:rsidRPr="001C6816">
        <w:rPr>
          <w:sz w:val="22"/>
          <w:szCs w:val="22"/>
        </w:rPr>
        <w:t xml:space="preserve"> project design that is grounded in a robust program logic and theory of change. The project has evolved beyond the intent reflected in the original 2013 </w:t>
      </w:r>
      <w:r w:rsidR="00315396">
        <w:rPr>
          <w:sz w:val="22"/>
          <w:szCs w:val="22"/>
        </w:rPr>
        <w:t>p</w:t>
      </w:r>
      <w:r w:rsidR="00315396" w:rsidRPr="001C6816">
        <w:rPr>
          <w:sz w:val="22"/>
          <w:szCs w:val="22"/>
        </w:rPr>
        <w:t xml:space="preserve">roject </w:t>
      </w:r>
      <w:r w:rsidR="00315396">
        <w:rPr>
          <w:sz w:val="22"/>
          <w:szCs w:val="22"/>
        </w:rPr>
        <w:t>p</w:t>
      </w:r>
      <w:r w:rsidRPr="001C6816">
        <w:rPr>
          <w:sz w:val="22"/>
          <w:szCs w:val="22"/>
        </w:rPr>
        <w:t>roposal. Although some of the changes made have appropriately responded to PWPs and parliamentary staff requests for face-to-face interactions, the reasons for doing so have not been adequately justified</w:t>
      </w:r>
      <w:r w:rsidR="00C67A8A">
        <w:rPr>
          <w:sz w:val="22"/>
          <w:szCs w:val="22"/>
        </w:rPr>
        <w:t xml:space="preserve"> or grounded in a robust needs-assessment</w:t>
      </w:r>
      <w:r w:rsidRPr="001C6816">
        <w:rPr>
          <w:sz w:val="22"/>
          <w:szCs w:val="22"/>
        </w:rPr>
        <w:t>.</w:t>
      </w:r>
      <w:r w:rsidR="00C67A8A">
        <w:rPr>
          <w:sz w:val="22"/>
          <w:szCs w:val="22"/>
        </w:rPr>
        <w:t xml:space="preserve"> </w:t>
      </w:r>
      <w:r w:rsidR="00E83AE1">
        <w:rPr>
          <w:sz w:val="22"/>
          <w:szCs w:val="22"/>
        </w:rPr>
        <w:t>The strategies employed by PWPP have merit, but</w:t>
      </w:r>
      <w:r w:rsidR="009D32AF">
        <w:rPr>
          <w:sz w:val="22"/>
          <w:szCs w:val="22"/>
        </w:rPr>
        <w:t xml:space="preserve"> are</w:t>
      </w:r>
      <w:r w:rsidR="00E83AE1">
        <w:rPr>
          <w:sz w:val="22"/>
          <w:szCs w:val="22"/>
        </w:rPr>
        <w:t xml:space="preserve"> </w:t>
      </w:r>
      <w:r w:rsidR="009D32AF">
        <w:rPr>
          <w:sz w:val="22"/>
          <w:szCs w:val="22"/>
        </w:rPr>
        <w:t xml:space="preserve">insufficient to respond to </w:t>
      </w:r>
      <w:r w:rsidR="00E83AE1">
        <w:rPr>
          <w:sz w:val="22"/>
          <w:szCs w:val="22"/>
        </w:rPr>
        <w:t>PWP needs and what is required for structural and cultural change within the 15 different Pacific parliaments. Whilst the project modality of ‘partnering’ with D</w:t>
      </w:r>
      <w:r w:rsidR="007A37A5">
        <w:rPr>
          <w:sz w:val="22"/>
          <w:szCs w:val="22"/>
        </w:rPr>
        <w:t xml:space="preserve">epartment of </w:t>
      </w:r>
      <w:r w:rsidR="00E83AE1">
        <w:rPr>
          <w:sz w:val="22"/>
          <w:szCs w:val="22"/>
        </w:rPr>
        <w:t>H</w:t>
      </w:r>
      <w:r w:rsidR="007A37A5">
        <w:rPr>
          <w:sz w:val="22"/>
          <w:szCs w:val="22"/>
        </w:rPr>
        <w:t xml:space="preserve">ouse </w:t>
      </w:r>
      <w:r w:rsidR="00E83AE1">
        <w:rPr>
          <w:sz w:val="22"/>
          <w:szCs w:val="22"/>
        </w:rPr>
        <w:t>o</w:t>
      </w:r>
      <w:r w:rsidR="007A37A5">
        <w:rPr>
          <w:sz w:val="22"/>
          <w:szCs w:val="22"/>
        </w:rPr>
        <w:t xml:space="preserve">f </w:t>
      </w:r>
      <w:r w:rsidR="00E83AE1">
        <w:rPr>
          <w:sz w:val="22"/>
          <w:szCs w:val="22"/>
        </w:rPr>
        <w:t>R</w:t>
      </w:r>
      <w:r w:rsidR="007A37A5">
        <w:rPr>
          <w:sz w:val="22"/>
          <w:szCs w:val="22"/>
        </w:rPr>
        <w:t>epresentatives (DHoR)</w:t>
      </w:r>
      <w:r w:rsidR="00E83AE1">
        <w:rPr>
          <w:sz w:val="22"/>
          <w:szCs w:val="22"/>
        </w:rPr>
        <w:t xml:space="preserve"> has some advantages, these are outweighed by the constraints of DHoR’s organisational culture (of service, rather than development) and mismatched expertise (restricted to drawing </w:t>
      </w:r>
      <w:r w:rsidR="0015735B">
        <w:rPr>
          <w:sz w:val="22"/>
          <w:szCs w:val="22"/>
        </w:rPr>
        <w:t>o</w:t>
      </w:r>
      <w:r w:rsidR="00E83AE1">
        <w:rPr>
          <w:sz w:val="22"/>
          <w:szCs w:val="22"/>
        </w:rPr>
        <w:t xml:space="preserve">n Australian </w:t>
      </w:r>
      <w:r w:rsidR="009D32AF">
        <w:rPr>
          <w:sz w:val="22"/>
          <w:szCs w:val="22"/>
        </w:rPr>
        <w:t xml:space="preserve">parliamentarians </w:t>
      </w:r>
      <w:r w:rsidR="00E83AE1">
        <w:rPr>
          <w:sz w:val="22"/>
          <w:szCs w:val="22"/>
        </w:rPr>
        <w:t xml:space="preserve">and </w:t>
      </w:r>
      <w:r w:rsidR="009D32AF">
        <w:rPr>
          <w:sz w:val="22"/>
          <w:szCs w:val="22"/>
        </w:rPr>
        <w:t xml:space="preserve">parliamentary </w:t>
      </w:r>
      <w:r w:rsidR="00E83AE1">
        <w:rPr>
          <w:sz w:val="22"/>
          <w:szCs w:val="22"/>
        </w:rPr>
        <w:t xml:space="preserve">personnel rather </w:t>
      </w:r>
      <w:r w:rsidR="0015735B">
        <w:rPr>
          <w:sz w:val="22"/>
          <w:szCs w:val="22"/>
        </w:rPr>
        <w:t>than i</w:t>
      </w:r>
      <w:r w:rsidR="00E83AE1">
        <w:rPr>
          <w:sz w:val="22"/>
          <w:szCs w:val="22"/>
        </w:rPr>
        <w:t>nternational development expertise</w:t>
      </w:r>
      <w:r w:rsidR="0015735B">
        <w:rPr>
          <w:sz w:val="22"/>
          <w:szCs w:val="22"/>
        </w:rPr>
        <w:t xml:space="preserve"> residing outside the Australian parliament</w:t>
      </w:r>
      <w:r w:rsidR="00E83AE1">
        <w:rPr>
          <w:sz w:val="22"/>
          <w:szCs w:val="22"/>
        </w:rPr>
        <w:t>).</w:t>
      </w:r>
    </w:p>
    <w:p w14:paraId="7AEF14D2" w14:textId="77777777" w:rsidR="00FD66D8" w:rsidRDefault="00FD66D8" w:rsidP="00FA046E">
      <w:pPr>
        <w:jc w:val="both"/>
        <w:rPr>
          <w:rFonts w:cs="Arial"/>
          <w:b/>
          <w:sz w:val="22"/>
          <w:szCs w:val="22"/>
        </w:rPr>
      </w:pPr>
    </w:p>
    <w:p w14:paraId="250B3C75" w14:textId="4D45698D" w:rsidR="00D618D5" w:rsidRPr="00B1463A" w:rsidRDefault="00D618D5" w:rsidP="00FA046E">
      <w:pPr>
        <w:jc w:val="both"/>
        <w:rPr>
          <w:rFonts w:cs="Arial"/>
          <w:b/>
          <w:sz w:val="22"/>
          <w:szCs w:val="22"/>
        </w:rPr>
      </w:pPr>
      <w:r w:rsidRPr="00B1463A">
        <w:rPr>
          <w:rFonts w:cs="Arial"/>
          <w:b/>
          <w:sz w:val="22"/>
          <w:szCs w:val="22"/>
        </w:rPr>
        <w:t>Program efficiency</w:t>
      </w:r>
    </w:p>
    <w:p w14:paraId="31C8B368" w14:textId="35185E5D" w:rsidR="007963FA" w:rsidRDefault="007963FA" w:rsidP="00FA046E">
      <w:pPr>
        <w:jc w:val="both"/>
        <w:rPr>
          <w:sz w:val="22"/>
          <w:szCs w:val="22"/>
        </w:rPr>
      </w:pPr>
      <w:r w:rsidRPr="007963FA">
        <w:rPr>
          <w:sz w:val="22"/>
          <w:szCs w:val="22"/>
        </w:rPr>
        <w:t>Overall,</w:t>
      </w:r>
      <w:r w:rsidR="007A37A5">
        <w:rPr>
          <w:sz w:val="22"/>
          <w:szCs w:val="22"/>
        </w:rPr>
        <w:t xml:space="preserve"> the evaluation found that</w:t>
      </w:r>
      <w:r w:rsidRPr="007963FA">
        <w:rPr>
          <w:sz w:val="22"/>
          <w:szCs w:val="22"/>
        </w:rPr>
        <w:t xml:space="preserve"> PWPP delivered a range of value-for-money </w:t>
      </w:r>
      <w:r w:rsidR="007A37A5">
        <w:rPr>
          <w:sz w:val="22"/>
          <w:szCs w:val="22"/>
        </w:rPr>
        <w:t xml:space="preserve">outcomes, </w:t>
      </w:r>
      <w:r w:rsidRPr="007963FA">
        <w:rPr>
          <w:sz w:val="22"/>
          <w:szCs w:val="22"/>
        </w:rPr>
        <w:t xml:space="preserve">from adequate to poor (as calculated using a rubric designed for </w:t>
      </w:r>
      <w:r w:rsidRPr="007963FA">
        <w:rPr>
          <w:i/>
          <w:sz w:val="22"/>
          <w:szCs w:val="22"/>
        </w:rPr>
        <w:t>Pacific Women</w:t>
      </w:r>
      <w:r w:rsidRPr="007963FA">
        <w:rPr>
          <w:sz w:val="22"/>
          <w:szCs w:val="22"/>
        </w:rPr>
        <w:t>). However, the cost of delivering the strategies in PWPP is in line with that expected by other organisations.</w:t>
      </w:r>
    </w:p>
    <w:p w14:paraId="2BA51B84" w14:textId="40B30BF2" w:rsidR="007963FA" w:rsidRPr="007963FA" w:rsidRDefault="007963FA" w:rsidP="00FA046E">
      <w:pPr>
        <w:jc w:val="both"/>
        <w:rPr>
          <w:sz w:val="22"/>
          <w:szCs w:val="22"/>
        </w:rPr>
      </w:pPr>
      <w:r w:rsidRPr="007963FA">
        <w:rPr>
          <w:sz w:val="22"/>
          <w:szCs w:val="22"/>
        </w:rPr>
        <w:t>The standards of</w:t>
      </w:r>
      <w:r w:rsidR="009D32AF">
        <w:rPr>
          <w:sz w:val="22"/>
          <w:szCs w:val="22"/>
        </w:rPr>
        <w:t xml:space="preserve"> the project’s</w:t>
      </w:r>
      <w:r w:rsidRPr="007963FA">
        <w:rPr>
          <w:sz w:val="22"/>
          <w:szCs w:val="22"/>
        </w:rPr>
        <w:t xml:space="preserve"> governance, management and accountability delivered fall well short of DFAT standards.</w:t>
      </w:r>
      <w:r>
        <w:rPr>
          <w:sz w:val="22"/>
          <w:szCs w:val="22"/>
        </w:rPr>
        <w:t xml:space="preserve"> </w:t>
      </w:r>
      <w:r w:rsidRPr="007963FA">
        <w:rPr>
          <w:sz w:val="22"/>
          <w:szCs w:val="22"/>
        </w:rPr>
        <w:t xml:space="preserve">DHoR </w:t>
      </w:r>
      <w:r>
        <w:rPr>
          <w:sz w:val="22"/>
          <w:szCs w:val="22"/>
        </w:rPr>
        <w:t>has</w:t>
      </w:r>
      <w:r w:rsidRPr="007963FA">
        <w:rPr>
          <w:sz w:val="22"/>
          <w:szCs w:val="22"/>
        </w:rPr>
        <w:t xml:space="preserve"> natural advantages in that it has expertise in parliamentary processes.</w:t>
      </w:r>
      <w:r>
        <w:rPr>
          <w:sz w:val="22"/>
          <w:szCs w:val="22"/>
        </w:rPr>
        <w:t xml:space="preserve"> However, it </w:t>
      </w:r>
      <w:r w:rsidRPr="007963FA">
        <w:rPr>
          <w:sz w:val="22"/>
          <w:szCs w:val="22"/>
        </w:rPr>
        <w:t xml:space="preserve">does not appear to have a sufficiently </w:t>
      </w:r>
      <w:r w:rsidR="00E87EC2" w:rsidRPr="007963FA">
        <w:rPr>
          <w:sz w:val="22"/>
          <w:szCs w:val="22"/>
        </w:rPr>
        <w:t>well</w:t>
      </w:r>
      <w:r w:rsidR="00E87EC2">
        <w:rPr>
          <w:sz w:val="22"/>
          <w:szCs w:val="22"/>
        </w:rPr>
        <w:t>-</w:t>
      </w:r>
      <w:r w:rsidR="00E87EC2" w:rsidRPr="007963FA">
        <w:rPr>
          <w:sz w:val="22"/>
          <w:szCs w:val="22"/>
        </w:rPr>
        <w:t>developed</w:t>
      </w:r>
      <w:r w:rsidRPr="007963FA">
        <w:rPr>
          <w:sz w:val="22"/>
          <w:szCs w:val="22"/>
        </w:rPr>
        <w:t xml:space="preserve"> set of requisite skills, management expertise and international development experience to deliver the </w:t>
      </w:r>
      <w:r>
        <w:rPr>
          <w:sz w:val="22"/>
          <w:szCs w:val="22"/>
        </w:rPr>
        <w:t>P</w:t>
      </w:r>
      <w:r w:rsidRPr="007963FA">
        <w:rPr>
          <w:sz w:val="22"/>
          <w:szCs w:val="22"/>
        </w:rPr>
        <w:t>roject in a manner that meets DFAT standards</w:t>
      </w:r>
      <w:r>
        <w:rPr>
          <w:sz w:val="22"/>
          <w:szCs w:val="22"/>
        </w:rPr>
        <w:t>.</w:t>
      </w:r>
    </w:p>
    <w:p w14:paraId="617A6E0B" w14:textId="07749A24" w:rsidR="005E3939" w:rsidRPr="00D65F20" w:rsidRDefault="00674BA0" w:rsidP="00FA046E">
      <w:pPr>
        <w:rPr>
          <w:rFonts w:cs="Arial"/>
          <w:b/>
          <w:sz w:val="22"/>
          <w:szCs w:val="22"/>
          <w:lang w:eastAsia="en-AU"/>
        </w:rPr>
      </w:pPr>
      <w:r w:rsidRPr="00D65F20">
        <w:rPr>
          <w:rFonts w:cs="Arial"/>
          <w:b/>
          <w:sz w:val="22"/>
          <w:szCs w:val="22"/>
          <w:lang w:eastAsia="en-AU"/>
        </w:rPr>
        <w:t>DFAT</w:t>
      </w:r>
      <w:r w:rsidR="00367DA3" w:rsidRPr="00D65F20">
        <w:rPr>
          <w:rFonts w:cs="Arial"/>
          <w:b/>
          <w:sz w:val="22"/>
          <w:szCs w:val="22"/>
          <w:lang w:eastAsia="en-AU"/>
        </w:rPr>
        <w:t>’s response to the evaluation report</w:t>
      </w:r>
    </w:p>
    <w:p w14:paraId="4F074D89" w14:textId="3F79858C" w:rsidR="00303B19" w:rsidRDefault="003C060A" w:rsidP="005115D7">
      <w:pPr>
        <w:shd w:val="clear" w:color="auto" w:fill="FFFFFF" w:themeFill="background1"/>
        <w:rPr>
          <w:rFonts w:cs="Arial"/>
          <w:sz w:val="22"/>
          <w:szCs w:val="22"/>
        </w:rPr>
      </w:pPr>
      <w:r>
        <w:rPr>
          <w:rFonts w:cs="Arial"/>
          <w:sz w:val="22"/>
          <w:szCs w:val="22"/>
        </w:rPr>
        <w:t>PWPP finish</w:t>
      </w:r>
      <w:r w:rsidR="00303B19">
        <w:rPr>
          <w:rFonts w:cs="Arial"/>
          <w:sz w:val="22"/>
          <w:szCs w:val="22"/>
        </w:rPr>
        <w:t>ed</w:t>
      </w:r>
      <w:r>
        <w:rPr>
          <w:rFonts w:cs="Arial"/>
          <w:sz w:val="22"/>
          <w:szCs w:val="22"/>
        </w:rPr>
        <w:t xml:space="preserve"> on 31 December 2017</w:t>
      </w:r>
      <w:r w:rsidR="00303B19">
        <w:rPr>
          <w:rFonts w:cs="Arial"/>
          <w:sz w:val="22"/>
          <w:szCs w:val="22"/>
        </w:rPr>
        <w:t>.</w:t>
      </w:r>
      <w:r>
        <w:rPr>
          <w:rFonts w:cs="Arial"/>
          <w:sz w:val="22"/>
          <w:szCs w:val="22"/>
        </w:rPr>
        <w:t xml:space="preserve"> </w:t>
      </w:r>
      <w:r w:rsidR="0008492F">
        <w:rPr>
          <w:rFonts w:cs="Arial"/>
          <w:sz w:val="22"/>
          <w:szCs w:val="22"/>
        </w:rPr>
        <w:t xml:space="preserve">A design process is now underway to define a new program of support for increasing Pacific women’s voice and participation in political processes. This design is guided </w:t>
      </w:r>
      <w:r w:rsidR="00303B19">
        <w:rPr>
          <w:rFonts w:cs="Arial"/>
          <w:sz w:val="22"/>
          <w:szCs w:val="22"/>
        </w:rPr>
        <w:t xml:space="preserve">by the </w:t>
      </w:r>
      <w:r w:rsidR="00303B19" w:rsidRPr="009073E0">
        <w:rPr>
          <w:rFonts w:cs="Arial"/>
          <w:i/>
          <w:sz w:val="22"/>
          <w:szCs w:val="22"/>
        </w:rPr>
        <w:t>Pacific Women</w:t>
      </w:r>
      <w:r w:rsidR="00303B19">
        <w:rPr>
          <w:rFonts w:cs="Arial"/>
          <w:sz w:val="22"/>
          <w:szCs w:val="22"/>
        </w:rPr>
        <w:t xml:space="preserve"> Roadmap (released May </w:t>
      </w:r>
      <w:r w:rsidR="00EB3C6B">
        <w:rPr>
          <w:rFonts w:cs="Arial"/>
          <w:sz w:val="22"/>
          <w:szCs w:val="22"/>
        </w:rPr>
        <w:t>2017)</w:t>
      </w:r>
      <w:r w:rsidR="0008492F">
        <w:rPr>
          <w:rFonts w:cs="Arial"/>
          <w:sz w:val="22"/>
          <w:szCs w:val="22"/>
        </w:rPr>
        <w:t xml:space="preserve"> and will also be informed by the </w:t>
      </w:r>
      <w:r w:rsidR="00EB3C6B">
        <w:rPr>
          <w:rFonts w:cs="Arial"/>
          <w:sz w:val="22"/>
          <w:szCs w:val="22"/>
        </w:rPr>
        <w:t>PWPP evaluation findings and recommendations.</w:t>
      </w:r>
    </w:p>
    <w:p w14:paraId="4ED8D5E0" w14:textId="0D680F71" w:rsidR="00DF6A67" w:rsidRDefault="00DF6A67" w:rsidP="00BB06B4">
      <w:pPr>
        <w:shd w:val="clear" w:color="auto" w:fill="FFFFFF" w:themeFill="background1"/>
        <w:rPr>
          <w:rFonts w:cs="Arial"/>
          <w:sz w:val="22"/>
          <w:szCs w:val="22"/>
        </w:rPr>
      </w:pPr>
      <w:r>
        <w:rPr>
          <w:rFonts w:cs="Arial"/>
          <w:sz w:val="22"/>
          <w:szCs w:val="22"/>
        </w:rPr>
        <w:t xml:space="preserve">DFAT </w:t>
      </w:r>
      <w:r w:rsidR="00D13D19">
        <w:rPr>
          <w:rFonts w:cs="Arial"/>
          <w:sz w:val="22"/>
          <w:szCs w:val="22"/>
        </w:rPr>
        <w:t xml:space="preserve">would like to specifically </w:t>
      </w:r>
      <w:r>
        <w:rPr>
          <w:rFonts w:cs="Arial"/>
          <w:sz w:val="22"/>
          <w:szCs w:val="22"/>
        </w:rPr>
        <w:t xml:space="preserve">acknowledge the pro-bono support that the </w:t>
      </w:r>
      <w:r w:rsidR="00463F10">
        <w:rPr>
          <w:rFonts w:cs="Arial"/>
          <w:sz w:val="22"/>
          <w:szCs w:val="22"/>
        </w:rPr>
        <w:t>DHoR</w:t>
      </w:r>
      <w:r>
        <w:rPr>
          <w:rFonts w:cs="Arial"/>
          <w:sz w:val="22"/>
          <w:szCs w:val="22"/>
        </w:rPr>
        <w:t xml:space="preserve"> has provided </w:t>
      </w:r>
      <w:r w:rsidR="00D13D19">
        <w:rPr>
          <w:rFonts w:cs="Arial"/>
          <w:sz w:val="22"/>
          <w:szCs w:val="22"/>
        </w:rPr>
        <w:t xml:space="preserve">to help implement the project; the </w:t>
      </w:r>
      <w:r w:rsidR="00AC3D77">
        <w:rPr>
          <w:rFonts w:cs="Arial"/>
          <w:sz w:val="22"/>
          <w:szCs w:val="22"/>
        </w:rPr>
        <w:t xml:space="preserve">parliament-to-parliament </w:t>
      </w:r>
      <w:r w:rsidR="00D13D19">
        <w:rPr>
          <w:rFonts w:cs="Arial"/>
          <w:sz w:val="22"/>
          <w:szCs w:val="22"/>
        </w:rPr>
        <w:t xml:space="preserve">relationships they have been able to form </w:t>
      </w:r>
      <w:r w:rsidR="00AC3D77">
        <w:rPr>
          <w:rFonts w:cs="Arial"/>
          <w:sz w:val="22"/>
          <w:szCs w:val="22"/>
        </w:rPr>
        <w:t xml:space="preserve">with counterparts in the Pacific; and the unique access </w:t>
      </w:r>
      <w:r w:rsidR="009D32AF">
        <w:rPr>
          <w:rFonts w:cs="Arial"/>
          <w:sz w:val="22"/>
          <w:szCs w:val="22"/>
        </w:rPr>
        <w:t>DHoR has</w:t>
      </w:r>
      <w:r w:rsidR="00AC3D77">
        <w:rPr>
          <w:rFonts w:cs="Arial"/>
          <w:sz w:val="22"/>
          <w:szCs w:val="22"/>
        </w:rPr>
        <w:t xml:space="preserve"> to the Australian parliamentary system which </w:t>
      </w:r>
      <w:r w:rsidR="009D32AF">
        <w:rPr>
          <w:rFonts w:cs="Arial"/>
          <w:sz w:val="22"/>
          <w:szCs w:val="22"/>
        </w:rPr>
        <w:t xml:space="preserve">it has </w:t>
      </w:r>
      <w:r w:rsidR="00AC3D77">
        <w:rPr>
          <w:rFonts w:cs="Arial"/>
          <w:sz w:val="22"/>
          <w:szCs w:val="22"/>
        </w:rPr>
        <w:t xml:space="preserve">been able to </w:t>
      </w:r>
      <w:r w:rsidR="00E87EC2">
        <w:rPr>
          <w:rFonts w:cs="Arial"/>
          <w:sz w:val="22"/>
          <w:szCs w:val="22"/>
        </w:rPr>
        <w:t xml:space="preserve">draw on </w:t>
      </w:r>
      <w:r w:rsidR="00AC3D77">
        <w:rPr>
          <w:rFonts w:cs="Arial"/>
          <w:sz w:val="22"/>
          <w:szCs w:val="22"/>
        </w:rPr>
        <w:t>in support of the project.</w:t>
      </w:r>
    </w:p>
    <w:p w14:paraId="00415687" w14:textId="49C5A872" w:rsidR="00A2596C" w:rsidRDefault="00A2596C" w:rsidP="00BB06B4">
      <w:pPr>
        <w:shd w:val="clear" w:color="auto" w:fill="FFFFFF" w:themeFill="background1"/>
        <w:rPr>
          <w:rFonts w:cs="Arial"/>
          <w:sz w:val="22"/>
          <w:szCs w:val="22"/>
        </w:rPr>
      </w:pPr>
      <w:r w:rsidRPr="00A2596C">
        <w:rPr>
          <w:rFonts w:cs="Arial"/>
          <w:sz w:val="22"/>
          <w:szCs w:val="22"/>
        </w:rPr>
        <w:t xml:space="preserve">The final report submitted by the </w:t>
      </w:r>
      <w:r w:rsidR="00AC3D77">
        <w:rPr>
          <w:rFonts w:cs="Arial"/>
          <w:sz w:val="22"/>
          <w:szCs w:val="22"/>
        </w:rPr>
        <w:t xml:space="preserve">PWPP </w:t>
      </w:r>
      <w:r w:rsidRPr="00A2596C">
        <w:rPr>
          <w:rFonts w:cs="Arial"/>
          <w:sz w:val="22"/>
          <w:szCs w:val="22"/>
        </w:rPr>
        <w:t>evaluation team meets DFAT’s quality criteria for an evaluation report. It addresses the terms of reference and incorporates feedback on the draft. The report reflects an understanding of most of the key issues, the rationale for the recommendations is provided and there is an executive summary for decision-makers.</w:t>
      </w:r>
    </w:p>
    <w:p w14:paraId="225BC780" w14:textId="653FF785" w:rsidR="00627FB0" w:rsidRPr="00627FB0" w:rsidRDefault="00627FB0" w:rsidP="00BB06B4">
      <w:pPr>
        <w:shd w:val="clear" w:color="auto" w:fill="FFFFFF" w:themeFill="background1"/>
        <w:rPr>
          <w:rFonts w:cs="Arial"/>
          <w:sz w:val="22"/>
          <w:szCs w:val="22"/>
        </w:rPr>
      </w:pPr>
      <w:r>
        <w:rPr>
          <w:rFonts w:cs="Arial"/>
          <w:sz w:val="22"/>
          <w:szCs w:val="22"/>
        </w:rPr>
        <w:t>DFAT</w:t>
      </w:r>
      <w:r w:rsidR="00A2596C">
        <w:rPr>
          <w:rFonts w:cs="Arial"/>
          <w:sz w:val="22"/>
          <w:szCs w:val="22"/>
        </w:rPr>
        <w:t xml:space="preserve"> agrees that the evaluation recommendations</w:t>
      </w:r>
      <w:r>
        <w:rPr>
          <w:rFonts w:cs="Arial"/>
          <w:sz w:val="22"/>
          <w:szCs w:val="22"/>
        </w:rPr>
        <w:t xml:space="preserve"> </w:t>
      </w:r>
      <w:r w:rsidR="00A2596C">
        <w:rPr>
          <w:rFonts w:cs="Arial"/>
          <w:sz w:val="22"/>
          <w:szCs w:val="22"/>
        </w:rPr>
        <w:t xml:space="preserve">need to be considered </w:t>
      </w:r>
      <w:r>
        <w:rPr>
          <w:rFonts w:cs="Arial"/>
          <w:sz w:val="22"/>
          <w:szCs w:val="22"/>
        </w:rPr>
        <w:t>in light of the following</w:t>
      </w:r>
      <w:r w:rsidRPr="00627FB0">
        <w:rPr>
          <w:rFonts w:cs="Arial"/>
          <w:sz w:val="22"/>
          <w:szCs w:val="22"/>
        </w:rPr>
        <w:t>:</w:t>
      </w:r>
    </w:p>
    <w:p w14:paraId="36013D3C" w14:textId="7A61100C" w:rsidR="00627FB0" w:rsidRPr="00627FB0" w:rsidRDefault="00627FB0" w:rsidP="003C060A">
      <w:pPr>
        <w:numPr>
          <w:ilvl w:val="0"/>
          <w:numId w:val="7"/>
        </w:numPr>
        <w:shd w:val="clear" w:color="auto" w:fill="FFFFFF" w:themeFill="background1"/>
        <w:spacing w:before="60"/>
        <w:ind w:left="714" w:hanging="357"/>
        <w:rPr>
          <w:rFonts w:cs="Arial"/>
          <w:sz w:val="22"/>
          <w:szCs w:val="22"/>
        </w:rPr>
      </w:pPr>
      <w:r w:rsidRPr="00627FB0">
        <w:rPr>
          <w:rFonts w:cs="Arial"/>
          <w:sz w:val="22"/>
          <w:szCs w:val="22"/>
        </w:rPr>
        <w:t xml:space="preserve">The high profile nature of this work and its central role in </w:t>
      </w:r>
      <w:r w:rsidRPr="0081511F">
        <w:rPr>
          <w:rFonts w:cs="Arial"/>
          <w:i/>
          <w:sz w:val="22"/>
          <w:szCs w:val="22"/>
        </w:rPr>
        <w:t>Pacific Women</w:t>
      </w:r>
    </w:p>
    <w:p w14:paraId="6897086D" w14:textId="0D72AC42" w:rsidR="00627FB0" w:rsidRPr="00627FB0" w:rsidRDefault="00627FB0" w:rsidP="003C060A">
      <w:pPr>
        <w:numPr>
          <w:ilvl w:val="0"/>
          <w:numId w:val="7"/>
        </w:numPr>
        <w:shd w:val="clear" w:color="auto" w:fill="FFFFFF" w:themeFill="background1"/>
        <w:spacing w:before="60"/>
        <w:ind w:left="714" w:hanging="357"/>
        <w:rPr>
          <w:rFonts w:cs="Arial"/>
          <w:sz w:val="22"/>
          <w:szCs w:val="22"/>
        </w:rPr>
      </w:pPr>
      <w:r w:rsidRPr="00627FB0">
        <w:rPr>
          <w:rFonts w:cs="Arial"/>
          <w:sz w:val="22"/>
          <w:szCs w:val="22"/>
        </w:rPr>
        <w:t>The importance of efforts in this space to be coordinated and aligned with other agency efforts in the Pacific</w:t>
      </w:r>
    </w:p>
    <w:p w14:paraId="6514687B" w14:textId="66BA6213" w:rsidR="00627FB0" w:rsidRPr="00627FB0" w:rsidRDefault="00627FB0" w:rsidP="003C060A">
      <w:pPr>
        <w:numPr>
          <w:ilvl w:val="0"/>
          <w:numId w:val="7"/>
        </w:numPr>
        <w:shd w:val="clear" w:color="auto" w:fill="FFFFFF" w:themeFill="background1"/>
        <w:spacing w:before="60"/>
        <w:ind w:left="714" w:hanging="357"/>
        <w:rPr>
          <w:rFonts w:cs="Arial"/>
          <w:sz w:val="22"/>
          <w:szCs w:val="22"/>
        </w:rPr>
      </w:pPr>
      <w:r w:rsidRPr="00627FB0">
        <w:rPr>
          <w:rFonts w:cs="Arial"/>
          <w:sz w:val="22"/>
          <w:szCs w:val="22"/>
        </w:rPr>
        <w:t xml:space="preserve">The </w:t>
      </w:r>
      <w:r w:rsidR="007A2A59">
        <w:rPr>
          <w:rFonts w:cs="Arial"/>
          <w:sz w:val="22"/>
          <w:szCs w:val="22"/>
        </w:rPr>
        <w:t xml:space="preserve">need to </w:t>
      </w:r>
      <w:r w:rsidRPr="00627FB0">
        <w:rPr>
          <w:rFonts w:cs="Arial"/>
          <w:sz w:val="22"/>
          <w:szCs w:val="22"/>
        </w:rPr>
        <w:t>sustain the outcomes achieved to date</w:t>
      </w:r>
    </w:p>
    <w:p w14:paraId="5AF92BDF" w14:textId="13ABA985" w:rsidR="00627FB0" w:rsidRPr="00627FB0" w:rsidRDefault="00627FB0" w:rsidP="003C060A">
      <w:pPr>
        <w:numPr>
          <w:ilvl w:val="0"/>
          <w:numId w:val="7"/>
        </w:numPr>
        <w:shd w:val="clear" w:color="auto" w:fill="FFFFFF" w:themeFill="background1"/>
        <w:spacing w:before="60"/>
        <w:ind w:left="714" w:hanging="357"/>
        <w:rPr>
          <w:rFonts w:cs="Arial"/>
          <w:sz w:val="22"/>
          <w:szCs w:val="22"/>
        </w:rPr>
      </w:pPr>
      <w:r w:rsidRPr="00627FB0">
        <w:rPr>
          <w:rFonts w:cs="Arial"/>
          <w:sz w:val="22"/>
          <w:szCs w:val="22"/>
        </w:rPr>
        <w:t>The principle of ‘do no harm’</w:t>
      </w:r>
    </w:p>
    <w:p w14:paraId="1F4A192B" w14:textId="0E70F440" w:rsidR="00627FB0" w:rsidRPr="00627FB0" w:rsidRDefault="00627FB0" w:rsidP="003C060A">
      <w:pPr>
        <w:numPr>
          <w:ilvl w:val="0"/>
          <w:numId w:val="7"/>
        </w:numPr>
        <w:shd w:val="clear" w:color="auto" w:fill="FFFFFF" w:themeFill="background1"/>
        <w:spacing w:before="60"/>
        <w:ind w:left="714" w:hanging="357"/>
        <w:rPr>
          <w:rFonts w:cs="Arial"/>
          <w:sz w:val="22"/>
          <w:szCs w:val="22"/>
        </w:rPr>
      </w:pPr>
      <w:r w:rsidRPr="00627FB0">
        <w:rPr>
          <w:rFonts w:cs="Arial"/>
          <w:sz w:val="22"/>
          <w:szCs w:val="22"/>
        </w:rPr>
        <w:t>The principle of collaboration and joined up effort lead</w:t>
      </w:r>
      <w:r w:rsidR="00463F10">
        <w:rPr>
          <w:rFonts w:cs="Arial"/>
          <w:sz w:val="22"/>
          <w:szCs w:val="22"/>
        </w:rPr>
        <w:t>ing</w:t>
      </w:r>
      <w:r w:rsidRPr="00627FB0">
        <w:rPr>
          <w:rFonts w:cs="Arial"/>
          <w:sz w:val="22"/>
          <w:szCs w:val="22"/>
        </w:rPr>
        <w:t xml:space="preserve"> to greater impact</w:t>
      </w:r>
      <w:r w:rsidR="00AC3D77">
        <w:rPr>
          <w:rFonts w:cs="Arial"/>
          <w:sz w:val="22"/>
          <w:szCs w:val="22"/>
        </w:rPr>
        <w:t>.</w:t>
      </w:r>
    </w:p>
    <w:p w14:paraId="3E543C5C" w14:textId="472FEA1F" w:rsidR="00277AB8" w:rsidRDefault="00725A2E" w:rsidP="00BB06B4">
      <w:pPr>
        <w:shd w:val="clear" w:color="auto" w:fill="FFFFFF" w:themeFill="background1"/>
        <w:rPr>
          <w:rFonts w:cs="Arial"/>
          <w:sz w:val="22"/>
          <w:szCs w:val="22"/>
        </w:rPr>
      </w:pPr>
      <w:r>
        <w:rPr>
          <w:rFonts w:cs="Arial"/>
          <w:sz w:val="22"/>
          <w:szCs w:val="22"/>
        </w:rPr>
        <w:t xml:space="preserve">DFAT also agrees that in terms of future programming, the evaluation recommendations need to be considered in terms of two separate objectives: </w:t>
      </w:r>
      <w:r w:rsidR="002B1A3A" w:rsidRPr="002B1A3A">
        <w:rPr>
          <w:rFonts w:cs="Arial"/>
          <w:sz w:val="22"/>
          <w:szCs w:val="22"/>
        </w:rPr>
        <w:t>support for Pacific women parliamentarians (a women’s leadership mechanism)</w:t>
      </w:r>
      <w:r>
        <w:rPr>
          <w:rFonts w:cs="Arial"/>
          <w:sz w:val="22"/>
          <w:szCs w:val="22"/>
        </w:rPr>
        <w:t>; and</w:t>
      </w:r>
      <w:r w:rsidR="002B1A3A" w:rsidRPr="002B1A3A">
        <w:rPr>
          <w:rFonts w:cs="Arial"/>
          <w:sz w:val="22"/>
          <w:szCs w:val="22"/>
        </w:rPr>
        <w:t xml:space="preserve"> for </w:t>
      </w:r>
      <w:r w:rsidR="007A2A59">
        <w:rPr>
          <w:rFonts w:cs="Arial"/>
          <w:sz w:val="22"/>
          <w:szCs w:val="22"/>
        </w:rPr>
        <w:t>Pacific p</w:t>
      </w:r>
      <w:r w:rsidR="002B1A3A" w:rsidRPr="002B1A3A">
        <w:rPr>
          <w:rFonts w:cs="Arial"/>
          <w:sz w:val="22"/>
          <w:szCs w:val="22"/>
        </w:rPr>
        <w:t>arliament</w:t>
      </w:r>
      <w:r w:rsidR="007A2A59">
        <w:rPr>
          <w:rFonts w:cs="Arial"/>
          <w:sz w:val="22"/>
          <w:szCs w:val="22"/>
        </w:rPr>
        <w:t xml:space="preserve">s </w:t>
      </w:r>
      <w:r w:rsidR="002B1A3A" w:rsidRPr="002B1A3A">
        <w:rPr>
          <w:rFonts w:cs="Arial"/>
          <w:sz w:val="22"/>
          <w:szCs w:val="22"/>
        </w:rPr>
        <w:t xml:space="preserve"> that are </w:t>
      </w:r>
      <w:r w:rsidR="007A2A59">
        <w:rPr>
          <w:rFonts w:cs="Arial"/>
          <w:sz w:val="22"/>
          <w:szCs w:val="22"/>
        </w:rPr>
        <w:t xml:space="preserve">more </w:t>
      </w:r>
      <w:r w:rsidR="002B1A3A" w:rsidRPr="002B1A3A">
        <w:rPr>
          <w:rFonts w:cs="Arial"/>
          <w:sz w:val="22"/>
          <w:szCs w:val="22"/>
        </w:rPr>
        <w:t>gender</w:t>
      </w:r>
      <w:r w:rsidR="007A2A59">
        <w:rPr>
          <w:rFonts w:cs="Arial"/>
          <w:sz w:val="22"/>
          <w:szCs w:val="22"/>
        </w:rPr>
        <w:t xml:space="preserve"> conscious, including having male gender equality advocates</w:t>
      </w:r>
      <w:r w:rsidR="002B1A3A" w:rsidRPr="002B1A3A">
        <w:rPr>
          <w:rFonts w:cs="Arial"/>
          <w:sz w:val="22"/>
          <w:szCs w:val="22"/>
        </w:rPr>
        <w:t xml:space="preserve"> (a gender mainstreaming mechanism)</w:t>
      </w:r>
      <w:r>
        <w:rPr>
          <w:rFonts w:cs="Arial"/>
          <w:sz w:val="22"/>
          <w:szCs w:val="22"/>
        </w:rPr>
        <w:t>.</w:t>
      </w:r>
    </w:p>
    <w:p w14:paraId="1F0FD063" w14:textId="2F0160E1" w:rsidR="00BB06B4" w:rsidRDefault="00BB06B4" w:rsidP="00B45D28">
      <w:pPr>
        <w:shd w:val="clear" w:color="auto" w:fill="FFFFFF" w:themeFill="background1"/>
        <w:spacing w:after="120"/>
        <w:rPr>
          <w:rFonts w:cs="Arial"/>
          <w:sz w:val="22"/>
          <w:szCs w:val="22"/>
        </w:rPr>
      </w:pPr>
      <w:r>
        <w:rPr>
          <w:rFonts w:cs="Arial"/>
          <w:sz w:val="22"/>
          <w:szCs w:val="22"/>
        </w:rPr>
        <w:t xml:space="preserve">Although the evaluation findings have been shared with the implementing partner, the </w:t>
      </w:r>
      <w:r w:rsidR="00EB3C6B">
        <w:rPr>
          <w:rFonts w:cs="Arial"/>
          <w:sz w:val="22"/>
          <w:szCs w:val="22"/>
        </w:rPr>
        <w:t>DHoR</w:t>
      </w:r>
      <w:r>
        <w:rPr>
          <w:rFonts w:cs="Arial"/>
          <w:sz w:val="22"/>
          <w:szCs w:val="22"/>
        </w:rPr>
        <w:t>, this Management Response only represents the views of DFAT.</w:t>
      </w: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4106"/>
        <w:gridCol w:w="1276"/>
        <w:gridCol w:w="2551"/>
        <w:gridCol w:w="1701"/>
      </w:tblGrid>
      <w:tr w:rsidR="0081511F" w:rsidRPr="00386C90" w14:paraId="7C9BDD5E" w14:textId="77777777" w:rsidTr="00FD66D8">
        <w:trPr>
          <w:tblHeader/>
        </w:trPr>
        <w:tc>
          <w:tcPr>
            <w:tcW w:w="4106" w:type="dxa"/>
            <w:shd w:val="clear" w:color="auto" w:fill="FFEC9B"/>
            <w:vAlign w:val="center"/>
          </w:tcPr>
          <w:p w14:paraId="51274B06" w14:textId="2101C2EC" w:rsidR="00026F99" w:rsidRPr="00386C90" w:rsidRDefault="00026F99" w:rsidP="006B637C">
            <w:pPr>
              <w:pStyle w:val="Heading2"/>
              <w:spacing w:before="120" w:after="120"/>
              <w:jc w:val="center"/>
              <w:rPr>
                <w:sz w:val="20"/>
                <w:szCs w:val="20"/>
              </w:rPr>
            </w:pPr>
            <w:r w:rsidRPr="00386C90">
              <w:rPr>
                <w:sz w:val="20"/>
                <w:szCs w:val="20"/>
              </w:rPr>
              <w:t>Recommendation</w:t>
            </w:r>
          </w:p>
        </w:tc>
        <w:tc>
          <w:tcPr>
            <w:tcW w:w="1276" w:type="dxa"/>
            <w:tcBorders>
              <w:right w:val="single" w:sz="4" w:space="0" w:color="auto"/>
            </w:tcBorders>
            <w:shd w:val="clear" w:color="auto" w:fill="FFEC9B"/>
            <w:vAlign w:val="center"/>
          </w:tcPr>
          <w:p w14:paraId="6B76047C" w14:textId="77777777" w:rsidR="00026F99" w:rsidRPr="00386C90" w:rsidRDefault="00026F99" w:rsidP="006B637C">
            <w:pPr>
              <w:spacing w:after="120"/>
              <w:jc w:val="center"/>
              <w:rPr>
                <w:rFonts w:cs="Arial"/>
                <w:b/>
                <w:szCs w:val="20"/>
              </w:rPr>
            </w:pPr>
            <w:r w:rsidRPr="00386C90">
              <w:rPr>
                <w:rFonts w:cs="Arial"/>
                <w:b/>
                <w:szCs w:val="20"/>
              </w:rPr>
              <w:t>Response</w:t>
            </w:r>
          </w:p>
        </w:tc>
        <w:tc>
          <w:tcPr>
            <w:tcW w:w="2551" w:type="dxa"/>
            <w:tcBorders>
              <w:left w:val="single" w:sz="4" w:space="0" w:color="auto"/>
            </w:tcBorders>
            <w:shd w:val="clear" w:color="auto" w:fill="FFEC9B"/>
            <w:vAlign w:val="center"/>
          </w:tcPr>
          <w:p w14:paraId="29970B0D" w14:textId="77777777" w:rsidR="00026F99" w:rsidRPr="00386C90" w:rsidRDefault="00026F99" w:rsidP="006B637C">
            <w:pPr>
              <w:spacing w:after="120"/>
              <w:jc w:val="center"/>
              <w:rPr>
                <w:rFonts w:cs="Arial"/>
                <w:b/>
                <w:szCs w:val="20"/>
              </w:rPr>
            </w:pPr>
            <w:r w:rsidRPr="00386C90">
              <w:rPr>
                <w:rFonts w:cs="Arial"/>
                <w:b/>
                <w:szCs w:val="20"/>
              </w:rPr>
              <w:t>Actions</w:t>
            </w:r>
          </w:p>
        </w:tc>
        <w:tc>
          <w:tcPr>
            <w:tcW w:w="1701" w:type="dxa"/>
            <w:tcBorders>
              <w:left w:val="single" w:sz="4" w:space="0" w:color="auto"/>
            </w:tcBorders>
            <w:shd w:val="clear" w:color="auto" w:fill="FFEC9B"/>
            <w:vAlign w:val="center"/>
          </w:tcPr>
          <w:p w14:paraId="228FAAE5" w14:textId="77777777" w:rsidR="00026F99" w:rsidRPr="00386C90" w:rsidRDefault="00026F99" w:rsidP="006B637C">
            <w:pPr>
              <w:spacing w:after="120"/>
              <w:jc w:val="center"/>
              <w:rPr>
                <w:rFonts w:cs="Arial"/>
                <w:szCs w:val="20"/>
              </w:rPr>
            </w:pPr>
            <w:r w:rsidRPr="00386C90">
              <w:rPr>
                <w:rFonts w:cs="Arial"/>
                <w:b/>
                <w:szCs w:val="20"/>
              </w:rPr>
              <w:t>Responsibility</w:t>
            </w:r>
          </w:p>
        </w:tc>
      </w:tr>
      <w:tr w:rsidR="00026F99" w:rsidRPr="00386C90" w14:paraId="43BC1D15" w14:textId="77777777" w:rsidTr="0081511F">
        <w:tc>
          <w:tcPr>
            <w:tcW w:w="9634" w:type="dxa"/>
            <w:gridSpan w:val="4"/>
            <w:shd w:val="clear" w:color="auto" w:fill="auto"/>
          </w:tcPr>
          <w:p w14:paraId="0288589C" w14:textId="138B8ACF" w:rsidR="00026F99" w:rsidRPr="00FD66D8" w:rsidRDefault="00627FB0" w:rsidP="00026F99">
            <w:pPr>
              <w:pStyle w:val="ListParagraph"/>
              <w:numPr>
                <w:ilvl w:val="0"/>
                <w:numId w:val="35"/>
              </w:numPr>
              <w:spacing w:after="120"/>
              <w:rPr>
                <w:rFonts w:cs="Arial"/>
                <w:b/>
                <w:sz w:val="22"/>
                <w:szCs w:val="22"/>
              </w:rPr>
            </w:pPr>
            <w:r w:rsidRPr="00FD66D8">
              <w:rPr>
                <w:rFonts w:cs="Arial"/>
                <w:b/>
                <w:sz w:val="22"/>
                <w:szCs w:val="22"/>
              </w:rPr>
              <w:t xml:space="preserve">Alignment with </w:t>
            </w:r>
            <w:r w:rsidRPr="00FD66D8">
              <w:rPr>
                <w:rFonts w:cs="Arial"/>
                <w:b/>
                <w:i/>
                <w:sz w:val="22"/>
                <w:szCs w:val="22"/>
              </w:rPr>
              <w:t>Pacific Women</w:t>
            </w:r>
            <w:r w:rsidR="00026F99" w:rsidRPr="00FD66D8">
              <w:rPr>
                <w:rFonts w:cs="Arial"/>
                <w:b/>
                <w:sz w:val="22"/>
                <w:szCs w:val="22"/>
              </w:rPr>
              <w:t xml:space="preserve"> </w:t>
            </w:r>
          </w:p>
        </w:tc>
      </w:tr>
      <w:tr w:rsidR="00026F99" w:rsidRPr="00F95C90" w14:paraId="29156836" w14:textId="77777777" w:rsidTr="0081511F">
        <w:tc>
          <w:tcPr>
            <w:tcW w:w="4106" w:type="dxa"/>
            <w:shd w:val="clear" w:color="auto" w:fill="auto"/>
          </w:tcPr>
          <w:p w14:paraId="7915E4EE" w14:textId="77777777" w:rsidR="00026F99" w:rsidRPr="00F95C90" w:rsidRDefault="00627FB0" w:rsidP="00386C90">
            <w:pPr>
              <w:spacing w:after="120"/>
              <w:rPr>
                <w:rFonts w:cs="Arial"/>
                <w:szCs w:val="20"/>
              </w:rPr>
            </w:pPr>
            <w:r w:rsidRPr="00F95C90">
              <w:rPr>
                <w:rFonts w:cs="Arial"/>
                <w:szCs w:val="20"/>
              </w:rPr>
              <w:t xml:space="preserve">If the resources allocated to this Project are the only resources that </w:t>
            </w:r>
            <w:r w:rsidRPr="00F95C90">
              <w:rPr>
                <w:rFonts w:cs="Arial"/>
                <w:i/>
                <w:szCs w:val="20"/>
              </w:rPr>
              <w:t>Pacific Women</w:t>
            </w:r>
            <w:r w:rsidRPr="00F95C90">
              <w:rPr>
                <w:rFonts w:cs="Arial"/>
                <w:szCs w:val="20"/>
              </w:rPr>
              <w:t xml:space="preserve"> commits at this highly visible political level then these resources need to be strongly considered in relation to the </w:t>
            </w:r>
            <w:r w:rsidRPr="00F95C90">
              <w:rPr>
                <w:rFonts w:cs="Arial"/>
                <w:i/>
                <w:szCs w:val="20"/>
              </w:rPr>
              <w:t>Pacific Women</w:t>
            </w:r>
            <w:r w:rsidRPr="00F95C90">
              <w:rPr>
                <w:rFonts w:cs="Arial"/>
                <w:szCs w:val="20"/>
              </w:rPr>
              <w:t xml:space="preserve"> </w:t>
            </w:r>
            <w:r w:rsidRPr="00F95C90">
              <w:rPr>
                <w:rFonts w:cs="Arial"/>
                <w:szCs w:val="20"/>
              </w:rPr>
              <w:lastRenderedPageBreak/>
              <w:t>roadmap (currently under development) and diplomacy.</w:t>
            </w:r>
          </w:p>
          <w:p w14:paraId="06C6FB71" w14:textId="77777777" w:rsidR="00627FB0" w:rsidRPr="00F95C90" w:rsidRDefault="00627FB0" w:rsidP="00386C90">
            <w:pPr>
              <w:spacing w:after="120"/>
              <w:rPr>
                <w:rFonts w:cs="Arial"/>
                <w:b/>
                <w:szCs w:val="20"/>
              </w:rPr>
            </w:pPr>
            <w:r w:rsidRPr="00F95C90">
              <w:rPr>
                <w:rFonts w:cs="Arial"/>
                <w:b/>
                <w:szCs w:val="20"/>
              </w:rPr>
              <w:t xml:space="preserve">Consider the investment’s inputs and strategies in relation to other diplomatic and programmatic efforts that are part of </w:t>
            </w:r>
            <w:r w:rsidRPr="00E87EC2">
              <w:rPr>
                <w:rFonts w:cs="Arial"/>
                <w:b/>
                <w:i/>
                <w:szCs w:val="20"/>
              </w:rPr>
              <w:t>Pacific Women</w:t>
            </w:r>
            <w:r w:rsidRPr="00F95C90">
              <w:rPr>
                <w:rFonts w:cs="Arial"/>
                <w:b/>
                <w:szCs w:val="20"/>
              </w:rPr>
              <w:t xml:space="preserve"> and DFAT in the region. </w:t>
            </w:r>
          </w:p>
          <w:p w14:paraId="1AA8E2B0" w14:textId="3D9CFD8A" w:rsidR="00627FB0" w:rsidRPr="00F95C90" w:rsidRDefault="00627FB0" w:rsidP="00386C90">
            <w:pPr>
              <w:pStyle w:val="ListParagraph"/>
              <w:numPr>
                <w:ilvl w:val="0"/>
                <w:numId w:val="38"/>
              </w:numPr>
              <w:spacing w:after="120"/>
              <w:ind w:left="360"/>
              <w:rPr>
                <w:rFonts w:cs="Arial"/>
                <w:szCs w:val="20"/>
              </w:rPr>
            </w:pPr>
            <w:r w:rsidRPr="00F95C90">
              <w:rPr>
                <w:rFonts w:cs="Arial"/>
                <w:szCs w:val="20"/>
              </w:rPr>
              <w:t>Consider this in light of how PWPP high profile strategies effect and contribute to other interventions</w:t>
            </w:r>
          </w:p>
          <w:p w14:paraId="5C0D3C19" w14:textId="76DD4359" w:rsidR="00627FB0" w:rsidRPr="00F95C90" w:rsidRDefault="00627FB0" w:rsidP="00386C90">
            <w:pPr>
              <w:pStyle w:val="ListParagraph"/>
              <w:numPr>
                <w:ilvl w:val="0"/>
                <w:numId w:val="38"/>
              </w:numPr>
              <w:spacing w:after="120"/>
              <w:ind w:left="360"/>
              <w:rPr>
                <w:rFonts w:cs="Arial"/>
                <w:szCs w:val="20"/>
              </w:rPr>
            </w:pPr>
            <w:r w:rsidRPr="00F95C90">
              <w:rPr>
                <w:rFonts w:cs="Arial"/>
                <w:szCs w:val="20"/>
              </w:rPr>
              <w:t>The objectives and potential outcomes for Australian Parliamentarians, Australian Parliaments and DFAT.</w:t>
            </w:r>
          </w:p>
          <w:p w14:paraId="02C773D6" w14:textId="07CC9C6B" w:rsidR="00627FB0" w:rsidRPr="00F95C90" w:rsidRDefault="00627FB0" w:rsidP="00386C90">
            <w:pPr>
              <w:pStyle w:val="ListParagraph"/>
              <w:numPr>
                <w:ilvl w:val="0"/>
                <w:numId w:val="38"/>
              </w:numPr>
              <w:spacing w:after="120"/>
              <w:ind w:left="360"/>
              <w:rPr>
                <w:rFonts w:cs="Arial"/>
                <w:szCs w:val="20"/>
              </w:rPr>
            </w:pPr>
            <w:r w:rsidRPr="00F95C90">
              <w:rPr>
                <w:rFonts w:cs="Arial"/>
                <w:szCs w:val="20"/>
              </w:rPr>
              <w:t xml:space="preserve">Is aligned and nested within the </w:t>
            </w:r>
            <w:r w:rsidRPr="007D75A3">
              <w:rPr>
                <w:rFonts w:cs="Arial"/>
                <w:i/>
                <w:szCs w:val="20"/>
              </w:rPr>
              <w:t>Pacific Women</w:t>
            </w:r>
            <w:r w:rsidRPr="00F95C90">
              <w:rPr>
                <w:rFonts w:cs="Arial"/>
                <w:szCs w:val="20"/>
              </w:rPr>
              <w:t xml:space="preserve"> Roadmap </w:t>
            </w:r>
          </w:p>
          <w:p w14:paraId="22B48241" w14:textId="29292746" w:rsidR="00627FB0" w:rsidRPr="00F95C90" w:rsidRDefault="00627FB0" w:rsidP="00386C90">
            <w:pPr>
              <w:pStyle w:val="ListParagraph"/>
              <w:numPr>
                <w:ilvl w:val="0"/>
                <w:numId w:val="38"/>
              </w:numPr>
              <w:spacing w:after="120"/>
              <w:ind w:left="360"/>
              <w:rPr>
                <w:i/>
                <w:szCs w:val="20"/>
              </w:rPr>
            </w:pPr>
            <w:r w:rsidRPr="00F95C90">
              <w:rPr>
                <w:rFonts w:cs="Arial"/>
                <w:szCs w:val="20"/>
              </w:rPr>
              <w:t>Also consider alignment with efforts of the New Zealand Government.</w:t>
            </w:r>
          </w:p>
        </w:tc>
        <w:tc>
          <w:tcPr>
            <w:tcW w:w="1276" w:type="dxa"/>
            <w:tcBorders>
              <w:right w:val="single" w:sz="4" w:space="0" w:color="auto"/>
            </w:tcBorders>
            <w:shd w:val="clear" w:color="auto" w:fill="auto"/>
          </w:tcPr>
          <w:p w14:paraId="01F5B702" w14:textId="49A91C7E" w:rsidR="00026F99" w:rsidRPr="007D75A3" w:rsidRDefault="007D75A3" w:rsidP="00386C90">
            <w:pPr>
              <w:spacing w:after="120"/>
              <w:rPr>
                <w:rFonts w:cs="Arial"/>
                <w:szCs w:val="20"/>
              </w:rPr>
            </w:pPr>
            <w:r w:rsidRPr="007D75A3">
              <w:rPr>
                <w:rFonts w:cs="Arial"/>
                <w:szCs w:val="20"/>
              </w:rPr>
              <w:lastRenderedPageBreak/>
              <w:t>Agree</w:t>
            </w:r>
            <w:r w:rsidR="0014044A">
              <w:rPr>
                <w:rFonts w:cs="Arial"/>
                <w:szCs w:val="20"/>
              </w:rPr>
              <w:t>d</w:t>
            </w:r>
          </w:p>
        </w:tc>
        <w:tc>
          <w:tcPr>
            <w:tcW w:w="2551" w:type="dxa"/>
            <w:tcBorders>
              <w:left w:val="single" w:sz="4" w:space="0" w:color="auto"/>
            </w:tcBorders>
            <w:shd w:val="clear" w:color="auto" w:fill="auto"/>
          </w:tcPr>
          <w:p w14:paraId="30ECCD49" w14:textId="10A82309" w:rsidR="00EE0C3F" w:rsidRPr="007D75A3" w:rsidRDefault="007D75A3" w:rsidP="00B45D28">
            <w:pPr>
              <w:spacing w:after="120"/>
              <w:rPr>
                <w:rFonts w:cs="Arial"/>
                <w:szCs w:val="20"/>
              </w:rPr>
            </w:pPr>
            <w:r w:rsidRPr="007D75A3">
              <w:rPr>
                <w:rFonts w:cs="Arial"/>
                <w:szCs w:val="20"/>
              </w:rPr>
              <w:t>This recommendation will be taken forward as</w:t>
            </w:r>
            <w:r>
              <w:rPr>
                <w:rFonts w:cs="Arial"/>
                <w:szCs w:val="20"/>
              </w:rPr>
              <w:t xml:space="preserve"> part of the new design for </w:t>
            </w:r>
            <w:r w:rsidR="0040676B">
              <w:rPr>
                <w:rFonts w:cs="Arial"/>
                <w:szCs w:val="20"/>
              </w:rPr>
              <w:t>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 xml:space="preserve">participation and </w:t>
            </w:r>
            <w:r w:rsidR="0040676B">
              <w:rPr>
                <w:rFonts w:cs="Arial"/>
                <w:szCs w:val="20"/>
              </w:rPr>
              <w:lastRenderedPageBreak/>
              <w:t>voice in political p</w:t>
            </w:r>
            <w:r w:rsidR="0040676B" w:rsidRPr="0040676B">
              <w:rPr>
                <w:rFonts w:cs="Arial"/>
                <w:szCs w:val="20"/>
              </w:rPr>
              <w:t>rocesses</w:t>
            </w:r>
            <w:r>
              <w:rPr>
                <w:rFonts w:cs="Arial"/>
                <w:szCs w:val="20"/>
              </w:rPr>
              <w:t>.</w:t>
            </w:r>
          </w:p>
        </w:tc>
        <w:tc>
          <w:tcPr>
            <w:tcW w:w="1701" w:type="dxa"/>
            <w:tcBorders>
              <w:left w:val="single" w:sz="4" w:space="0" w:color="auto"/>
            </w:tcBorders>
            <w:shd w:val="clear" w:color="auto" w:fill="auto"/>
          </w:tcPr>
          <w:p w14:paraId="078C368D" w14:textId="0152DAC5" w:rsidR="00026F99" w:rsidRPr="00F95C90" w:rsidRDefault="00F237D2" w:rsidP="00386C90">
            <w:pPr>
              <w:spacing w:after="120"/>
              <w:rPr>
                <w:rFonts w:cs="Arial"/>
                <w:szCs w:val="20"/>
              </w:rPr>
            </w:pPr>
            <w:r>
              <w:rPr>
                <w:rFonts w:cs="Arial"/>
                <w:szCs w:val="20"/>
              </w:rPr>
              <w:lastRenderedPageBreak/>
              <w:t>DFAT/</w:t>
            </w:r>
            <w:r w:rsidRPr="00F237D2">
              <w:rPr>
                <w:rFonts w:cs="Arial"/>
                <w:i/>
                <w:szCs w:val="20"/>
              </w:rPr>
              <w:t>Pacific Women</w:t>
            </w:r>
            <w:r>
              <w:rPr>
                <w:rFonts w:cs="Arial"/>
                <w:szCs w:val="20"/>
              </w:rPr>
              <w:t xml:space="preserve"> Support Unit</w:t>
            </w:r>
          </w:p>
        </w:tc>
      </w:tr>
      <w:tr w:rsidR="00026F99" w:rsidRPr="00B1463A" w14:paraId="7FD7DF2B" w14:textId="77777777" w:rsidTr="0081511F">
        <w:tc>
          <w:tcPr>
            <w:tcW w:w="9634" w:type="dxa"/>
            <w:gridSpan w:val="4"/>
            <w:shd w:val="clear" w:color="auto" w:fill="auto"/>
          </w:tcPr>
          <w:p w14:paraId="34CEE299" w14:textId="1C631C69" w:rsidR="00026F99" w:rsidRPr="00026F99" w:rsidRDefault="00627FB0" w:rsidP="00627FB0">
            <w:pPr>
              <w:pStyle w:val="ListParagraph"/>
              <w:numPr>
                <w:ilvl w:val="0"/>
                <w:numId w:val="35"/>
              </w:numPr>
              <w:spacing w:after="120"/>
              <w:rPr>
                <w:rFonts w:cs="Arial"/>
                <w:b/>
                <w:sz w:val="22"/>
                <w:szCs w:val="22"/>
              </w:rPr>
            </w:pPr>
            <w:r w:rsidRPr="00627FB0">
              <w:rPr>
                <w:rFonts w:cs="Arial"/>
                <w:b/>
                <w:sz w:val="22"/>
                <w:szCs w:val="22"/>
              </w:rPr>
              <w:t>Coordination and Collaboration</w:t>
            </w:r>
          </w:p>
        </w:tc>
      </w:tr>
      <w:tr w:rsidR="0081511F" w:rsidRPr="0081511F" w14:paraId="2C4CFAD0" w14:textId="77777777" w:rsidTr="0081511F">
        <w:tc>
          <w:tcPr>
            <w:tcW w:w="4106" w:type="dxa"/>
            <w:shd w:val="clear" w:color="auto" w:fill="auto"/>
          </w:tcPr>
          <w:p w14:paraId="7776D966" w14:textId="698399B2" w:rsidR="00026F99" w:rsidRPr="0081511F" w:rsidRDefault="00627FB0" w:rsidP="00386C90">
            <w:pPr>
              <w:spacing w:after="120"/>
              <w:rPr>
                <w:rFonts w:cs="Arial"/>
                <w:szCs w:val="20"/>
              </w:rPr>
            </w:pPr>
            <w:r w:rsidRPr="0081511F">
              <w:rPr>
                <w:rFonts w:cs="Arial"/>
                <w:szCs w:val="20"/>
              </w:rPr>
              <w:t>The work needs to consider the investment in relation to other agencies efforts in the Pacific.  This includes how to better support or streamline efforts in overlapping spaces such as the space of getting women elected as opposed to supporting them once elected and then bringing about gender sensitive parliaments.  Similarly, how national level parliamentarians can be involved and support women being elected at local and provincial levels.  The investment should be aligned and calibrated to value add to the efforts of other Agencies working in this space in the Pacific.</w:t>
            </w:r>
          </w:p>
          <w:p w14:paraId="706A14A6" w14:textId="7F34B3CD" w:rsidR="00627FB0" w:rsidRPr="0081511F" w:rsidRDefault="00627FB0" w:rsidP="00386C90">
            <w:pPr>
              <w:spacing w:after="120"/>
              <w:rPr>
                <w:rFonts w:cs="Arial"/>
                <w:b/>
                <w:szCs w:val="20"/>
              </w:rPr>
            </w:pPr>
            <w:r w:rsidRPr="0081511F">
              <w:rPr>
                <w:rFonts w:cs="Arial"/>
                <w:b/>
                <w:szCs w:val="20"/>
              </w:rPr>
              <w:t>Establish a collaborative group of stakeholders to guide /advise / govern this work as the key mechanism to coordinate and align efforts in the Pacific. Membership to include strategic stakeholders in the Pacific.</w:t>
            </w:r>
          </w:p>
          <w:p w14:paraId="31014F68" w14:textId="77777777" w:rsidR="00627FB0" w:rsidRPr="0081511F" w:rsidRDefault="00627FB0" w:rsidP="00386C90">
            <w:pPr>
              <w:spacing w:after="120"/>
              <w:rPr>
                <w:rFonts w:cs="Arial"/>
                <w:szCs w:val="20"/>
              </w:rPr>
            </w:pPr>
            <w:r w:rsidRPr="0081511F">
              <w:rPr>
                <w:rFonts w:cs="Arial"/>
                <w:szCs w:val="20"/>
              </w:rPr>
              <w:t>Such as including:</w:t>
            </w:r>
          </w:p>
          <w:p w14:paraId="0FF977AD" w14:textId="316598DD"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Pacific Women Support Unit</w:t>
            </w:r>
          </w:p>
          <w:p w14:paraId="7070F027" w14:textId="6C5E367D"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UN Women and UNDP</w:t>
            </w:r>
          </w:p>
          <w:p w14:paraId="37B9ECDF" w14:textId="50E02ACC"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Pacific women parliamentarians</w:t>
            </w:r>
          </w:p>
          <w:p w14:paraId="23E2ACB8" w14:textId="19A674A5"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Australian women parliamentarians (current and retired)</w:t>
            </w:r>
          </w:p>
          <w:p w14:paraId="440587BE" w14:textId="69DCD0DF"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DFAT</w:t>
            </w:r>
          </w:p>
          <w:p w14:paraId="233566A2" w14:textId="315D02A8"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The delivery development organisation</w:t>
            </w:r>
          </w:p>
          <w:p w14:paraId="52AF09D3" w14:textId="68BA1518" w:rsidR="00627FB0" w:rsidRPr="0081511F" w:rsidRDefault="00627FB0" w:rsidP="00386C90">
            <w:pPr>
              <w:pStyle w:val="ListParagraph"/>
              <w:numPr>
                <w:ilvl w:val="0"/>
                <w:numId w:val="38"/>
              </w:numPr>
              <w:spacing w:after="120"/>
              <w:ind w:left="360"/>
              <w:rPr>
                <w:rFonts w:cs="Arial"/>
                <w:szCs w:val="20"/>
              </w:rPr>
            </w:pPr>
            <w:r w:rsidRPr="0081511F">
              <w:rPr>
                <w:rFonts w:cs="Arial"/>
                <w:szCs w:val="20"/>
              </w:rPr>
              <w:t>DHoR</w:t>
            </w:r>
          </w:p>
          <w:p w14:paraId="179981CA" w14:textId="0B1CB6F3" w:rsidR="00627FB0" w:rsidRPr="0081511F" w:rsidRDefault="00627FB0" w:rsidP="0081511F">
            <w:pPr>
              <w:pStyle w:val="ListParagraph"/>
              <w:numPr>
                <w:ilvl w:val="0"/>
                <w:numId w:val="38"/>
              </w:numPr>
              <w:spacing w:after="120"/>
              <w:ind w:left="360"/>
              <w:rPr>
                <w:i/>
                <w:szCs w:val="20"/>
              </w:rPr>
            </w:pPr>
            <w:r w:rsidRPr="0081511F">
              <w:rPr>
                <w:rFonts w:cs="Arial"/>
                <w:szCs w:val="20"/>
              </w:rPr>
              <w:t>A CWP representative</w:t>
            </w:r>
          </w:p>
        </w:tc>
        <w:tc>
          <w:tcPr>
            <w:tcW w:w="1276" w:type="dxa"/>
            <w:tcBorders>
              <w:right w:val="single" w:sz="4" w:space="0" w:color="auto"/>
            </w:tcBorders>
            <w:shd w:val="clear" w:color="auto" w:fill="auto"/>
          </w:tcPr>
          <w:p w14:paraId="7714DDF3" w14:textId="699B8C8B" w:rsidR="00026F99" w:rsidRPr="0081511F" w:rsidRDefault="00EF4AF4" w:rsidP="00386C90">
            <w:pPr>
              <w:spacing w:after="120"/>
              <w:rPr>
                <w:rFonts w:cs="Arial"/>
                <w:szCs w:val="20"/>
                <w:highlight w:val="yellow"/>
              </w:rPr>
            </w:pPr>
            <w:r w:rsidRPr="0081511F">
              <w:rPr>
                <w:rFonts w:cs="Arial"/>
                <w:szCs w:val="20"/>
              </w:rPr>
              <w:t>Agree</w:t>
            </w:r>
            <w:r w:rsidR="0014044A">
              <w:rPr>
                <w:rFonts w:cs="Arial"/>
                <w:szCs w:val="20"/>
              </w:rPr>
              <w:t>d</w:t>
            </w:r>
          </w:p>
        </w:tc>
        <w:tc>
          <w:tcPr>
            <w:tcW w:w="2551" w:type="dxa"/>
            <w:tcBorders>
              <w:left w:val="single" w:sz="4" w:space="0" w:color="auto"/>
            </w:tcBorders>
            <w:shd w:val="clear" w:color="auto" w:fill="auto"/>
          </w:tcPr>
          <w:p w14:paraId="1ECB6EAE" w14:textId="1D54CE2A" w:rsidR="00F015EF" w:rsidRPr="0081511F" w:rsidRDefault="007D75A3" w:rsidP="00386C90">
            <w:pPr>
              <w:spacing w:after="120"/>
              <w:rPr>
                <w:rFonts w:cs="Arial"/>
                <w:szCs w:val="20"/>
              </w:rPr>
            </w:pPr>
            <w:r w:rsidRPr="0081511F">
              <w:rPr>
                <w:rFonts w:cs="Arial"/>
                <w:szCs w:val="20"/>
              </w:rPr>
              <w:t xml:space="preserve">The recommendation to establish a collaborative group of stakeholders to guide /advise / govern this work as the key mechanism to coordinate and align efforts in the Pacific will be considered </w:t>
            </w:r>
            <w:r w:rsidR="0040676B" w:rsidRPr="007D75A3">
              <w:rPr>
                <w:rFonts w:cs="Arial"/>
                <w:szCs w:val="20"/>
              </w:rPr>
              <w:t>as</w:t>
            </w:r>
            <w:r w:rsidR="0040676B">
              <w:rPr>
                <w:rFonts w:cs="Arial"/>
                <w:szCs w:val="20"/>
              </w:rPr>
              <w:t xml:space="preserve"> part of the new design for 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participation and voice in political p</w:t>
            </w:r>
            <w:r w:rsidR="0040676B" w:rsidRPr="0040676B">
              <w:rPr>
                <w:rFonts w:cs="Arial"/>
                <w:szCs w:val="20"/>
              </w:rPr>
              <w:t>rocesses</w:t>
            </w:r>
            <w:r w:rsidR="0040676B">
              <w:rPr>
                <w:rFonts w:cs="Arial"/>
                <w:szCs w:val="20"/>
              </w:rPr>
              <w:t>.</w:t>
            </w:r>
          </w:p>
          <w:p w14:paraId="17EC8EF4" w14:textId="4C2767F1" w:rsidR="007D75A3" w:rsidRPr="0081511F" w:rsidRDefault="007D75A3" w:rsidP="00386C90">
            <w:pPr>
              <w:spacing w:after="120"/>
              <w:rPr>
                <w:rFonts w:cs="Arial"/>
                <w:szCs w:val="20"/>
                <w:highlight w:val="yellow"/>
              </w:rPr>
            </w:pPr>
          </w:p>
        </w:tc>
        <w:tc>
          <w:tcPr>
            <w:tcW w:w="1701" w:type="dxa"/>
            <w:tcBorders>
              <w:left w:val="single" w:sz="4" w:space="0" w:color="auto"/>
            </w:tcBorders>
            <w:shd w:val="clear" w:color="auto" w:fill="auto"/>
          </w:tcPr>
          <w:p w14:paraId="6934DE9C" w14:textId="5B7AE1F6" w:rsidR="00026F99" w:rsidRPr="0081511F" w:rsidRDefault="00F237D2" w:rsidP="00386C90">
            <w:pPr>
              <w:spacing w:after="120"/>
              <w:rPr>
                <w:rFonts w:cs="Arial"/>
                <w:szCs w:val="20"/>
              </w:rPr>
            </w:pPr>
            <w:r w:rsidRPr="0081511F">
              <w:rPr>
                <w:rFonts w:cs="Arial"/>
                <w:szCs w:val="20"/>
              </w:rPr>
              <w:t>DFAT/</w:t>
            </w:r>
            <w:r w:rsidRPr="0081511F">
              <w:rPr>
                <w:rFonts w:cs="Arial"/>
                <w:i/>
                <w:szCs w:val="20"/>
              </w:rPr>
              <w:t>Pacific Women</w:t>
            </w:r>
            <w:r w:rsidRPr="0081511F">
              <w:rPr>
                <w:rFonts w:cs="Arial"/>
                <w:szCs w:val="20"/>
              </w:rPr>
              <w:t xml:space="preserve"> Support Unit</w:t>
            </w:r>
          </w:p>
        </w:tc>
      </w:tr>
      <w:tr w:rsidR="00E3082F" w:rsidRPr="00B1463A" w14:paraId="64BAE1CD" w14:textId="77777777" w:rsidTr="0081511F">
        <w:tc>
          <w:tcPr>
            <w:tcW w:w="9634" w:type="dxa"/>
            <w:gridSpan w:val="4"/>
            <w:shd w:val="clear" w:color="auto" w:fill="auto"/>
          </w:tcPr>
          <w:p w14:paraId="56F7350C" w14:textId="670E1D58" w:rsidR="00E3082F" w:rsidRPr="00E3082F" w:rsidRDefault="00627FB0" w:rsidP="00627FB0">
            <w:pPr>
              <w:pStyle w:val="ListParagraph"/>
              <w:numPr>
                <w:ilvl w:val="0"/>
                <w:numId w:val="35"/>
              </w:numPr>
              <w:spacing w:after="120"/>
              <w:rPr>
                <w:rFonts w:cs="Arial"/>
                <w:b/>
                <w:sz w:val="22"/>
                <w:szCs w:val="22"/>
              </w:rPr>
            </w:pPr>
            <w:r w:rsidRPr="00627FB0">
              <w:rPr>
                <w:rFonts w:cs="Arial"/>
                <w:b/>
                <w:sz w:val="22"/>
                <w:szCs w:val="22"/>
              </w:rPr>
              <w:lastRenderedPageBreak/>
              <w:t>Modality</w:t>
            </w:r>
          </w:p>
        </w:tc>
      </w:tr>
      <w:tr w:rsidR="00026F99" w:rsidRPr="00F95C90" w14:paraId="095B0BDA" w14:textId="77777777" w:rsidTr="0081511F">
        <w:tc>
          <w:tcPr>
            <w:tcW w:w="4106" w:type="dxa"/>
            <w:shd w:val="clear" w:color="auto" w:fill="auto"/>
          </w:tcPr>
          <w:p w14:paraId="09B51700" w14:textId="2F295C5A" w:rsidR="00026F99" w:rsidRPr="00F95C90" w:rsidRDefault="00627FB0" w:rsidP="00386C90">
            <w:pPr>
              <w:shd w:val="clear" w:color="auto" w:fill="FFFFFF" w:themeFill="background1"/>
              <w:spacing w:before="0" w:after="120" w:line="259" w:lineRule="auto"/>
              <w:rPr>
                <w:rFonts w:cs="Arial"/>
                <w:szCs w:val="20"/>
              </w:rPr>
            </w:pPr>
            <w:r w:rsidRPr="00F95C90">
              <w:rPr>
                <w:rFonts w:cs="Arial"/>
                <w:szCs w:val="20"/>
              </w:rPr>
              <w:t>Given what has been achieved, the progression of the network of Pacific women parliamentarians being on the brink of ‘coalition action’</w:t>
            </w:r>
            <w:r w:rsidR="00014273">
              <w:rPr>
                <w:rFonts w:cs="Arial"/>
                <w:szCs w:val="20"/>
              </w:rPr>
              <w:t xml:space="preserve"> and</w:t>
            </w:r>
            <w:r w:rsidRPr="00F95C90">
              <w:rPr>
                <w:rFonts w:cs="Arial"/>
                <w:szCs w:val="20"/>
              </w:rPr>
              <w:t xml:space="preserve"> the essential need for collaboration and alignment, the resources need to be invested / situated in a regionally based development organisation (or one that has significant competencies in the Pacific).  The agency / NGO needs to have appropriate expertise to deliver the Project and not be compromised by the political nature of the work.</w:t>
            </w:r>
          </w:p>
          <w:p w14:paraId="0051C58F" w14:textId="77777777" w:rsidR="00627FB0" w:rsidRPr="00F95C90" w:rsidRDefault="00627FB0" w:rsidP="00386C90">
            <w:pPr>
              <w:shd w:val="clear" w:color="auto" w:fill="FFFFFF" w:themeFill="background1"/>
              <w:spacing w:before="0" w:after="120" w:line="259" w:lineRule="auto"/>
              <w:rPr>
                <w:rFonts w:cs="Arial"/>
                <w:b/>
                <w:szCs w:val="20"/>
              </w:rPr>
            </w:pPr>
            <w:r w:rsidRPr="00F95C90">
              <w:rPr>
                <w:rFonts w:cs="Arial"/>
                <w:b/>
                <w:szCs w:val="20"/>
              </w:rPr>
              <w:t>Determining the modality of the investment needs to be considered as part of deliberations at Recommendation 1 and 2.  Remove the modality of delivery of this Project from DHoR. The investment may be broken into parts and placed with various agencies to deliver including DHoR.</w:t>
            </w:r>
          </w:p>
          <w:p w14:paraId="6D2E793E" w14:textId="559B621B" w:rsidR="00F95C90" w:rsidRPr="00F95C90" w:rsidRDefault="00F95C90" w:rsidP="00386C90">
            <w:pPr>
              <w:shd w:val="clear" w:color="auto" w:fill="FFFFFF" w:themeFill="background1"/>
              <w:spacing w:before="0" w:after="120" w:line="259" w:lineRule="auto"/>
              <w:rPr>
                <w:rFonts w:cs="Arial"/>
                <w:szCs w:val="20"/>
              </w:rPr>
            </w:pPr>
            <w:r w:rsidRPr="00F95C90">
              <w:rPr>
                <w:rFonts w:cs="Arial"/>
                <w:szCs w:val="20"/>
              </w:rPr>
              <w:t>Considerations include:</w:t>
            </w:r>
          </w:p>
          <w:p w14:paraId="2AEE3D2E" w14:textId="77777777"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Moving the coordination and delivery of the Forum / Network to a development organisation (or professional conference organizer) that has the relevant competencies and is able to deliver an ongoing support program </w:t>
            </w:r>
          </w:p>
          <w:p w14:paraId="10ADD8B8" w14:textId="77777777"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Other programmatic inputs/strategies could be placed with other development organisations or the </w:t>
            </w:r>
            <w:r w:rsidRPr="005C46D1">
              <w:rPr>
                <w:rFonts w:cs="Arial"/>
                <w:i/>
                <w:szCs w:val="20"/>
              </w:rPr>
              <w:t>Pacific Women</w:t>
            </w:r>
            <w:r w:rsidRPr="00F95C90">
              <w:rPr>
                <w:rFonts w:cs="Arial"/>
                <w:szCs w:val="20"/>
              </w:rPr>
              <w:t xml:space="preserve"> Support Unit</w:t>
            </w:r>
          </w:p>
          <w:p w14:paraId="70756A82" w14:textId="4292AD5E" w:rsidR="00627FB0" w:rsidRPr="00F95C90" w:rsidRDefault="00F95C90" w:rsidP="00386C90">
            <w:pPr>
              <w:pStyle w:val="ListParagraph"/>
              <w:numPr>
                <w:ilvl w:val="0"/>
                <w:numId w:val="38"/>
              </w:numPr>
              <w:spacing w:after="120"/>
              <w:ind w:left="360"/>
              <w:rPr>
                <w:rFonts w:cs="Arial"/>
                <w:szCs w:val="20"/>
              </w:rPr>
            </w:pPr>
            <w:r w:rsidRPr="00F95C90">
              <w:rPr>
                <w:rFonts w:cs="Arial"/>
                <w:szCs w:val="20"/>
              </w:rPr>
              <w:t>DHoR to maintain involvement as a secondary partner in the Forum and hosting the research scholarships.</w:t>
            </w:r>
          </w:p>
        </w:tc>
        <w:tc>
          <w:tcPr>
            <w:tcW w:w="1276" w:type="dxa"/>
            <w:tcBorders>
              <w:right w:val="single" w:sz="4" w:space="0" w:color="auto"/>
            </w:tcBorders>
            <w:shd w:val="clear" w:color="auto" w:fill="auto"/>
          </w:tcPr>
          <w:p w14:paraId="6383F2CA" w14:textId="23A00102" w:rsidR="00026F99" w:rsidRPr="00F95C90" w:rsidRDefault="007D75A3" w:rsidP="00386C90">
            <w:pPr>
              <w:spacing w:after="120"/>
              <w:rPr>
                <w:rFonts w:cs="Arial"/>
                <w:szCs w:val="20"/>
              </w:rPr>
            </w:pPr>
            <w:r>
              <w:rPr>
                <w:rFonts w:cs="Arial"/>
                <w:szCs w:val="20"/>
              </w:rPr>
              <w:t>Agree</w:t>
            </w:r>
            <w:r w:rsidR="0014044A">
              <w:rPr>
                <w:rFonts w:cs="Arial"/>
                <w:szCs w:val="20"/>
              </w:rPr>
              <w:t>d</w:t>
            </w:r>
          </w:p>
        </w:tc>
        <w:tc>
          <w:tcPr>
            <w:tcW w:w="2551" w:type="dxa"/>
            <w:tcBorders>
              <w:left w:val="single" w:sz="4" w:space="0" w:color="auto"/>
            </w:tcBorders>
            <w:shd w:val="clear" w:color="auto" w:fill="auto"/>
          </w:tcPr>
          <w:p w14:paraId="1FC7A0A3" w14:textId="1EEDC4D4" w:rsidR="007D75A3" w:rsidRPr="007D75A3" w:rsidRDefault="0040676B" w:rsidP="00386C90">
            <w:pPr>
              <w:spacing w:after="120"/>
              <w:rPr>
                <w:rFonts w:cs="Arial"/>
                <w:szCs w:val="20"/>
              </w:rPr>
            </w:pPr>
            <w:r>
              <w:rPr>
                <w:rFonts w:cs="Arial"/>
                <w:szCs w:val="20"/>
              </w:rPr>
              <w:t>The new design for i</w:t>
            </w:r>
            <w:r w:rsidRPr="0040676B">
              <w:rPr>
                <w:rFonts w:cs="Arial"/>
                <w:szCs w:val="20"/>
              </w:rPr>
              <w:t xml:space="preserve">ncreasing </w:t>
            </w:r>
            <w:r>
              <w:rPr>
                <w:rFonts w:cs="Arial"/>
                <w:szCs w:val="20"/>
              </w:rPr>
              <w:t>Pacific w</w:t>
            </w:r>
            <w:r w:rsidRPr="0040676B">
              <w:rPr>
                <w:rFonts w:cs="Arial"/>
                <w:szCs w:val="20"/>
              </w:rPr>
              <w:t xml:space="preserve">omen's </w:t>
            </w:r>
            <w:r>
              <w:rPr>
                <w:rFonts w:cs="Arial"/>
                <w:szCs w:val="20"/>
              </w:rPr>
              <w:t>participation and voice in political p</w:t>
            </w:r>
            <w:r w:rsidRPr="0040676B">
              <w:rPr>
                <w:rFonts w:cs="Arial"/>
                <w:szCs w:val="20"/>
              </w:rPr>
              <w:t>rocesses</w:t>
            </w:r>
            <w:r>
              <w:rPr>
                <w:rFonts w:cs="Arial"/>
                <w:szCs w:val="20"/>
              </w:rPr>
              <w:t xml:space="preserve"> </w:t>
            </w:r>
            <w:r w:rsidR="007D75A3">
              <w:rPr>
                <w:rFonts w:cs="Arial"/>
                <w:szCs w:val="20"/>
              </w:rPr>
              <w:t>will include the following consideration</w:t>
            </w:r>
            <w:r w:rsidR="00F237D2">
              <w:rPr>
                <w:rFonts w:cs="Arial"/>
                <w:szCs w:val="20"/>
              </w:rPr>
              <w:t>s</w:t>
            </w:r>
            <w:r w:rsidR="007D75A3" w:rsidRPr="007D75A3">
              <w:rPr>
                <w:rFonts w:cs="Arial"/>
                <w:szCs w:val="20"/>
              </w:rPr>
              <w:t>:</w:t>
            </w:r>
          </w:p>
          <w:p w14:paraId="486A585E" w14:textId="073944A1" w:rsidR="007D75A3" w:rsidRPr="007D75A3" w:rsidRDefault="007D75A3" w:rsidP="00386C90">
            <w:pPr>
              <w:pStyle w:val="ListParagraph"/>
              <w:numPr>
                <w:ilvl w:val="0"/>
                <w:numId w:val="38"/>
              </w:numPr>
              <w:spacing w:after="120"/>
              <w:ind w:left="360"/>
              <w:rPr>
                <w:rFonts w:cs="Arial"/>
                <w:szCs w:val="20"/>
              </w:rPr>
            </w:pPr>
            <w:r>
              <w:rPr>
                <w:rFonts w:cs="Arial"/>
                <w:szCs w:val="20"/>
              </w:rPr>
              <w:t xml:space="preserve">The most appropriate </w:t>
            </w:r>
            <w:r w:rsidR="00F237D2">
              <w:rPr>
                <w:rFonts w:cs="Arial"/>
                <w:szCs w:val="20"/>
              </w:rPr>
              <w:t xml:space="preserve">‘home’/delivery mechanism for future </w:t>
            </w:r>
            <w:r w:rsidRPr="007D75A3">
              <w:rPr>
                <w:rFonts w:cs="Arial"/>
                <w:szCs w:val="20"/>
              </w:rPr>
              <w:t xml:space="preserve">coordination and </w:t>
            </w:r>
            <w:r w:rsidR="00F237D2">
              <w:rPr>
                <w:rFonts w:cs="Arial"/>
                <w:szCs w:val="20"/>
              </w:rPr>
              <w:t>delivery of the Forum / Network.</w:t>
            </w:r>
            <w:r w:rsidRPr="007D75A3">
              <w:rPr>
                <w:rFonts w:cs="Arial"/>
                <w:szCs w:val="20"/>
              </w:rPr>
              <w:t xml:space="preserve"> </w:t>
            </w:r>
          </w:p>
          <w:p w14:paraId="32CCEF1B" w14:textId="07E09493" w:rsidR="007D75A3" w:rsidRDefault="00F237D2" w:rsidP="00386C90">
            <w:pPr>
              <w:pStyle w:val="ListParagraph"/>
              <w:numPr>
                <w:ilvl w:val="0"/>
                <w:numId w:val="38"/>
              </w:numPr>
              <w:spacing w:after="120"/>
              <w:ind w:left="360"/>
              <w:rPr>
                <w:rFonts w:cs="Arial"/>
                <w:szCs w:val="20"/>
              </w:rPr>
            </w:pPr>
            <w:r>
              <w:rPr>
                <w:rFonts w:cs="Arial"/>
                <w:szCs w:val="20"/>
              </w:rPr>
              <w:t>The most appropriate ‘home’/delivery mechanism for the o</w:t>
            </w:r>
            <w:r w:rsidR="007D75A3" w:rsidRPr="007D75A3">
              <w:rPr>
                <w:rFonts w:cs="Arial"/>
                <w:szCs w:val="20"/>
              </w:rPr>
              <w:t xml:space="preserve">ther programmatic inputs/strategies </w:t>
            </w:r>
            <w:r>
              <w:rPr>
                <w:rFonts w:cs="Arial"/>
                <w:szCs w:val="20"/>
              </w:rPr>
              <w:t>which are recommended to continue, including:</w:t>
            </w:r>
          </w:p>
          <w:p w14:paraId="4DB077C2" w14:textId="0E53EBA9" w:rsidR="00F237D2" w:rsidRDefault="00F237D2" w:rsidP="00386C90">
            <w:pPr>
              <w:pStyle w:val="ListParagraph"/>
              <w:numPr>
                <w:ilvl w:val="1"/>
                <w:numId w:val="38"/>
              </w:numPr>
              <w:spacing w:after="120"/>
              <w:ind w:left="600" w:hanging="218"/>
              <w:rPr>
                <w:rFonts w:cs="Arial"/>
                <w:szCs w:val="20"/>
              </w:rPr>
            </w:pPr>
            <w:r w:rsidRPr="007D75A3">
              <w:rPr>
                <w:rFonts w:cs="Arial"/>
                <w:szCs w:val="20"/>
              </w:rPr>
              <w:t>research scholarships</w:t>
            </w:r>
          </w:p>
          <w:p w14:paraId="44846E7D" w14:textId="626A714A" w:rsidR="00F237D2" w:rsidRDefault="00F237D2" w:rsidP="00386C90">
            <w:pPr>
              <w:pStyle w:val="ListParagraph"/>
              <w:numPr>
                <w:ilvl w:val="1"/>
                <w:numId w:val="38"/>
              </w:numPr>
              <w:spacing w:after="120"/>
              <w:ind w:left="600" w:hanging="218"/>
              <w:rPr>
                <w:rFonts w:cs="Arial"/>
                <w:szCs w:val="20"/>
              </w:rPr>
            </w:pPr>
            <w:r>
              <w:rPr>
                <w:rFonts w:cs="Arial"/>
                <w:szCs w:val="20"/>
              </w:rPr>
              <w:t>gender sensitisation of parliaments</w:t>
            </w:r>
          </w:p>
          <w:p w14:paraId="288906F1" w14:textId="07E17C1F" w:rsidR="00F237D2" w:rsidRPr="007D75A3" w:rsidRDefault="00F237D2" w:rsidP="00386C90">
            <w:pPr>
              <w:pStyle w:val="ListParagraph"/>
              <w:numPr>
                <w:ilvl w:val="1"/>
                <w:numId w:val="38"/>
              </w:numPr>
              <w:spacing w:after="120"/>
              <w:ind w:left="600" w:hanging="218"/>
              <w:rPr>
                <w:rFonts w:cs="Arial"/>
                <w:szCs w:val="20"/>
              </w:rPr>
            </w:pPr>
            <w:r>
              <w:rPr>
                <w:rFonts w:cs="Arial"/>
                <w:szCs w:val="20"/>
              </w:rPr>
              <w:t>support for mentoring</w:t>
            </w:r>
            <w:r w:rsidR="00386C90">
              <w:rPr>
                <w:rFonts w:cs="Arial"/>
                <w:szCs w:val="20"/>
              </w:rPr>
              <w:t xml:space="preserve"> </w:t>
            </w:r>
            <w:r>
              <w:rPr>
                <w:rFonts w:cs="Arial"/>
                <w:szCs w:val="20"/>
              </w:rPr>
              <w:t>/coaching</w:t>
            </w:r>
          </w:p>
          <w:p w14:paraId="58060912" w14:textId="7130906F" w:rsidR="00026F99" w:rsidRPr="00F95C90" w:rsidRDefault="00F237D2" w:rsidP="00386C90">
            <w:pPr>
              <w:pStyle w:val="ListParagraph"/>
              <w:numPr>
                <w:ilvl w:val="0"/>
                <w:numId w:val="38"/>
              </w:numPr>
              <w:spacing w:after="120"/>
              <w:ind w:left="360"/>
              <w:rPr>
                <w:rFonts w:cs="Arial"/>
                <w:szCs w:val="20"/>
              </w:rPr>
            </w:pPr>
            <w:r>
              <w:rPr>
                <w:rFonts w:cs="Arial"/>
                <w:szCs w:val="20"/>
              </w:rPr>
              <w:t xml:space="preserve">The most appropriate role for </w:t>
            </w:r>
            <w:r w:rsidR="007D75A3" w:rsidRPr="007D75A3">
              <w:rPr>
                <w:rFonts w:cs="Arial"/>
                <w:szCs w:val="20"/>
              </w:rPr>
              <w:t xml:space="preserve">DHoR </w:t>
            </w:r>
            <w:r>
              <w:rPr>
                <w:rFonts w:cs="Arial"/>
                <w:szCs w:val="20"/>
              </w:rPr>
              <w:t>to undertake as a possible future delivery partner</w:t>
            </w:r>
            <w:r w:rsidR="007D75A3" w:rsidRPr="007D75A3">
              <w:rPr>
                <w:rFonts w:cs="Arial"/>
                <w:szCs w:val="20"/>
              </w:rPr>
              <w:t>.</w:t>
            </w:r>
          </w:p>
        </w:tc>
        <w:tc>
          <w:tcPr>
            <w:tcW w:w="1701" w:type="dxa"/>
            <w:tcBorders>
              <w:left w:val="single" w:sz="4" w:space="0" w:color="auto"/>
            </w:tcBorders>
            <w:shd w:val="clear" w:color="auto" w:fill="auto"/>
          </w:tcPr>
          <w:p w14:paraId="7A96E1A2" w14:textId="12FDA652" w:rsidR="00026F99" w:rsidRPr="00F95C90" w:rsidRDefault="00F237D2" w:rsidP="000D7E4C">
            <w:pPr>
              <w:spacing w:after="120"/>
              <w:rPr>
                <w:rFonts w:cs="Arial"/>
                <w:szCs w:val="20"/>
              </w:rPr>
            </w:pPr>
            <w:r>
              <w:rPr>
                <w:rFonts w:cs="Arial"/>
                <w:szCs w:val="20"/>
              </w:rPr>
              <w:t>DFAT/</w:t>
            </w:r>
            <w:r w:rsidRPr="00F237D2">
              <w:rPr>
                <w:rFonts w:cs="Arial"/>
                <w:i/>
                <w:szCs w:val="20"/>
              </w:rPr>
              <w:t>Pacific Women</w:t>
            </w:r>
            <w:r>
              <w:rPr>
                <w:rFonts w:cs="Arial"/>
                <w:szCs w:val="20"/>
              </w:rPr>
              <w:t xml:space="preserve"> Support Unit</w:t>
            </w:r>
          </w:p>
        </w:tc>
      </w:tr>
      <w:tr w:rsidR="00E3082F" w:rsidRPr="00B1463A" w14:paraId="1E72B8FC" w14:textId="77777777" w:rsidTr="0081511F">
        <w:tc>
          <w:tcPr>
            <w:tcW w:w="9634" w:type="dxa"/>
            <w:gridSpan w:val="4"/>
            <w:shd w:val="clear" w:color="auto" w:fill="auto"/>
          </w:tcPr>
          <w:p w14:paraId="45B7277D" w14:textId="6D28EA7C" w:rsidR="00E3082F" w:rsidRPr="00E3082F" w:rsidRDefault="00F95C90" w:rsidP="00E3082F">
            <w:pPr>
              <w:pStyle w:val="ListParagraph"/>
              <w:numPr>
                <w:ilvl w:val="0"/>
                <w:numId w:val="35"/>
              </w:numPr>
              <w:spacing w:after="120"/>
              <w:rPr>
                <w:rFonts w:cs="Arial"/>
                <w:b/>
                <w:sz w:val="22"/>
                <w:szCs w:val="22"/>
              </w:rPr>
            </w:pPr>
            <w:r>
              <w:rPr>
                <w:rFonts w:cs="Arial"/>
                <w:b/>
                <w:sz w:val="22"/>
                <w:szCs w:val="22"/>
              </w:rPr>
              <w:t>Design</w:t>
            </w:r>
            <w:r w:rsidR="00E3082F">
              <w:rPr>
                <w:rFonts w:cs="Arial"/>
                <w:b/>
                <w:sz w:val="22"/>
                <w:szCs w:val="22"/>
              </w:rPr>
              <w:t xml:space="preserve"> </w:t>
            </w:r>
          </w:p>
        </w:tc>
      </w:tr>
      <w:tr w:rsidR="0081511F" w:rsidRPr="00F95C90" w14:paraId="4AC3B9D0" w14:textId="77777777" w:rsidTr="0081511F">
        <w:tc>
          <w:tcPr>
            <w:tcW w:w="4106" w:type="dxa"/>
            <w:shd w:val="clear" w:color="auto" w:fill="auto"/>
          </w:tcPr>
          <w:p w14:paraId="04D1FDBB" w14:textId="77777777" w:rsidR="00026F99" w:rsidRPr="00F95C90" w:rsidRDefault="00F95C90" w:rsidP="00386C90">
            <w:pPr>
              <w:spacing w:before="0" w:after="120"/>
              <w:rPr>
                <w:rFonts w:cs="Arial"/>
                <w:b/>
                <w:szCs w:val="20"/>
              </w:rPr>
            </w:pPr>
            <w:r w:rsidRPr="00F95C90">
              <w:rPr>
                <w:rFonts w:cs="Arial"/>
                <w:b/>
                <w:szCs w:val="20"/>
              </w:rPr>
              <w:t>Re calibrate the investment and ground it in good program design practice.</w:t>
            </w:r>
          </w:p>
          <w:p w14:paraId="60D44387" w14:textId="77777777" w:rsidR="00F95C90" w:rsidRPr="00F95C90" w:rsidRDefault="00F95C90" w:rsidP="00386C90">
            <w:pPr>
              <w:spacing w:before="0" w:after="120"/>
              <w:rPr>
                <w:rFonts w:cs="Arial"/>
                <w:szCs w:val="20"/>
              </w:rPr>
            </w:pPr>
            <w:r w:rsidRPr="00F95C90">
              <w:rPr>
                <w:rFonts w:cs="Arial"/>
                <w:szCs w:val="20"/>
              </w:rPr>
              <w:t>By undertaking:</w:t>
            </w:r>
          </w:p>
          <w:p w14:paraId="4A2F8AC1" w14:textId="323FDC54"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a thorough needs assessment</w:t>
            </w:r>
          </w:p>
          <w:p w14:paraId="1CEAD97E" w14:textId="69A10DC3"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a detailed understanding of individual PWPs needs</w:t>
            </w:r>
          </w:p>
          <w:p w14:paraId="78A68645" w14:textId="113B339E"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a detailed understanding of the needs related to any collective action or desire for collective action at a country level, including civil society and election support</w:t>
            </w:r>
          </w:p>
          <w:p w14:paraId="2779FA8E" w14:textId="7D3A5420"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lastRenderedPageBreak/>
              <w:t xml:space="preserve">a comprehensive survey / mapping of efforts by other agencies operating in the Pacific  </w:t>
            </w:r>
          </w:p>
          <w:p w14:paraId="0D8DEC3C" w14:textId="59E3D878"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a theory of change / action that aligns with best-practice in women’s leadership within the Pacific </w:t>
            </w:r>
          </w:p>
          <w:p w14:paraId="5CEE9FBA" w14:textId="77077C38"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a robust monitoring and evaluation framework.</w:t>
            </w:r>
          </w:p>
        </w:tc>
        <w:tc>
          <w:tcPr>
            <w:tcW w:w="1276" w:type="dxa"/>
            <w:tcBorders>
              <w:right w:val="single" w:sz="4" w:space="0" w:color="auto"/>
            </w:tcBorders>
            <w:shd w:val="clear" w:color="auto" w:fill="auto"/>
          </w:tcPr>
          <w:p w14:paraId="4972992E" w14:textId="003163CE" w:rsidR="00026F99" w:rsidRPr="00F95C90" w:rsidRDefault="003C060A" w:rsidP="00386C90">
            <w:pPr>
              <w:spacing w:after="120"/>
              <w:rPr>
                <w:rFonts w:cs="Arial"/>
                <w:szCs w:val="20"/>
                <w:highlight w:val="yellow"/>
              </w:rPr>
            </w:pPr>
            <w:r>
              <w:rPr>
                <w:rFonts w:cs="Arial"/>
                <w:szCs w:val="20"/>
              </w:rPr>
              <w:lastRenderedPageBreak/>
              <w:t>Agreed</w:t>
            </w:r>
          </w:p>
        </w:tc>
        <w:tc>
          <w:tcPr>
            <w:tcW w:w="2551" w:type="dxa"/>
            <w:tcBorders>
              <w:left w:val="single" w:sz="4" w:space="0" w:color="auto"/>
            </w:tcBorders>
            <w:shd w:val="clear" w:color="auto" w:fill="auto"/>
          </w:tcPr>
          <w:p w14:paraId="705CD7A0" w14:textId="0C885706" w:rsidR="008B79B4" w:rsidRDefault="00F237D2" w:rsidP="00386C90">
            <w:pPr>
              <w:spacing w:after="120"/>
              <w:rPr>
                <w:rFonts w:cs="Arial"/>
                <w:szCs w:val="20"/>
              </w:rPr>
            </w:pPr>
            <w:r w:rsidRPr="007D75A3">
              <w:rPr>
                <w:rFonts w:cs="Arial"/>
                <w:szCs w:val="20"/>
              </w:rPr>
              <w:t xml:space="preserve">This recommendation will be taken forward </w:t>
            </w:r>
            <w:r w:rsidR="0040676B" w:rsidRPr="007D75A3">
              <w:rPr>
                <w:rFonts w:cs="Arial"/>
                <w:szCs w:val="20"/>
              </w:rPr>
              <w:t>as</w:t>
            </w:r>
            <w:r w:rsidR="0040676B">
              <w:rPr>
                <w:rFonts w:cs="Arial"/>
                <w:szCs w:val="20"/>
              </w:rPr>
              <w:t xml:space="preserve"> part of the new design for 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participation and voice in political p</w:t>
            </w:r>
            <w:r w:rsidR="0040676B" w:rsidRPr="0040676B">
              <w:rPr>
                <w:rFonts w:cs="Arial"/>
                <w:szCs w:val="20"/>
              </w:rPr>
              <w:t>rocesses</w:t>
            </w:r>
            <w:r w:rsidR="0040676B">
              <w:rPr>
                <w:rFonts w:cs="Arial"/>
                <w:szCs w:val="20"/>
              </w:rPr>
              <w:t>.</w:t>
            </w:r>
          </w:p>
          <w:p w14:paraId="31BD2D1E" w14:textId="489CB1A2" w:rsidR="00052C7D" w:rsidRPr="00F237D2" w:rsidRDefault="00052C7D" w:rsidP="00386C90">
            <w:pPr>
              <w:spacing w:after="120"/>
              <w:rPr>
                <w:rFonts w:cs="Arial"/>
                <w:szCs w:val="20"/>
              </w:rPr>
            </w:pPr>
          </w:p>
        </w:tc>
        <w:tc>
          <w:tcPr>
            <w:tcW w:w="1701" w:type="dxa"/>
            <w:tcBorders>
              <w:left w:val="single" w:sz="4" w:space="0" w:color="auto"/>
            </w:tcBorders>
            <w:shd w:val="clear" w:color="auto" w:fill="auto"/>
          </w:tcPr>
          <w:p w14:paraId="41789A49" w14:textId="111897F5" w:rsidR="00026F99" w:rsidRPr="00F95C90" w:rsidRDefault="00F237D2" w:rsidP="00386C90">
            <w:pPr>
              <w:spacing w:after="120"/>
              <w:rPr>
                <w:rFonts w:cs="Arial"/>
                <w:szCs w:val="20"/>
              </w:rPr>
            </w:pPr>
            <w:r>
              <w:rPr>
                <w:rFonts w:cs="Arial"/>
                <w:szCs w:val="20"/>
              </w:rPr>
              <w:t>DFAT/</w:t>
            </w:r>
            <w:r w:rsidRPr="00F237D2">
              <w:rPr>
                <w:rFonts w:cs="Arial"/>
                <w:i/>
                <w:szCs w:val="20"/>
              </w:rPr>
              <w:t>Pacific Women</w:t>
            </w:r>
            <w:r>
              <w:rPr>
                <w:rFonts w:cs="Arial"/>
                <w:szCs w:val="20"/>
              </w:rPr>
              <w:t xml:space="preserve"> Support Unit</w:t>
            </w:r>
          </w:p>
        </w:tc>
      </w:tr>
      <w:tr w:rsidR="00E3082F" w:rsidRPr="00B1463A" w14:paraId="38850E5D" w14:textId="77777777" w:rsidTr="0081511F">
        <w:tc>
          <w:tcPr>
            <w:tcW w:w="9634" w:type="dxa"/>
            <w:gridSpan w:val="4"/>
            <w:shd w:val="clear" w:color="auto" w:fill="auto"/>
          </w:tcPr>
          <w:p w14:paraId="7D4AC56E" w14:textId="116E4285" w:rsidR="00E3082F" w:rsidRPr="00E3082F" w:rsidRDefault="00F95C90" w:rsidP="00F95C90">
            <w:pPr>
              <w:pStyle w:val="ListParagraph"/>
              <w:numPr>
                <w:ilvl w:val="0"/>
                <w:numId w:val="35"/>
              </w:numPr>
              <w:spacing w:after="120"/>
              <w:rPr>
                <w:rFonts w:cs="Arial"/>
                <w:b/>
                <w:sz w:val="22"/>
                <w:szCs w:val="22"/>
              </w:rPr>
            </w:pPr>
            <w:r w:rsidRPr="00F95C90">
              <w:rPr>
                <w:rFonts w:cs="Arial"/>
                <w:b/>
                <w:sz w:val="22"/>
                <w:szCs w:val="22"/>
              </w:rPr>
              <w:t>PWP Network / Forum</w:t>
            </w:r>
          </w:p>
        </w:tc>
      </w:tr>
      <w:tr w:rsidR="0081511F" w:rsidRPr="00F95C90" w14:paraId="0FC7E2A2" w14:textId="77777777" w:rsidTr="0081511F">
        <w:tc>
          <w:tcPr>
            <w:tcW w:w="4106" w:type="dxa"/>
            <w:shd w:val="clear" w:color="auto" w:fill="auto"/>
          </w:tcPr>
          <w:p w14:paraId="281DA3E8" w14:textId="77777777" w:rsidR="00E3082F" w:rsidRPr="00F95C90" w:rsidRDefault="00F95C90" w:rsidP="00386C90">
            <w:pPr>
              <w:shd w:val="clear" w:color="auto" w:fill="FFFFFF" w:themeFill="background1"/>
              <w:spacing w:before="0" w:after="120" w:line="259" w:lineRule="auto"/>
              <w:rPr>
                <w:rFonts w:cs="Arial"/>
                <w:b/>
                <w:szCs w:val="20"/>
              </w:rPr>
            </w:pPr>
            <w:r w:rsidRPr="00F95C90">
              <w:rPr>
                <w:rFonts w:cs="Arial"/>
                <w:b/>
                <w:szCs w:val="20"/>
              </w:rPr>
              <w:t>Maintain and significantly refine the PWPP Forum event so that it supports a network function, is needs based and grounded in a clear purpose and with strategic intent.</w:t>
            </w:r>
          </w:p>
          <w:p w14:paraId="56E77384" w14:textId="3CD5F24B" w:rsidR="00F95C90" w:rsidRPr="00F95C90" w:rsidRDefault="00F95C90" w:rsidP="00386C90">
            <w:pPr>
              <w:shd w:val="clear" w:color="auto" w:fill="FFFFFF" w:themeFill="background1"/>
              <w:spacing w:before="0" w:after="120" w:line="259" w:lineRule="auto"/>
              <w:rPr>
                <w:rFonts w:cs="Arial"/>
                <w:szCs w:val="20"/>
              </w:rPr>
            </w:pPr>
            <w:r w:rsidRPr="00F95C90">
              <w:rPr>
                <w:rFonts w:cs="Arial"/>
                <w:szCs w:val="20"/>
              </w:rPr>
              <w:t>Such a redesign should incorporat</w:t>
            </w:r>
            <w:r w:rsidR="00052C7D">
              <w:rPr>
                <w:rFonts w:cs="Arial"/>
                <w:szCs w:val="20"/>
              </w:rPr>
              <w:t>e</w:t>
            </w:r>
            <w:r w:rsidRPr="00F95C90">
              <w:rPr>
                <w:rFonts w:cs="Arial"/>
                <w:szCs w:val="20"/>
              </w:rPr>
              <w:t xml:space="preserve"> the following:</w:t>
            </w:r>
          </w:p>
          <w:p w14:paraId="084778E8" w14:textId="1F704B62"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A focus on delivering three </w:t>
            </w:r>
            <w:r w:rsidRPr="00EB7415">
              <w:rPr>
                <w:rFonts w:cs="Arial"/>
                <w:szCs w:val="20"/>
                <w:u w:val="single"/>
              </w:rPr>
              <w:t>purposes</w:t>
            </w:r>
            <w:r w:rsidRPr="00F95C90">
              <w:rPr>
                <w:rFonts w:cs="Arial"/>
                <w:szCs w:val="20"/>
              </w:rPr>
              <w:t xml:space="preserve"> being:</w:t>
            </w:r>
          </w:p>
          <w:p w14:paraId="38F6099D" w14:textId="5DAC057A" w:rsidR="00F95C90" w:rsidRPr="00F95C90" w:rsidRDefault="00F95C90" w:rsidP="0081511F">
            <w:pPr>
              <w:pStyle w:val="ListParagraph"/>
              <w:numPr>
                <w:ilvl w:val="0"/>
                <w:numId w:val="43"/>
              </w:numPr>
              <w:spacing w:after="120"/>
              <w:ind w:left="589" w:hanging="229"/>
              <w:rPr>
                <w:rFonts w:cs="Arial"/>
                <w:szCs w:val="20"/>
              </w:rPr>
            </w:pPr>
            <w:r w:rsidRPr="00F95C90">
              <w:rPr>
                <w:rFonts w:cs="Arial"/>
                <w:szCs w:val="20"/>
              </w:rPr>
              <w:t>a supportive network for PWPs supporting them to be effective women parliamentarians</w:t>
            </w:r>
          </w:p>
          <w:p w14:paraId="51DBA1C1" w14:textId="18B57954" w:rsidR="00F95C90" w:rsidRPr="00F95C90" w:rsidRDefault="00F95C90" w:rsidP="0081511F">
            <w:pPr>
              <w:pStyle w:val="ListParagraph"/>
              <w:numPr>
                <w:ilvl w:val="0"/>
                <w:numId w:val="43"/>
              </w:numPr>
              <w:spacing w:after="120"/>
              <w:ind w:left="589" w:hanging="229"/>
              <w:rPr>
                <w:rFonts w:cs="Arial"/>
                <w:szCs w:val="20"/>
              </w:rPr>
            </w:pPr>
            <w:r w:rsidRPr="00F95C90">
              <w:rPr>
                <w:rFonts w:cs="Arial"/>
                <w:szCs w:val="20"/>
              </w:rPr>
              <w:t>a high-profile gender equality event that builds and supports Pacific gender champions and their agenda</w:t>
            </w:r>
          </w:p>
          <w:p w14:paraId="71D93B28" w14:textId="433D35FC" w:rsidR="00F95C90" w:rsidRPr="00F95C90" w:rsidRDefault="00F95C90" w:rsidP="0081511F">
            <w:pPr>
              <w:pStyle w:val="ListParagraph"/>
              <w:numPr>
                <w:ilvl w:val="0"/>
                <w:numId w:val="43"/>
              </w:numPr>
              <w:spacing w:after="120"/>
              <w:ind w:left="589" w:hanging="229"/>
              <w:rPr>
                <w:rFonts w:cs="Arial"/>
                <w:szCs w:val="20"/>
              </w:rPr>
            </w:pPr>
            <w:r w:rsidRPr="00F95C90">
              <w:rPr>
                <w:rFonts w:cs="Arial"/>
                <w:szCs w:val="20"/>
              </w:rPr>
              <w:t>establishment of working groups to pursue Pacific-led agendas against purpose one and two</w:t>
            </w:r>
          </w:p>
          <w:p w14:paraId="35BF69C3" w14:textId="5FC3AD42"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An understanding of the high-profile nature of the Forum and its contribution to multiple gender equity outcomes across a number of agency’s interventions. </w:t>
            </w:r>
          </w:p>
          <w:p w14:paraId="0B493DFA" w14:textId="49D85F29"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Establish a new selection mechanism for Australian participants.  This should establish two categories of participation, namely (1) that which is of benefit to Australia and (2) that which is of benefit to the Pacific.</w:t>
            </w:r>
          </w:p>
          <w:p w14:paraId="13DB5506" w14:textId="50AFE304"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The determination of agenda and format by the collaborative group (Recommendation 2). </w:t>
            </w:r>
          </w:p>
          <w:p w14:paraId="6059794E" w14:textId="66420308"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Consider size and cost of the Forum relative to outcomes so that as the number of elected Pacific women grows the Forum shifts its scale and purpose appropriately.</w:t>
            </w:r>
          </w:p>
          <w:p w14:paraId="638F9307" w14:textId="699D6D6B"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Shift the ‘identity’ of the ‘PWPP Forum’ away from the PWPP Project to being associated with Pacific Women parliamentarians networking. </w:t>
            </w:r>
          </w:p>
          <w:p w14:paraId="160870C0" w14:textId="72E12C43"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Consider shifting the Forum (</w:t>
            </w:r>
            <w:r w:rsidRPr="00EB7415">
              <w:rPr>
                <w:rFonts w:cs="Arial"/>
                <w:szCs w:val="20"/>
                <w:u w:val="single"/>
              </w:rPr>
              <w:t>purpose 2</w:t>
            </w:r>
            <w:r w:rsidRPr="00F95C90">
              <w:rPr>
                <w:rFonts w:cs="Arial"/>
                <w:szCs w:val="20"/>
              </w:rPr>
              <w:t xml:space="preserve">) to be a biannual event to enable </w:t>
            </w:r>
            <w:r w:rsidRPr="00F95C90">
              <w:rPr>
                <w:rFonts w:cs="Arial"/>
                <w:szCs w:val="20"/>
              </w:rPr>
              <w:lastRenderedPageBreak/>
              <w:t>resources to be focused on support for collective efforts (Recommendation 7).</w:t>
            </w:r>
          </w:p>
          <w:p w14:paraId="5CDA3D3B" w14:textId="78049E45" w:rsidR="00F95C90" w:rsidRPr="00F95C90" w:rsidRDefault="00F95C90" w:rsidP="00386C90">
            <w:pPr>
              <w:pStyle w:val="ListParagraph"/>
              <w:numPr>
                <w:ilvl w:val="0"/>
                <w:numId w:val="38"/>
              </w:numPr>
              <w:spacing w:after="120"/>
              <w:ind w:left="360"/>
              <w:rPr>
                <w:rFonts w:cs="Arial"/>
                <w:szCs w:val="20"/>
              </w:rPr>
            </w:pPr>
            <w:r w:rsidRPr="00F95C90">
              <w:rPr>
                <w:rFonts w:cs="Arial"/>
                <w:szCs w:val="20"/>
              </w:rPr>
              <w:t xml:space="preserve">Maintain a lower profile annual gathering of PWPs. In the alternate year this would be a smaller gathering focused on </w:t>
            </w:r>
            <w:r w:rsidRPr="00EB7415">
              <w:rPr>
                <w:rFonts w:cs="Arial"/>
                <w:szCs w:val="20"/>
                <w:u w:val="single"/>
              </w:rPr>
              <w:t xml:space="preserve">purpose </w:t>
            </w:r>
            <w:r w:rsidR="00EB7415" w:rsidRPr="00EB7415">
              <w:rPr>
                <w:rFonts w:cs="Arial"/>
                <w:szCs w:val="20"/>
                <w:u w:val="single"/>
              </w:rPr>
              <w:t>1</w:t>
            </w:r>
            <w:r w:rsidRPr="00F95C90">
              <w:rPr>
                <w:rFonts w:cs="Arial"/>
                <w:szCs w:val="20"/>
              </w:rPr>
              <w:t xml:space="preserve">. </w:t>
            </w:r>
          </w:p>
          <w:p w14:paraId="6384D3EF" w14:textId="3B6BE536" w:rsidR="00F95C90" w:rsidRPr="00F95C90" w:rsidRDefault="00F95C90" w:rsidP="00386C90">
            <w:pPr>
              <w:shd w:val="clear" w:color="auto" w:fill="FFFFFF" w:themeFill="background1"/>
              <w:spacing w:before="0" w:after="120" w:line="259" w:lineRule="auto"/>
              <w:rPr>
                <w:rFonts w:cs="Arial"/>
                <w:szCs w:val="20"/>
              </w:rPr>
            </w:pPr>
            <w:r w:rsidRPr="00F95C90">
              <w:rPr>
                <w:rFonts w:cs="Arial"/>
                <w:szCs w:val="20"/>
              </w:rPr>
              <w:t>The PWPP Forum / Network needs to clearly understand its purposes in response to need and strategic intent and then be undertaken in a focused way to achieve the three purposes. The annual or biannual event of the Forum needs to be situated in a programmatic plan underpinned by a sound theory of change.</w:t>
            </w:r>
          </w:p>
        </w:tc>
        <w:tc>
          <w:tcPr>
            <w:tcW w:w="1276" w:type="dxa"/>
            <w:tcBorders>
              <w:right w:val="single" w:sz="4" w:space="0" w:color="auto"/>
            </w:tcBorders>
            <w:shd w:val="clear" w:color="auto" w:fill="auto"/>
          </w:tcPr>
          <w:p w14:paraId="79C362F8" w14:textId="02C45C9F" w:rsidR="00E3082F" w:rsidRPr="00F95C90" w:rsidRDefault="00DC305D" w:rsidP="00386C90">
            <w:pPr>
              <w:spacing w:after="120"/>
              <w:rPr>
                <w:rFonts w:cs="Arial"/>
                <w:szCs w:val="20"/>
                <w:highlight w:val="yellow"/>
              </w:rPr>
            </w:pPr>
            <w:r w:rsidRPr="00F237D2">
              <w:rPr>
                <w:rFonts w:cs="Arial"/>
                <w:szCs w:val="20"/>
              </w:rPr>
              <w:lastRenderedPageBreak/>
              <w:t>Agree</w:t>
            </w:r>
            <w:r w:rsidR="002B28D0">
              <w:rPr>
                <w:rFonts w:cs="Arial"/>
                <w:szCs w:val="20"/>
              </w:rPr>
              <w:t>d</w:t>
            </w:r>
          </w:p>
        </w:tc>
        <w:tc>
          <w:tcPr>
            <w:tcW w:w="2551" w:type="dxa"/>
            <w:tcBorders>
              <w:left w:val="single" w:sz="4" w:space="0" w:color="auto"/>
            </w:tcBorders>
            <w:shd w:val="clear" w:color="auto" w:fill="auto"/>
          </w:tcPr>
          <w:p w14:paraId="57B8BA8E" w14:textId="5C22420E" w:rsidR="00E3082F" w:rsidRPr="00EB7415" w:rsidRDefault="00EB7415" w:rsidP="00B45D28">
            <w:pPr>
              <w:spacing w:after="120"/>
              <w:rPr>
                <w:rFonts w:cs="Arial"/>
                <w:szCs w:val="20"/>
              </w:rPr>
            </w:pPr>
            <w:r w:rsidRPr="00EB7415">
              <w:rPr>
                <w:rFonts w:cs="Arial"/>
                <w:szCs w:val="20"/>
              </w:rPr>
              <w:t xml:space="preserve">This recommendation will be considered </w:t>
            </w:r>
            <w:r w:rsidR="0040676B" w:rsidRPr="007D75A3">
              <w:rPr>
                <w:rFonts w:cs="Arial"/>
                <w:szCs w:val="20"/>
              </w:rPr>
              <w:t>as</w:t>
            </w:r>
            <w:r w:rsidR="0040676B">
              <w:rPr>
                <w:rFonts w:cs="Arial"/>
                <w:szCs w:val="20"/>
              </w:rPr>
              <w:t xml:space="preserve"> part of the new design for 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participation and voice in political p</w:t>
            </w:r>
            <w:r w:rsidR="0040676B" w:rsidRPr="0040676B">
              <w:rPr>
                <w:rFonts w:cs="Arial"/>
                <w:szCs w:val="20"/>
              </w:rPr>
              <w:t>rocesses</w:t>
            </w:r>
            <w:r w:rsidRPr="00EB7415">
              <w:rPr>
                <w:rFonts w:cs="Arial"/>
                <w:szCs w:val="20"/>
              </w:rPr>
              <w:t>, taking into account the feedback from Pacific women parliamentarians.</w:t>
            </w:r>
            <w:r>
              <w:rPr>
                <w:rFonts w:cs="Arial"/>
                <w:szCs w:val="20"/>
              </w:rPr>
              <w:t xml:space="preserve"> The sub-recommendations will be discussed with Pacific women parliamentarians during the 2017 PWPP Forum.</w:t>
            </w:r>
          </w:p>
        </w:tc>
        <w:tc>
          <w:tcPr>
            <w:tcW w:w="1701" w:type="dxa"/>
            <w:tcBorders>
              <w:left w:val="single" w:sz="4" w:space="0" w:color="auto"/>
            </w:tcBorders>
            <w:shd w:val="clear" w:color="auto" w:fill="auto"/>
          </w:tcPr>
          <w:p w14:paraId="64D9BA2B" w14:textId="482B9025" w:rsidR="00E3082F" w:rsidRPr="00F95C90" w:rsidRDefault="00EB7415" w:rsidP="00386C90">
            <w:pPr>
              <w:spacing w:after="120"/>
              <w:rPr>
                <w:rFonts w:cs="Arial"/>
                <w:szCs w:val="20"/>
              </w:rPr>
            </w:pPr>
            <w:r>
              <w:rPr>
                <w:rFonts w:cs="Arial"/>
                <w:szCs w:val="20"/>
              </w:rPr>
              <w:t>DFAT/</w:t>
            </w:r>
            <w:r w:rsidRPr="00F237D2">
              <w:rPr>
                <w:rFonts w:cs="Arial"/>
                <w:i/>
                <w:szCs w:val="20"/>
              </w:rPr>
              <w:t>Pacific Women</w:t>
            </w:r>
            <w:r>
              <w:rPr>
                <w:rFonts w:cs="Arial"/>
                <w:szCs w:val="20"/>
              </w:rPr>
              <w:t xml:space="preserve"> Support Unit</w:t>
            </w:r>
          </w:p>
        </w:tc>
      </w:tr>
      <w:tr w:rsidR="00E3082F" w:rsidRPr="00B1463A" w14:paraId="29A69A4C" w14:textId="77777777" w:rsidTr="0081511F">
        <w:tc>
          <w:tcPr>
            <w:tcW w:w="9634" w:type="dxa"/>
            <w:gridSpan w:val="4"/>
            <w:shd w:val="clear" w:color="auto" w:fill="auto"/>
          </w:tcPr>
          <w:p w14:paraId="0DD46EAD" w14:textId="5A0E8BDD" w:rsidR="00E3082F" w:rsidRPr="00E3082F" w:rsidRDefault="00204C90" w:rsidP="00F95C90">
            <w:pPr>
              <w:pStyle w:val="ListParagraph"/>
              <w:numPr>
                <w:ilvl w:val="0"/>
                <w:numId w:val="35"/>
              </w:numPr>
              <w:spacing w:after="120"/>
              <w:rPr>
                <w:rFonts w:cs="Arial"/>
                <w:b/>
                <w:sz w:val="22"/>
                <w:szCs w:val="22"/>
              </w:rPr>
            </w:pPr>
            <w:r>
              <w:br w:type="page"/>
            </w:r>
            <w:r w:rsidR="00F95C90" w:rsidRPr="00F95C90">
              <w:rPr>
                <w:rFonts w:cs="Arial"/>
                <w:b/>
                <w:sz w:val="22"/>
                <w:szCs w:val="22"/>
              </w:rPr>
              <w:t>Individual support (mentoring and coaching)</w:t>
            </w:r>
          </w:p>
        </w:tc>
      </w:tr>
      <w:tr w:rsidR="0081511F" w:rsidRPr="00F95C90" w14:paraId="38FE9AE1" w14:textId="77777777" w:rsidTr="0081511F">
        <w:tc>
          <w:tcPr>
            <w:tcW w:w="4106" w:type="dxa"/>
            <w:shd w:val="clear" w:color="auto" w:fill="auto"/>
          </w:tcPr>
          <w:p w14:paraId="6E98E6EC" w14:textId="77777777" w:rsidR="00EB7415" w:rsidRPr="00F95C90" w:rsidRDefault="00EB7415" w:rsidP="00386C90">
            <w:pPr>
              <w:shd w:val="clear" w:color="auto" w:fill="FFFFFF" w:themeFill="background1"/>
              <w:spacing w:before="0" w:after="120" w:line="259" w:lineRule="auto"/>
              <w:rPr>
                <w:rFonts w:cs="Arial"/>
                <w:b/>
                <w:szCs w:val="20"/>
              </w:rPr>
            </w:pPr>
            <w:r w:rsidRPr="00F95C90">
              <w:rPr>
                <w:rFonts w:cs="Arial"/>
                <w:b/>
                <w:szCs w:val="20"/>
              </w:rPr>
              <w:t>In the redesign consider if a form of mentoring or ongoing individual support is needed and wanted by PWPs or if only collective support is more palatable.</w:t>
            </w:r>
          </w:p>
          <w:p w14:paraId="68DE926D" w14:textId="77777777" w:rsidR="00EB7415" w:rsidRPr="00F95C90" w:rsidRDefault="00EB7415" w:rsidP="00386C90">
            <w:pPr>
              <w:shd w:val="clear" w:color="auto" w:fill="FFFFFF" w:themeFill="background1"/>
              <w:spacing w:before="0" w:after="120" w:line="259" w:lineRule="auto"/>
              <w:rPr>
                <w:rFonts w:cs="Arial"/>
                <w:szCs w:val="20"/>
              </w:rPr>
            </w:pPr>
            <w:r w:rsidRPr="00F95C90">
              <w:rPr>
                <w:rFonts w:cs="Arial"/>
                <w:szCs w:val="20"/>
              </w:rPr>
              <w:t>Considerations here include:</w:t>
            </w:r>
          </w:p>
          <w:p w14:paraId="3DA45BD4" w14:textId="4CA13702"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Tailored support that assists in building understanding of parliamentary functions, developing a personal strategy and implementing it, engagement with their constituency, running an office, media training etc.</w:t>
            </w:r>
          </w:p>
          <w:p w14:paraId="6563B3FF" w14:textId="16B8A83D"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 xml:space="preserve">Establishment of a mentoring / coaching program that recruits retired Pacific women parliamentarians and retired Australian women parliamentarians with appropriate skills and commitment.  The Program would train and support them to mentor.  The program would facilitate a matching process. </w:t>
            </w:r>
          </w:p>
          <w:p w14:paraId="777A18F8" w14:textId="612F9909" w:rsidR="00EB7415" w:rsidRPr="00F95C90" w:rsidRDefault="00EB7415" w:rsidP="00386C90">
            <w:pPr>
              <w:pStyle w:val="ListParagraph"/>
              <w:numPr>
                <w:ilvl w:val="0"/>
                <w:numId w:val="38"/>
              </w:numPr>
              <w:spacing w:after="120"/>
              <w:ind w:left="360"/>
              <w:rPr>
                <w:i/>
                <w:szCs w:val="20"/>
              </w:rPr>
            </w:pPr>
            <w:r w:rsidRPr="00F95C90">
              <w:rPr>
                <w:rFonts w:cs="Arial"/>
                <w:szCs w:val="20"/>
              </w:rPr>
              <w:t>Support with Exchanges that meet need.  Exchanges to other Pacific countries should be considered first before Australia.</w:t>
            </w:r>
          </w:p>
        </w:tc>
        <w:tc>
          <w:tcPr>
            <w:tcW w:w="1276" w:type="dxa"/>
            <w:tcBorders>
              <w:right w:val="single" w:sz="4" w:space="0" w:color="auto"/>
            </w:tcBorders>
            <w:shd w:val="clear" w:color="auto" w:fill="auto"/>
          </w:tcPr>
          <w:p w14:paraId="221CC740" w14:textId="1DB400D2" w:rsidR="00EB7415" w:rsidRPr="00F95C90" w:rsidRDefault="00EB7415" w:rsidP="00386C90">
            <w:pPr>
              <w:spacing w:after="120"/>
              <w:rPr>
                <w:rFonts w:cs="Arial"/>
                <w:szCs w:val="20"/>
              </w:rPr>
            </w:pPr>
            <w:r w:rsidRPr="00F95C90">
              <w:rPr>
                <w:rFonts w:cs="Arial"/>
                <w:szCs w:val="20"/>
              </w:rPr>
              <w:t>Agree</w:t>
            </w:r>
            <w:r w:rsidR="002B28D0">
              <w:rPr>
                <w:rFonts w:cs="Arial"/>
                <w:szCs w:val="20"/>
              </w:rPr>
              <w:t>d</w:t>
            </w:r>
          </w:p>
        </w:tc>
        <w:tc>
          <w:tcPr>
            <w:tcW w:w="2551" w:type="dxa"/>
            <w:tcBorders>
              <w:left w:val="single" w:sz="4" w:space="0" w:color="auto"/>
            </w:tcBorders>
            <w:shd w:val="clear" w:color="auto" w:fill="auto"/>
          </w:tcPr>
          <w:p w14:paraId="5C1CC1AA" w14:textId="294CFE3C" w:rsidR="00EB7415" w:rsidRPr="00F95C90" w:rsidRDefault="00EB7415" w:rsidP="00B45D28">
            <w:pPr>
              <w:spacing w:after="120"/>
              <w:rPr>
                <w:rFonts w:cs="Arial"/>
                <w:szCs w:val="20"/>
                <w:highlight w:val="yellow"/>
              </w:rPr>
            </w:pPr>
            <w:r w:rsidRPr="00EB7415">
              <w:rPr>
                <w:rFonts w:cs="Arial"/>
                <w:szCs w:val="20"/>
              </w:rPr>
              <w:t xml:space="preserve">This recommendation will be considered </w:t>
            </w:r>
            <w:r w:rsidR="0040676B" w:rsidRPr="007D75A3">
              <w:rPr>
                <w:rFonts w:cs="Arial"/>
                <w:szCs w:val="20"/>
              </w:rPr>
              <w:t>as</w:t>
            </w:r>
            <w:r w:rsidR="0040676B">
              <w:rPr>
                <w:rFonts w:cs="Arial"/>
                <w:szCs w:val="20"/>
              </w:rPr>
              <w:t xml:space="preserve"> part of the new design for 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participation and voice in political p</w:t>
            </w:r>
            <w:r w:rsidR="0040676B" w:rsidRPr="0040676B">
              <w:rPr>
                <w:rFonts w:cs="Arial"/>
                <w:szCs w:val="20"/>
              </w:rPr>
              <w:t>rocesses</w:t>
            </w:r>
            <w:r w:rsidRPr="00EB7415">
              <w:rPr>
                <w:rFonts w:cs="Arial"/>
                <w:szCs w:val="20"/>
              </w:rPr>
              <w:t>, taking into account the feedback from Pacific women parliamentarians.</w:t>
            </w:r>
            <w:r>
              <w:rPr>
                <w:rFonts w:cs="Arial"/>
                <w:szCs w:val="20"/>
              </w:rPr>
              <w:t xml:space="preserve"> </w:t>
            </w:r>
            <w:r w:rsidR="00E427D6">
              <w:rPr>
                <w:rFonts w:cs="Arial"/>
                <w:szCs w:val="20"/>
              </w:rPr>
              <w:t>The identified considerations</w:t>
            </w:r>
            <w:r>
              <w:rPr>
                <w:rFonts w:cs="Arial"/>
                <w:szCs w:val="20"/>
              </w:rPr>
              <w:t xml:space="preserve"> will be discussed with Pacific women parliamentarians during the 2017 PWPP Forum.</w:t>
            </w:r>
          </w:p>
        </w:tc>
        <w:tc>
          <w:tcPr>
            <w:tcW w:w="1701" w:type="dxa"/>
            <w:tcBorders>
              <w:left w:val="single" w:sz="4" w:space="0" w:color="auto"/>
            </w:tcBorders>
            <w:shd w:val="clear" w:color="auto" w:fill="auto"/>
          </w:tcPr>
          <w:p w14:paraId="563E8EF1" w14:textId="66AE60B0" w:rsidR="00EB7415" w:rsidRPr="00F95C90" w:rsidRDefault="00EB7415" w:rsidP="00386C90">
            <w:pPr>
              <w:spacing w:after="120"/>
              <w:rPr>
                <w:rFonts w:cs="Arial"/>
                <w:szCs w:val="20"/>
              </w:rPr>
            </w:pPr>
            <w:r>
              <w:rPr>
                <w:rFonts w:cs="Arial"/>
                <w:szCs w:val="20"/>
              </w:rPr>
              <w:t>DFAT/</w:t>
            </w:r>
            <w:r w:rsidRPr="00F237D2">
              <w:rPr>
                <w:rFonts w:cs="Arial"/>
                <w:i/>
                <w:szCs w:val="20"/>
              </w:rPr>
              <w:t>Pacific Women</w:t>
            </w:r>
            <w:r>
              <w:rPr>
                <w:rFonts w:cs="Arial"/>
                <w:szCs w:val="20"/>
              </w:rPr>
              <w:t xml:space="preserve"> Support Unit</w:t>
            </w:r>
          </w:p>
        </w:tc>
      </w:tr>
      <w:tr w:rsidR="00EB7415" w:rsidRPr="00B1463A" w14:paraId="7080F2C9" w14:textId="77777777" w:rsidTr="0081511F">
        <w:tc>
          <w:tcPr>
            <w:tcW w:w="9634" w:type="dxa"/>
            <w:gridSpan w:val="4"/>
            <w:shd w:val="clear" w:color="auto" w:fill="auto"/>
          </w:tcPr>
          <w:p w14:paraId="359A0364" w14:textId="43776DD2" w:rsidR="00EB7415" w:rsidRPr="00E3082F" w:rsidRDefault="00EB7415" w:rsidP="00EB7415">
            <w:pPr>
              <w:pStyle w:val="ListParagraph"/>
              <w:numPr>
                <w:ilvl w:val="0"/>
                <w:numId w:val="35"/>
              </w:numPr>
              <w:spacing w:after="120"/>
              <w:rPr>
                <w:rFonts w:cs="Arial"/>
                <w:b/>
                <w:sz w:val="22"/>
                <w:szCs w:val="22"/>
              </w:rPr>
            </w:pPr>
            <w:r>
              <w:br w:type="page"/>
            </w:r>
            <w:r w:rsidRPr="00F95C90">
              <w:rPr>
                <w:rFonts w:cs="Arial"/>
                <w:b/>
                <w:sz w:val="22"/>
                <w:szCs w:val="22"/>
              </w:rPr>
              <w:t>Support collective effort as a priority</w:t>
            </w:r>
          </w:p>
        </w:tc>
      </w:tr>
      <w:tr w:rsidR="00386C90" w:rsidRPr="00F95C90" w14:paraId="41E9784E" w14:textId="77777777" w:rsidTr="0081511F">
        <w:tc>
          <w:tcPr>
            <w:tcW w:w="4106" w:type="dxa"/>
            <w:shd w:val="clear" w:color="auto" w:fill="auto"/>
          </w:tcPr>
          <w:p w14:paraId="624A2DB6" w14:textId="77777777" w:rsidR="00EB7415" w:rsidRPr="00F95C90" w:rsidRDefault="00EB7415" w:rsidP="00386C90">
            <w:pPr>
              <w:shd w:val="clear" w:color="auto" w:fill="FFFFFF" w:themeFill="background1"/>
              <w:spacing w:before="0" w:after="120" w:line="259" w:lineRule="auto"/>
              <w:rPr>
                <w:rFonts w:cs="Arial"/>
                <w:b/>
                <w:szCs w:val="20"/>
              </w:rPr>
            </w:pPr>
            <w:r w:rsidRPr="00F95C90">
              <w:rPr>
                <w:rFonts w:cs="Arial"/>
                <w:b/>
                <w:szCs w:val="20"/>
              </w:rPr>
              <w:t>Focus and target resources to support for collective efforts of parliamentarian gender champions in whatever form they take (coalition, alliance, caucus) to pursue gender equality issue or interest.</w:t>
            </w:r>
          </w:p>
          <w:p w14:paraId="52C8822C"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lastRenderedPageBreak/>
              <w:t>Develop this as the key strategy of the work as led by Pacific women parliamentarians</w:t>
            </w:r>
          </w:p>
          <w:p w14:paraId="7136BC3B"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Directly support this by providing access to political acumen, campaign, advocacy and lobbying competencies.</w:t>
            </w:r>
          </w:p>
          <w:p w14:paraId="5BE01300"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In re calibrating the work and articulating the theory of change ‘collective effort’ needs to be a central outcome and mechanism building on achieved intermediate outcomes.</w:t>
            </w:r>
          </w:p>
          <w:p w14:paraId="3E45D2AC"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The central participants in this are gender champions (parliamentarians) which includes relevant male gender champions</w:t>
            </w:r>
          </w:p>
          <w:p w14:paraId="17AFEB00"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 xml:space="preserve">More consideration of building and strategically including male gender champions </w:t>
            </w:r>
          </w:p>
          <w:p w14:paraId="6C7361A9" w14:textId="52D722A9" w:rsidR="00EB7415" w:rsidRPr="00F95C90" w:rsidRDefault="00EB7415" w:rsidP="00386C90">
            <w:pPr>
              <w:pStyle w:val="ListParagraph"/>
              <w:numPr>
                <w:ilvl w:val="0"/>
                <w:numId w:val="38"/>
              </w:numPr>
              <w:spacing w:after="120"/>
              <w:ind w:left="360"/>
              <w:rPr>
                <w:i/>
                <w:szCs w:val="20"/>
              </w:rPr>
            </w:pPr>
            <w:r w:rsidRPr="00F95C90">
              <w:rPr>
                <w:rFonts w:cs="Arial"/>
                <w:szCs w:val="20"/>
              </w:rPr>
              <w:t>Include civil society and the public service where appropriate</w:t>
            </w:r>
          </w:p>
        </w:tc>
        <w:tc>
          <w:tcPr>
            <w:tcW w:w="1276" w:type="dxa"/>
            <w:tcBorders>
              <w:right w:val="single" w:sz="4" w:space="0" w:color="auto"/>
            </w:tcBorders>
            <w:shd w:val="clear" w:color="auto" w:fill="auto"/>
          </w:tcPr>
          <w:p w14:paraId="21767BD8" w14:textId="137B2B99" w:rsidR="00EB7415" w:rsidRPr="00F95C90" w:rsidRDefault="00EB7415" w:rsidP="00386C90">
            <w:pPr>
              <w:spacing w:after="120"/>
              <w:rPr>
                <w:rFonts w:cs="Arial"/>
                <w:szCs w:val="20"/>
              </w:rPr>
            </w:pPr>
            <w:r w:rsidRPr="00F95C90">
              <w:rPr>
                <w:rFonts w:cs="Arial"/>
                <w:szCs w:val="20"/>
              </w:rPr>
              <w:lastRenderedPageBreak/>
              <w:t>Agree</w:t>
            </w:r>
            <w:r w:rsidR="005F6B10">
              <w:rPr>
                <w:rFonts w:cs="Arial"/>
                <w:szCs w:val="20"/>
              </w:rPr>
              <w:t>d</w:t>
            </w:r>
          </w:p>
        </w:tc>
        <w:tc>
          <w:tcPr>
            <w:tcW w:w="2551" w:type="dxa"/>
            <w:tcBorders>
              <w:left w:val="single" w:sz="4" w:space="0" w:color="auto"/>
            </w:tcBorders>
            <w:shd w:val="clear" w:color="auto" w:fill="auto"/>
          </w:tcPr>
          <w:p w14:paraId="438AA234" w14:textId="09C213E6" w:rsidR="00EB7415" w:rsidRPr="00F95C90" w:rsidRDefault="00EB7415" w:rsidP="00B45D28">
            <w:pPr>
              <w:spacing w:after="120"/>
              <w:rPr>
                <w:rFonts w:cs="Arial"/>
                <w:szCs w:val="20"/>
                <w:highlight w:val="yellow"/>
              </w:rPr>
            </w:pPr>
            <w:r w:rsidRPr="00EB7415">
              <w:rPr>
                <w:rFonts w:cs="Arial"/>
                <w:szCs w:val="20"/>
              </w:rPr>
              <w:t xml:space="preserve">This recommendation will be considered </w:t>
            </w:r>
            <w:r w:rsidR="0040676B" w:rsidRPr="007D75A3">
              <w:rPr>
                <w:rFonts w:cs="Arial"/>
                <w:szCs w:val="20"/>
              </w:rPr>
              <w:t>as</w:t>
            </w:r>
            <w:r w:rsidR="0040676B">
              <w:rPr>
                <w:rFonts w:cs="Arial"/>
                <w:szCs w:val="20"/>
              </w:rPr>
              <w:t xml:space="preserve"> part of the new design for 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participation and voice in political p</w:t>
            </w:r>
            <w:r w:rsidR="0040676B" w:rsidRPr="0040676B">
              <w:rPr>
                <w:rFonts w:cs="Arial"/>
                <w:szCs w:val="20"/>
              </w:rPr>
              <w:t>rocesses</w:t>
            </w:r>
            <w:r w:rsidRPr="00EB7415">
              <w:rPr>
                <w:rFonts w:cs="Arial"/>
                <w:szCs w:val="20"/>
              </w:rPr>
              <w:t xml:space="preserve">, taking into account the feedback </w:t>
            </w:r>
            <w:r w:rsidRPr="00EB7415">
              <w:rPr>
                <w:rFonts w:cs="Arial"/>
                <w:szCs w:val="20"/>
              </w:rPr>
              <w:lastRenderedPageBreak/>
              <w:t>from Pacific women parliamentarians.</w:t>
            </w:r>
            <w:r>
              <w:rPr>
                <w:rFonts w:cs="Arial"/>
                <w:szCs w:val="20"/>
              </w:rPr>
              <w:t xml:space="preserve"> The sub-recommendations will be discussed with Pacific women parliamentarians during the 2017 PWPP Forum.</w:t>
            </w:r>
          </w:p>
        </w:tc>
        <w:tc>
          <w:tcPr>
            <w:tcW w:w="1701" w:type="dxa"/>
            <w:tcBorders>
              <w:left w:val="single" w:sz="4" w:space="0" w:color="auto"/>
            </w:tcBorders>
            <w:shd w:val="clear" w:color="auto" w:fill="auto"/>
          </w:tcPr>
          <w:p w14:paraId="387D81CD" w14:textId="6F8C9CF6" w:rsidR="00EB7415" w:rsidRPr="00F95C90" w:rsidRDefault="00EB7415" w:rsidP="00386C90">
            <w:pPr>
              <w:spacing w:after="120"/>
              <w:rPr>
                <w:rFonts w:cs="Arial"/>
                <w:szCs w:val="20"/>
              </w:rPr>
            </w:pPr>
            <w:r>
              <w:rPr>
                <w:rFonts w:cs="Arial"/>
                <w:szCs w:val="20"/>
              </w:rPr>
              <w:lastRenderedPageBreak/>
              <w:t>DFAT/</w:t>
            </w:r>
            <w:r w:rsidRPr="00F237D2">
              <w:rPr>
                <w:rFonts w:cs="Arial"/>
                <w:i/>
                <w:szCs w:val="20"/>
              </w:rPr>
              <w:t>Pacific Women</w:t>
            </w:r>
            <w:r>
              <w:rPr>
                <w:rFonts w:cs="Arial"/>
                <w:szCs w:val="20"/>
              </w:rPr>
              <w:t xml:space="preserve"> Support Unit</w:t>
            </w:r>
          </w:p>
        </w:tc>
      </w:tr>
      <w:tr w:rsidR="00EB7415" w:rsidRPr="00B1463A" w14:paraId="319346CB" w14:textId="77777777" w:rsidTr="0081511F">
        <w:tc>
          <w:tcPr>
            <w:tcW w:w="9634" w:type="dxa"/>
            <w:gridSpan w:val="4"/>
            <w:shd w:val="clear" w:color="auto" w:fill="auto"/>
          </w:tcPr>
          <w:p w14:paraId="1985802F" w14:textId="0C208E95" w:rsidR="00EB7415" w:rsidRPr="00E3082F" w:rsidRDefault="00EB7415" w:rsidP="00EB7415">
            <w:pPr>
              <w:pStyle w:val="ListParagraph"/>
              <w:numPr>
                <w:ilvl w:val="0"/>
                <w:numId w:val="35"/>
              </w:numPr>
              <w:spacing w:after="120"/>
              <w:rPr>
                <w:rFonts w:cs="Arial"/>
                <w:b/>
                <w:sz w:val="22"/>
                <w:szCs w:val="22"/>
              </w:rPr>
            </w:pPr>
            <w:r>
              <w:br w:type="page"/>
            </w:r>
            <w:r w:rsidRPr="00F95C90">
              <w:rPr>
                <w:rFonts w:cs="Arial"/>
                <w:b/>
                <w:sz w:val="22"/>
                <w:szCs w:val="22"/>
              </w:rPr>
              <w:t>Engaging Parliamentary Staff</w:t>
            </w:r>
          </w:p>
        </w:tc>
      </w:tr>
      <w:tr w:rsidR="0081511F" w:rsidRPr="00F95C90" w14:paraId="21FDA7E8" w14:textId="77777777" w:rsidTr="0081511F">
        <w:tc>
          <w:tcPr>
            <w:tcW w:w="4106" w:type="dxa"/>
            <w:shd w:val="clear" w:color="auto" w:fill="auto"/>
          </w:tcPr>
          <w:p w14:paraId="69375F32" w14:textId="77777777" w:rsidR="00EB7415" w:rsidRPr="00F95C90" w:rsidRDefault="00EB7415" w:rsidP="00386C90">
            <w:pPr>
              <w:shd w:val="clear" w:color="auto" w:fill="FFFFFF" w:themeFill="background1"/>
              <w:spacing w:before="0" w:after="120" w:line="259" w:lineRule="auto"/>
              <w:rPr>
                <w:rFonts w:cs="Arial"/>
                <w:szCs w:val="20"/>
              </w:rPr>
            </w:pPr>
            <w:r w:rsidRPr="00F95C90">
              <w:rPr>
                <w:rFonts w:cs="Arial"/>
                <w:szCs w:val="20"/>
              </w:rPr>
              <w:t>Consider if effort in this space is worth the investment as there may be more pressing places to place scarce resources (such as recommendation 6 and 7).  The small amount of effort here may prove to not be enough to bring about change and in fact end up being add hock.</w:t>
            </w:r>
          </w:p>
          <w:p w14:paraId="0C4BDF0D" w14:textId="77777777" w:rsidR="00EB7415" w:rsidRPr="00F95C90" w:rsidRDefault="00EB7415" w:rsidP="00386C90">
            <w:pPr>
              <w:shd w:val="clear" w:color="auto" w:fill="FFFFFF" w:themeFill="background1"/>
              <w:spacing w:before="0" w:after="120" w:line="259" w:lineRule="auto"/>
              <w:rPr>
                <w:rFonts w:cs="Arial"/>
                <w:b/>
                <w:szCs w:val="20"/>
              </w:rPr>
            </w:pPr>
            <w:r w:rsidRPr="00F95C90">
              <w:rPr>
                <w:rFonts w:cs="Arial"/>
                <w:b/>
                <w:szCs w:val="20"/>
              </w:rPr>
              <w:t>Completely reconsider the current strategies and activities that are addressing Objective 3: Parliaments to be more gender sensitive.</w:t>
            </w:r>
          </w:p>
          <w:p w14:paraId="55B8C00D"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This would be considered as part of Recommendation 1 &amp; 2, the needs analysis and recalibration of investment.</w:t>
            </w:r>
          </w:p>
          <w:p w14:paraId="2BAC93C2"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Design the inputs to be strategic and targeted and potentially just focused on the small island states</w:t>
            </w:r>
          </w:p>
          <w:p w14:paraId="16AD3592" w14:textId="77777777" w:rsidR="00EB7415" w:rsidRPr="00F95C90" w:rsidRDefault="00EB7415" w:rsidP="00386C90">
            <w:pPr>
              <w:pStyle w:val="ListParagraph"/>
              <w:numPr>
                <w:ilvl w:val="0"/>
                <w:numId w:val="38"/>
              </w:numPr>
              <w:spacing w:after="120"/>
              <w:ind w:left="360"/>
              <w:rPr>
                <w:rFonts w:cs="Arial"/>
                <w:szCs w:val="20"/>
              </w:rPr>
            </w:pPr>
            <w:r w:rsidRPr="00F95C90">
              <w:rPr>
                <w:rFonts w:cs="Arial"/>
                <w:szCs w:val="20"/>
              </w:rPr>
              <w:t>Try to maintain the research scholarships</w:t>
            </w:r>
          </w:p>
          <w:p w14:paraId="394D90A2" w14:textId="46B0F531" w:rsidR="00EB7415" w:rsidRPr="00BE64E0" w:rsidRDefault="00EB7415" w:rsidP="00386C90">
            <w:pPr>
              <w:pStyle w:val="ListParagraph"/>
              <w:numPr>
                <w:ilvl w:val="0"/>
                <w:numId w:val="38"/>
              </w:numPr>
              <w:spacing w:after="120"/>
              <w:ind w:left="360"/>
              <w:rPr>
                <w:rFonts w:cs="Arial"/>
                <w:szCs w:val="20"/>
              </w:rPr>
            </w:pPr>
            <w:r w:rsidRPr="00F95C90">
              <w:rPr>
                <w:rFonts w:cs="Arial"/>
                <w:szCs w:val="20"/>
              </w:rPr>
              <w:t xml:space="preserve">Allow Outrigger to be implemented and undertake a small evaluation of its effectiveness and then consider supporting the continuation of Outrigger or not in light of the overall redesign.  </w:t>
            </w:r>
          </w:p>
        </w:tc>
        <w:tc>
          <w:tcPr>
            <w:tcW w:w="1276" w:type="dxa"/>
            <w:tcBorders>
              <w:right w:val="single" w:sz="4" w:space="0" w:color="auto"/>
            </w:tcBorders>
            <w:shd w:val="clear" w:color="auto" w:fill="auto"/>
          </w:tcPr>
          <w:p w14:paraId="6FB26539" w14:textId="3C604609" w:rsidR="00EB7415" w:rsidRPr="00F95C90" w:rsidRDefault="00BE64E0" w:rsidP="00386C90">
            <w:pPr>
              <w:spacing w:after="120"/>
              <w:rPr>
                <w:rFonts w:cs="Arial"/>
                <w:szCs w:val="20"/>
              </w:rPr>
            </w:pPr>
            <w:r>
              <w:rPr>
                <w:rFonts w:cs="Arial"/>
                <w:szCs w:val="20"/>
              </w:rPr>
              <w:t>Agree</w:t>
            </w:r>
            <w:r w:rsidR="005F6B10">
              <w:rPr>
                <w:rFonts w:cs="Arial"/>
                <w:szCs w:val="20"/>
              </w:rPr>
              <w:t>d</w:t>
            </w:r>
          </w:p>
        </w:tc>
        <w:tc>
          <w:tcPr>
            <w:tcW w:w="2551" w:type="dxa"/>
            <w:tcBorders>
              <w:left w:val="single" w:sz="4" w:space="0" w:color="auto"/>
            </w:tcBorders>
            <w:shd w:val="clear" w:color="auto" w:fill="auto"/>
          </w:tcPr>
          <w:p w14:paraId="1F54B370" w14:textId="1AFA6312" w:rsidR="00EB7415" w:rsidRDefault="00BE64E0" w:rsidP="00386C90">
            <w:pPr>
              <w:spacing w:after="120"/>
              <w:rPr>
                <w:rFonts w:cs="Arial"/>
                <w:szCs w:val="20"/>
              </w:rPr>
            </w:pPr>
            <w:r w:rsidRPr="00EB7415">
              <w:rPr>
                <w:rFonts w:cs="Arial"/>
                <w:szCs w:val="20"/>
              </w:rPr>
              <w:t xml:space="preserve">This recommendation will be considered </w:t>
            </w:r>
            <w:r w:rsidR="0040676B" w:rsidRPr="007D75A3">
              <w:rPr>
                <w:rFonts w:cs="Arial"/>
                <w:szCs w:val="20"/>
              </w:rPr>
              <w:t>as</w:t>
            </w:r>
            <w:r w:rsidR="0040676B">
              <w:rPr>
                <w:rFonts w:cs="Arial"/>
                <w:szCs w:val="20"/>
              </w:rPr>
              <w:t xml:space="preserve"> part of the new design for i</w:t>
            </w:r>
            <w:r w:rsidR="0040676B" w:rsidRPr="0040676B">
              <w:rPr>
                <w:rFonts w:cs="Arial"/>
                <w:szCs w:val="20"/>
              </w:rPr>
              <w:t xml:space="preserve">ncreasing </w:t>
            </w:r>
            <w:r w:rsidR="0040676B">
              <w:rPr>
                <w:rFonts w:cs="Arial"/>
                <w:szCs w:val="20"/>
              </w:rPr>
              <w:t>Pacific w</w:t>
            </w:r>
            <w:r w:rsidR="0040676B" w:rsidRPr="0040676B">
              <w:rPr>
                <w:rFonts w:cs="Arial"/>
                <w:szCs w:val="20"/>
              </w:rPr>
              <w:t xml:space="preserve">omen's </w:t>
            </w:r>
            <w:r w:rsidR="0040676B">
              <w:rPr>
                <w:rFonts w:cs="Arial"/>
                <w:szCs w:val="20"/>
              </w:rPr>
              <w:t>participation and voice in political p</w:t>
            </w:r>
            <w:r w:rsidR="0040676B" w:rsidRPr="0040676B">
              <w:rPr>
                <w:rFonts w:cs="Arial"/>
                <w:szCs w:val="20"/>
              </w:rPr>
              <w:t>rocesses</w:t>
            </w:r>
            <w:r w:rsidR="0040676B">
              <w:rPr>
                <w:rFonts w:cs="Arial"/>
                <w:szCs w:val="20"/>
              </w:rPr>
              <w:t>,</w:t>
            </w:r>
            <w:r>
              <w:rPr>
                <w:rFonts w:cs="Arial"/>
                <w:szCs w:val="20"/>
              </w:rPr>
              <w:t xml:space="preserve"> as per Recommendation 3</w:t>
            </w:r>
            <w:r w:rsidRPr="00EB7415">
              <w:rPr>
                <w:rFonts w:cs="Arial"/>
                <w:szCs w:val="20"/>
              </w:rPr>
              <w:t>.</w:t>
            </w:r>
          </w:p>
          <w:p w14:paraId="410C20B2" w14:textId="65B9886F" w:rsidR="00BE64E0" w:rsidRDefault="00BE64E0" w:rsidP="00386C90">
            <w:pPr>
              <w:spacing w:after="120"/>
              <w:rPr>
                <w:rFonts w:cs="Arial"/>
                <w:szCs w:val="20"/>
              </w:rPr>
            </w:pPr>
            <w:r>
              <w:rPr>
                <w:rFonts w:cs="Arial"/>
                <w:szCs w:val="20"/>
              </w:rPr>
              <w:t>Specific considerations will be:</w:t>
            </w:r>
          </w:p>
          <w:p w14:paraId="77B625A0" w14:textId="1ABE536D" w:rsidR="00BE64E0" w:rsidRDefault="00BE64E0" w:rsidP="00386C90">
            <w:pPr>
              <w:pStyle w:val="ListParagraph"/>
              <w:numPr>
                <w:ilvl w:val="0"/>
                <w:numId w:val="38"/>
              </w:numPr>
              <w:spacing w:after="120"/>
              <w:ind w:left="360"/>
              <w:rPr>
                <w:rFonts w:cs="Arial"/>
                <w:szCs w:val="20"/>
              </w:rPr>
            </w:pPr>
            <w:r>
              <w:rPr>
                <w:rFonts w:cs="Arial"/>
                <w:szCs w:val="20"/>
              </w:rPr>
              <w:t xml:space="preserve">Is gender sensitisation of Parliaments a part of </w:t>
            </w:r>
            <w:r w:rsidRPr="00BE64E0">
              <w:rPr>
                <w:rFonts w:cs="Arial"/>
                <w:i/>
                <w:szCs w:val="20"/>
              </w:rPr>
              <w:t>Pacific Women</w:t>
            </w:r>
            <w:r>
              <w:rPr>
                <w:rFonts w:cs="Arial"/>
                <w:szCs w:val="20"/>
              </w:rPr>
              <w:t>’s efforts moving forward, considering best use of limited resources?</w:t>
            </w:r>
          </w:p>
          <w:p w14:paraId="471279CF" w14:textId="069F24B2" w:rsidR="00BE64E0" w:rsidRPr="00F95C90" w:rsidRDefault="00BE64E0" w:rsidP="00386C90">
            <w:pPr>
              <w:pStyle w:val="ListParagraph"/>
              <w:numPr>
                <w:ilvl w:val="0"/>
                <w:numId w:val="38"/>
              </w:numPr>
              <w:spacing w:after="120"/>
              <w:ind w:left="360"/>
              <w:rPr>
                <w:rFonts w:cs="Arial"/>
                <w:szCs w:val="20"/>
              </w:rPr>
            </w:pPr>
            <w:r>
              <w:rPr>
                <w:rFonts w:cs="Arial"/>
                <w:szCs w:val="20"/>
              </w:rPr>
              <w:t xml:space="preserve">Noting the positive findings from the evaluation, should </w:t>
            </w:r>
            <w:r w:rsidRPr="00F95C90">
              <w:rPr>
                <w:rFonts w:cs="Arial"/>
                <w:szCs w:val="20"/>
              </w:rPr>
              <w:t>research scholarships</w:t>
            </w:r>
            <w:r>
              <w:rPr>
                <w:rFonts w:cs="Arial"/>
                <w:szCs w:val="20"/>
              </w:rPr>
              <w:t xml:space="preserve"> by maintained as part of </w:t>
            </w:r>
            <w:r w:rsidRPr="00BE64E0">
              <w:rPr>
                <w:rFonts w:cs="Arial"/>
                <w:i/>
                <w:szCs w:val="20"/>
              </w:rPr>
              <w:t>Pacific Women</w:t>
            </w:r>
            <w:r>
              <w:rPr>
                <w:rFonts w:cs="Arial"/>
                <w:szCs w:val="20"/>
              </w:rPr>
              <w:t>’s ongoing support?</w:t>
            </w:r>
          </w:p>
          <w:p w14:paraId="29E23BC3" w14:textId="7A225A9F" w:rsidR="00E24EA3" w:rsidRPr="00E24EA3" w:rsidRDefault="00BE64E0" w:rsidP="00386C90">
            <w:pPr>
              <w:pStyle w:val="ListParagraph"/>
              <w:numPr>
                <w:ilvl w:val="0"/>
                <w:numId w:val="38"/>
              </w:numPr>
              <w:spacing w:after="120"/>
              <w:ind w:left="360"/>
              <w:rPr>
                <w:rFonts w:cs="Arial"/>
                <w:szCs w:val="20"/>
              </w:rPr>
            </w:pPr>
            <w:r>
              <w:rPr>
                <w:rFonts w:cs="Arial"/>
                <w:szCs w:val="20"/>
              </w:rPr>
              <w:t xml:space="preserve">Noting the investment in development, and ownership by Pacific parliamentary staff, </w:t>
            </w:r>
            <w:r w:rsidRPr="00F95C90">
              <w:rPr>
                <w:rFonts w:cs="Arial"/>
                <w:szCs w:val="20"/>
              </w:rPr>
              <w:t xml:space="preserve">undertake a small evaluation of </w:t>
            </w:r>
            <w:r w:rsidR="00E24EA3">
              <w:rPr>
                <w:rFonts w:cs="Arial"/>
                <w:szCs w:val="20"/>
              </w:rPr>
              <w:lastRenderedPageBreak/>
              <w:t>Outrigger’s</w:t>
            </w:r>
            <w:r w:rsidRPr="00F95C90">
              <w:rPr>
                <w:rFonts w:cs="Arial"/>
                <w:szCs w:val="20"/>
              </w:rPr>
              <w:t xml:space="preserve"> effectiveness and then consider supporting the continuation of Outrigger or not in light of the overall redesign</w:t>
            </w:r>
            <w:r w:rsidR="00E24EA3">
              <w:rPr>
                <w:rFonts w:cs="Arial"/>
                <w:szCs w:val="20"/>
              </w:rPr>
              <w:t>.</w:t>
            </w:r>
          </w:p>
        </w:tc>
        <w:tc>
          <w:tcPr>
            <w:tcW w:w="1701" w:type="dxa"/>
            <w:tcBorders>
              <w:left w:val="single" w:sz="4" w:space="0" w:color="auto"/>
            </w:tcBorders>
            <w:shd w:val="clear" w:color="auto" w:fill="auto"/>
          </w:tcPr>
          <w:p w14:paraId="671B6BA6" w14:textId="29FF3DA4" w:rsidR="00EB7415" w:rsidRPr="00F95C90" w:rsidRDefault="00BE64E0" w:rsidP="00386C90">
            <w:pPr>
              <w:spacing w:after="120"/>
              <w:rPr>
                <w:rFonts w:cs="Arial"/>
                <w:szCs w:val="20"/>
              </w:rPr>
            </w:pPr>
            <w:r>
              <w:rPr>
                <w:rFonts w:cs="Arial"/>
                <w:szCs w:val="20"/>
              </w:rPr>
              <w:lastRenderedPageBreak/>
              <w:t>DFAT/</w:t>
            </w:r>
            <w:r w:rsidRPr="00F237D2">
              <w:rPr>
                <w:rFonts w:cs="Arial"/>
                <w:i/>
                <w:szCs w:val="20"/>
              </w:rPr>
              <w:t>Pacific Women</w:t>
            </w:r>
            <w:r>
              <w:rPr>
                <w:rFonts w:cs="Arial"/>
                <w:szCs w:val="20"/>
              </w:rPr>
              <w:t xml:space="preserve"> Support Unit</w:t>
            </w:r>
          </w:p>
        </w:tc>
      </w:tr>
    </w:tbl>
    <w:p w14:paraId="3F1B32F7" w14:textId="77777777" w:rsidR="00913F5E" w:rsidRPr="00A25375" w:rsidRDefault="000611EE" w:rsidP="00E3082F">
      <w:pPr>
        <w:pStyle w:val="Heading2"/>
        <w:rPr>
          <w:sz w:val="22"/>
        </w:rPr>
      </w:pPr>
      <w:r w:rsidRPr="00A25375">
        <w:rPr>
          <w:sz w:val="22"/>
        </w:rPr>
        <w:t xml:space="preserve">Communication and Dissemination of Findings: </w:t>
      </w:r>
    </w:p>
    <w:p w14:paraId="117EF896" w14:textId="7C2880E1" w:rsidR="00E90190" w:rsidRPr="00A25375" w:rsidRDefault="00A25375" w:rsidP="00A25375">
      <w:pPr>
        <w:numPr>
          <w:ilvl w:val="0"/>
          <w:numId w:val="7"/>
        </w:numPr>
        <w:shd w:val="clear" w:color="auto" w:fill="FFFFFF" w:themeFill="background1"/>
        <w:spacing w:before="60"/>
        <w:ind w:left="714" w:hanging="357"/>
        <w:rPr>
          <w:rFonts w:cs="Arial"/>
          <w:sz w:val="22"/>
          <w:szCs w:val="22"/>
        </w:rPr>
      </w:pPr>
      <w:r>
        <w:rPr>
          <w:rFonts w:cs="Arial"/>
          <w:sz w:val="22"/>
          <w:szCs w:val="22"/>
        </w:rPr>
        <w:t>DFAT</w:t>
      </w:r>
      <w:r w:rsidR="00E90190" w:rsidRPr="00A25375">
        <w:rPr>
          <w:rFonts w:cs="Arial"/>
          <w:sz w:val="22"/>
          <w:szCs w:val="22"/>
        </w:rPr>
        <w:t xml:space="preserve"> will share</w:t>
      </w:r>
      <w:r>
        <w:rPr>
          <w:rFonts w:cs="Arial"/>
          <w:sz w:val="22"/>
          <w:szCs w:val="22"/>
        </w:rPr>
        <w:t xml:space="preserve"> and discuss</w:t>
      </w:r>
      <w:r w:rsidR="00E90190" w:rsidRPr="00A25375">
        <w:rPr>
          <w:rFonts w:cs="Arial"/>
          <w:sz w:val="22"/>
          <w:szCs w:val="22"/>
        </w:rPr>
        <w:t xml:space="preserve"> the final evaluation report, along with </w:t>
      </w:r>
      <w:r>
        <w:rPr>
          <w:rFonts w:cs="Arial"/>
          <w:sz w:val="22"/>
          <w:szCs w:val="22"/>
        </w:rPr>
        <w:t>DFAT’s</w:t>
      </w:r>
      <w:r w:rsidR="00E90190" w:rsidRPr="00A25375">
        <w:rPr>
          <w:rFonts w:cs="Arial"/>
          <w:sz w:val="22"/>
          <w:szCs w:val="22"/>
        </w:rPr>
        <w:t xml:space="preserve"> management response</w:t>
      </w:r>
      <w:r>
        <w:rPr>
          <w:rFonts w:cs="Arial"/>
          <w:sz w:val="22"/>
          <w:szCs w:val="22"/>
        </w:rPr>
        <w:t>,</w:t>
      </w:r>
      <w:r w:rsidR="00E90190" w:rsidRPr="00A25375">
        <w:rPr>
          <w:rFonts w:cs="Arial"/>
          <w:sz w:val="22"/>
          <w:szCs w:val="22"/>
        </w:rPr>
        <w:t xml:space="preserve"> with </w:t>
      </w:r>
      <w:r>
        <w:rPr>
          <w:rFonts w:cs="Arial"/>
          <w:sz w:val="22"/>
          <w:szCs w:val="22"/>
        </w:rPr>
        <w:t xml:space="preserve">the </w:t>
      </w:r>
      <w:r w:rsidR="005C46D1">
        <w:rPr>
          <w:rFonts w:cs="Arial"/>
          <w:sz w:val="22"/>
          <w:szCs w:val="22"/>
        </w:rPr>
        <w:t>DHoR</w:t>
      </w:r>
      <w:r>
        <w:rPr>
          <w:rFonts w:cs="Arial"/>
          <w:sz w:val="22"/>
          <w:szCs w:val="22"/>
        </w:rPr>
        <w:t>.</w:t>
      </w:r>
    </w:p>
    <w:p w14:paraId="4F135793" w14:textId="267077F7" w:rsidR="00E90190" w:rsidRPr="00A25375" w:rsidRDefault="00E90190" w:rsidP="00A25375">
      <w:pPr>
        <w:numPr>
          <w:ilvl w:val="0"/>
          <w:numId w:val="7"/>
        </w:numPr>
        <w:shd w:val="clear" w:color="auto" w:fill="FFFFFF" w:themeFill="background1"/>
        <w:spacing w:before="60"/>
        <w:ind w:left="714" w:hanging="357"/>
        <w:rPr>
          <w:sz w:val="22"/>
          <w:szCs w:val="22"/>
          <w:lang w:eastAsia="en-AU"/>
        </w:rPr>
      </w:pPr>
      <w:r w:rsidRPr="00A25375">
        <w:rPr>
          <w:rFonts w:cs="Arial"/>
          <w:sz w:val="22"/>
          <w:szCs w:val="22"/>
        </w:rPr>
        <w:t>The</w:t>
      </w:r>
      <w:r w:rsidRPr="00A25375">
        <w:rPr>
          <w:sz w:val="22"/>
          <w:szCs w:val="22"/>
          <w:lang w:eastAsia="en-AU"/>
        </w:rPr>
        <w:t xml:space="preserve"> final evaluation report, along with the Management Response</w:t>
      </w:r>
      <w:r w:rsidR="00A25375">
        <w:rPr>
          <w:sz w:val="22"/>
          <w:szCs w:val="22"/>
          <w:lang w:eastAsia="en-AU"/>
        </w:rPr>
        <w:t>,</w:t>
      </w:r>
      <w:r w:rsidRPr="00A25375">
        <w:rPr>
          <w:sz w:val="22"/>
          <w:szCs w:val="22"/>
          <w:lang w:eastAsia="en-AU"/>
        </w:rPr>
        <w:t xml:space="preserve"> will be uploaded onto DFAT’s website</w:t>
      </w:r>
      <w:r w:rsidR="00A25375">
        <w:rPr>
          <w:sz w:val="22"/>
          <w:szCs w:val="22"/>
          <w:lang w:eastAsia="en-AU"/>
        </w:rPr>
        <w:t>.</w:t>
      </w:r>
    </w:p>
    <w:p w14:paraId="34138E60" w14:textId="3FC21C23" w:rsidR="00E90190" w:rsidRPr="00A25375" w:rsidRDefault="00E90190" w:rsidP="00A25375">
      <w:pPr>
        <w:numPr>
          <w:ilvl w:val="0"/>
          <w:numId w:val="7"/>
        </w:numPr>
        <w:shd w:val="clear" w:color="auto" w:fill="FFFFFF" w:themeFill="background1"/>
        <w:spacing w:before="60"/>
        <w:ind w:left="714" w:hanging="357"/>
        <w:rPr>
          <w:sz w:val="22"/>
          <w:szCs w:val="22"/>
          <w:lang w:eastAsia="en-AU"/>
        </w:rPr>
      </w:pPr>
      <w:r w:rsidRPr="00A25375">
        <w:rPr>
          <w:sz w:val="22"/>
          <w:szCs w:val="22"/>
          <w:lang w:eastAsia="en-AU"/>
        </w:rPr>
        <w:t>The final evaluation report, along with the Management Response</w:t>
      </w:r>
      <w:r w:rsidR="00A25375">
        <w:rPr>
          <w:sz w:val="22"/>
          <w:szCs w:val="22"/>
          <w:lang w:eastAsia="en-AU"/>
        </w:rPr>
        <w:t>,</w:t>
      </w:r>
      <w:r w:rsidRPr="00A25375">
        <w:rPr>
          <w:sz w:val="22"/>
          <w:szCs w:val="22"/>
          <w:lang w:eastAsia="en-AU"/>
        </w:rPr>
        <w:t xml:space="preserve"> will be uploaded onto the </w:t>
      </w:r>
      <w:r w:rsidRPr="00A25375">
        <w:rPr>
          <w:i/>
          <w:sz w:val="22"/>
          <w:szCs w:val="22"/>
          <w:lang w:eastAsia="en-AU"/>
        </w:rPr>
        <w:t xml:space="preserve">Pacific Women </w:t>
      </w:r>
      <w:r w:rsidRPr="00A25375">
        <w:rPr>
          <w:sz w:val="22"/>
          <w:szCs w:val="22"/>
          <w:lang w:eastAsia="en-AU"/>
        </w:rPr>
        <w:t>website</w:t>
      </w:r>
      <w:r w:rsidR="00A25375">
        <w:rPr>
          <w:sz w:val="22"/>
          <w:szCs w:val="22"/>
          <w:lang w:eastAsia="en-AU"/>
        </w:rPr>
        <w:t>.</w:t>
      </w:r>
    </w:p>
    <w:sectPr w:rsidR="00E90190" w:rsidRPr="00A25375" w:rsidSect="00386C9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567" w:footer="601"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8E05" w14:textId="77777777" w:rsidR="0086480A" w:rsidRDefault="0086480A">
      <w:pPr>
        <w:pStyle w:val="Table-list-number"/>
      </w:pPr>
      <w:r>
        <w:separator/>
      </w:r>
    </w:p>
  </w:endnote>
  <w:endnote w:type="continuationSeparator" w:id="0">
    <w:p w14:paraId="6E4EB15E" w14:textId="77777777" w:rsidR="0086480A" w:rsidRDefault="0086480A">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E69B" w14:textId="77777777" w:rsidR="00437DB0" w:rsidRDefault="0043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6FB3" w14:textId="3CEFB437" w:rsidR="00C716DA" w:rsidRPr="00AE52D5" w:rsidRDefault="00C716DA"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390812">
      <w:rPr>
        <w:rStyle w:val="PageNumber"/>
        <w:noProof/>
      </w:rPr>
      <w:t>9</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390812">
      <w:rPr>
        <w:rStyle w:val="PageNumber"/>
        <w:noProof/>
      </w:rPr>
      <w:t>9</w:t>
    </w:r>
    <w:r w:rsidRPr="00AE52D5">
      <w:rPr>
        <w:rStyle w:val="PageNumber"/>
      </w:rPr>
      <w:fldChar w:fldCharType="end"/>
    </w:r>
  </w:p>
  <w:p w14:paraId="2C3C0244" w14:textId="77777777" w:rsidR="00C716DA" w:rsidRPr="00AE52D5" w:rsidRDefault="00C716DA"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ab/>
    </w:r>
    <w:r w:rsidRPr="00AE52D5">
      <w:rPr>
        <w:rStyle w:val="PageNumber"/>
      </w:rPr>
      <w:t>UNCLASSIFIED</w:t>
    </w:r>
  </w:p>
  <w:p w14:paraId="152FB52F" w14:textId="77777777" w:rsidR="00C716DA" w:rsidRPr="000815FC" w:rsidRDefault="00C716DA"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5974" w14:textId="77777777" w:rsidR="00437DB0" w:rsidRDefault="0043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D4B6" w14:textId="77777777" w:rsidR="0086480A" w:rsidRDefault="0086480A">
      <w:pPr>
        <w:pStyle w:val="Table-list-number"/>
      </w:pPr>
      <w:r>
        <w:separator/>
      </w:r>
    </w:p>
  </w:footnote>
  <w:footnote w:type="continuationSeparator" w:id="0">
    <w:p w14:paraId="3529728B" w14:textId="77777777" w:rsidR="0086480A" w:rsidRDefault="0086480A">
      <w:pPr>
        <w:pStyle w:val="Table-list-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9731" w14:textId="77777777" w:rsidR="00437DB0" w:rsidRDefault="00437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0F18" w14:textId="77823735" w:rsidR="00C716DA" w:rsidRPr="00077243" w:rsidRDefault="00C716DA" w:rsidP="00077243">
    <w:pPr>
      <w:pStyle w:val="Header"/>
      <w:jc w:val="center"/>
      <w:rPr>
        <w:caps/>
      </w:rPr>
    </w:pPr>
    <w:r w:rsidRPr="00077243">
      <w:rPr>
        <w:caps/>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24A7" w14:textId="77777777" w:rsidR="00437DB0" w:rsidRDefault="00437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0C"/>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5C1134"/>
    <w:multiLevelType w:val="hybridMultilevel"/>
    <w:tmpl w:val="79588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F74D6"/>
    <w:multiLevelType w:val="hybridMultilevel"/>
    <w:tmpl w:val="7242E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251C5"/>
    <w:multiLevelType w:val="hybridMultilevel"/>
    <w:tmpl w:val="7D0477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5CE2DF9"/>
    <w:multiLevelType w:val="hybridMultilevel"/>
    <w:tmpl w:val="D00CE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E572D1"/>
    <w:multiLevelType w:val="hybridMultilevel"/>
    <w:tmpl w:val="2B1EA956"/>
    <w:lvl w:ilvl="0" w:tplc="25882F10">
      <w:start w:val="5"/>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1D6913"/>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A8638BC"/>
    <w:multiLevelType w:val="hybridMultilevel"/>
    <w:tmpl w:val="86BC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24499"/>
    <w:multiLevelType w:val="hybridMultilevel"/>
    <w:tmpl w:val="D3BE9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E72DC"/>
    <w:multiLevelType w:val="hybridMultilevel"/>
    <w:tmpl w:val="879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26FF1"/>
    <w:multiLevelType w:val="hybridMultilevel"/>
    <w:tmpl w:val="8E42097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2A1327B"/>
    <w:multiLevelType w:val="hybridMultilevel"/>
    <w:tmpl w:val="968CF45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24AB7C0D"/>
    <w:multiLevelType w:val="hybridMultilevel"/>
    <w:tmpl w:val="C64C02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B5A5AAA"/>
    <w:multiLevelType w:val="hybridMultilevel"/>
    <w:tmpl w:val="18D02DFA"/>
    <w:lvl w:ilvl="0" w:tplc="7C46EF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362C3"/>
    <w:multiLevelType w:val="hybridMultilevel"/>
    <w:tmpl w:val="54FA67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CD2069"/>
    <w:multiLevelType w:val="hybridMultilevel"/>
    <w:tmpl w:val="099C2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1A134E3"/>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14F4774"/>
    <w:multiLevelType w:val="hybridMultilevel"/>
    <w:tmpl w:val="EAE60602"/>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AB67886"/>
    <w:multiLevelType w:val="hybridMultilevel"/>
    <w:tmpl w:val="C10A1F7C"/>
    <w:lvl w:ilvl="0" w:tplc="DC3A17F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3976EB"/>
    <w:multiLevelType w:val="hybridMultilevel"/>
    <w:tmpl w:val="879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10BC8"/>
    <w:multiLevelType w:val="hybridMultilevel"/>
    <w:tmpl w:val="BB10E19A"/>
    <w:lvl w:ilvl="0" w:tplc="0809000F">
      <w:start w:val="1"/>
      <w:numFmt w:val="decimal"/>
      <w:lvlText w:val="%1."/>
      <w:lvlJc w:val="left"/>
      <w:pPr>
        <w:ind w:left="720" w:hanging="360"/>
      </w:pPr>
    </w:lvl>
    <w:lvl w:ilvl="1" w:tplc="8174E5A4">
      <w:start w:val="1"/>
      <w:numFmt w:val="lowerLetter"/>
      <w:lvlText w:val="%2."/>
      <w:lvlJc w:val="left"/>
      <w:pPr>
        <w:ind w:left="1440" w:hanging="360"/>
      </w:pPr>
      <w:rPr>
        <w:rFonts w:hint="default"/>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94991"/>
    <w:multiLevelType w:val="hybridMultilevel"/>
    <w:tmpl w:val="0480F9B4"/>
    <w:lvl w:ilvl="0" w:tplc="FD7E7B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A2915"/>
    <w:multiLevelType w:val="hybridMultilevel"/>
    <w:tmpl w:val="59966108"/>
    <w:lvl w:ilvl="0" w:tplc="FD7E7B4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F0E3B"/>
    <w:multiLevelType w:val="hybridMultilevel"/>
    <w:tmpl w:val="FA1CADB6"/>
    <w:lvl w:ilvl="0" w:tplc="D3A4C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86BDA"/>
    <w:multiLevelType w:val="hybridMultilevel"/>
    <w:tmpl w:val="7A0C80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D61915"/>
    <w:multiLevelType w:val="hybridMultilevel"/>
    <w:tmpl w:val="F7342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B92F0D"/>
    <w:multiLevelType w:val="hybridMultilevel"/>
    <w:tmpl w:val="60180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411C3"/>
    <w:multiLevelType w:val="hybridMultilevel"/>
    <w:tmpl w:val="52DE925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1B3406"/>
    <w:multiLevelType w:val="multilevel"/>
    <w:tmpl w:val="568CB5F8"/>
    <w:lvl w:ilvl="0">
      <w:start w:val="1"/>
      <w:numFmt w:val="decimal"/>
      <w:lvlText w:val="R.%1"/>
      <w:lvlJc w:val="left"/>
      <w:pPr>
        <w:ind w:left="360" w:hanging="360"/>
      </w:pPr>
      <w:rPr>
        <w:rFonts w:hint="default"/>
        <w:b/>
        <w:i w:val="0"/>
        <w:color w:val="1F497D" w:themeColor="text2"/>
      </w:rPr>
    </w:lvl>
    <w:lvl w:ilvl="1">
      <w:start w:val="1"/>
      <w:numFmt w:val="lowerLetter"/>
      <w:lvlText w:val="%1%2."/>
      <w:lvlJc w:val="left"/>
      <w:pPr>
        <w:ind w:left="1080" w:hanging="360"/>
      </w:pPr>
      <w:rPr>
        <w:rFonts w:hint="default"/>
        <w:b/>
        <w:i w:val="0"/>
        <w:color w:val="548DD4" w:themeColor="text2" w:themeTint="99"/>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69275D"/>
    <w:multiLevelType w:val="hybridMultilevel"/>
    <w:tmpl w:val="A254232C"/>
    <w:lvl w:ilvl="0" w:tplc="0C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74F1443"/>
    <w:multiLevelType w:val="hybridMultilevel"/>
    <w:tmpl w:val="F9889280"/>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D07EE"/>
    <w:multiLevelType w:val="hybridMultilevel"/>
    <w:tmpl w:val="CAF0DFF0"/>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00593"/>
    <w:multiLevelType w:val="hybridMultilevel"/>
    <w:tmpl w:val="05F2649A"/>
    <w:lvl w:ilvl="0" w:tplc="A2225AA6">
      <w:start w:val="1"/>
      <w:numFmt w:val="decimal"/>
      <w:lvlText w:val="%1."/>
      <w:lvlJc w:val="left"/>
      <w:pPr>
        <w:ind w:left="360" w:hanging="360"/>
      </w:pPr>
      <w:rPr>
        <w:rFonts w:cs="Arial" w:hint="default"/>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3040F2"/>
    <w:multiLevelType w:val="hybridMultilevel"/>
    <w:tmpl w:val="4164177E"/>
    <w:lvl w:ilvl="0" w:tplc="2BEC50B8">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9" w15:restartNumberingAfterBreak="0">
    <w:nsid w:val="76CC3ECF"/>
    <w:multiLevelType w:val="hybridMultilevel"/>
    <w:tmpl w:val="06EE3E0E"/>
    <w:lvl w:ilvl="0" w:tplc="EAC08BA6">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C03415"/>
    <w:multiLevelType w:val="multilevel"/>
    <w:tmpl w:val="48D6B33C"/>
    <w:lvl w:ilvl="0">
      <w:start w:val="1"/>
      <w:numFmt w:val="decimal"/>
      <w:pStyle w:val="Heading1outlinenum"/>
      <w:lvlText w:val="%1."/>
      <w:lvlJc w:val="left"/>
      <w:pPr>
        <w:tabs>
          <w:tab w:val="num" w:pos="567"/>
        </w:tabs>
        <w:ind w:left="567" w:hanging="567"/>
      </w:pPr>
      <w:rPr>
        <w:rFonts w:hint="default"/>
      </w:rPr>
    </w:lvl>
    <w:lvl w:ilvl="1">
      <w:start w:val="1"/>
      <w:numFmt w:val="decimal"/>
      <w:pStyle w:val="Heading2outlinenum"/>
      <w:lvlText w:val="%1.%2"/>
      <w:lvlJc w:val="left"/>
      <w:pPr>
        <w:tabs>
          <w:tab w:val="num" w:pos="567"/>
        </w:tabs>
        <w:ind w:left="567" w:hanging="567"/>
      </w:pPr>
      <w:rPr>
        <w:rFonts w:hint="default"/>
      </w:rPr>
    </w:lvl>
    <w:lvl w:ilvl="2">
      <w:start w:val="1"/>
      <w:numFmt w:val="decimal"/>
      <w:pStyle w:val="Heading3outlinenum"/>
      <w:lvlText w:val="%1.%2.%3"/>
      <w:lvlJc w:val="left"/>
      <w:pPr>
        <w:tabs>
          <w:tab w:val="num" w:pos="680"/>
        </w:tabs>
        <w:ind w:left="680" w:hanging="68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2" w15:restartNumberingAfterBreak="0">
    <w:nsid w:val="7A0E4612"/>
    <w:multiLevelType w:val="hybridMultilevel"/>
    <w:tmpl w:val="879A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43F1F"/>
    <w:multiLevelType w:val="multilevel"/>
    <w:tmpl w:val="DD56CD24"/>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8F6969"/>
    <w:multiLevelType w:val="hybridMultilevel"/>
    <w:tmpl w:val="67744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CE4871"/>
    <w:multiLevelType w:val="hybridMultilevel"/>
    <w:tmpl w:val="15B4F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FA0E25"/>
    <w:multiLevelType w:val="hybridMultilevel"/>
    <w:tmpl w:val="05060FCA"/>
    <w:lvl w:ilvl="0" w:tplc="7D6E86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F52DA7"/>
    <w:multiLevelType w:val="hybridMultilevel"/>
    <w:tmpl w:val="D188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8"/>
  </w:num>
  <w:num w:numId="4">
    <w:abstractNumId w:val="38"/>
  </w:num>
  <w:num w:numId="5">
    <w:abstractNumId w:val="40"/>
  </w:num>
  <w:num w:numId="6">
    <w:abstractNumId w:val="2"/>
  </w:num>
  <w:num w:numId="7">
    <w:abstractNumId w:val="45"/>
  </w:num>
  <w:num w:numId="8">
    <w:abstractNumId w:val="32"/>
  </w:num>
  <w:num w:numId="9">
    <w:abstractNumId w:val="16"/>
  </w:num>
  <w:num w:numId="10">
    <w:abstractNumId w:val="19"/>
  </w:num>
  <w:num w:numId="11">
    <w:abstractNumId w:val="9"/>
  </w:num>
  <w:num w:numId="12">
    <w:abstractNumId w:val="44"/>
  </w:num>
  <w:num w:numId="13">
    <w:abstractNumId w:val="7"/>
  </w:num>
  <w:num w:numId="14">
    <w:abstractNumId w:val="0"/>
  </w:num>
  <w:num w:numId="15">
    <w:abstractNumId w:val="43"/>
  </w:num>
  <w:num w:numId="16">
    <w:abstractNumId w:val="24"/>
  </w:num>
  <w:num w:numId="17">
    <w:abstractNumId w:val="47"/>
  </w:num>
  <w:num w:numId="18">
    <w:abstractNumId w:val="8"/>
  </w:num>
  <w:num w:numId="19">
    <w:abstractNumId w:val="41"/>
  </w:num>
  <w:num w:numId="20">
    <w:abstractNumId w:val="31"/>
  </w:num>
  <w:num w:numId="21">
    <w:abstractNumId w:val="3"/>
  </w:num>
  <w:num w:numId="22">
    <w:abstractNumId w:val="4"/>
  </w:num>
  <w:num w:numId="23">
    <w:abstractNumId w:val="6"/>
  </w:num>
  <w:num w:numId="24">
    <w:abstractNumId w:val="37"/>
  </w:num>
  <w:num w:numId="25">
    <w:abstractNumId w:val="35"/>
  </w:num>
  <w:num w:numId="26">
    <w:abstractNumId w:val="20"/>
  </w:num>
  <w:num w:numId="27">
    <w:abstractNumId w:val="12"/>
  </w:num>
  <w:num w:numId="28">
    <w:abstractNumId w:val="29"/>
  </w:num>
  <w:num w:numId="29">
    <w:abstractNumId w:val="13"/>
  </w:num>
  <w:num w:numId="30">
    <w:abstractNumId w:val="5"/>
  </w:num>
  <w:num w:numId="31">
    <w:abstractNumId w:val="28"/>
  </w:num>
  <w:num w:numId="32">
    <w:abstractNumId w:val="26"/>
  </w:num>
  <w:num w:numId="33">
    <w:abstractNumId w:val="25"/>
  </w:num>
  <w:num w:numId="34">
    <w:abstractNumId w:val="36"/>
  </w:num>
  <w:num w:numId="35">
    <w:abstractNumId w:val="23"/>
  </w:num>
  <w:num w:numId="36">
    <w:abstractNumId w:val="39"/>
  </w:num>
  <w:num w:numId="37">
    <w:abstractNumId w:val="33"/>
  </w:num>
  <w:num w:numId="38">
    <w:abstractNumId w:val="1"/>
  </w:num>
  <w:num w:numId="39">
    <w:abstractNumId w:val="22"/>
  </w:num>
  <w:num w:numId="40">
    <w:abstractNumId w:val="11"/>
  </w:num>
  <w:num w:numId="41">
    <w:abstractNumId w:val="27"/>
  </w:num>
  <w:num w:numId="42">
    <w:abstractNumId w:val="30"/>
  </w:num>
  <w:num w:numId="43">
    <w:abstractNumId w:val="15"/>
  </w:num>
  <w:num w:numId="44">
    <w:abstractNumId w:val="10"/>
  </w:num>
  <w:num w:numId="45">
    <w:abstractNumId w:val="42"/>
  </w:num>
  <w:num w:numId="46">
    <w:abstractNumId w:val="17"/>
  </w:num>
  <w:num w:numId="47">
    <w:abstractNumId w:val="34"/>
  </w:num>
  <w:num w:numId="48">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35"/>
    <w:rsid w:val="00012070"/>
    <w:rsid w:val="00012E96"/>
    <w:rsid w:val="000135D5"/>
    <w:rsid w:val="00013C77"/>
    <w:rsid w:val="00014273"/>
    <w:rsid w:val="00014D56"/>
    <w:rsid w:val="00015371"/>
    <w:rsid w:val="000163BD"/>
    <w:rsid w:val="00017BA8"/>
    <w:rsid w:val="000269E4"/>
    <w:rsid w:val="00026F99"/>
    <w:rsid w:val="000272E0"/>
    <w:rsid w:val="00031779"/>
    <w:rsid w:val="00031C25"/>
    <w:rsid w:val="000347B9"/>
    <w:rsid w:val="00040EC9"/>
    <w:rsid w:val="000412DD"/>
    <w:rsid w:val="0004440F"/>
    <w:rsid w:val="00052316"/>
    <w:rsid w:val="00052C14"/>
    <w:rsid w:val="00052C7D"/>
    <w:rsid w:val="00054700"/>
    <w:rsid w:val="000611EE"/>
    <w:rsid w:val="000618F7"/>
    <w:rsid w:val="00061E12"/>
    <w:rsid w:val="00067C95"/>
    <w:rsid w:val="00070B06"/>
    <w:rsid w:val="00070FDD"/>
    <w:rsid w:val="0007162A"/>
    <w:rsid w:val="000719A9"/>
    <w:rsid w:val="00071CEC"/>
    <w:rsid w:val="000728D3"/>
    <w:rsid w:val="000733A7"/>
    <w:rsid w:val="00074DFB"/>
    <w:rsid w:val="000765F5"/>
    <w:rsid w:val="00077243"/>
    <w:rsid w:val="000815FC"/>
    <w:rsid w:val="0008492F"/>
    <w:rsid w:val="000863C1"/>
    <w:rsid w:val="000869CE"/>
    <w:rsid w:val="00087896"/>
    <w:rsid w:val="00091B4B"/>
    <w:rsid w:val="00093233"/>
    <w:rsid w:val="00094CE2"/>
    <w:rsid w:val="000A5892"/>
    <w:rsid w:val="000A77DB"/>
    <w:rsid w:val="000B520A"/>
    <w:rsid w:val="000B6F8D"/>
    <w:rsid w:val="000B7A77"/>
    <w:rsid w:val="000B7AFD"/>
    <w:rsid w:val="000C4574"/>
    <w:rsid w:val="000C4CE9"/>
    <w:rsid w:val="000D316D"/>
    <w:rsid w:val="000D38AE"/>
    <w:rsid w:val="000D4C87"/>
    <w:rsid w:val="000D7E4C"/>
    <w:rsid w:val="000E1475"/>
    <w:rsid w:val="000E1958"/>
    <w:rsid w:val="000E4632"/>
    <w:rsid w:val="000F119F"/>
    <w:rsid w:val="000F222F"/>
    <w:rsid w:val="000F3A0C"/>
    <w:rsid w:val="000F51D5"/>
    <w:rsid w:val="000F5FF5"/>
    <w:rsid w:val="0010006D"/>
    <w:rsid w:val="00102362"/>
    <w:rsid w:val="00104963"/>
    <w:rsid w:val="00106DE1"/>
    <w:rsid w:val="001077BF"/>
    <w:rsid w:val="00110F69"/>
    <w:rsid w:val="00113C84"/>
    <w:rsid w:val="00113CFA"/>
    <w:rsid w:val="00116D39"/>
    <w:rsid w:val="00121F43"/>
    <w:rsid w:val="001236CF"/>
    <w:rsid w:val="00123C3E"/>
    <w:rsid w:val="001242FD"/>
    <w:rsid w:val="0012582F"/>
    <w:rsid w:val="001277C1"/>
    <w:rsid w:val="001317A8"/>
    <w:rsid w:val="00134B6C"/>
    <w:rsid w:val="001378B7"/>
    <w:rsid w:val="00137EE5"/>
    <w:rsid w:val="00140289"/>
    <w:rsid w:val="0014044A"/>
    <w:rsid w:val="00143347"/>
    <w:rsid w:val="00143397"/>
    <w:rsid w:val="00144AF1"/>
    <w:rsid w:val="001461C8"/>
    <w:rsid w:val="001467C6"/>
    <w:rsid w:val="00147779"/>
    <w:rsid w:val="001504AB"/>
    <w:rsid w:val="00151891"/>
    <w:rsid w:val="00151932"/>
    <w:rsid w:val="00152487"/>
    <w:rsid w:val="00153F2A"/>
    <w:rsid w:val="001549A4"/>
    <w:rsid w:val="0015735B"/>
    <w:rsid w:val="001614B0"/>
    <w:rsid w:val="0016457C"/>
    <w:rsid w:val="00164E73"/>
    <w:rsid w:val="001654BD"/>
    <w:rsid w:val="00173632"/>
    <w:rsid w:val="00175FFC"/>
    <w:rsid w:val="0017745D"/>
    <w:rsid w:val="00177528"/>
    <w:rsid w:val="00177AC0"/>
    <w:rsid w:val="00184728"/>
    <w:rsid w:val="00187216"/>
    <w:rsid w:val="001874BC"/>
    <w:rsid w:val="001917F6"/>
    <w:rsid w:val="001A0330"/>
    <w:rsid w:val="001B1EE4"/>
    <w:rsid w:val="001B5DEE"/>
    <w:rsid w:val="001B6F5E"/>
    <w:rsid w:val="001C59C6"/>
    <w:rsid w:val="001C6816"/>
    <w:rsid w:val="001D62EE"/>
    <w:rsid w:val="001D6315"/>
    <w:rsid w:val="001D7353"/>
    <w:rsid w:val="001E01DA"/>
    <w:rsid w:val="001E3D24"/>
    <w:rsid w:val="001E4372"/>
    <w:rsid w:val="001E4FCC"/>
    <w:rsid w:val="001F0ED7"/>
    <w:rsid w:val="001F29FB"/>
    <w:rsid w:val="001F548E"/>
    <w:rsid w:val="001F5865"/>
    <w:rsid w:val="00201759"/>
    <w:rsid w:val="00204C90"/>
    <w:rsid w:val="00206132"/>
    <w:rsid w:val="00206373"/>
    <w:rsid w:val="00214F7F"/>
    <w:rsid w:val="00221D53"/>
    <w:rsid w:val="0022296C"/>
    <w:rsid w:val="00223581"/>
    <w:rsid w:val="00227691"/>
    <w:rsid w:val="00227846"/>
    <w:rsid w:val="00232239"/>
    <w:rsid w:val="002418D3"/>
    <w:rsid w:val="002425E0"/>
    <w:rsid w:val="00245265"/>
    <w:rsid w:val="00250414"/>
    <w:rsid w:val="00250CB9"/>
    <w:rsid w:val="002524DA"/>
    <w:rsid w:val="002546B7"/>
    <w:rsid w:val="002548C7"/>
    <w:rsid w:val="00255DF0"/>
    <w:rsid w:val="0025638B"/>
    <w:rsid w:val="00257031"/>
    <w:rsid w:val="00264366"/>
    <w:rsid w:val="002651B8"/>
    <w:rsid w:val="00273308"/>
    <w:rsid w:val="002767F9"/>
    <w:rsid w:val="00276F45"/>
    <w:rsid w:val="00276FB5"/>
    <w:rsid w:val="00277AB8"/>
    <w:rsid w:val="00280F0E"/>
    <w:rsid w:val="002824B7"/>
    <w:rsid w:val="002839B9"/>
    <w:rsid w:val="00296E55"/>
    <w:rsid w:val="0029717D"/>
    <w:rsid w:val="002A2893"/>
    <w:rsid w:val="002B16DD"/>
    <w:rsid w:val="002B1A3A"/>
    <w:rsid w:val="002B2279"/>
    <w:rsid w:val="002B28D0"/>
    <w:rsid w:val="002B2BA6"/>
    <w:rsid w:val="002B5216"/>
    <w:rsid w:val="002C45EB"/>
    <w:rsid w:val="002D1173"/>
    <w:rsid w:val="002D4C96"/>
    <w:rsid w:val="002D7E38"/>
    <w:rsid w:val="002E0EA2"/>
    <w:rsid w:val="002E7065"/>
    <w:rsid w:val="002E7A09"/>
    <w:rsid w:val="002F001E"/>
    <w:rsid w:val="002F13CD"/>
    <w:rsid w:val="002F1A5D"/>
    <w:rsid w:val="002F1EE8"/>
    <w:rsid w:val="002F3803"/>
    <w:rsid w:val="0030264B"/>
    <w:rsid w:val="00303B19"/>
    <w:rsid w:val="0030411D"/>
    <w:rsid w:val="00304338"/>
    <w:rsid w:val="00310523"/>
    <w:rsid w:val="00310FA6"/>
    <w:rsid w:val="00312C88"/>
    <w:rsid w:val="00315396"/>
    <w:rsid w:val="0031591F"/>
    <w:rsid w:val="003169B5"/>
    <w:rsid w:val="0032045D"/>
    <w:rsid w:val="0032680D"/>
    <w:rsid w:val="00326D2A"/>
    <w:rsid w:val="00334E51"/>
    <w:rsid w:val="00337381"/>
    <w:rsid w:val="003374CA"/>
    <w:rsid w:val="00341654"/>
    <w:rsid w:val="00342870"/>
    <w:rsid w:val="00345F77"/>
    <w:rsid w:val="003476CE"/>
    <w:rsid w:val="00350917"/>
    <w:rsid w:val="0035175D"/>
    <w:rsid w:val="0035724B"/>
    <w:rsid w:val="00357286"/>
    <w:rsid w:val="00357935"/>
    <w:rsid w:val="003625E6"/>
    <w:rsid w:val="0036463D"/>
    <w:rsid w:val="00367DA3"/>
    <w:rsid w:val="003719DB"/>
    <w:rsid w:val="00371B8D"/>
    <w:rsid w:val="00373EB2"/>
    <w:rsid w:val="0037535E"/>
    <w:rsid w:val="003803BE"/>
    <w:rsid w:val="00384FA9"/>
    <w:rsid w:val="00386C90"/>
    <w:rsid w:val="0039002F"/>
    <w:rsid w:val="003902B1"/>
    <w:rsid w:val="00390812"/>
    <w:rsid w:val="00390A59"/>
    <w:rsid w:val="00394C72"/>
    <w:rsid w:val="00397F85"/>
    <w:rsid w:val="003A0175"/>
    <w:rsid w:val="003A09AD"/>
    <w:rsid w:val="003A273C"/>
    <w:rsid w:val="003A36D5"/>
    <w:rsid w:val="003A4D26"/>
    <w:rsid w:val="003B2211"/>
    <w:rsid w:val="003B518A"/>
    <w:rsid w:val="003B6A9A"/>
    <w:rsid w:val="003B6D78"/>
    <w:rsid w:val="003C060A"/>
    <w:rsid w:val="003C0A67"/>
    <w:rsid w:val="003C24EC"/>
    <w:rsid w:val="003C25ED"/>
    <w:rsid w:val="003C7A52"/>
    <w:rsid w:val="003D0C24"/>
    <w:rsid w:val="003D236A"/>
    <w:rsid w:val="003D4CAC"/>
    <w:rsid w:val="003D548A"/>
    <w:rsid w:val="003D5CFC"/>
    <w:rsid w:val="003D6E0A"/>
    <w:rsid w:val="003D7317"/>
    <w:rsid w:val="003D7733"/>
    <w:rsid w:val="003E0DFE"/>
    <w:rsid w:val="003E2603"/>
    <w:rsid w:val="003E2CD8"/>
    <w:rsid w:val="003E352C"/>
    <w:rsid w:val="003E3E3E"/>
    <w:rsid w:val="003E6561"/>
    <w:rsid w:val="003E7BC4"/>
    <w:rsid w:val="003F0F7E"/>
    <w:rsid w:val="003F2997"/>
    <w:rsid w:val="003F43CF"/>
    <w:rsid w:val="003F43F9"/>
    <w:rsid w:val="003F7A9E"/>
    <w:rsid w:val="003F7C64"/>
    <w:rsid w:val="004032D0"/>
    <w:rsid w:val="00406563"/>
    <w:rsid w:val="0040676B"/>
    <w:rsid w:val="00406867"/>
    <w:rsid w:val="00406CD2"/>
    <w:rsid w:val="00411862"/>
    <w:rsid w:val="00416565"/>
    <w:rsid w:val="0041711B"/>
    <w:rsid w:val="00421895"/>
    <w:rsid w:val="004221A5"/>
    <w:rsid w:val="00434134"/>
    <w:rsid w:val="004360CF"/>
    <w:rsid w:val="00437DB0"/>
    <w:rsid w:val="00444D45"/>
    <w:rsid w:val="004452AC"/>
    <w:rsid w:val="00454265"/>
    <w:rsid w:val="00454766"/>
    <w:rsid w:val="004555E2"/>
    <w:rsid w:val="00455F3B"/>
    <w:rsid w:val="00455F94"/>
    <w:rsid w:val="00456E9B"/>
    <w:rsid w:val="00460A7C"/>
    <w:rsid w:val="00461D80"/>
    <w:rsid w:val="00462269"/>
    <w:rsid w:val="00462B1A"/>
    <w:rsid w:val="00462F30"/>
    <w:rsid w:val="00463F10"/>
    <w:rsid w:val="00465B24"/>
    <w:rsid w:val="00466CDA"/>
    <w:rsid w:val="004707CB"/>
    <w:rsid w:val="00471555"/>
    <w:rsid w:val="00471CB0"/>
    <w:rsid w:val="00473AA7"/>
    <w:rsid w:val="00476FDC"/>
    <w:rsid w:val="0047719C"/>
    <w:rsid w:val="00496DB3"/>
    <w:rsid w:val="00497885"/>
    <w:rsid w:val="004A100E"/>
    <w:rsid w:val="004A56A0"/>
    <w:rsid w:val="004C00C0"/>
    <w:rsid w:val="004C429D"/>
    <w:rsid w:val="004C675F"/>
    <w:rsid w:val="004C721F"/>
    <w:rsid w:val="004D3454"/>
    <w:rsid w:val="004D5410"/>
    <w:rsid w:val="004D63FF"/>
    <w:rsid w:val="004D7098"/>
    <w:rsid w:val="004E0A16"/>
    <w:rsid w:val="004E150A"/>
    <w:rsid w:val="004E37BD"/>
    <w:rsid w:val="004F2E74"/>
    <w:rsid w:val="004F332F"/>
    <w:rsid w:val="004F46C1"/>
    <w:rsid w:val="004F5F17"/>
    <w:rsid w:val="00504689"/>
    <w:rsid w:val="005073E7"/>
    <w:rsid w:val="005077AB"/>
    <w:rsid w:val="005115D7"/>
    <w:rsid w:val="00512206"/>
    <w:rsid w:val="00512374"/>
    <w:rsid w:val="005149FE"/>
    <w:rsid w:val="005154F9"/>
    <w:rsid w:val="0052010E"/>
    <w:rsid w:val="00520BDB"/>
    <w:rsid w:val="00522766"/>
    <w:rsid w:val="00523BBF"/>
    <w:rsid w:val="00530283"/>
    <w:rsid w:val="00533FF6"/>
    <w:rsid w:val="005477B9"/>
    <w:rsid w:val="00550E26"/>
    <w:rsid w:val="005513E7"/>
    <w:rsid w:val="005518CE"/>
    <w:rsid w:val="00557441"/>
    <w:rsid w:val="005578AE"/>
    <w:rsid w:val="005625FE"/>
    <w:rsid w:val="00565CDB"/>
    <w:rsid w:val="005672CB"/>
    <w:rsid w:val="005727E8"/>
    <w:rsid w:val="0057640B"/>
    <w:rsid w:val="00576EED"/>
    <w:rsid w:val="00577314"/>
    <w:rsid w:val="005829CA"/>
    <w:rsid w:val="00586B72"/>
    <w:rsid w:val="0059065C"/>
    <w:rsid w:val="005928E6"/>
    <w:rsid w:val="00593DB7"/>
    <w:rsid w:val="0059519C"/>
    <w:rsid w:val="00596949"/>
    <w:rsid w:val="005A1FCC"/>
    <w:rsid w:val="005A4455"/>
    <w:rsid w:val="005A47C3"/>
    <w:rsid w:val="005A6B4A"/>
    <w:rsid w:val="005A7156"/>
    <w:rsid w:val="005A7776"/>
    <w:rsid w:val="005B432F"/>
    <w:rsid w:val="005B6591"/>
    <w:rsid w:val="005C46D1"/>
    <w:rsid w:val="005C6144"/>
    <w:rsid w:val="005D008B"/>
    <w:rsid w:val="005D3F4B"/>
    <w:rsid w:val="005D6717"/>
    <w:rsid w:val="005E0F91"/>
    <w:rsid w:val="005E3939"/>
    <w:rsid w:val="005E4548"/>
    <w:rsid w:val="005E73ED"/>
    <w:rsid w:val="005F291F"/>
    <w:rsid w:val="005F6B10"/>
    <w:rsid w:val="0060214B"/>
    <w:rsid w:val="00603F3C"/>
    <w:rsid w:val="00603F93"/>
    <w:rsid w:val="006115C4"/>
    <w:rsid w:val="00611E1D"/>
    <w:rsid w:val="0061231E"/>
    <w:rsid w:val="00614E79"/>
    <w:rsid w:val="00614EC8"/>
    <w:rsid w:val="006153BC"/>
    <w:rsid w:val="00617EBE"/>
    <w:rsid w:val="00621BCA"/>
    <w:rsid w:val="00621FB4"/>
    <w:rsid w:val="006252D0"/>
    <w:rsid w:val="00627FB0"/>
    <w:rsid w:val="00630522"/>
    <w:rsid w:val="00632714"/>
    <w:rsid w:val="00635C7B"/>
    <w:rsid w:val="00636C0B"/>
    <w:rsid w:val="00636F15"/>
    <w:rsid w:val="00637CEC"/>
    <w:rsid w:val="00642F53"/>
    <w:rsid w:val="00643205"/>
    <w:rsid w:val="00650DB6"/>
    <w:rsid w:val="006514D7"/>
    <w:rsid w:val="00654BC0"/>
    <w:rsid w:val="006559D3"/>
    <w:rsid w:val="00656E2F"/>
    <w:rsid w:val="00661E41"/>
    <w:rsid w:val="00663F2B"/>
    <w:rsid w:val="00670D9D"/>
    <w:rsid w:val="00674BA0"/>
    <w:rsid w:val="00677BF8"/>
    <w:rsid w:val="00681953"/>
    <w:rsid w:val="00681FC6"/>
    <w:rsid w:val="00683A3E"/>
    <w:rsid w:val="00683EB4"/>
    <w:rsid w:val="0068516E"/>
    <w:rsid w:val="006852DE"/>
    <w:rsid w:val="00690D83"/>
    <w:rsid w:val="00691182"/>
    <w:rsid w:val="00696A03"/>
    <w:rsid w:val="006A069A"/>
    <w:rsid w:val="006A33F8"/>
    <w:rsid w:val="006A540A"/>
    <w:rsid w:val="006A6864"/>
    <w:rsid w:val="006B03F1"/>
    <w:rsid w:val="006B0754"/>
    <w:rsid w:val="006B0F3C"/>
    <w:rsid w:val="006B204D"/>
    <w:rsid w:val="006B4A7A"/>
    <w:rsid w:val="006B54EA"/>
    <w:rsid w:val="006B5E30"/>
    <w:rsid w:val="006B637C"/>
    <w:rsid w:val="006B7BFE"/>
    <w:rsid w:val="006C2142"/>
    <w:rsid w:val="006C41A4"/>
    <w:rsid w:val="006C68ED"/>
    <w:rsid w:val="006D31BA"/>
    <w:rsid w:val="006D7297"/>
    <w:rsid w:val="006E0843"/>
    <w:rsid w:val="006E08F6"/>
    <w:rsid w:val="006F036E"/>
    <w:rsid w:val="006F625A"/>
    <w:rsid w:val="00702E01"/>
    <w:rsid w:val="00704639"/>
    <w:rsid w:val="007104C5"/>
    <w:rsid w:val="00713F55"/>
    <w:rsid w:val="00715C21"/>
    <w:rsid w:val="0072064D"/>
    <w:rsid w:val="00725A2E"/>
    <w:rsid w:val="00726EB6"/>
    <w:rsid w:val="007306FA"/>
    <w:rsid w:val="007336DD"/>
    <w:rsid w:val="0073675C"/>
    <w:rsid w:val="00743FDA"/>
    <w:rsid w:val="00744139"/>
    <w:rsid w:val="007444F4"/>
    <w:rsid w:val="00745C47"/>
    <w:rsid w:val="00746526"/>
    <w:rsid w:val="007478C2"/>
    <w:rsid w:val="00747B90"/>
    <w:rsid w:val="0075305E"/>
    <w:rsid w:val="00754838"/>
    <w:rsid w:val="00755ECE"/>
    <w:rsid w:val="00757AF6"/>
    <w:rsid w:val="00757FF4"/>
    <w:rsid w:val="007617BD"/>
    <w:rsid w:val="00762379"/>
    <w:rsid w:val="00762F7B"/>
    <w:rsid w:val="00767B48"/>
    <w:rsid w:val="00767EB4"/>
    <w:rsid w:val="00767F25"/>
    <w:rsid w:val="007717B2"/>
    <w:rsid w:val="0077265D"/>
    <w:rsid w:val="007736A6"/>
    <w:rsid w:val="00775931"/>
    <w:rsid w:val="0077790F"/>
    <w:rsid w:val="0078019F"/>
    <w:rsid w:val="007820D0"/>
    <w:rsid w:val="00783EFE"/>
    <w:rsid w:val="00783F58"/>
    <w:rsid w:val="007963FA"/>
    <w:rsid w:val="0079786F"/>
    <w:rsid w:val="007A183C"/>
    <w:rsid w:val="007A2281"/>
    <w:rsid w:val="007A23A8"/>
    <w:rsid w:val="007A2A59"/>
    <w:rsid w:val="007A36D7"/>
    <w:rsid w:val="007A37A5"/>
    <w:rsid w:val="007B042E"/>
    <w:rsid w:val="007B20CB"/>
    <w:rsid w:val="007B6F83"/>
    <w:rsid w:val="007C0E48"/>
    <w:rsid w:val="007C1963"/>
    <w:rsid w:val="007C5317"/>
    <w:rsid w:val="007C5FAB"/>
    <w:rsid w:val="007D2631"/>
    <w:rsid w:val="007D75A3"/>
    <w:rsid w:val="007E37A6"/>
    <w:rsid w:val="007E4E22"/>
    <w:rsid w:val="007E4FE8"/>
    <w:rsid w:val="007E60A1"/>
    <w:rsid w:val="007E694D"/>
    <w:rsid w:val="007F101F"/>
    <w:rsid w:val="007F3EE5"/>
    <w:rsid w:val="00800650"/>
    <w:rsid w:val="00802A54"/>
    <w:rsid w:val="00804AEF"/>
    <w:rsid w:val="00804D49"/>
    <w:rsid w:val="008065DF"/>
    <w:rsid w:val="00806888"/>
    <w:rsid w:val="00810A0D"/>
    <w:rsid w:val="00813223"/>
    <w:rsid w:val="00814D47"/>
    <w:rsid w:val="0081511F"/>
    <w:rsid w:val="00815BE1"/>
    <w:rsid w:val="0081654C"/>
    <w:rsid w:val="00816584"/>
    <w:rsid w:val="00817570"/>
    <w:rsid w:val="00821322"/>
    <w:rsid w:val="0082321A"/>
    <w:rsid w:val="0083127F"/>
    <w:rsid w:val="00831E76"/>
    <w:rsid w:val="00831FE2"/>
    <w:rsid w:val="00841C37"/>
    <w:rsid w:val="00843412"/>
    <w:rsid w:val="00843D42"/>
    <w:rsid w:val="008448D6"/>
    <w:rsid w:val="00845B17"/>
    <w:rsid w:val="00847FA2"/>
    <w:rsid w:val="008500EB"/>
    <w:rsid w:val="00850605"/>
    <w:rsid w:val="00853CC0"/>
    <w:rsid w:val="008545D2"/>
    <w:rsid w:val="00857F2D"/>
    <w:rsid w:val="0086480A"/>
    <w:rsid w:val="00864A76"/>
    <w:rsid w:val="00871130"/>
    <w:rsid w:val="0087604D"/>
    <w:rsid w:val="00886689"/>
    <w:rsid w:val="00887304"/>
    <w:rsid w:val="008939B2"/>
    <w:rsid w:val="00894472"/>
    <w:rsid w:val="0089548E"/>
    <w:rsid w:val="008A0F78"/>
    <w:rsid w:val="008A3B74"/>
    <w:rsid w:val="008B1A36"/>
    <w:rsid w:val="008B3156"/>
    <w:rsid w:val="008B522E"/>
    <w:rsid w:val="008B7666"/>
    <w:rsid w:val="008B79B4"/>
    <w:rsid w:val="008B7C2E"/>
    <w:rsid w:val="008C250F"/>
    <w:rsid w:val="008D0DA7"/>
    <w:rsid w:val="008D105C"/>
    <w:rsid w:val="008D6B75"/>
    <w:rsid w:val="008D716B"/>
    <w:rsid w:val="008D7666"/>
    <w:rsid w:val="008D7908"/>
    <w:rsid w:val="008E0C4C"/>
    <w:rsid w:val="008F36C7"/>
    <w:rsid w:val="008F798D"/>
    <w:rsid w:val="0090470E"/>
    <w:rsid w:val="009073E0"/>
    <w:rsid w:val="00907A8B"/>
    <w:rsid w:val="0091135C"/>
    <w:rsid w:val="00913F5E"/>
    <w:rsid w:val="00914499"/>
    <w:rsid w:val="00921CBF"/>
    <w:rsid w:val="00923B0C"/>
    <w:rsid w:val="009247FD"/>
    <w:rsid w:val="00930110"/>
    <w:rsid w:val="00933765"/>
    <w:rsid w:val="009346D7"/>
    <w:rsid w:val="00936784"/>
    <w:rsid w:val="00936948"/>
    <w:rsid w:val="00940B3A"/>
    <w:rsid w:val="00944BC2"/>
    <w:rsid w:val="009526A3"/>
    <w:rsid w:val="00953FAD"/>
    <w:rsid w:val="0095688C"/>
    <w:rsid w:val="00962C02"/>
    <w:rsid w:val="00962E77"/>
    <w:rsid w:val="00963C76"/>
    <w:rsid w:val="00963FE5"/>
    <w:rsid w:val="00975D3C"/>
    <w:rsid w:val="00975EFF"/>
    <w:rsid w:val="00976BB2"/>
    <w:rsid w:val="00982318"/>
    <w:rsid w:val="00983442"/>
    <w:rsid w:val="0098432A"/>
    <w:rsid w:val="00993CBD"/>
    <w:rsid w:val="00993D41"/>
    <w:rsid w:val="00996CA7"/>
    <w:rsid w:val="00997956"/>
    <w:rsid w:val="009A4B0D"/>
    <w:rsid w:val="009A4E55"/>
    <w:rsid w:val="009B0F54"/>
    <w:rsid w:val="009B1918"/>
    <w:rsid w:val="009B1EDE"/>
    <w:rsid w:val="009B4B2D"/>
    <w:rsid w:val="009B6244"/>
    <w:rsid w:val="009B6673"/>
    <w:rsid w:val="009B6A20"/>
    <w:rsid w:val="009B7CEB"/>
    <w:rsid w:val="009C235A"/>
    <w:rsid w:val="009C34DA"/>
    <w:rsid w:val="009C73C2"/>
    <w:rsid w:val="009D0373"/>
    <w:rsid w:val="009D2CED"/>
    <w:rsid w:val="009D32AF"/>
    <w:rsid w:val="009D54AB"/>
    <w:rsid w:val="009D62FF"/>
    <w:rsid w:val="009D6DE1"/>
    <w:rsid w:val="009D7187"/>
    <w:rsid w:val="009D72CD"/>
    <w:rsid w:val="009E225E"/>
    <w:rsid w:val="009E2482"/>
    <w:rsid w:val="009E6530"/>
    <w:rsid w:val="009E74C0"/>
    <w:rsid w:val="009F0270"/>
    <w:rsid w:val="009F2D88"/>
    <w:rsid w:val="009F493D"/>
    <w:rsid w:val="00A00336"/>
    <w:rsid w:val="00A02130"/>
    <w:rsid w:val="00A046EB"/>
    <w:rsid w:val="00A04888"/>
    <w:rsid w:val="00A17F7F"/>
    <w:rsid w:val="00A17FD5"/>
    <w:rsid w:val="00A236A7"/>
    <w:rsid w:val="00A25375"/>
    <w:rsid w:val="00A2540E"/>
    <w:rsid w:val="00A2596C"/>
    <w:rsid w:val="00A268C7"/>
    <w:rsid w:val="00A32596"/>
    <w:rsid w:val="00A32F68"/>
    <w:rsid w:val="00A33696"/>
    <w:rsid w:val="00A34FA9"/>
    <w:rsid w:val="00A36EBD"/>
    <w:rsid w:val="00A415CC"/>
    <w:rsid w:val="00A435F6"/>
    <w:rsid w:val="00A44E49"/>
    <w:rsid w:val="00A472CF"/>
    <w:rsid w:val="00A5059C"/>
    <w:rsid w:val="00A519CC"/>
    <w:rsid w:val="00A5273A"/>
    <w:rsid w:val="00A53647"/>
    <w:rsid w:val="00A558C5"/>
    <w:rsid w:val="00A55C90"/>
    <w:rsid w:val="00A61351"/>
    <w:rsid w:val="00A71362"/>
    <w:rsid w:val="00A7550B"/>
    <w:rsid w:val="00A75B48"/>
    <w:rsid w:val="00A82419"/>
    <w:rsid w:val="00A82584"/>
    <w:rsid w:val="00A83C53"/>
    <w:rsid w:val="00A842EF"/>
    <w:rsid w:val="00A85757"/>
    <w:rsid w:val="00A86DBE"/>
    <w:rsid w:val="00A87B56"/>
    <w:rsid w:val="00A91D3A"/>
    <w:rsid w:val="00A93CD0"/>
    <w:rsid w:val="00A94B71"/>
    <w:rsid w:val="00AA2DA8"/>
    <w:rsid w:val="00AA2F4F"/>
    <w:rsid w:val="00AA4991"/>
    <w:rsid w:val="00AB422E"/>
    <w:rsid w:val="00AB5A8C"/>
    <w:rsid w:val="00AB6960"/>
    <w:rsid w:val="00AC2E92"/>
    <w:rsid w:val="00AC3332"/>
    <w:rsid w:val="00AC3D77"/>
    <w:rsid w:val="00AD1B8A"/>
    <w:rsid w:val="00AD7AB3"/>
    <w:rsid w:val="00AE0EB3"/>
    <w:rsid w:val="00AE250D"/>
    <w:rsid w:val="00AE3D36"/>
    <w:rsid w:val="00AE3E63"/>
    <w:rsid w:val="00AE52D5"/>
    <w:rsid w:val="00AE555B"/>
    <w:rsid w:val="00AE5F85"/>
    <w:rsid w:val="00AE74A3"/>
    <w:rsid w:val="00AE7561"/>
    <w:rsid w:val="00AE7A37"/>
    <w:rsid w:val="00AF1433"/>
    <w:rsid w:val="00AF2A8D"/>
    <w:rsid w:val="00AF367C"/>
    <w:rsid w:val="00AF4E66"/>
    <w:rsid w:val="00AF4FCA"/>
    <w:rsid w:val="00B008B4"/>
    <w:rsid w:val="00B010AD"/>
    <w:rsid w:val="00B016F3"/>
    <w:rsid w:val="00B03D37"/>
    <w:rsid w:val="00B04101"/>
    <w:rsid w:val="00B045C1"/>
    <w:rsid w:val="00B06A1E"/>
    <w:rsid w:val="00B07AD5"/>
    <w:rsid w:val="00B11A4D"/>
    <w:rsid w:val="00B136B9"/>
    <w:rsid w:val="00B1463A"/>
    <w:rsid w:val="00B2140F"/>
    <w:rsid w:val="00B2593F"/>
    <w:rsid w:val="00B35F23"/>
    <w:rsid w:val="00B362AE"/>
    <w:rsid w:val="00B362C7"/>
    <w:rsid w:val="00B369D1"/>
    <w:rsid w:val="00B36D4E"/>
    <w:rsid w:val="00B36D71"/>
    <w:rsid w:val="00B404A3"/>
    <w:rsid w:val="00B418E7"/>
    <w:rsid w:val="00B41A17"/>
    <w:rsid w:val="00B432DE"/>
    <w:rsid w:val="00B4437C"/>
    <w:rsid w:val="00B45D28"/>
    <w:rsid w:val="00B631F5"/>
    <w:rsid w:val="00B6525F"/>
    <w:rsid w:val="00B67F3E"/>
    <w:rsid w:val="00B739CA"/>
    <w:rsid w:val="00B75863"/>
    <w:rsid w:val="00B766F4"/>
    <w:rsid w:val="00B77709"/>
    <w:rsid w:val="00B816C4"/>
    <w:rsid w:val="00B8200C"/>
    <w:rsid w:val="00B84249"/>
    <w:rsid w:val="00B84D80"/>
    <w:rsid w:val="00B86E2F"/>
    <w:rsid w:val="00B8720D"/>
    <w:rsid w:val="00B91940"/>
    <w:rsid w:val="00B91CCC"/>
    <w:rsid w:val="00B92BA1"/>
    <w:rsid w:val="00B9378C"/>
    <w:rsid w:val="00B93E67"/>
    <w:rsid w:val="00B93F79"/>
    <w:rsid w:val="00B9551F"/>
    <w:rsid w:val="00BA17F4"/>
    <w:rsid w:val="00BA3C47"/>
    <w:rsid w:val="00BB054D"/>
    <w:rsid w:val="00BB06B4"/>
    <w:rsid w:val="00BB53D4"/>
    <w:rsid w:val="00BB6C70"/>
    <w:rsid w:val="00BB7992"/>
    <w:rsid w:val="00BC2C84"/>
    <w:rsid w:val="00BC541D"/>
    <w:rsid w:val="00BC58DC"/>
    <w:rsid w:val="00BC5D5C"/>
    <w:rsid w:val="00BE64E0"/>
    <w:rsid w:val="00BF0D1C"/>
    <w:rsid w:val="00BF3562"/>
    <w:rsid w:val="00BF3735"/>
    <w:rsid w:val="00BF41AF"/>
    <w:rsid w:val="00BF71FA"/>
    <w:rsid w:val="00C00100"/>
    <w:rsid w:val="00C01019"/>
    <w:rsid w:val="00C0328D"/>
    <w:rsid w:val="00C03530"/>
    <w:rsid w:val="00C0509D"/>
    <w:rsid w:val="00C0520A"/>
    <w:rsid w:val="00C11496"/>
    <w:rsid w:val="00C12112"/>
    <w:rsid w:val="00C13229"/>
    <w:rsid w:val="00C16B9D"/>
    <w:rsid w:val="00C20446"/>
    <w:rsid w:val="00C2304B"/>
    <w:rsid w:val="00C23929"/>
    <w:rsid w:val="00C263B2"/>
    <w:rsid w:val="00C33121"/>
    <w:rsid w:val="00C364CF"/>
    <w:rsid w:val="00C36BB5"/>
    <w:rsid w:val="00C37178"/>
    <w:rsid w:val="00C42279"/>
    <w:rsid w:val="00C441FE"/>
    <w:rsid w:val="00C4776D"/>
    <w:rsid w:val="00C5107E"/>
    <w:rsid w:val="00C51434"/>
    <w:rsid w:val="00C53398"/>
    <w:rsid w:val="00C5505A"/>
    <w:rsid w:val="00C609EA"/>
    <w:rsid w:val="00C6299D"/>
    <w:rsid w:val="00C64683"/>
    <w:rsid w:val="00C64B11"/>
    <w:rsid w:val="00C65145"/>
    <w:rsid w:val="00C657FB"/>
    <w:rsid w:val="00C65A25"/>
    <w:rsid w:val="00C65DDC"/>
    <w:rsid w:val="00C66DAE"/>
    <w:rsid w:val="00C679C9"/>
    <w:rsid w:val="00C67A8A"/>
    <w:rsid w:val="00C700FD"/>
    <w:rsid w:val="00C71628"/>
    <w:rsid w:val="00C716DA"/>
    <w:rsid w:val="00C7445C"/>
    <w:rsid w:val="00C759DB"/>
    <w:rsid w:val="00C77C7A"/>
    <w:rsid w:val="00C80046"/>
    <w:rsid w:val="00C8100B"/>
    <w:rsid w:val="00C8709B"/>
    <w:rsid w:val="00C90CA7"/>
    <w:rsid w:val="00CA2397"/>
    <w:rsid w:val="00CA5F98"/>
    <w:rsid w:val="00CB0522"/>
    <w:rsid w:val="00CB0D49"/>
    <w:rsid w:val="00CB0D9F"/>
    <w:rsid w:val="00CB13C6"/>
    <w:rsid w:val="00CB24A3"/>
    <w:rsid w:val="00CC30D7"/>
    <w:rsid w:val="00CC5199"/>
    <w:rsid w:val="00CC57BF"/>
    <w:rsid w:val="00CC7AE9"/>
    <w:rsid w:val="00CD0227"/>
    <w:rsid w:val="00CD092D"/>
    <w:rsid w:val="00CD7706"/>
    <w:rsid w:val="00CE0C47"/>
    <w:rsid w:val="00CE16FD"/>
    <w:rsid w:val="00CF08F0"/>
    <w:rsid w:val="00CF2ABF"/>
    <w:rsid w:val="00CF3F57"/>
    <w:rsid w:val="00D02F70"/>
    <w:rsid w:val="00D03E9D"/>
    <w:rsid w:val="00D065F6"/>
    <w:rsid w:val="00D11F3F"/>
    <w:rsid w:val="00D13D19"/>
    <w:rsid w:val="00D17961"/>
    <w:rsid w:val="00D17B4F"/>
    <w:rsid w:val="00D21B7A"/>
    <w:rsid w:val="00D226EF"/>
    <w:rsid w:val="00D229BA"/>
    <w:rsid w:val="00D23BBB"/>
    <w:rsid w:val="00D243BF"/>
    <w:rsid w:val="00D273CD"/>
    <w:rsid w:val="00D34B08"/>
    <w:rsid w:val="00D3579C"/>
    <w:rsid w:val="00D35C20"/>
    <w:rsid w:val="00D411B2"/>
    <w:rsid w:val="00D43745"/>
    <w:rsid w:val="00D4711F"/>
    <w:rsid w:val="00D502A4"/>
    <w:rsid w:val="00D53B16"/>
    <w:rsid w:val="00D572C0"/>
    <w:rsid w:val="00D618D5"/>
    <w:rsid w:val="00D622DD"/>
    <w:rsid w:val="00D62D58"/>
    <w:rsid w:val="00D65F20"/>
    <w:rsid w:val="00D66ACD"/>
    <w:rsid w:val="00D709F8"/>
    <w:rsid w:val="00D721A2"/>
    <w:rsid w:val="00D72611"/>
    <w:rsid w:val="00D81AE0"/>
    <w:rsid w:val="00D82FCE"/>
    <w:rsid w:val="00D83EB2"/>
    <w:rsid w:val="00D8541E"/>
    <w:rsid w:val="00D91610"/>
    <w:rsid w:val="00D9527A"/>
    <w:rsid w:val="00D95EB1"/>
    <w:rsid w:val="00D97C41"/>
    <w:rsid w:val="00DB1297"/>
    <w:rsid w:val="00DB20B2"/>
    <w:rsid w:val="00DB56CF"/>
    <w:rsid w:val="00DC06C0"/>
    <w:rsid w:val="00DC305D"/>
    <w:rsid w:val="00DC4205"/>
    <w:rsid w:val="00DC5878"/>
    <w:rsid w:val="00DC73A5"/>
    <w:rsid w:val="00DC7D35"/>
    <w:rsid w:val="00DD2FD8"/>
    <w:rsid w:val="00DD32AE"/>
    <w:rsid w:val="00DD5365"/>
    <w:rsid w:val="00DE0854"/>
    <w:rsid w:val="00DE11AB"/>
    <w:rsid w:val="00DE2470"/>
    <w:rsid w:val="00DE7852"/>
    <w:rsid w:val="00DF28FF"/>
    <w:rsid w:val="00DF340F"/>
    <w:rsid w:val="00DF62D0"/>
    <w:rsid w:val="00DF66FD"/>
    <w:rsid w:val="00DF6A67"/>
    <w:rsid w:val="00E03399"/>
    <w:rsid w:val="00E10870"/>
    <w:rsid w:val="00E12A1C"/>
    <w:rsid w:val="00E12F7B"/>
    <w:rsid w:val="00E20030"/>
    <w:rsid w:val="00E229CD"/>
    <w:rsid w:val="00E245E4"/>
    <w:rsid w:val="00E247C0"/>
    <w:rsid w:val="00E24EA3"/>
    <w:rsid w:val="00E27F4A"/>
    <w:rsid w:val="00E3082F"/>
    <w:rsid w:val="00E30F79"/>
    <w:rsid w:val="00E33C55"/>
    <w:rsid w:val="00E33E4E"/>
    <w:rsid w:val="00E36400"/>
    <w:rsid w:val="00E427D6"/>
    <w:rsid w:val="00E42D80"/>
    <w:rsid w:val="00E44075"/>
    <w:rsid w:val="00E50AA1"/>
    <w:rsid w:val="00E50C25"/>
    <w:rsid w:val="00E5268B"/>
    <w:rsid w:val="00E53537"/>
    <w:rsid w:val="00E56161"/>
    <w:rsid w:val="00E57B1B"/>
    <w:rsid w:val="00E605EE"/>
    <w:rsid w:val="00E6298A"/>
    <w:rsid w:val="00E67963"/>
    <w:rsid w:val="00E77EAF"/>
    <w:rsid w:val="00E82A2C"/>
    <w:rsid w:val="00E83AE1"/>
    <w:rsid w:val="00E854B4"/>
    <w:rsid w:val="00E86F3D"/>
    <w:rsid w:val="00E879FB"/>
    <w:rsid w:val="00E87A4F"/>
    <w:rsid w:val="00E87EC2"/>
    <w:rsid w:val="00E90190"/>
    <w:rsid w:val="00E9095B"/>
    <w:rsid w:val="00E9260F"/>
    <w:rsid w:val="00E9448D"/>
    <w:rsid w:val="00E9526A"/>
    <w:rsid w:val="00E9622B"/>
    <w:rsid w:val="00EA1AA0"/>
    <w:rsid w:val="00EA25E3"/>
    <w:rsid w:val="00EA5124"/>
    <w:rsid w:val="00EA6987"/>
    <w:rsid w:val="00EA6FCD"/>
    <w:rsid w:val="00EB3C6B"/>
    <w:rsid w:val="00EB3E0E"/>
    <w:rsid w:val="00EB3F2D"/>
    <w:rsid w:val="00EB7415"/>
    <w:rsid w:val="00EB74F2"/>
    <w:rsid w:val="00EC19A9"/>
    <w:rsid w:val="00EC262F"/>
    <w:rsid w:val="00EC3F75"/>
    <w:rsid w:val="00EC54C2"/>
    <w:rsid w:val="00EC6A26"/>
    <w:rsid w:val="00ED3262"/>
    <w:rsid w:val="00EE0C3F"/>
    <w:rsid w:val="00EE6EAB"/>
    <w:rsid w:val="00EF02B3"/>
    <w:rsid w:val="00EF116F"/>
    <w:rsid w:val="00EF4AF4"/>
    <w:rsid w:val="00EF51DB"/>
    <w:rsid w:val="00EF5DB4"/>
    <w:rsid w:val="00F00F21"/>
    <w:rsid w:val="00F01177"/>
    <w:rsid w:val="00F015EF"/>
    <w:rsid w:val="00F01E4B"/>
    <w:rsid w:val="00F0610B"/>
    <w:rsid w:val="00F12DF8"/>
    <w:rsid w:val="00F13AF9"/>
    <w:rsid w:val="00F14424"/>
    <w:rsid w:val="00F15645"/>
    <w:rsid w:val="00F22FFA"/>
    <w:rsid w:val="00F237D2"/>
    <w:rsid w:val="00F241B3"/>
    <w:rsid w:val="00F25072"/>
    <w:rsid w:val="00F31F3B"/>
    <w:rsid w:val="00F3473F"/>
    <w:rsid w:val="00F34AFB"/>
    <w:rsid w:val="00F36188"/>
    <w:rsid w:val="00F3700D"/>
    <w:rsid w:val="00F37B61"/>
    <w:rsid w:val="00F37DD4"/>
    <w:rsid w:val="00F4512D"/>
    <w:rsid w:val="00F46350"/>
    <w:rsid w:val="00F52AAB"/>
    <w:rsid w:val="00F52EA1"/>
    <w:rsid w:val="00F56134"/>
    <w:rsid w:val="00F570DB"/>
    <w:rsid w:val="00F62001"/>
    <w:rsid w:val="00F63B43"/>
    <w:rsid w:val="00F67830"/>
    <w:rsid w:val="00F70C4D"/>
    <w:rsid w:val="00F752CB"/>
    <w:rsid w:val="00F75761"/>
    <w:rsid w:val="00F81392"/>
    <w:rsid w:val="00F931EC"/>
    <w:rsid w:val="00F93313"/>
    <w:rsid w:val="00F93F73"/>
    <w:rsid w:val="00F94B3E"/>
    <w:rsid w:val="00F95C90"/>
    <w:rsid w:val="00F97A4E"/>
    <w:rsid w:val="00FA046E"/>
    <w:rsid w:val="00FA15F9"/>
    <w:rsid w:val="00FA2BD3"/>
    <w:rsid w:val="00FA5AC3"/>
    <w:rsid w:val="00FA6DDA"/>
    <w:rsid w:val="00FA6E09"/>
    <w:rsid w:val="00FB2945"/>
    <w:rsid w:val="00FB4715"/>
    <w:rsid w:val="00FB6E05"/>
    <w:rsid w:val="00FC0180"/>
    <w:rsid w:val="00FC1D12"/>
    <w:rsid w:val="00FC2E73"/>
    <w:rsid w:val="00FC32FD"/>
    <w:rsid w:val="00FC72C3"/>
    <w:rsid w:val="00FD3D3B"/>
    <w:rsid w:val="00FD6011"/>
    <w:rsid w:val="00FD66D8"/>
    <w:rsid w:val="00FE16B3"/>
    <w:rsid w:val="00FE3D74"/>
    <w:rsid w:val="00FE5571"/>
    <w:rsid w:val="00FE7F30"/>
    <w:rsid w:val="00FF0910"/>
    <w:rsid w:val="00FF1FFB"/>
    <w:rsid w:val="00FF247F"/>
    <w:rsid w:val="00FF3066"/>
    <w:rsid w:val="00FF31DD"/>
    <w:rsid w:val="00FF5A97"/>
    <w:rsid w:val="00FF6C48"/>
    <w:rsid w:val="00FF7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7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uiPriority w:val="99"/>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aliases w:val="List Paragraph1,Recommendation,List Paragraph11,Bullets"/>
    <w:basedOn w:val="Normal"/>
    <w:link w:val="ListParagraphChar"/>
    <w:uiPriority w:val="34"/>
    <w:qFormat/>
    <w:rsid w:val="00074DFB"/>
    <w:pPr>
      <w:ind w:left="720"/>
      <w:contextualSpacing/>
    </w:pPr>
  </w:style>
  <w:style w:type="paragraph" w:styleId="FootnoteText">
    <w:name w:val="footnote text"/>
    <w:aliases w:val="Footnote Text Char1,Footnote Text Char Char,Char,single space"/>
    <w:basedOn w:val="Normal"/>
    <w:link w:val="FootnoteTextChar"/>
    <w:qFormat/>
    <w:rsid w:val="00471CB0"/>
    <w:pPr>
      <w:spacing w:before="0" w:after="80"/>
    </w:pPr>
    <w:rPr>
      <w:sz w:val="16"/>
      <w:szCs w:val="20"/>
      <w:lang w:val="sv-SE" w:eastAsia="sv-SE"/>
    </w:rPr>
  </w:style>
  <w:style w:type="character" w:customStyle="1" w:styleId="FootnoteTextChar">
    <w:name w:val="Footnote Text Char"/>
    <w:aliases w:val="Footnote Text Char1 Char1,Footnote Text Char Char Char,Char Char1,single space Char"/>
    <w:basedOn w:val="DefaultParagraphFont"/>
    <w:link w:val="FootnoteText"/>
    <w:uiPriority w:val="99"/>
    <w:rsid w:val="00471CB0"/>
    <w:rPr>
      <w:rFonts w:ascii="Arial" w:hAnsi="Arial"/>
      <w:sz w:val="16"/>
      <w:lang w:val="sv-SE" w:eastAsia="sv-SE"/>
    </w:rPr>
  </w:style>
  <w:style w:type="character" w:styleId="FootnoteReference">
    <w:name w:val="footnote reference"/>
    <w:aliases w:val=" BVI fnr Char Char1 Char,BVI fnr Char Char1 Char, BVI fnr Car Car Char Char1 Char,BVI fnr Car Char Char1 Char, BVI fnr Car Car Car Car Char Char Char Char Char1, BVI fnr Char Char Char Char Char,BVI fnr Char Char Char Char Char"/>
    <w:basedOn w:val="FootnoteTextChar"/>
    <w:link w:val="BVIfnrCharChar1"/>
    <w:rsid w:val="00471CB0"/>
    <w:rPr>
      <w:rFonts w:ascii="Arial" w:hAnsi="Arial"/>
      <w:color w:val="auto"/>
      <w:spacing w:val="0"/>
      <w:position w:val="0"/>
      <w:sz w:val="22"/>
      <w:szCs w:val="16"/>
      <w:vertAlign w:val="superscript"/>
      <w:lang w:val="sv-SE" w:eastAsia="sv-SE"/>
    </w:rPr>
  </w:style>
  <w:style w:type="character" w:customStyle="1" w:styleId="ListParagraphChar">
    <w:name w:val="List Paragraph Char"/>
    <w:aliases w:val="List Paragraph1 Char,Recommendation Char,List Paragraph11 Char,Bullets Char"/>
    <w:link w:val="ListParagraph"/>
    <w:uiPriority w:val="34"/>
    <w:locked/>
    <w:rsid w:val="0032045D"/>
    <w:rPr>
      <w:rFonts w:ascii="Arial" w:hAnsi="Arial"/>
      <w:szCs w:val="24"/>
      <w:lang w:eastAsia="en-US"/>
    </w:rPr>
  </w:style>
  <w:style w:type="character" w:customStyle="1" w:styleId="FootnoteTextChar2">
    <w:name w:val="Footnote Text Char2"/>
    <w:aliases w:val="Footnote Text Char1 Char,Footnote Text Char Char Char1,Char Char,single space Char1"/>
    <w:rsid w:val="00D618D5"/>
    <w:rPr>
      <w:rFonts w:ascii="Arial" w:hAnsi="Arial" w:cs="Mangal"/>
      <w:lang w:val="en-GB" w:eastAsia="en-GB" w:bidi="hi-IN"/>
    </w:rPr>
  </w:style>
  <w:style w:type="paragraph" w:customStyle="1" w:styleId="BVIfnrCharChar1">
    <w:name w:val="BVI fnr Char Char1"/>
    <w:aliases w:val=" BVI fnr Car Car Char Char1,BVI fnr Car Char Char1, BVI fnr Car Car Car Car Char Char Char Char, BVI fnr Char Char Char Char,BVI fnr Char Char Char Char, BVI fnr Car Car Char Char Char Char"/>
    <w:basedOn w:val="Normal"/>
    <w:link w:val="FootnoteReference"/>
    <w:rsid w:val="00D618D5"/>
    <w:pPr>
      <w:spacing w:before="0" w:after="160" w:line="240" w:lineRule="exact"/>
    </w:pPr>
    <w:rPr>
      <w:sz w:val="22"/>
      <w:szCs w:val="16"/>
      <w:vertAlign w:val="superscript"/>
      <w:lang w:val="sv-SE" w:eastAsia="sv-SE"/>
    </w:rPr>
  </w:style>
  <w:style w:type="paragraph" w:customStyle="1" w:styleId="Heading1outlinenum">
    <w:name w:val="Heading 1 outlinenum"/>
    <w:basedOn w:val="Normal"/>
    <w:next w:val="Normal"/>
    <w:rsid w:val="00D618D5"/>
    <w:pPr>
      <w:keepNext/>
      <w:numPr>
        <w:numId w:val="19"/>
      </w:numPr>
      <w:spacing w:before="360" w:after="60"/>
      <w:outlineLvl w:val="0"/>
    </w:pPr>
    <w:rPr>
      <w:rFonts w:cs="Arial"/>
      <w:b/>
      <w:sz w:val="28"/>
      <w:szCs w:val="32"/>
      <w:lang w:eastAsia="en-AU"/>
    </w:rPr>
  </w:style>
  <w:style w:type="paragraph" w:customStyle="1" w:styleId="Heading2outlinenum">
    <w:name w:val="Heading 2 outlinenum"/>
    <w:basedOn w:val="Heading2"/>
    <w:rsid w:val="00D618D5"/>
    <w:pPr>
      <w:numPr>
        <w:ilvl w:val="1"/>
        <w:numId w:val="19"/>
      </w:numPr>
      <w:tabs>
        <w:tab w:val="clear" w:pos="567"/>
        <w:tab w:val="num" w:pos="360"/>
      </w:tabs>
      <w:spacing w:before="360"/>
      <w:ind w:left="0" w:firstLine="0"/>
    </w:pPr>
    <w:rPr>
      <w:iCs w:val="0"/>
    </w:rPr>
  </w:style>
  <w:style w:type="paragraph" w:customStyle="1" w:styleId="Heading3outlinenum">
    <w:name w:val="Heading 3 outlinenum"/>
    <w:basedOn w:val="Heading3"/>
    <w:next w:val="Normal"/>
    <w:rsid w:val="00D618D5"/>
    <w:pPr>
      <w:numPr>
        <w:ilvl w:val="2"/>
        <w:numId w:val="19"/>
      </w:num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9310-CF21-4058-88A6-9F274C755686}"/>
</file>

<file path=customXml/itemProps2.xml><?xml version="1.0" encoding="utf-8"?>
<ds:datastoreItem xmlns:ds="http://schemas.openxmlformats.org/officeDocument/2006/customXml" ds:itemID="{7D11F5A3-C598-4901-B703-AF8D43084BAC}"/>
</file>

<file path=customXml/itemProps3.xml><?xml version="1.0" encoding="utf-8"?>
<ds:datastoreItem xmlns:ds="http://schemas.openxmlformats.org/officeDocument/2006/customXml" ds:itemID="{0708A653-0D82-4E81-AC73-4F292A59E345}"/>
</file>

<file path=customXml/itemProps4.xml><?xml version="1.0" encoding="utf-8"?>
<ds:datastoreItem xmlns:ds="http://schemas.openxmlformats.org/officeDocument/2006/customXml" ds:itemID="{511D46FE-D35E-41F6-96CA-B272A7D9A59F}"/>
</file>

<file path=docProps/app.xml><?xml version="1.0" encoding="utf-8"?>
<Properties xmlns="http://schemas.openxmlformats.org/officeDocument/2006/extended-properties" xmlns:vt="http://schemas.openxmlformats.org/officeDocument/2006/docPropsVTypes">
  <Template>Normal.dotm</Template>
  <TotalTime>0</TotalTime>
  <Pages>9</Pages>
  <Words>3028</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Progressing Gender Equality in the Pacific (PGEP) Project: Management response to mid-term evaluation</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Progressing Gender Equality in the Pacific (PGEP) Project: Management response to mid-term evaluation</dc:title>
  <dc:creator/>
  <cp:lastModifiedBy/>
  <cp:revision>1</cp:revision>
  <dcterms:created xsi:type="dcterms:W3CDTF">2018-01-24T05:21:00Z</dcterms:created>
  <dcterms:modified xsi:type="dcterms:W3CDTF">2018-01-24T05:21:00Z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23277da0-b0ec-4f7c-a327-e7f60a3186a4</vt:lpwstr>
  </property>
  <property fmtid="{D5CDD505-2E9C-101B-9397-08002B2CF9AE}" pid="3" name="ContentTypeId">
    <vt:lpwstr>0x01010050F19AC2165D2E47A5E6B7F563E4CF00</vt:lpwstr>
  </property>
  <property fmtid="{D5CDD505-2E9C-101B-9397-08002B2CF9AE}" pid="4" name="Order">
    <vt:r8>1099500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MarkAsFinal">
    <vt:bool>true</vt:bool>
  </property>
  <property fmtid="{D5CDD505-2E9C-101B-9397-08002B2CF9AE}" pid="11" name="SEC">
    <vt:lpwstr>UNCLASSIFIED</vt:lpwstr>
  </property>
  <property fmtid="{D5CDD505-2E9C-101B-9397-08002B2CF9AE}" pid="12" name="DLM">
    <vt:lpwstr>No DLM</vt:lpwstr>
  </property>
</Properties>
</file>